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20"/>
        <w:jc w:val="center"/>
      </w:pPr>
      <w:r>
        <w:rPr>
          <w:b/>
          <w:bCs/>
          <w:sz w:val="28"/>
          <w:szCs w:val="28"/>
        </w:rPr>
        <w:t xml:space="preserve">UNIVERSIDAD AUTÓNOMA DEL GUADIANA</w:t>
      </w:r>
    </w:p>
    <w:p>
      <w:pPr>
        <w:spacing w:after="120"/>
        <w:jc w:val="center"/>
      </w:pPr>
      <w:r>
        <w:rPr>
          <w:sz w:val="24"/>
          <w:szCs w:val="24"/>
        </w:rPr>
        <w:t xml:space="preserve">Facultad de Ciencias Sociales y Humanas</w:t>
      </w:r>
    </w:p>
    <w:p>
      <w:pPr>
        <w:spacing w:after="1200"/>
        <w:jc w:val="center"/>
      </w:pPr>
      <w:r>
        <w:rPr>
          <w:sz w:val="24"/>
          <w:szCs w:val="24"/>
        </w:rPr>
        <w:t xml:space="preserve">Grado en Geografía y Ordenación del Territorio</w:t>
      </w:r>
    </w:p>
    <w:p>
      <w:pPr>
        <w:spacing w:after="60"/>
        <w:jc w:val="center"/>
      </w:pPr>
      <w:r>
        <w:rPr>
          <w:b/>
          <w:bCs/>
          <w:sz w:val="36"/>
          <w:szCs w:val="36"/>
        </w:rPr>
        <w:t xml:space="preserve">TURISMO RURAL Y DESPOBLACIÓN EN LA ESPAÑA INTERIOR:</w:t>
      </w:r>
    </w:p>
    <w:p>
      <w:pPr>
        <w:spacing w:after="1200"/>
        <w:jc w:val="center"/>
      </w:pPr>
      <w:r>
        <w:rPr>
          <w:b/>
          <w:bCs/>
          <w:sz w:val="32"/>
          <w:szCs w:val="32"/>
        </w:rPr>
        <w:t xml:space="preserve">estudio de cuatro municipios</w:t>
      </w:r>
    </w:p>
    <w:p>
      <w:pPr>
        <w:spacing w:after="1000"/>
        <w:jc w:val="center"/>
      </w:pPr>
      <w:r>
        <w:rPr>
          <w:spacing w:val="40"/>
          <w:sz w:val="26"/>
          <w:szCs w:val="26"/>
        </w:rPr>
        <w:t xml:space="preserve">TRABAJO FIN DE GRADO</w:t>
      </w:r>
    </w:p>
    <w:p>
      <w:pPr>
        <w:jc w:val="right"/>
      </w:pPr>
      <w:r>
        <w:t xml:space="preserve">Autora: Lucía Fernández Prieto</w:t>
      </w:r>
    </w:p>
    <w:p>
      <w:pPr>
        <w:jc w:val="right"/>
      </w:pPr>
      <w:r>
        <w:t xml:space="preserve">Tutor: Dr. Andrés Villalobos Ruiz</w:t>
      </w:r>
    </w:p>
    <w:p>
      <w:pPr>
        <w:jc w:val="right"/>
      </w:pPr>
      <w:r>
        <w:t xml:space="preserve">Convocatoria: junio de 2026</w:t>
      </w:r>
    </w:p>
    <w:p>
      <w:pPr>
        <w:sectPr>
          <w:pgSz w:w="11906" w:h="16838" w:orient="portrait"/>
          <w:pgMar w:top="1417" w:right="1701" w:bottom="1417" w:left="1701" w:header="708" w:footer="708" w:gutter="0"/>
          <w:pgNumType/>
          <w:docGrid w:linePitch="360"/>
        </w:sectPr>
      </w:pPr>
    </w:p>
    <w:p>
      <w:r>
        <w:rPr>
          <w:b/>
          <w:bCs/>
          <w:sz w:val="28"/>
          <w:szCs w:val="28"/>
        </w:rPr>
        <w:t xml:space="preserve">RESUMEN</w:t>
      </w:r>
    </w:p>
    <w:p>
      <w:pPr>
        <w:spacing w:after="160"/>
        <w:jc w:val="both"/>
      </w:pPr>
      <w:r>
        <w:t xml:space="preserve">Este trabajo analiza el papel del turismo rural como estrategia frente a la despoblación en cuatro municipios del interior peninsular. A partir de datos del padrón y de entrevistas a empresarios locales, se concluye que el turismo rural genera empleo complementario, pero no basta por sí solo para revertir la pérdida de población.</w:t>
      </w:r>
    </w:p>
    <w:p>
      <w:pPr>
        <w:spacing w:after="160"/>
        <w:jc w:val="both"/>
      </w:pPr>
      <w:r>
        <w:rPr>
          <w:b/>
          <w:bCs/>
        </w:rPr>
        <w:t xml:space="preserve">Palabras clave: </w:t>
      </w:r>
      <w:r>
        <w:t xml:space="preserve">turismo rural, despoblación, desarrollo local, España interior.</w:t>
      </w:r>
    </w:p>
    <w:p>
      <w:r>
        <w:br w:type="page"/>
      </w:r>
    </w:p>
    <w:sdt>
      <w:sdtPr>
        <w:alias w:val="Índice"/>
      </w:sdtPr>
      <w:sdtContent>
        <w:p>
          <w:r>
            <w:fldChar w:fldCharType="begin" w:dirty="true"/>
            <w:instrText xml:space="preserve">TOC \h \o "1-3"</w:instrText>
            <w:fldChar w:fldCharType="separate"/>
          </w:r>
        </w:p>
        <w:p>
          <w:r>
            <w:fldChar w:fldCharType="end"/>
          </w:r>
        </w:p>
      </w:sdtContent>
    </w:sdt>
    <w:p>
      <w:pPr>
        <w:sectPr>
          <w:pgSz w:w="11906" w:h="16838" w:orient="portrait"/>
          <w:pgMar w:top="1417" w:right="1701" w:bottom="1417" w:left="1701" w:header="708" w:footer="708" w:gutter="0"/>
          <w:pgNumType/>
          <w:docGrid w:linePitch="360"/>
        </w:sectPr>
      </w:pPr>
    </w:p>
    <w:p>
      <w:pPr>
        <w:pStyle w:val="Heading1"/>
      </w:pPr>
      <w:r>
        <w:t xml:space="preserve">1. Introducción</w:t>
      </w:r>
    </w:p>
    <w:p>
      <w:pPr>
        <w:spacing w:after="160"/>
        <w:jc w:val="both"/>
      </w:pPr>
      <w:r>
        <w:t xml:space="preserve">La despoblación del medio rural</w:t>
      </w:r>
      <w:r>
        <w:rPr>
          <w:rStyle w:val="FootnoteReference"/>
        </w:rPr>
        <w:footnoteReference w:id="1"/>
      </w:r>
      <w:r>
        <w:t xml:space="preserve"> es uno de los principales desafíos territoriales de España. Desde mediados del siglo XX, millones de personas abandonaron los pueblos del interior en busca de empleo en las ciudades, y este proceso continúa hoy, aunque a un ritmo menor (Collantes y Pinilla, 2011).</w:t>
      </w:r>
    </w:p>
    <w:p>
      <w:pPr>
        <w:spacing w:after="160"/>
        <w:jc w:val="both"/>
      </w:pPr>
      <w:r>
        <w:t xml:space="preserve">En las últimas décadas, el turismo rural se ha presentado como una de las herramientas para frenar esta tendencia. Sin embargo, su capacidad real para fijar población sigue siendo objeto de debate (Molina, 2017; Sáenz Gil, 2020).</w:t>
      </w:r>
    </w:p>
    <w:p>
      <w:pPr>
        <w:pStyle w:val="Heading2"/>
      </w:pPr>
      <w:r>
        <w:t xml:space="preserve">1.1. Objetivos</w:t>
      </w:r>
    </w:p>
    <w:p>
      <w:pPr>
        <w:pStyle w:val="Heading3"/>
      </w:pPr>
      <w:r>
        <w:t xml:space="preserve">1.1.1. Objetivo general</w:t>
      </w:r>
    </w:p>
    <w:p>
      <w:pPr>
        <w:spacing w:after="160"/>
        <w:jc w:val="both"/>
      </w:pPr>
      <w:r>
        <w:t xml:space="preserve">Analizar la relación entre el desarrollo del turismo rural y la evolución demográfica en cuatro municipios del interior peninsular.</w:t>
      </w:r>
    </w:p>
    <w:p>
      <w:pPr>
        <w:pStyle w:val="Heading3"/>
      </w:pPr>
      <w:r>
        <w:t xml:space="preserve">1.1.2. Objetivos específicos</w:t>
      </w:r>
    </w:p>
    <w:p>
      <w:pPr>
        <w:pStyle w:val="Heading4"/>
      </w:pPr>
      <w:r>
        <w:t xml:space="preserve">a) Evolución demográfica</w:t>
      </w:r>
    </w:p>
    <w:p>
      <w:pPr>
        <w:spacing w:after="160"/>
        <w:jc w:val="both"/>
      </w:pPr>
      <w:r>
        <w:t xml:space="preserve">Describir la evolución de la población de los municipios estudiados entre 2001 y 2024.</w:t>
      </w:r>
    </w:p>
    <w:p>
      <w:pPr>
        <w:pStyle w:val="Heading4"/>
      </w:pPr>
      <w:r>
        <w:t xml:space="preserve">b) Percepción de los empresarios</w:t>
      </w:r>
    </w:p>
    <w:p>
      <w:pPr>
        <w:spacing w:after="160"/>
        <w:jc w:val="both"/>
      </w:pPr>
      <w:r>
        <w:t xml:space="preserve">Conocer la valoración que hacen los empresarios turísticos locales del impacto de su actividad.</w:t>
      </w:r>
    </w:p>
    <w:p>
      <w:pPr>
        <w:pStyle w:val="Heading1"/>
      </w:pPr>
      <w:r>
        <w:t xml:space="preserve">2. Marco teórico</w:t>
      </w:r>
    </w:p>
    <w:p>
      <w:pPr>
        <w:spacing w:after="160"/>
        <w:jc w:val="both"/>
      </w:pPr>
      <w:r>
        <w:t xml:space="preserve">La literatura sobre desarrollo rural distingue entre estrategias que buscan diversificar la economía local y estrategias que se centran en mejorar los servicios básicos. El turismo pertenece al primer grupo. Molina (2017) sostiene que su impacto es limitado si no va acompañado de vivienda asequible y buena conectividad. En la misma línea, el informe del Consejo Económico de Ejemplo advierte:</w:t>
      </w:r>
    </w:p>
    <w:p>
      <w:pPr>
        <w:spacing w:after="160" w:line="276" w:lineRule="auto"/>
        <w:ind w:left="567" w:right="567"/>
        <w:jc w:val="both"/>
      </w:pPr>
      <w:r>
        <w:rPr>
          <w:i/>
          <w:iCs/>
          <w:sz w:val="22"/>
          <w:szCs w:val="22"/>
        </w:rPr>
        <w:t xml:space="preserve">"El turismo rural puede complementar las rentas agrarias y crear oportunidades para las mujeres y los jóvenes, pero difícilmente sustituirá a otros sectores como base económica de un territorio. Sin servicios públicos, transporte y acceso a internet de calidad, los visitantes llegan, pero los nuevos residentes no se quedan." (Consejo Económico de Ejemplo, 2022, p.45)</w:t>
      </w:r>
    </w:p>
    <w:p>
      <w:pPr>
        <w:spacing w:after="160"/>
        <w:jc w:val="both"/>
      </w:pPr>
      <w:r>
        <w:t xml:space="preserve">Por su parte, Herranz (2015) señala que los efectos positivos se concentran en los municipios que ya contaban con una cierta base de servicios antes de la llegada del turismo.</w:t>
      </w:r>
    </w:p>
    <w:p>
      <w:pPr>
        <w:pStyle w:val="Heading1"/>
      </w:pPr>
      <w:r>
        <w:t xml:space="preserve">3. Metodología</w:t>
      </w:r>
    </w:p>
    <w:p>
      <w:pPr>
        <w:spacing w:after="160"/>
        <w:jc w:val="both"/>
      </w:pPr>
      <w:r>
        <w:t xml:space="preserve">Se seleccionaron cuatro municipios</w:t>
      </w:r>
      <w:r>
        <w:rPr>
          <w:rStyle w:val="FootnoteReference"/>
        </w:rPr>
        <w:footnoteReference w:id="2"/>
      </w:r>
      <w:r>
        <w:t xml:space="preserve"> con distinto grado de desarrollo turístico. Se recopilaron datos del padrón municipal para 2001 y 2024 y se realizaron doce entrevistas semiestructuradas a propietarios de alojamientos rurales, restaurantes y empresas de actividades.</w:t>
      </w:r>
    </w:p>
    <w:p>
      <w:pPr>
        <w:pStyle w:val="Heading1"/>
      </w:pPr>
      <w:r>
        <w:t xml:space="preserve">4. Resultados</w:t>
      </w:r>
    </w:p>
    <w:p>
      <w:pPr>
        <w:pStyle w:val="Heading2"/>
      </w:pPr>
      <w:r>
        <w:t xml:space="preserve">4.1. Evolución de la población</w:t>
      </w:r>
    </w:p>
    <w:p>
      <w:pPr>
        <w:spacing w:after="160"/>
        <w:jc w:val="both"/>
      </w:pPr>
      <w:r>
        <w:t xml:space="preserve">La tabla siguiente muestra la evolución de la población en los cuatro municipios estudiados:</w:t>
      </w:r>
    </w:p>
    <w:p>
      <w:pPr>
        <w:spacing w:after="80" w:before="120"/>
        <w:jc w:val="center"/>
      </w:pPr>
      <w:r>
        <w:rPr>
          <w:b/>
          <w:bCs/>
          <w:sz w:val="20"/>
          <w:szCs w:val="20"/>
        </w:rPr>
        <w:t xml:space="preserve">Tabla 1. Evolución de la población (2001-2024)</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00"/>
      </w:tblGrid>
      <w:tr>
        <w:tc>
          <w:tcPr>
            <w:tcW w:type="dxa" w:w="3200"/>
            <w:shd w:fill="D9D9D9" w:color="auto" w:val="clear"/>
          </w:tcPr>
          <w:p>
            <w:pPr>
              <w:jc w:val="left"/>
            </w:pPr>
            <w:r>
              <w:rPr>
                <w:b/>
                <w:bCs/>
                <w:sz w:val="20"/>
                <w:szCs w:val="20"/>
              </w:rPr>
              <w:t xml:space="preserve">Municipio</w:t>
            </w:r>
          </w:p>
        </w:tc>
        <w:tc>
          <w:tcPr>
            <w:tcW w:type="dxa" w:w="1900"/>
            <w:shd w:fill="D9D9D9" w:color="auto" w:val="clear"/>
          </w:tcPr>
          <w:p>
            <w:pPr>
              <w:jc w:val="center"/>
            </w:pPr>
            <w:r>
              <w:rPr>
                <w:b/>
                <w:bCs/>
                <w:sz w:val="20"/>
                <w:szCs w:val="20"/>
              </w:rPr>
              <w:t xml:space="preserve">Población 2001</w:t>
            </w:r>
          </w:p>
        </w:tc>
        <w:tc>
          <w:tcPr>
            <w:tcW w:type="dxa" w:w="1900"/>
            <w:shd w:fill="D9D9D9" w:color="auto" w:val="clear"/>
          </w:tcPr>
          <w:p>
            <w:pPr>
              <w:jc w:val="center"/>
            </w:pPr>
            <w:r>
              <w:rPr>
                <w:b/>
                <w:bCs/>
                <w:sz w:val="20"/>
                <w:szCs w:val="20"/>
              </w:rPr>
              <w:t xml:space="preserve">Población 2024</w:t>
            </w:r>
          </w:p>
        </w:tc>
        <w:tc>
          <w:tcPr>
            <w:tcW w:type="dxa" w:w="1900"/>
            <w:shd w:fill="D9D9D9" w:color="auto" w:val="clear"/>
          </w:tcPr>
          <w:p>
            <w:pPr>
              <w:jc w:val="center"/>
            </w:pPr>
            <w:r>
              <w:rPr>
                <w:b/>
                <w:bCs/>
                <w:sz w:val="20"/>
                <w:szCs w:val="20"/>
              </w:rPr>
              <w:t xml:space="preserve">Variación (%)</w:t>
            </w:r>
          </w:p>
        </w:tc>
      </w:tr>
      <w:tr>
        <w:tc>
          <w:tcPr>
            <w:tcW w:type="dxa" w:w="3200"/>
          </w:tcPr>
          <w:p>
            <w:pPr>
              <w:jc w:val="left"/>
            </w:pPr>
            <w:r>
              <w:rPr>
                <w:b w:val="false"/>
                <w:bCs w:val="false"/>
                <w:sz w:val="20"/>
                <w:szCs w:val="20"/>
              </w:rPr>
              <w:t xml:space="preserve">Valdeserranos</w:t>
            </w:r>
          </w:p>
        </w:tc>
        <w:tc>
          <w:tcPr>
            <w:tcW w:type="dxa" w:w="1900"/>
          </w:tcPr>
          <w:p>
            <w:pPr>
              <w:jc w:val="center"/>
            </w:pPr>
            <w:r>
              <w:rPr>
                <w:b w:val="false"/>
                <w:bCs w:val="false"/>
                <w:sz w:val="20"/>
                <w:szCs w:val="20"/>
              </w:rPr>
              <w:t xml:space="preserve">1.842</w:t>
            </w:r>
          </w:p>
        </w:tc>
        <w:tc>
          <w:tcPr>
            <w:tcW w:type="dxa" w:w="1900"/>
          </w:tcPr>
          <w:p>
            <w:pPr>
              <w:jc w:val="center"/>
            </w:pPr>
            <w:r>
              <w:rPr>
                <w:b w:val="false"/>
                <w:bCs w:val="false"/>
                <w:sz w:val="20"/>
                <w:szCs w:val="20"/>
              </w:rPr>
              <w:t xml:space="preserve">1.103</w:t>
            </w:r>
          </w:p>
        </w:tc>
        <w:tc>
          <w:tcPr>
            <w:tcW w:type="dxa" w:w="1900"/>
          </w:tcPr>
          <w:p>
            <w:pPr>
              <w:jc w:val="center"/>
            </w:pPr>
            <w:r>
              <w:rPr>
                <w:b w:val="false"/>
                <w:bCs w:val="false"/>
                <w:sz w:val="20"/>
                <w:szCs w:val="20"/>
              </w:rPr>
              <w:t xml:space="preserve">-40,1</w:t>
            </w:r>
          </w:p>
        </w:tc>
      </w:tr>
      <w:tr>
        <w:tc>
          <w:tcPr>
            <w:tcW w:type="dxa" w:w="3200"/>
          </w:tcPr>
          <w:p>
            <w:pPr>
              <w:jc w:val="left"/>
            </w:pPr>
            <w:r>
              <w:rPr>
                <w:b w:val="false"/>
                <w:bCs w:val="false"/>
                <w:sz w:val="20"/>
                <w:szCs w:val="20"/>
              </w:rPr>
              <w:t xml:space="preserve">Torremora</w:t>
            </w:r>
          </w:p>
        </w:tc>
        <w:tc>
          <w:tcPr>
            <w:tcW w:type="dxa" w:w="1900"/>
          </w:tcPr>
          <w:p>
            <w:pPr>
              <w:jc w:val="center"/>
            </w:pPr>
            <w:r>
              <w:rPr>
                <w:b w:val="false"/>
                <w:bCs w:val="false"/>
                <w:sz w:val="20"/>
                <w:szCs w:val="20"/>
              </w:rPr>
              <w:t xml:space="preserve">3.215</w:t>
            </w:r>
          </w:p>
        </w:tc>
        <w:tc>
          <w:tcPr>
            <w:tcW w:type="dxa" w:w="1900"/>
          </w:tcPr>
          <w:p>
            <w:pPr>
              <w:jc w:val="center"/>
            </w:pPr>
            <w:r>
              <w:rPr>
                <w:b w:val="false"/>
                <w:bCs w:val="false"/>
                <w:sz w:val="20"/>
                <w:szCs w:val="20"/>
              </w:rPr>
              <w:t xml:space="preserve">2.488</w:t>
            </w:r>
          </w:p>
        </w:tc>
        <w:tc>
          <w:tcPr>
            <w:tcW w:type="dxa" w:w="1900"/>
          </w:tcPr>
          <w:p>
            <w:pPr>
              <w:jc w:val="center"/>
            </w:pPr>
            <w:r>
              <w:rPr>
                <w:b w:val="false"/>
                <w:bCs w:val="false"/>
                <w:sz w:val="20"/>
                <w:szCs w:val="20"/>
              </w:rPr>
              <w:t xml:space="preserve">-22,6</w:t>
            </w:r>
          </w:p>
        </w:tc>
      </w:tr>
      <w:tr>
        <w:tc>
          <w:tcPr>
            <w:tcW w:type="dxa" w:w="3200"/>
          </w:tcPr>
          <w:p>
            <w:pPr>
              <w:jc w:val="left"/>
            </w:pPr>
            <w:r>
              <w:rPr>
                <w:b w:val="false"/>
                <w:bCs w:val="false"/>
                <w:sz w:val="20"/>
                <w:szCs w:val="20"/>
              </w:rPr>
              <w:t xml:space="preserve">Navalencina</w:t>
            </w:r>
          </w:p>
        </w:tc>
        <w:tc>
          <w:tcPr>
            <w:tcW w:type="dxa" w:w="1900"/>
          </w:tcPr>
          <w:p>
            <w:pPr>
              <w:jc w:val="center"/>
            </w:pPr>
            <w:r>
              <w:rPr>
                <w:b w:val="false"/>
                <w:bCs w:val="false"/>
                <w:sz w:val="20"/>
                <w:szCs w:val="20"/>
              </w:rPr>
              <w:t xml:space="preserve">689</w:t>
            </w:r>
          </w:p>
        </w:tc>
        <w:tc>
          <w:tcPr>
            <w:tcW w:type="dxa" w:w="1900"/>
          </w:tcPr>
          <w:p>
            <w:pPr>
              <w:jc w:val="center"/>
            </w:pPr>
            <w:r>
              <w:rPr>
                <w:b w:val="false"/>
                <w:bCs w:val="false"/>
                <w:sz w:val="20"/>
                <w:szCs w:val="20"/>
              </w:rPr>
              <w:t xml:space="preserve">352</w:t>
            </w:r>
          </w:p>
        </w:tc>
        <w:tc>
          <w:tcPr>
            <w:tcW w:type="dxa" w:w="1900"/>
          </w:tcPr>
          <w:p>
            <w:pPr>
              <w:jc w:val="center"/>
            </w:pPr>
            <w:r>
              <w:rPr>
                <w:b w:val="false"/>
                <w:bCs w:val="false"/>
                <w:sz w:val="20"/>
                <w:szCs w:val="20"/>
              </w:rPr>
              <w:t xml:space="preserve">-48,9</w:t>
            </w:r>
          </w:p>
        </w:tc>
      </w:tr>
      <w:tr>
        <w:tc>
          <w:tcPr>
            <w:tcW w:type="dxa" w:w="3200"/>
          </w:tcPr>
          <w:p>
            <w:pPr>
              <w:jc w:val="left"/>
            </w:pPr>
            <w:r>
              <w:rPr>
                <w:b w:val="false"/>
                <w:bCs w:val="false"/>
                <w:sz w:val="20"/>
                <w:szCs w:val="20"/>
              </w:rPr>
              <w:t xml:space="preserve">Fuentehonda</w:t>
            </w:r>
          </w:p>
        </w:tc>
        <w:tc>
          <w:tcPr>
            <w:tcW w:type="dxa" w:w="1900"/>
          </w:tcPr>
          <w:p>
            <w:pPr>
              <w:jc w:val="center"/>
            </w:pPr>
            <w:r>
              <w:rPr>
                <w:b w:val="false"/>
                <w:bCs w:val="false"/>
                <w:sz w:val="20"/>
                <w:szCs w:val="20"/>
              </w:rPr>
              <w:t xml:space="preserve">5.120</w:t>
            </w:r>
          </w:p>
        </w:tc>
        <w:tc>
          <w:tcPr>
            <w:tcW w:type="dxa" w:w="1900"/>
          </w:tcPr>
          <w:p>
            <w:pPr>
              <w:jc w:val="center"/>
            </w:pPr>
            <w:r>
              <w:rPr>
                <w:b w:val="false"/>
                <w:bCs w:val="false"/>
                <w:sz w:val="20"/>
                <w:szCs w:val="20"/>
              </w:rPr>
              <w:t xml:space="preserve">4.731</w:t>
            </w:r>
          </w:p>
        </w:tc>
        <w:tc>
          <w:tcPr>
            <w:tcW w:type="dxa" w:w="1900"/>
          </w:tcPr>
          <w:p>
            <w:pPr>
              <w:jc w:val="center"/>
            </w:pPr>
            <w:r>
              <w:rPr>
                <w:b w:val="false"/>
                <w:bCs w:val="false"/>
                <w:sz w:val="20"/>
                <w:szCs w:val="20"/>
              </w:rPr>
              <w:t xml:space="preserve">-7,6</w:t>
            </w:r>
          </w:p>
        </w:tc>
      </w:tr>
    </w:tbl>
    <w:p>
      <w:pPr>
        <w:spacing w:after="240"/>
      </w:pPr>
      <w:r>
        <w:rPr>
          <w:i/>
          <w:iCs/>
          <w:sz w:val="18"/>
          <w:szCs w:val="18"/>
        </w:rPr>
        <w:t xml:space="preserve">Fuente: elaboración propia a partir del padrón municipal.</w:t>
      </w:r>
    </w:p>
    <w:p>
      <w:pPr>
        <w:spacing w:after="160"/>
        <w:jc w:val="both"/>
      </w:pPr>
      <w:r>
        <w:t xml:space="preserve">Todos los municipios pierden población, pero la pérdida es menor en Fuentehonda, el que cuenta con más alojamientos rurales y mejores servicios. Navalencina, sin oferta turística relevante, pierde casi la mitad de sus habitantes.</w:t>
      </w:r>
    </w:p>
    <w:p>
      <w:pPr>
        <w:pStyle w:val="Heading2"/>
      </w:pPr>
      <w:r>
        <w:t xml:space="preserve">4.2. Percepción de los empresarios</w:t>
      </w:r>
    </w:p>
    <w:p>
      <w:pPr>
        <w:spacing w:after="160"/>
        <w:jc w:val="both"/>
      </w:pPr>
      <w:r>
        <w:t xml:space="preserve">Las personas entrevistadas coinciden en que el turismo aporta ingresos, pero de forma muy estacional. Una de ellas lo resumía así: "en agosto no damos abasto, y en noviembre no viene nadie"</w:t>
      </w:r>
      <w:r>
        <w:rPr>
          <w:rStyle w:val="FootnoteReference"/>
        </w:rPr>
        <w:footnoteReference w:id="3"/>
      </w:r>
      <w:r>
        <w:t xml:space="preserve">. Varias señalan la falta de vivienda para alquilar como el principal obstáculo para contratar personal que viva en el pueblo (Ruiz Montero, 2023).</w:t>
      </w:r>
    </w:p>
    <w:p>
      <w:pPr>
        <w:pStyle w:val="Heading1"/>
      </w:pPr>
      <w:r>
        <w:t xml:space="preserve">5. Conclusiones</w:t>
      </w:r>
    </w:p>
    <w:p>
      <w:pPr>
        <w:spacing w:after="160"/>
        <w:jc w:val="both"/>
      </w:pPr>
      <w:r>
        <w:t xml:space="preserve">El turismo rural contribuye a mantener actividad económica en los municipios estudiados, pero no basta por sí solo para revertir la despoblación. Su efecto es mayor allí donde existen servicios básicos, vivienda disponible y buena conectividad, lo que confirma las conclusiones de Molina (2017) y Herranz (2015).</w:t>
      </w:r>
    </w:p>
    <w:p>
      <w:r>
        <w:br w:type="page"/>
      </w:r>
    </w:p>
    <w:p>
      <w:r>
        <w:rPr>
          <w:b/>
          <w:bCs/>
          <w:sz w:val="28"/>
          <w:szCs w:val="28"/>
        </w:rPr>
        <w:t xml:space="preserve">BIBLIOGRAFÍA</w:t>
      </w:r>
    </w:p>
    <w:p>
      <w:pPr>
        <w:spacing w:after="120"/>
        <w:ind w:left="709" w:hanging="709"/>
      </w:pPr>
      <w:r>
        <w:t xml:space="preserve">Molina, R. (2017). </w:t>
      </w:r>
      <w:r>
        <w:rPr>
          <w:i/>
          <w:iCs/>
        </w:rPr>
        <w:t xml:space="preserve">Turismo y territorio: límites del desarrollo rural</w:t>
      </w:r>
      <w:r>
        <w:t xml:space="preserve">. Editorial Ejemplo.</w:t>
      </w:r>
    </w:p>
    <w:p>
      <w:pPr>
        <w:spacing w:after="120"/>
        <w:ind w:left="709" w:hanging="709"/>
      </w:pPr>
      <w:r>
        <w:t xml:space="preserve">Collantes, F. y Pinilla, V. (2011). </w:t>
      </w:r>
      <w:r>
        <w:rPr>
          <w:i/>
          <w:iCs/>
        </w:rPr>
        <w:t xml:space="preserve">¿Lugares que no importan? La despoblación de la España rural</w:t>
      </w:r>
      <w:r>
        <w:t xml:space="preserve">. Prensas Universitarias de Ejemplo.</w:t>
      </w:r>
    </w:p>
    <w:p>
      <w:pPr>
        <w:spacing w:after="120"/>
      </w:pPr>
      <w:r>
        <w:t xml:space="preserve">Consejo Económico de Ejemplo (2022). Informe sobre el medio rural y su vertebración social y territorial. Madrid.</w:t>
      </w:r>
    </w:p>
    <w:p>
      <w:pPr>
        <w:spacing w:after="120"/>
      </w:pPr>
      <w:r>
        <w:t xml:space="preserve">Herranz, M. Turismo rural y servicios públicos. Revista de Estudios Regionales Ficticios, 41, 77-96. doi:10.0000/rerf.2015.041</w:t>
      </w:r>
    </w:p>
    <w:p>
      <w:pPr>
        <w:spacing w:after="120"/>
        <w:ind w:left="709" w:hanging="709"/>
      </w:pPr>
      <w:r>
        <w:t xml:space="preserve">Sáenz Gil, P. (2020). Nuevos pobladores en el medio rural. </w:t>
      </w:r>
      <w:r>
        <w:rPr>
          <w:i/>
          <w:iCs/>
        </w:rPr>
        <w:t xml:space="preserve">Cuadernos de Geografía Inventada</w:t>
      </w:r>
      <w:r>
        <w:t xml:space="preserve">, 18(1), 33-51. https://doi.org/10.0000/cgi.2020.18.1</w:t>
      </w:r>
    </w:p>
    <w:p>
      <w:pPr>
        <w:spacing w:after="120"/>
      </w:pPr>
      <w:r>
        <w:t xml:space="preserve">Torres, E. (2019). Agroturismo y empleo femenino. Editorial Ejemplo.</w:t>
      </w:r>
    </w:p>
    <w:p>
      <w:r>
        <w:br w:type="page"/>
      </w:r>
    </w:p>
    <w:p>
      <w:pPr>
        <w:pStyle w:val="Heading1"/>
      </w:pPr>
      <w:r>
        <w:t xml:space="preserve">Anexo I. Guion de las entrevistas</w:t>
      </w:r>
    </w:p>
    <w:p>
      <w:pPr>
        <w:spacing w:after="160"/>
        <w:jc w:val="both"/>
      </w:pPr>
      <w:r>
        <w:t xml:space="preserve">1. ¿Desde cuándo funciona su negocio y por qué decidió ponerlo en marcha?</w:t>
      </w:r>
    </w:p>
    <w:p>
      <w:pPr>
        <w:spacing w:after="160"/>
        <w:jc w:val="both"/>
      </w:pPr>
      <w:r>
        <w:t xml:space="preserve">2. ¿Cómo ha evolucionado el número de visitantes en los últimos cinco años?</w:t>
      </w:r>
    </w:p>
    <w:p>
      <w:pPr>
        <w:spacing w:after="160"/>
        <w:jc w:val="both"/>
      </w:pPr>
      <w:r>
        <w:t xml:space="preserve">3. ¿Cuántas personas trabajan en el negocio y dónde residen?</w:t>
      </w:r>
    </w:p>
    <w:p>
      <w:pPr>
        <w:spacing w:after="160"/>
        <w:jc w:val="both"/>
      </w:pPr>
      <w:r>
        <w:t xml:space="preserve">4. ¿Qué dificultades encuentra para mantener la actividad durante todo el año?</w:t>
      </w:r>
    </w:p>
    <w:p>
      <w:pPr>
        <w:spacing w:after="160"/>
        <w:jc w:val="both"/>
      </w:pPr>
      <w:r>
        <w:t xml:space="preserve">5. ¿Cree que el turismo ayuda a que la gente se quede a vivir en el pueblo?</w:t>
      </w:r>
    </w:p>
    <w:sectPr>
      <w:headerReference w:type="default" r:id="rId7"/>
      <w:footerReference w:type="default" r:id="rId8"/>
      <w:pgSz w:w="11906" w:h="16838" w:orient="portrait"/>
      <w:pgMar w:top="1417" w:right="1701" w:bottom="1417" w:left="1701"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Se entiende por municipio rural aquel con menos de 5.000 habitantes y una densidad inferior a 100 hab./km².</w:t>
      </w:r>
    </w:p>
  </w:footnote>
  <w:footnote w:id="2">
    <w:p>
      <w:r>
        <w:rPr>
          <w:rStyle w:val="FootnoteReference"/>
        </w:rPr>
        <w:footnoteRef/>
      </w:r>
      <w:r>
        <w:rPr>
          <w:sz w:val="20"/>
          <w:szCs w:val="20"/>
        </w:rPr>
        <w:t xml:space="preserve">Los nombres de los municipios estudiados son ficticios para preservar la confidencialidad de las personas entrevistadas.</w:t>
      </w:r>
    </w:p>
  </w:footnote>
  <w:footnote w:id="3">
    <w:p>
      <w:r>
        <w:rPr>
          <w:rStyle w:val="FootnoteReference"/>
        </w:rPr>
        <w:footnoteRef/>
      </w:r>
      <w:r>
        <w:rPr>
          <w:sz w:val="20"/>
          <w:szCs w:val="20"/>
        </w:rPr>
        <w:t xml:space="preserve">Entrevista realizada el 14 de febrero de 2026 a la propietaria de una casa rural.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i/>
        <w:iCs/>
        <w:sz w:val="18"/>
        <w:szCs w:val="18"/>
      </w:rPr>
      <w:t xml:space="preserve">Turismo rural y despoblación — L. Fernández Prieto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b/>
      <w:bCs/>
      <w:caps/>
      <w:sz w:val="32"/>
      <w:szCs w:val="32"/>
    </w:rPr>
  </w:style>
  <w:style w:type="paragraph" w:styleId="Heading2">
    <w:name w:val="Heading 2"/>
    <w:basedOn w:val="Normal"/>
    <w:next w:val="Normal"/>
    <w:qFormat/>
    <w:pPr>
      <w:spacing w:after="120" w:before="240"/>
      <w:outlineLvl w:val="1"/>
    </w:pPr>
    <w:rPr>
      <w:b/>
      <w:bCs/>
      <w:sz w:val="28"/>
      <w:szCs w:val="28"/>
    </w:rPr>
  </w:style>
  <w:style w:type="paragraph" w:styleId="Heading3">
    <w:name w:val="Heading 3"/>
    <w:basedOn w:val="Normal"/>
    <w:next w:val="Normal"/>
    <w:qFormat/>
    <w:pPr>
      <w:spacing w:after="120" w:before="200"/>
      <w:outlineLvl w:val="2"/>
    </w:pPr>
    <w:rPr>
      <w:b/>
      <w:bCs/>
      <w:i/>
      <w:iCs/>
      <w:sz w:val="24"/>
      <w:szCs w:val="24"/>
    </w:rPr>
  </w:style>
  <w:style w:type="paragraph" w:styleId="Heading4">
    <w:name w:val="Heading 4"/>
    <w:basedOn w:val="Normal"/>
    <w:next w:val="Normal"/>
    <w:qFormat/>
    <w:pPr>
      <w:spacing w:after="80" w:before="160"/>
      <w:outlineLvl w:val="3"/>
    </w:pPr>
    <w:rPr>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e0b3731a690a6f4dfaad3e1e0ca108b25d067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2026-10-15T17:23:25.640Z</dcterms:created>
  <dcterms:modified xsi:type="dcterms:W3CDTF">2026-10-15T17:23:25.640Z</dcterms:modified>
</cp:coreProperties>
</file>

<file path=docProps/custom.xml><?xml version="1.0" encoding="utf-8"?>
<Properties xmlns="http://schemas.openxmlformats.org/officeDocument/2006/custom-properties" xmlns:vt="http://schemas.openxmlformats.org/officeDocument/2006/docPropsVTypes"/>
</file>