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DOCUMENTO DE ESCOPO — REDE NACIONAL DE DADOS DE TRANSPORTE (RNDT)</w:t>
      </w:r>
    </w:p>
    <w:p>
      <w:pPr>
        <w:pStyle w:val="Heading2"/>
        <w:spacing w:after="200"/>
        <w:jc w:val="left"/>
      </w:pPr>
      <w:r>
        <w:rPr>
          <w:b/>
          <w:bCs/>
        </w:rPr>
        <w:t xml:space="preserve">Produto Mínimo Viável (MVP) | Versão 1.0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i/>
          <w:iCs/>
        </w:rPr>
        <w:t xml:space="preserve">“A RNDT não é um portal de dados abertos. É um ecossistema federado onde dados de transporte ganham vida como produtos, parcerias e decisões estratégicas — com soberania, confiança e interoperabilidade.”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76"/>
        <w:gridCol w:w="618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**Elemento**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**Descrição**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Produto</w:t>
            </w:r>
          </w:p>
        </w:tc>
        <w:tc>
          <w:p>
            <w:pPr>
              <w:jc w:val="left"/>
            </w:pPr>
            <w:r>
              <w:t xml:space="preserve">Rede Nacional de Dados de Transporte (RNDT) — </w:t>
            </w:r>
            <w:r>
              <w:rPr>
                <w:i/>
                <w:iCs/>
              </w:rPr>
              <w:t xml:space="preserve">Data Space</w:t>
            </w:r>
            <w:r>
              <w:t xml:space="preserve"> de Transporte do Brasil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Versão</w:t>
            </w:r>
          </w:p>
        </w:tc>
        <w:tc>
          <w:p>
            <w:pPr>
              <w:jc w:val="left"/>
            </w:pPr>
            <w:r>
              <w:t xml:space="preserve">MVP 1.0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Base Arquitetural</w:t>
            </w:r>
          </w:p>
        </w:tc>
        <w:tc>
          <w:p>
            <w:pPr>
              <w:jc w:val="left"/>
            </w:pPr>
            <w:r>
              <w:t xml:space="preserve">IDS RAM 4.0, </w:t>
            </w:r>
            <w:r>
              <w:rPr>
                <w:i/>
                <w:iCs/>
              </w:rPr>
              <w:t xml:space="preserve">European Mobility Data Space</w:t>
            </w:r>
            <w:r>
              <w:t xml:space="preserve"> (EMDS)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Prazo Total</w:t>
            </w:r>
          </w:p>
        </w:tc>
        <w:tc>
          <w:p>
            <w:pPr>
              <w:jc w:val="left"/>
            </w:pPr>
            <w:r>
              <w:t xml:space="preserve">30 dias (modelo de squads paralelos com semana inicial de imersão)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Período</w:t>
            </w:r>
          </w:p>
        </w:tc>
        <w:tc>
          <w:p>
            <w:pPr>
              <w:jc w:val="left"/>
            </w:pPr>
            <w:r>
              <w:t xml:space="preserve">Junho–Julho/2026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Elaboração</w:t>
            </w:r>
          </w:p>
        </w:tc>
        <w:tc>
          <w:p>
            <w:pPr>
              <w:jc w:val="left"/>
            </w:pPr>
            <w:r>
              <w:t xml:space="preserve">Ministério dos Transportes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Parceiros Piloto</w:t>
            </w:r>
          </w:p>
        </w:tc>
        <w:tc>
          <w:p>
            <w:pPr>
              <w:jc w:val="left"/>
            </w:pPr>
            <w:r>
              <w:t xml:space="preserve">PRF, DNIT, ANTT, UFPE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rPr>
          <w:b/>
          <w:bCs/>
        </w:rPr>
        <w:t xml:space="preserve">1. PROPÓSITO E NARRATIVA CENTRAL</w:t>
      </w:r>
    </w:p>
    <w:p>
      <w:pPr>
        <w:spacing w:after="120"/>
        <w:jc w:val="left"/>
      </w:pPr>
      <w:r>
        <w:t xml:space="preserve">A RNDT resolve um problema estrutural do setor de transportes brasileiro: </w:t>
      </w:r>
      <w:r>
        <w:rPr>
          <w:b/>
          <w:bCs/>
        </w:rPr>
        <w:t xml:space="preserve">a fragmentação de dados valiosos em silos institucionais que não conversam entre si</w:t>
      </w:r>
      <w:r>
        <w:t xml:space="preserve">. Ao contrário de portais de dados abertos tradicionais — que publicam arquivos estáticos sem controlar seu uso — a RNDT cria um </w:t>
      </w:r>
      <w:r>
        <w:rPr>
          <w:b/>
          <w:bCs/>
        </w:rPr>
        <w:t xml:space="preserve">mercado federado de dados</w:t>
      </w:r>
      <w:r>
        <w:t xml:space="preserve"> onde cada órgão mantém a custódia de suas informações, define regras de uso vinculantes e gera valor por meio de novos produtos e parcerias.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benefício central não é apenas tecnológico, mas </w:t>
      </w:r>
      <w:r>
        <w:rPr>
          <w:b/>
          <w:bCs/>
        </w:rPr>
        <w:t xml:space="preserve">estratégico e econômico</w:t>
      </w:r>
      <w:r>
        <w:t xml:space="preserve">: quando a PRF compartilha dados de sinistros com o DNIT, ambos ganham — a PRF amplia o impacto de sua inteligência de segurança viária, e o DNIT prioriza obras de manutenção com base em evidências reais de risco. Quando uma concessionária privada consome dados de pavimentação do DNIT sob contrato digital, o DNIT financia sua própria infraestrutura de coleta sem depender exclusivamente de verbas públicas.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rPr>
          <w:b/>
          <w:bCs/>
        </w:rPr>
        <w:t xml:space="preserve">2. DIFERENCIAÇÃO ESTRATÉGICA: RNDT vs. PORTAIS DE DADOS ABERTOS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94"/>
        <w:gridCol w:w="3156"/>
        <w:gridCol w:w="381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**Dimensão**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**Portal de Dados Abertos Tradicional**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**RNDT (Data Space)**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Controle pós-publicação</w:t>
            </w:r>
          </w:p>
        </w:tc>
        <w:tc>
          <w:p>
            <w:pPr>
              <w:jc w:val="left"/>
            </w:pPr>
            <w:r>
              <w:t xml:space="preserve">Nenhum — o dado é copiado e o controle se perde</w:t>
            </w:r>
          </w:p>
        </w:tc>
        <w:tc>
          <w:p>
            <w:pPr>
              <w:jc w:val="left"/>
            </w:pPr>
            <w:r>
              <w:t xml:space="preserve">Total — contratos ODRL definem uso mesmo após a transferência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Soberania</w:t>
            </w:r>
          </w:p>
        </w:tc>
        <w:tc>
          <w:p>
            <w:pPr>
              <w:jc w:val="left"/>
            </w:pPr>
            <w:r>
              <w:t xml:space="preserve">O órgão perde visibilidade sobre quem usa e como</w:t>
            </w:r>
          </w:p>
        </w:tc>
        <w:tc>
          <w:p>
            <w:pPr>
              <w:jc w:val="left"/>
            </w:pPr>
            <w:r>
              <w:t xml:space="preserve">O provedor mantém controle jurídico e técnico sobre o dado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Interoperabilidade</w:t>
            </w:r>
          </w:p>
        </w:tc>
        <w:tc>
          <w:p>
            <w:pPr>
              <w:jc w:val="left"/>
            </w:pPr>
            <w:r>
              <w:t xml:space="preserve">Cada órgão publica em formatos próprios</w:t>
            </w:r>
          </w:p>
        </w:tc>
        <w:tc>
          <w:p>
            <w:pPr>
              <w:jc w:val="left"/>
            </w:pPr>
            <w:r>
              <w:t xml:space="preserve">Padrão único (DATEX II, mobilityDCAT‑ap) garante compreensão universal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Precificação</w:t>
            </w:r>
          </w:p>
        </w:tc>
        <w:tc>
          <w:p>
            <w:pPr>
              <w:jc w:val="left"/>
            </w:pPr>
            <w:r>
              <w:t xml:space="preserve">Gratuito ou não aplicável</w:t>
            </w:r>
          </w:p>
        </w:tc>
        <w:tc>
          <w:p>
            <w:pPr>
              <w:jc w:val="left"/>
            </w:pPr>
            <w:r>
              <w:t xml:space="preserve">Modelos flexíveis: gratuito governamental, comercial, pay‑as‑you‑go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Auditoria</w:t>
            </w:r>
          </w:p>
        </w:tc>
        <w:tc>
          <w:p>
            <w:pPr>
              <w:jc w:val="left"/>
            </w:pPr>
            <w:r>
              <w:t xml:space="preserve">Inexistente ou manual</w:t>
            </w:r>
          </w:p>
        </w:tc>
        <w:tc>
          <w:p>
            <w:pPr>
              <w:jc w:val="left"/>
            </w:pPr>
            <w:r>
              <w:t xml:space="preserve">Registro imutável na </w:t>
            </w:r>
            <w:r>
              <w:rPr>
                <w:i/>
                <w:iCs/>
              </w:rPr>
              <w:t xml:space="preserve">Clearing House</w:t>
            </w:r>
            <w:r>
              <w:t xml:space="preserve"> prova quem recebeu o quê e quando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Produtos derivados</w:t>
            </w:r>
          </w:p>
        </w:tc>
        <w:tc>
          <w:p>
            <w:pPr>
              <w:jc w:val="left"/>
            </w:pPr>
            <w:r>
              <w:t xml:space="preserve">Dependem de esforço ad hoc do consumidor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Data Apps</w:t>
            </w:r>
            <w:r>
              <w:t xml:space="preserve"> homologados geram valor sem expor dados brutos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A RNDT não substitui portais como </w:t>
      </w:r>
      <w:r>
        <w:rPr>
          <w:rFonts w:ascii="Courier New" w:cs="Courier New" w:eastAsia="Courier New" w:hAnsi="Courier New"/>
          <w:shd w:fill="F1F5F9" w:color="auto" w:val="clear"/>
        </w:rPr>
        <w:t xml:space="preserve">dados.gov.br</w:t>
      </w:r>
      <w:r>
        <w:t xml:space="preserve"> — </w:t>
      </w:r>
      <w:r>
        <w:rPr>
          <w:b/>
          <w:bCs/>
        </w:rPr>
        <w:t xml:space="preserve">complementa‑os com uma camada de governança, confiança e geração de valor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rPr>
          <w:b/>
          <w:bCs/>
        </w:rPr>
        <w:t xml:space="preserve">3. DELIMITAÇÃO DO ESCOPO DO MVP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3.1 O que está INCLUSO</w:t>
      </w:r>
    </w:p>
    <w:p>
      <w:pPr>
        <w:spacing w:after="120"/>
        <w:jc w:val="left"/>
      </w:pPr>
      <w:r>
        <w:t xml:space="preserve">O MVP será executado por </w:t>
      </w:r>
      <w:r>
        <w:rPr>
          <w:b/>
          <w:bCs/>
        </w:rPr>
        <w:t xml:space="preserve">cinco squads paralelos</w:t>
      </w:r>
      <w:r>
        <w:t xml:space="preserve">, com o seguinte fluxo: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Semana 1 (Dias 1–7): Imersão e Estudo</w:t>
      </w:r>
      <w:r>
        <w:t xml:space="preserve"> – cada squad dedica‑se ao conhecimento das ferramentas (EDC, Keycloak, CKAN, Clearing House, Superset, Camel) e à experimentação local.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Dias 8–10: Definição de Interface</w:t>
      </w:r>
      <w:r>
        <w:t xml:space="preserve"> – com base na experiência prática, os tech leads consolidam o </w:t>
      </w:r>
      <w:r>
        <w:rPr>
          <w:i/>
          <w:iCs/>
        </w:rPr>
        <w:t xml:space="preserve">Interface Definition Document</w:t>
      </w:r>
      <w:r>
        <w:t xml:space="preserve"> (IDD) que servirá de contrato entre os squads.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Dias 11–25: Desenvolvimento Paralelo</w:t>
      </w:r>
      <w:r>
        <w:t xml:space="preserve"> – cada squad executa seu projeto conforme o IDD.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Dias 26–30: Integração e Go‑Live</w:t>
      </w:r>
      <w:r>
        <w:t xml:space="preserve"> – todos os componentes são reunidos, testados em conjunto e apresentados no evento de lançamento.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Os projetos e suas responsabilidades são: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11"/>
        <w:gridCol w:w="2013"/>
        <w:gridCol w:w="4428"/>
        <w:gridCol w:w="120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**Projeto**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**Squad**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**Entregável Principal**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**Prazo**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INFRA‑CORE</w:t>
            </w:r>
          </w:p>
        </w:tc>
        <w:tc>
          <w:p>
            <w:pPr>
              <w:jc w:val="left"/>
            </w:pPr>
            <w:r>
              <w:t xml:space="preserve">Infra &amp; Core</w:t>
            </w:r>
          </w:p>
        </w:tc>
        <w:tc>
          <w:p>
            <w:pPr>
              <w:jc w:val="left"/>
            </w:pPr>
            <w:r>
              <w:t xml:space="preserve">Ambiente Kubernetes com Keycloak (DAPS), CKAN, Clearing House e Superset operacionais</w:t>
            </w:r>
          </w:p>
        </w:tc>
        <w:tc>
          <w:p>
            <w:pPr>
              <w:jc w:val="left"/>
            </w:pPr>
            <w:r>
              <w:t xml:space="preserve">Dia 25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DATA‑PROV</w:t>
            </w:r>
          </w:p>
        </w:tc>
        <w:tc>
          <w:p>
            <w:pPr>
              <w:jc w:val="left"/>
            </w:pPr>
            <w:r>
              <w:t xml:space="preserve">Data &amp; Provider</w:t>
            </w:r>
          </w:p>
        </w:tc>
        <w:tc>
          <w:p>
            <w:pPr>
              <w:jc w:val="left"/>
            </w:pPr>
            <w:r>
              <w:t xml:space="preserve">Pipelines PRF Sinistros e DNIT Pavimentação transformados para DATEX II, com 2 </w:t>
            </w:r>
            <w:r>
              <w:rPr>
                <w:i/>
                <w:iCs/>
              </w:rPr>
              <w:t xml:space="preserve">assets</w:t>
            </w:r>
            <w:r>
              <w:t xml:space="preserve"> cadastrados no EDC Provedor</w:t>
            </w:r>
          </w:p>
        </w:tc>
        <w:tc>
          <w:p>
            <w:pPr>
              <w:jc w:val="left"/>
            </w:pPr>
            <w:r>
              <w:t xml:space="preserve">Dia 25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CONS‑UFPE</w:t>
            </w:r>
          </w:p>
        </w:tc>
        <w:tc>
          <w:p>
            <w:pPr>
              <w:jc w:val="left"/>
            </w:pPr>
            <w:r>
              <w:t xml:space="preserve">Consumer (UFPE)</w:t>
            </w:r>
          </w:p>
        </w:tc>
        <w:tc>
          <w:p>
            <w:pPr>
              <w:jc w:val="left"/>
            </w:pPr>
            <w:r>
              <w:t xml:space="preserve">Conector EDC consumidor da UFPE operacional, pipeline de ingestão e coleção Postman validada</w:t>
            </w:r>
          </w:p>
        </w:tc>
        <w:tc>
          <w:p>
            <w:pPr>
              <w:jc w:val="left"/>
            </w:pPr>
            <w:r>
              <w:t xml:space="preserve">Dia 25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GOV‑PORTAL</w:t>
            </w:r>
          </w:p>
        </w:tc>
        <w:tc>
          <w:p>
            <w:pPr>
              <w:jc w:val="left"/>
            </w:pPr>
            <w:r>
              <w:t xml:space="preserve">Gov, Portal &amp; Playbook</w:t>
            </w:r>
          </w:p>
        </w:tc>
        <w:tc>
          <w:p>
            <w:pPr>
              <w:jc w:val="left"/>
            </w:pPr>
            <w:r>
              <w:t xml:space="preserve">Portal RNDT com tema CKAN, dashboards Superset, templates ODRL e </w:t>
            </w:r>
            <w:r>
              <w:rPr>
                <w:i/>
                <w:iCs/>
              </w:rPr>
              <w:t xml:space="preserve">playbook</w:t>
            </w:r>
            <w:r>
              <w:t xml:space="preserve"> de </w:t>
            </w:r>
            <w:r>
              <w:rPr>
                <w:i/>
                <w:iCs/>
              </w:rPr>
              <w:t xml:space="preserve">onboarding</w:t>
            </w:r>
          </w:p>
        </w:tc>
        <w:tc>
          <w:p>
            <w:pPr>
              <w:jc w:val="left"/>
            </w:pPr>
            <w:r>
              <w:t xml:space="preserve">Dia 30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INTEG‑GOLIVE</w:t>
            </w:r>
          </w:p>
        </w:tc>
        <w:tc>
          <w:p>
            <w:pPr>
              <w:jc w:val="left"/>
            </w:pPr>
            <w:r>
              <w:t xml:space="preserve">Integração &amp; Go‑Live</w:t>
            </w:r>
          </w:p>
        </w:tc>
        <w:tc>
          <w:p>
            <w:pPr>
              <w:jc w:val="left"/>
            </w:pPr>
            <w:r>
              <w:t xml:space="preserve">Testes E2E validados, simulação de 3º nó e evento de demonstração ao vivo</w:t>
            </w:r>
          </w:p>
        </w:tc>
        <w:tc>
          <w:p>
            <w:pPr>
              <w:jc w:val="left"/>
            </w:pPr>
            <w:r>
              <w:t xml:space="preserve">Dia 30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3.2 O que está EXCLUÍDO (Pós‑MVP)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91"/>
        <w:gridCol w:w="3935"/>
        <w:gridCol w:w="22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**Item**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**Justificativa**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**Previsão de Inclusão**</w:t>
            </w:r>
          </w:p>
        </w:tc>
      </w:tr>
      <w:tr>
        <w:tc>
          <w:p>
            <w:pPr>
              <w:jc w:val="left"/>
            </w:pPr>
            <w:r>
              <w:t xml:space="preserve">Dados da ANTT e SENATRAN</w:t>
            </w:r>
          </w:p>
        </w:tc>
        <w:tc>
          <w:p>
            <w:pPr>
              <w:jc w:val="left"/>
            </w:pPr>
            <w:r>
              <w:t xml:space="preserve">Foco nos primeiros provedores (PRF + DNIT) para validar o modelo</w:t>
            </w:r>
          </w:p>
        </w:tc>
        <w:tc>
          <w:p>
            <w:pPr>
              <w:jc w:val="left"/>
            </w:pPr>
            <w:r>
              <w:t xml:space="preserve">Fase 2 (Dias 31–60)</w:t>
            </w:r>
          </w:p>
        </w:tc>
      </w:tr>
      <w:tr>
        <w:tc>
          <w:p>
            <w:pPr>
              <w:jc w:val="left"/>
            </w:pPr>
            <w:r>
              <w:rPr>
                <w:i/>
                <w:iCs/>
              </w:rPr>
              <w:t xml:space="preserve">App Store</w:t>
            </w:r>
            <w:r>
              <w:t xml:space="preserve"> com </w:t>
            </w:r>
            <w:r>
              <w:rPr>
                <w:i/>
                <w:iCs/>
              </w:rPr>
              <w:t xml:space="preserve">Data Apps</w:t>
            </w:r>
            <w:r>
              <w:t xml:space="preserve"> em produção</w:t>
            </w:r>
          </w:p>
        </w:tc>
        <w:tc>
          <w:p>
            <w:pPr>
              <w:jc w:val="left"/>
            </w:pPr>
            <w:r>
              <w:t xml:space="preserve">Conceito validado conceitualmente; exige maturidade dos conectores</w:t>
            </w:r>
          </w:p>
        </w:tc>
        <w:tc>
          <w:p>
            <w:pPr>
              <w:jc w:val="left"/>
            </w:pPr>
            <w:r>
              <w:t xml:space="preserve">Fase 3 (Dias 61–90)</w:t>
            </w:r>
          </w:p>
        </w:tc>
      </w:tr>
      <w:tr>
        <w:tc>
          <w:p>
            <w:pPr>
              <w:jc w:val="left"/>
            </w:pPr>
            <w:r>
              <w:t xml:space="preserve">Credenciais Verificáveis (VCs) completas</w:t>
            </w:r>
          </w:p>
        </w:tc>
        <w:tc>
          <w:p>
            <w:pPr>
              <w:jc w:val="left"/>
            </w:pPr>
            <w:r>
              <w:t xml:space="preserve">ICP‑Brasil atende ao MVP com validade jurídica; VCs evoluem a arquitetura</w:t>
            </w:r>
          </w:p>
        </w:tc>
        <w:tc>
          <w:p>
            <w:pPr>
              <w:jc w:val="left"/>
            </w:pPr>
            <w:r>
              <w:t xml:space="preserve">6–12 meses</w:t>
            </w:r>
          </w:p>
        </w:tc>
      </w:tr>
      <w:tr>
        <w:tc>
          <w:p>
            <w:pPr>
              <w:jc w:val="left"/>
            </w:pPr>
            <w:r>
              <w:rPr>
                <w:i/>
                <w:iCs/>
              </w:rPr>
              <w:t xml:space="preserve">Remote Attestation</w:t>
            </w:r>
            <w:r>
              <w:t xml:space="preserve"> (TPM 2.0)</w:t>
            </w:r>
          </w:p>
        </w:tc>
        <w:tc>
          <w:p>
            <w:pPr>
              <w:jc w:val="left"/>
            </w:pPr>
            <w:r>
              <w:t xml:space="preserve">Nível de segurança máximo; não crítico para validação do modelo de negócio</w:t>
            </w:r>
          </w:p>
        </w:tc>
        <w:tc>
          <w:p>
            <w:pPr>
              <w:jc w:val="left"/>
            </w:pPr>
            <w:r>
              <w:t xml:space="preserve">6–12 meses</w:t>
            </w:r>
          </w:p>
        </w:tc>
      </w:tr>
      <w:tr>
        <w:tc>
          <w:p>
            <w:pPr>
              <w:jc w:val="left"/>
            </w:pPr>
            <w:r>
              <w:t xml:space="preserve">Integração internacional (Gaia‑X/EMDS)</w:t>
            </w:r>
          </w:p>
        </w:tc>
        <w:tc>
          <w:p>
            <w:pPr>
              <w:jc w:val="left"/>
            </w:pPr>
            <w:r>
              <w:t xml:space="preserve">Requer estabilidade da rede nacional primeiro</w:t>
            </w:r>
          </w:p>
        </w:tc>
        <w:tc>
          <w:p>
            <w:pPr>
              <w:jc w:val="left"/>
            </w:pPr>
            <w:r>
              <w:t xml:space="preserve">12–24 meses</w:t>
            </w:r>
          </w:p>
        </w:tc>
      </w:tr>
      <w:tr>
        <w:tc>
          <w:p>
            <w:pPr>
              <w:jc w:val="left"/>
            </w:pPr>
            <w:r>
              <w:t xml:space="preserve">Sistemas de segurança física (CFTV, sensores de pista)</w:t>
            </w:r>
          </w:p>
        </w:tc>
        <w:tc>
          <w:p>
            <w:pPr>
              <w:jc w:val="left"/>
            </w:pPr>
            <w:r>
              <w:t xml:space="preserve">Fora do escopo de </w:t>
            </w:r>
            <w:r>
              <w:rPr>
                <w:i/>
                <w:iCs/>
              </w:rPr>
              <w:t xml:space="preserve">Data Space</w:t>
            </w:r>
            <w:r>
              <w:t xml:space="preserve">; são dados de entrada</w:t>
            </w:r>
          </w:p>
        </w:tc>
        <w:tc>
          <w:p>
            <w:pPr>
              <w:jc w:val="left"/>
            </w:pPr>
            <w:r>
              <w:t xml:space="preserve">Não aplicável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rPr>
          <w:b/>
          <w:bCs/>
        </w:rPr>
        <w:t xml:space="preserve">4. PRODUTOS E SERVIÇOS DO MVP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4.1 Produtos de Dados (*Assets*)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39"/>
        <w:gridCol w:w="1181"/>
        <w:gridCol w:w="3120"/>
        <w:gridCol w:w="31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**Asset**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**Provedor**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**Descrição**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**Política de Acesso**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asset‑prf‑sinistros‑2026</w:t>
            </w:r>
          </w:p>
        </w:tc>
        <w:tc>
          <w:p>
            <w:pPr>
              <w:jc w:val="left"/>
            </w:pPr>
            <w:r>
              <w:t xml:space="preserve">PRF</w:t>
            </w:r>
          </w:p>
        </w:tc>
        <w:tc>
          <w:p>
            <w:pPr>
              <w:jc w:val="left"/>
            </w:pPr>
            <w:r>
              <w:t xml:space="preserve">Dados geocodificados e corrigidos de acidentes em rodovias federais, formato DATEX II</w:t>
            </w:r>
          </w:p>
        </w:tc>
        <w:tc>
          <w:p>
            <w:pPr>
              <w:jc w:val="left"/>
            </w:pPr>
            <w:r>
              <w:t xml:space="preserve">Pública — uso estatístico e planejamento; proibição de reidentificação (LGPD)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asset‑dnit‑pavimentacao‑2026</w:t>
            </w:r>
          </w:p>
        </w:tc>
        <w:tc>
          <w:p>
            <w:pPr>
              <w:jc w:val="left"/>
            </w:pPr>
            <w:r>
              <w:t xml:space="preserve">DNIT</w:t>
            </w:r>
          </w:p>
        </w:tc>
        <w:tc>
          <w:p>
            <w:pPr>
              <w:jc w:val="left"/>
            </w:pPr>
            <w:r>
              <w:t xml:space="preserve">Condições de pavimentação rodoviária (ICM), formato DATEX II</w:t>
            </w:r>
          </w:p>
        </w:tc>
        <w:tc>
          <w:p>
            <w:pPr>
              <w:jc w:val="left"/>
            </w:pPr>
            <w:r>
              <w:t xml:space="preserve">Governamental gratuita; comercial mediante assinatura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4.2 Produtos de Visualização (Dashboards)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65"/>
        <w:gridCol w:w="2365"/>
        <w:gridCol w:w="1971"/>
        <w:gridCol w:w="265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**Dashboard**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**Fonte de Dados**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**Público‑Alvo**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**Valor Gerado**</w:t>
            </w:r>
          </w:p>
        </w:tc>
      </w:tr>
      <w:tr>
        <w:tc>
          <w:p>
            <w:pPr>
              <w:jc w:val="left"/>
            </w:pPr>
            <w:r>
              <w:rPr>
                <w:i/>
                <w:iCs/>
              </w:rPr>
              <w:t xml:space="preserve">“Saúde da RNDT”</w:t>
            </w:r>
          </w:p>
        </w:tc>
        <w:tc>
          <w:p>
            <w:pPr>
              <w:jc w:val="left"/>
            </w:pPr>
            <w:r>
              <w:t xml:space="preserve">Métricas dos conectores e contratos</w:t>
            </w:r>
          </w:p>
        </w:tc>
        <w:tc>
          <w:p>
            <w:pPr>
              <w:jc w:val="left"/>
            </w:pPr>
            <w:r>
              <w:t xml:space="preserve">Gestores do Ministério</w:t>
            </w:r>
          </w:p>
        </w:tc>
        <w:tc>
          <w:p>
            <w:pPr>
              <w:jc w:val="left"/>
            </w:pPr>
            <w:r>
              <w:t xml:space="preserve">Visão operacional da rede em tempo real</w:t>
            </w:r>
          </w:p>
        </w:tc>
      </w:tr>
      <w:tr>
        <w:tc>
          <w:p>
            <w:pPr>
              <w:jc w:val="left"/>
            </w:pPr>
            <w:r>
              <w:rPr>
                <w:i/>
                <w:iCs/>
              </w:rPr>
              <w:t xml:space="preserve">“Popularidade de Datasets”</w:t>
            </w:r>
          </w:p>
        </w:tc>
        <w:tc>
          <w:p>
            <w:pPr>
              <w:jc w:val="left"/>
            </w:pPr>
            <w:r>
              <w:t xml:space="preserve">Logs de busca e acesso do CKAN</w:t>
            </w:r>
          </w:p>
        </w:tc>
        <w:tc>
          <w:p>
            <w:pPr>
              <w:jc w:val="left"/>
            </w:pPr>
            <w:r>
              <w:t xml:space="preserve">Provedores de dados</w:t>
            </w:r>
          </w:p>
        </w:tc>
        <w:tc>
          <w:p>
            <w:pPr>
              <w:jc w:val="left"/>
            </w:pPr>
            <w:r>
              <w:t xml:space="preserve">Inteligência sobre demanda por dados</w:t>
            </w:r>
          </w:p>
        </w:tc>
      </w:tr>
      <w:tr>
        <w:tc>
          <w:p>
            <w:pPr>
              <w:jc w:val="left"/>
            </w:pPr>
            <w:r>
              <w:rPr>
                <w:i/>
                <w:iCs/>
              </w:rPr>
              <w:t xml:space="preserve">“Auditoria de Transferências”</w:t>
            </w:r>
          </w:p>
        </w:tc>
        <w:tc>
          <w:p>
            <w:pPr>
              <w:jc w:val="left"/>
            </w:pPr>
            <w:r>
              <w:t xml:space="preserve">Registros da </w:t>
            </w:r>
            <w:r>
              <w:rPr>
                <w:i/>
                <w:iCs/>
              </w:rPr>
              <w:t xml:space="preserve">Clearing House</w:t>
            </w:r>
          </w:p>
        </w:tc>
        <w:tc>
          <w:p>
            <w:pPr>
              <w:jc w:val="left"/>
            </w:pPr>
            <w:r>
              <w:t xml:space="preserve">Auditores e jurídico</w:t>
            </w:r>
          </w:p>
        </w:tc>
        <w:tc>
          <w:p>
            <w:pPr>
              <w:jc w:val="left"/>
            </w:pPr>
            <w:r>
              <w:t xml:space="preserve">Prova matemática de entregas e </w:t>
            </w:r>
            <w:r>
              <w:rPr>
                <w:i/>
                <w:iCs/>
              </w:rPr>
              <w:t xml:space="preserve">compliance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4.3 Serviço de *Onboarding*</w:t>
      </w:r>
    </w:p>
    <w:p>
      <w:pPr>
        <w:spacing w:after="120"/>
        <w:jc w:val="left"/>
      </w:pPr>
      <w:r>
        <w:t xml:space="preserve">O </w:t>
      </w:r>
      <w:r>
        <w:rPr>
          <w:b/>
          <w:bCs/>
        </w:rPr>
        <w:t xml:space="preserve">Playbook de Onboarding</w:t>
      </w:r>
      <w:r>
        <w:t xml:space="preserve"> (entregável do GOV‑PORTAL) permitirá que novos órgãos se conectem à RNDT em </w:t>
      </w:r>
      <w:r>
        <w:rPr>
          <w:b/>
          <w:bCs/>
        </w:rPr>
        <w:t xml:space="preserve">menos de 4 horas</w:t>
      </w:r>
      <w:r>
        <w:t xml:space="preserve">, seguindo 4 passos documentados: Identidade → Infraestrutura → Configuração → Integração.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rPr>
          <w:b/>
          <w:bCs/>
        </w:rPr>
        <w:t xml:space="preserve">5. ARQUITETURA DE REFERÊNCIA DO MVP (IDS RAM 4.0)</w:t>
      </w:r>
    </w:p>
    <w:p>
      <w:pPr>
        <w:spacing w:after="120"/>
        <w:jc w:val="left"/>
      </w:pPr>
      <w:r>
        <w:t xml:space="preserve">A arquitetura segue as camadas do </w:t>
      </w:r>
      <w:r>
        <w:rPr>
          <w:i/>
          <w:iCs/>
        </w:rPr>
        <w:t xml:space="preserve">International Data Spaces Reference Architecture Model</w:t>
      </w:r>
      <w:r>
        <w:t xml:space="preserve"> 4.0, adaptada ao contexto brasileiro: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CAMADA DE GOVERNANÇA (Ministério dos Transportes)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Políticas, normas, precificação, homologação de participantes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COMPONENTES COMPARTILHADOS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┌─────────────┐ ┌─────────────┐ ┌─────────────┐ ┌──────────┐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Keycloak   │ │    CKAN     │ │   Clearing  │ │ Superset │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(DAPS)    │ │  (Broker)   │ │   House     │ │(BI/Gov)  │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└─────────────┘ └─────────────┘ └─────────────┘ └──────────┘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CONECTORES EDC (Provedores e Consumidores)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┌─────────────────┐    ┌─────────────────┐    ┌─────────────┐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PRF (Provedor)  │◄──►│  UFPE (Consum.) │    │ DNIT (Prov.)│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• Apache Camel  │    │ • PostGIS/BI    │    │ • Camel     │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• DATEX II      │    │ • Postman       │    │ • DATEX II  │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└─────────────────┘    └─────────────────┘    └─────────────┘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PADRÕES SEMÂNTICOS E PROTOCOLOS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DATEX II • mobilityDCAT‑ap • ODRL • JSON‑LD • DSP v0.8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Todos os componentes comunicam‑se via protocolos padronizados (DSP, OAuth2, mTLS) e utilizam certificados ICP‑Brasil para autenticação mútua.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rPr>
          <w:b/>
          <w:bCs/>
        </w:rPr>
        <w:t xml:space="preserve">6. CRONOGRAMA E MARCOS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39"/>
        <w:gridCol w:w="1003"/>
        <w:gridCol w:w="3176"/>
        <w:gridCol w:w="334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**Marco**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**Data**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**Entregáveis**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**Critério de Sucesso**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M0: Imersão e Estudo</w:t>
            </w:r>
          </w:p>
        </w:tc>
        <w:tc>
          <w:p>
            <w:pPr>
              <w:jc w:val="left"/>
            </w:pPr>
            <w:r>
              <w:t xml:space="preserve">Dias 1–7</w:t>
            </w:r>
          </w:p>
        </w:tc>
        <w:tc>
          <w:p>
            <w:pPr>
              <w:jc w:val="left"/>
            </w:pPr>
            <w:r>
              <w:t xml:space="preserve">Cada squad compreende as ferramentas; laboratórios locais funcionando</w:t>
            </w:r>
          </w:p>
        </w:tc>
        <w:tc>
          <w:p>
            <w:pPr>
              <w:jc w:val="left"/>
            </w:pPr>
            <w:r>
              <w:t xml:space="preserve">Todos os membros executam </w:t>
            </w:r>
            <w:r>
              <w:rPr>
                <w:i/>
                <w:iCs/>
              </w:rPr>
              <w:t xml:space="preserve">tutoriais</w:t>
            </w:r>
            <w:r>
              <w:t xml:space="preserve"> básicos das ferramentas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M1: IDD Baseline</w:t>
            </w:r>
          </w:p>
        </w:tc>
        <w:tc>
          <w:p>
            <w:pPr>
              <w:jc w:val="left"/>
            </w:pPr>
            <w:r>
              <w:t xml:space="preserve">Dia 10</w:t>
            </w:r>
          </w:p>
        </w:tc>
        <w:tc>
          <w:p>
            <w:pPr>
              <w:jc w:val="left"/>
            </w:pPr>
            <w:r>
              <w:t xml:space="preserve">Interface Definition Document v1.2 validado; mocks operacionais; Postman Collection 100%</w:t>
            </w:r>
          </w:p>
        </w:tc>
        <w:tc>
          <w:p>
            <w:pPr>
              <w:jc w:val="left"/>
            </w:pPr>
            <w:r>
              <w:t xml:space="preserve">Todos os squads executam testes contra mocks com sucesso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M2: Infraestrutura Core</w:t>
            </w:r>
          </w:p>
        </w:tc>
        <w:tc>
          <w:p>
            <w:pPr>
              <w:jc w:val="left"/>
            </w:pPr>
            <w:r>
              <w:t xml:space="preserve">Dia 25</w:t>
            </w:r>
          </w:p>
        </w:tc>
        <w:tc>
          <w:p>
            <w:pPr>
              <w:jc w:val="left"/>
            </w:pPr>
            <w:r>
              <w:t xml:space="preserve">Keycloak, CKAN, Clearing House e Superset implantados; certificados ICP‑Brasil ativos</w:t>
            </w:r>
          </w:p>
        </w:tc>
        <w:tc>
          <w:p>
            <w:pPr>
              <w:jc w:val="left"/>
            </w:pPr>
            <w:r>
              <w:t xml:space="preserve">Squad de dados e consumidor conseguem autenticar e catalogar </w:t>
            </w:r>
            <w:r>
              <w:rPr>
                <w:i/>
                <w:iCs/>
              </w:rPr>
              <w:t xml:space="preserve">assets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M3: Dados e Consumo</w:t>
            </w:r>
          </w:p>
        </w:tc>
        <w:tc>
          <w:p>
            <w:pPr>
              <w:jc w:val="left"/>
            </w:pPr>
            <w:r>
              <w:t xml:space="preserve">Dia 25</w:t>
            </w:r>
          </w:p>
        </w:tc>
        <w:tc>
          <w:p>
            <w:pPr>
              <w:jc w:val="left"/>
            </w:pPr>
            <w:r>
              <w:t xml:space="preserve">2 </w:t>
            </w:r>
            <w:r>
              <w:rPr>
                <w:i/>
                <w:iCs/>
              </w:rPr>
              <w:t xml:space="preserve">assets</w:t>
            </w:r>
            <w:r>
              <w:t xml:space="preserve"> cadastrados; conector UFPE operacional; pipeline de ingestão validado</w:t>
            </w:r>
          </w:p>
        </w:tc>
        <w:tc>
          <w:p>
            <w:pPr>
              <w:jc w:val="left"/>
            </w:pPr>
            <w:r>
              <w:t xml:space="preserve">Transferência de teste entre PRF/DNIT e UFPE com sucesso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M4: Portal e Governança</w:t>
            </w:r>
          </w:p>
        </w:tc>
        <w:tc>
          <w:p>
            <w:pPr>
              <w:jc w:val="left"/>
            </w:pPr>
            <w:r>
              <w:t xml:space="preserve">Dia 28</w:t>
            </w:r>
          </w:p>
        </w:tc>
        <w:tc>
          <w:p>
            <w:pPr>
              <w:jc w:val="left"/>
            </w:pPr>
            <w:r>
              <w:t xml:space="preserve">Portal RNDT acessível; dashboards operacionais; </w:t>
            </w:r>
            <w:r>
              <w:rPr>
                <w:i/>
                <w:iCs/>
              </w:rPr>
              <w:t xml:space="preserve">playbook</w:t>
            </w:r>
            <w:r>
              <w:t xml:space="preserve"> publicado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Stakeholders</w:t>
            </w:r>
            <w:r>
              <w:t xml:space="preserve"> navegam no portal e solicitam acesso a dados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M5: Go‑Live</w:t>
            </w:r>
          </w:p>
        </w:tc>
        <w:tc>
          <w:p>
            <w:pPr>
              <w:jc w:val="left"/>
            </w:pPr>
            <w:r>
              <w:t xml:space="preserve">Dia 30</w:t>
            </w:r>
          </w:p>
        </w:tc>
        <w:tc>
          <w:p>
            <w:pPr>
              <w:jc w:val="left"/>
            </w:pPr>
            <w:r>
              <w:t xml:space="preserve">Testes E2E validados; demonstração ao vivo; documentação completa</w:t>
            </w:r>
          </w:p>
        </w:tc>
        <w:tc>
          <w:p>
            <w:pPr>
              <w:jc w:val="left"/>
            </w:pPr>
            <w:r>
              <w:t xml:space="preserve">Demonstração do ciclo DSP completo (descoberta → negociação → transferência → auditoria)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rPr>
          <w:b/>
          <w:bCs/>
        </w:rPr>
        <w:t xml:space="preserve">7. GOVERNANÇA E PRECIFICAÇÃO DO MVP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7.1 Tipos de Acesso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80"/>
        <w:gridCol w:w="3847"/>
        <w:gridCol w:w="33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**Tipo**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**Aplicabilidade**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**Modelo**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Público</w:t>
            </w:r>
          </w:p>
        </w:tc>
        <w:tc>
          <w:p>
            <w:pPr>
              <w:jc w:val="left"/>
            </w:pPr>
            <w:r>
              <w:t xml:space="preserve">Pesquisa acadêmica, jornalismo, cidadania</w:t>
            </w:r>
          </w:p>
        </w:tc>
        <w:tc>
          <w:p>
            <w:pPr>
              <w:jc w:val="left"/>
            </w:pPr>
            <w:r>
              <w:t xml:space="preserve">Gratuito, sem registro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Governamental</w:t>
            </w:r>
          </w:p>
        </w:tc>
        <w:tc>
          <w:p>
            <w:pPr>
              <w:jc w:val="left"/>
            </w:pPr>
            <w:r>
              <w:t xml:space="preserve">Órgãos públicos federais, estaduais, municipais</w:t>
            </w:r>
          </w:p>
        </w:tc>
        <w:tc>
          <w:p>
            <w:pPr>
              <w:jc w:val="left"/>
            </w:pPr>
            <w:r>
              <w:t xml:space="preserve">Gratuito, com contrato ODRL de finalidade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Comercial</w:t>
            </w:r>
          </w:p>
        </w:tc>
        <w:tc>
          <w:p>
            <w:pPr>
              <w:jc w:val="left"/>
            </w:pPr>
            <w:r>
              <w:t xml:space="preserve">Concessionárias, seguradoras, startups de mobilidade</w:t>
            </w:r>
          </w:p>
        </w:tc>
        <w:tc>
          <w:p>
            <w:pPr>
              <w:jc w:val="left"/>
            </w:pPr>
            <w:r>
              <w:t xml:space="preserve">Assinatura mensal ou </w:t>
            </w:r>
            <w:r>
              <w:rPr>
                <w:i/>
                <w:iCs/>
              </w:rPr>
              <w:t xml:space="preserve">pay‑as‑you‑go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Restrito</w:t>
            </w:r>
          </w:p>
        </w:tc>
        <w:tc>
          <w:p>
            <w:pPr>
              <w:jc w:val="left"/>
            </w:pPr>
            <w:r>
              <w:t xml:space="preserve">Dados sensíveis (sinistros com identificação)</w:t>
            </w:r>
          </w:p>
        </w:tc>
        <w:tc>
          <w:p>
            <w:pPr>
              <w:jc w:val="left"/>
            </w:pPr>
            <w:r>
              <w:t xml:space="preserve">Credenciamento + </w:t>
            </w:r>
            <w:r>
              <w:rPr>
                <w:i/>
                <w:iCs/>
              </w:rPr>
              <w:t xml:space="preserve">security clearance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7.2 Precificação de Referência (MVP)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69"/>
        <w:gridCol w:w="3269"/>
        <w:gridCol w:w="282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**Asset / Serviço**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**Modalidade**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**Valor**</w:t>
            </w:r>
          </w:p>
        </w:tc>
      </w:tr>
      <w:tr>
        <w:tc>
          <w:p>
            <w:pPr>
              <w:jc w:val="left"/>
            </w:pPr>
            <w:r>
              <w:t xml:space="preserve">Sinistros PRF (anônimos)</w:t>
            </w:r>
          </w:p>
        </w:tc>
        <w:tc>
          <w:p>
            <w:pPr>
              <w:jc w:val="left"/>
            </w:pPr>
            <w:r>
              <w:t xml:space="preserve">Gratuito governamental</w:t>
            </w:r>
          </w:p>
        </w:tc>
        <w:tc>
          <w:p>
            <w:pPr>
              <w:jc w:val="left"/>
            </w:pPr>
            <w:r>
              <w:t xml:space="preserve">R$ 0,00</w:t>
            </w:r>
          </w:p>
        </w:tc>
      </w:tr>
      <w:tr>
        <w:tc>
          <w:p>
            <w:pPr>
              <w:jc w:val="left"/>
            </w:pPr>
            <w:r>
              <w:t xml:space="preserve">Pavimentação DNIT</w:t>
            </w:r>
          </w:p>
        </w:tc>
        <w:tc>
          <w:p>
            <w:pPr>
              <w:jc w:val="left"/>
            </w:pPr>
            <w:r>
              <w:t xml:space="preserve">Assinatura mensal (comercial)</w:t>
            </w:r>
          </w:p>
        </w:tc>
        <w:tc>
          <w:p>
            <w:pPr>
              <w:jc w:val="left"/>
            </w:pPr>
            <w:r>
              <w:t xml:space="preserve">R$ 5.000,00/mês</w:t>
            </w:r>
          </w:p>
        </w:tc>
      </w:tr>
      <w:tr>
        <w:tc>
          <w:p>
            <w:pPr>
              <w:jc w:val="left"/>
            </w:pPr>
            <w:r>
              <w:t xml:space="preserve">Telemetria de carga (futuro)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Pay‑as‑you‑go</w:t>
            </w:r>
          </w:p>
        </w:tc>
        <w:tc>
          <w:p>
            <w:pPr>
              <w:jc w:val="left"/>
            </w:pPr>
            <w:r>
              <w:t xml:space="preserve">R$ 0,10/1.000 eventos</w:t>
            </w:r>
          </w:p>
        </w:tc>
      </w:tr>
      <w:tr>
        <w:tc>
          <w:p>
            <w:pPr>
              <w:jc w:val="left"/>
            </w:pPr>
            <w:r>
              <w:t xml:space="preserve">Execução de </w:t>
            </w:r>
            <w:r>
              <w:rPr>
                <w:i/>
                <w:iCs/>
              </w:rPr>
              <w:t xml:space="preserve">Data App</w:t>
            </w:r>
          </w:p>
        </w:tc>
        <w:tc>
          <w:p>
            <w:pPr>
              <w:jc w:val="left"/>
            </w:pPr>
            <w:r>
              <w:t xml:space="preserve">Por processamento</w:t>
            </w:r>
          </w:p>
        </w:tc>
        <w:tc>
          <w:p>
            <w:pPr>
              <w:jc w:val="left"/>
            </w:pPr>
            <w:r>
              <w:t xml:space="preserve">R$ 500,00/execução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rPr>
          <w:b/>
          <w:bCs/>
        </w:rPr>
        <w:t xml:space="preserve">8. INDICADORES DE SUCESSO (KPIs)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44"/>
        <w:gridCol w:w="2964"/>
        <w:gridCol w:w="265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**Indicador**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**Meta MVP (30 dias)**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**Meta 12 meses**</w:t>
            </w:r>
          </w:p>
        </w:tc>
      </w:tr>
      <w:tr>
        <w:tc>
          <w:p>
            <w:pPr>
              <w:jc w:val="left"/>
            </w:pPr>
            <w:r>
              <w:t xml:space="preserve">Provedores de dados ativos</w:t>
            </w:r>
          </w:p>
        </w:tc>
        <w:tc>
          <w:p>
            <w:pPr>
              <w:jc w:val="left"/>
            </w:pPr>
            <w:r>
              <w:t xml:space="preserve">2 (PRF + DNIT)</w:t>
            </w:r>
          </w:p>
        </w:tc>
        <w:tc>
          <w:p>
            <w:pPr>
              <w:jc w:val="left"/>
            </w:pPr>
            <w:r>
              <w:t xml:space="preserve">10+</w:t>
            </w:r>
          </w:p>
        </w:tc>
      </w:tr>
      <w:tr>
        <w:tc>
          <w:p>
            <w:pPr>
              <w:jc w:val="left"/>
            </w:pPr>
            <w:r>
              <w:t xml:space="preserve">Consumidores conectados</w:t>
            </w:r>
          </w:p>
        </w:tc>
        <w:tc>
          <w:p>
            <w:pPr>
              <w:jc w:val="left"/>
            </w:pPr>
            <w:r>
              <w:t xml:space="preserve">1 (UFPE)</w:t>
            </w:r>
          </w:p>
        </w:tc>
        <w:tc>
          <w:p>
            <w:pPr>
              <w:jc w:val="left"/>
            </w:pPr>
            <w:r>
              <w:t xml:space="preserve">50+</w:t>
            </w:r>
          </w:p>
        </w:tc>
      </w:tr>
      <w:tr>
        <w:tc>
          <w:p>
            <w:pPr>
              <w:jc w:val="left"/>
            </w:pPr>
            <w:r>
              <w:rPr>
                <w:i/>
                <w:iCs/>
              </w:rPr>
              <w:t xml:space="preserve">Assets</w:t>
            </w:r>
            <w:r>
              <w:t xml:space="preserve"> catalogados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100+</w:t>
            </w:r>
          </w:p>
        </w:tc>
      </w:tr>
      <w:tr>
        <w:tc>
          <w:p>
            <w:pPr>
              <w:jc w:val="left"/>
            </w:pPr>
            <w:r>
              <w:t xml:space="preserve">Contratos ODRL negociados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1.000+</w:t>
            </w:r>
          </w:p>
        </w:tc>
      </w:tr>
      <w:tr>
        <w:tc>
          <w:p>
            <w:pPr>
              <w:jc w:val="left"/>
            </w:pPr>
            <w:r>
              <w:t xml:space="preserve">Transferências de dados executadas</w:t>
            </w:r>
          </w:p>
        </w:tc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t xml:space="preserve">10.000+</w:t>
            </w:r>
          </w:p>
        </w:tc>
      </w:tr>
      <w:tr>
        <w:tc>
          <w:p>
            <w:pPr>
              <w:jc w:val="left"/>
            </w:pPr>
            <w:r>
              <w:t xml:space="preserve">Tempo médio de </w:t>
            </w:r>
            <w:r>
              <w:rPr>
                <w:i/>
                <w:iCs/>
              </w:rPr>
              <w:t xml:space="preserve">onboarding</w:t>
            </w:r>
          </w:p>
        </w:tc>
        <w:tc>
          <w:p>
            <w:pPr>
              <w:jc w:val="left"/>
            </w:pPr>
            <w:r>
              <w:t xml:space="preserve">&lt; 4 horas</w:t>
            </w:r>
          </w:p>
        </w:tc>
        <w:tc>
          <w:p>
            <w:pPr>
              <w:jc w:val="left"/>
            </w:pPr>
            <w:r>
              <w:t xml:space="preserve">&lt; 1 dia útil</w:t>
            </w:r>
          </w:p>
        </w:tc>
      </w:tr>
      <w:tr>
        <w:tc>
          <w:p>
            <w:pPr>
              <w:jc w:val="left"/>
            </w:pPr>
            <w:r>
              <w:t xml:space="preserve">Disponibilidade do sistema</w:t>
            </w:r>
          </w:p>
        </w:tc>
        <w:tc>
          <w:p>
            <w:pPr>
              <w:jc w:val="left"/>
            </w:pPr>
            <w:r>
              <w:t xml:space="preserve">99,5%</w:t>
            </w:r>
          </w:p>
        </w:tc>
        <w:tc>
          <w:p>
            <w:pPr>
              <w:jc w:val="left"/>
            </w:pPr>
            <w:r>
              <w:t xml:space="preserve">99,9%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rPr>
          <w:b/>
          <w:bCs/>
        </w:rPr>
        <w:t xml:space="preserve">9. RISCOS E MITIGAÇÕES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27"/>
        <w:gridCol w:w="1591"/>
        <w:gridCol w:w="1310"/>
        <w:gridCol w:w="393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**Risco**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**Probabilidade**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**Impacto**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**Mitigação**</w:t>
            </w:r>
          </w:p>
        </w:tc>
      </w:tr>
      <w:tr>
        <w:tc>
          <w:p>
            <w:pPr>
              <w:jc w:val="left"/>
            </w:pPr>
            <w:r>
              <w:t xml:space="preserve">Resistência institucional à troca de dados</w:t>
            </w:r>
          </w:p>
        </w:tc>
        <w:tc>
          <w:p>
            <w:pPr>
              <w:jc w:val="left"/>
            </w:pPr>
            <w:r>
              <w:t xml:space="preserve">Alta</w:t>
            </w:r>
          </w:p>
        </w:tc>
        <w:tc>
          <w:p>
            <w:pPr>
              <w:jc w:val="left"/>
            </w:pPr>
            <w:r>
              <w:t xml:space="preserve">Alto</w:t>
            </w:r>
          </w:p>
        </w:tc>
        <w:tc>
          <w:p>
            <w:pPr>
              <w:jc w:val="left"/>
            </w:pPr>
            <w:r>
              <w:t xml:space="preserve">Demonstração de valor via dashboards; enquadramento como parceria estratégica, não perda de controle</w:t>
            </w:r>
          </w:p>
        </w:tc>
      </w:tr>
      <w:tr>
        <w:tc>
          <w:p>
            <w:pPr>
              <w:jc w:val="left"/>
            </w:pPr>
            <w:r>
              <w:t xml:space="preserve">Complexidade de integração com legados</w:t>
            </w:r>
          </w:p>
        </w:tc>
        <w:tc>
          <w:p>
            <w:pPr>
              <w:jc w:val="left"/>
            </w:pPr>
            <w:r>
              <w:t xml:space="preserve">Alta</w:t>
            </w:r>
          </w:p>
        </w:tc>
        <w:tc>
          <w:p>
            <w:pPr>
              <w:jc w:val="left"/>
            </w:pPr>
            <w:r>
              <w:t xml:space="preserve">Médio</w:t>
            </w:r>
          </w:p>
        </w:tc>
        <w:tc>
          <w:p>
            <w:pPr>
              <w:jc w:val="left"/>
            </w:pPr>
            <w:r>
              <w:t xml:space="preserve">Apache Camel como camada de abstração; equipe de integração dedicada; mocks para desenvolvimento paralelo</w:t>
            </w:r>
          </w:p>
        </w:tc>
      </w:tr>
      <w:tr>
        <w:tc>
          <w:p>
            <w:pPr>
              <w:jc w:val="left"/>
            </w:pPr>
            <w:r>
              <w:t xml:space="preserve">Indisponibilidade de certificados ICP‑Brasil</w:t>
            </w:r>
          </w:p>
        </w:tc>
        <w:tc>
          <w:p>
            <w:pPr>
              <w:jc w:val="left"/>
            </w:pPr>
            <w:r>
              <w:t xml:space="preserve">Média</w:t>
            </w:r>
          </w:p>
        </w:tc>
        <w:tc>
          <w:p>
            <w:pPr>
              <w:jc w:val="left"/>
            </w:pPr>
            <w:r>
              <w:t xml:space="preserve">Alto</w:t>
            </w:r>
          </w:p>
        </w:tc>
        <w:tc>
          <w:p>
            <w:pPr>
              <w:jc w:val="left"/>
            </w:pPr>
            <w:r>
              <w:t xml:space="preserve">Processo de aquisição antecipado; certificados de teste para desenvolvimento</w:t>
            </w:r>
          </w:p>
        </w:tc>
      </w:tr>
      <w:tr>
        <w:tc>
          <w:p>
            <w:pPr>
              <w:jc w:val="left"/>
            </w:pPr>
            <w:r>
              <w:t xml:space="preserve">Vazamento de dados pessoais (LGPD)</w:t>
            </w:r>
          </w:p>
        </w:tc>
        <w:tc>
          <w:p>
            <w:pPr>
              <w:jc w:val="left"/>
            </w:pPr>
            <w:r>
              <w:t xml:space="preserve">Baixa</w:t>
            </w:r>
          </w:p>
        </w:tc>
        <w:tc>
          <w:p>
            <w:pPr>
              <w:jc w:val="left"/>
            </w:pPr>
            <w:r>
              <w:t xml:space="preserve">Crítico</w:t>
            </w:r>
          </w:p>
        </w:tc>
        <w:tc>
          <w:p>
            <w:pPr>
              <w:jc w:val="left"/>
            </w:pPr>
            <w:r>
              <w:t xml:space="preserve">Políticas ODRL rigorosas; anonimização em pipeline; </w:t>
            </w:r>
            <w:r>
              <w:rPr>
                <w:i/>
                <w:iCs/>
              </w:rPr>
              <w:t xml:space="preserve">Data Apps</w:t>
            </w:r>
            <w:r>
              <w:t xml:space="preserve"> para processamento local</w:t>
            </w:r>
          </w:p>
        </w:tc>
      </w:tr>
      <w:tr>
        <w:tc>
          <w:p>
            <w:pPr>
              <w:jc w:val="left"/>
            </w:pPr>
            <w:r>
              <w:t xml:space="preserve">Escalabilidade do CKAN com muitos </w:t>
            </w:r>
            <w:r>
              <w:rPr>
                <w:i/>
                <w:iCs/>
              </w:rPr>
              <w:t xml:space="preserve">assets</w:t>
            </w:r>
          </w:p>
        </w:tc>
        <w:tc>
          <w:p>
            <w:pPr>
              <w:jc w:val="left"/>
            </w:pPr>
            <w:r>
              <w:t xml:space="preserve">Média</w:t>
            </w:r>
          </w:p>
        </w:tc>
        <w:tc>
          <w:p>
            <w:pPr>
              <w:jc w:val="left"/>
            </w:pPr>
            <w:r>
              <w:t xml:space="preserve">Médio</w:t>
            </w:r>
          </w:p>
        </w:tc>
        <w:tc>
          <w:p>
            <w:pPr>
              <w:jc w:val="left"/>
            </w:pPr>
            <w:r>
              <w:t xml:space="preserve">Arquitetura de microserviços; cache Redis; Solr otimizado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rPr>
          <w:b/>
          <w:bCs/>
        </w:rPr>
        <w:t xml:space="preserve">10. EQUIPES E PERFIS</w:t>
      </w:r>
    </w:p>
    <w:p>
      <w:pPr>
        <w:spacing w:after="120"/>
        <w:jc w:val="left"/>
      </w:pPr>
      <w:r>
        <w:t xml:space="preserve">Cada squad é multidisciplinar e conta com os seguintes papéis: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60"/>
        <w:gridCol w:w="3497"/>
        <w:gridCol w:w="370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**Squad**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**Papéis**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**Perfil Técnico**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Infra &amp; Core</w:t>
            </w:r>
          </w:p>
        </w:tc>
        <w:tc>
          <w:p>
            <w:pPr>
              <w:jc w:val="left"/>
            </w:pPr>
            <w:r>
              <w:t xml:space="preserve">1 Tech Lead, 2 DevOps, 1 Security</w:t>
            </w:r>
          </w:p>
        </w:tc>
        <w:tc>
          <w:p>
            <w:pPr>
              <w:jc w:val="left"/>
            </w:pPr>
            <w:r>
              <w:t xml:space="preserve">Experiência em Kubernetes, Helm, certificados digitais, Keycloak, PostgreSQL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Data &amp; Provider</w:t>
            </w:r>
          </w:p>
        </w:tc>
        <w:tc>
          <w:p>
            <w:pPr>
              <w:jc w:val="left"/>
            </w:pPr>
            <w:r>
              <w:t xml:space="preserve">1 Tech Lead, 2 Engenheiros de Dados, 1 Integrador</w:t>
            </w:r>
          </w:p>
        </w:tc>
        <w:tc>
          <w:p>
            <w:pPr>
              <w:jc w:val="left"/>
            </w:pPr>
            <w:r>
              <w:t xml:space="preserve">Conhecimento em Apache Camel, DATEX II, ETL, Java/Kotlin, S3/MinIO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Consumer (UFPE)</w:t>
            </w:r>
          </w:p>
        </w:tc>
        <w:tc>
          <w:p>
            <w:pPr>
              <w:jc w:val="left"/>
            </w:pPr>
            <w:r>
              <w:t xml:space="preserve">1 Tech Lead, 2 Engenheiros de Dados, 1 Analista de BI</w:t>
            </w:r>
          </w:p>
        </w:tc>
        <w:tc>
          <w:p>
            <w:pPr>
              <w:jc w:val="left"/>
            </w:pPr>
            <w:r>
              <w:t xml:space="preserve">Experiência em EDC, PostGIS, pipelines de dados, Python, dashboards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Gov, Portal &amp; Playbook</w:t>
            </w:r>
          </w:p>
        </w:tc>
        <w:tc>
          <w:p>
            <w:pPr>
              <w:jc w:val="left"/>
            </w:pPr>
            <w:r>
              <w:t xml:space="preserve">1 Tech Lead, 1 Front‑end, 1 UX/UI, 1 Redator Técnico</w:t>
            </w:r>
          </w:p>
        </w:tc>
        <w:tc>
          <w:p>
            <w:pPr>
              <w:jc w:val="left"/>
            </w:pPr>
            <w:r>
              <w:t xml:space="preserve">Domínio de CKAN, Superset, HTML/CSS, documentação técnica, ODRL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Integração &amp; Go‑Live</w:t>
            </w:r>
          </w:p>
        </w:tc>
        <w:tc>
          <w:p>
            <w:pPr>
              <w:jc w:val="left"/>
            </w:pPr>
            <w:r>
              <w:t xml:space="preserve">1 Tech Lead, 1 QA, 1 Gerente de Projetos, 1 Especialista em Segurança</w:t>
            </w:r>
          </w:p>
        </w:tc>
        <w:tc>
          <w:p>
            <w:pPr>
              <w:jc w:val="left"/>
            </w:pPr>
            <w:r>
              <w:t xml:space="preserve">Visão sistêmica, automação de testes, orquestração de eventos, conformidade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Todos os membros participam da semana de imersão inicial para nivelar conhecimentos sobre o </w:t>
      </w:r>
      <w:r>
        <w:rPr>
          <w:i/>
          <w:iCs/>
        </w:rPr>
        <w:t xml:space="preserve">Data Space</w:t>
      </w:r>
      <w:r>
        <w:t xml:space="preserve"> e as ferramentas do </w:t>
      </w:r>
      <w:r>
        <w:rPr>
          <w:i/>
          <w:iCs/>
        </w:rPr>
        <w:t xml:space="preserve">stack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rPr>
          <w:b/>
          <w:bCs/>
        </w:rPr>
        <w:t xml:space="preserve">11. AMBIENTE NECESSÁRIO (HARDWARE E SOFTWARE)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11.1 Servidor (On‑Premises ou Nuvem Pública)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74"/>
        <w:gridCol w:w="3159"/>
        <w:gridCol w:w="362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**Recurso**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**Mínimo para o MVP**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**Observação**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Nós Kubernetes</w:t>
            </w:r>
          </w:p>
        </w:tc>
        <w:tc>
          <w:p>
            <w:pPr>
              <w:jc w:val="left"/>
            </w:pPr>
            <w:r>
              <w:t xml:space="preserve">3 nós (1 master + 2 workers)</w:t>
            </w:r>
          </w:p>
        </w:tc>
        <w:tc>
          <w:p>
            <w:pPr>
              <w:jc w:val="left"/>
            </w:pPr>
            <w:r>
              <w:t xml:space="preserve">Cada nó: 8 vCPU, 32 GB RAM, 100 GB SSD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Armazenamento Persistente</w:t>
            </w:r>
          </w:p>
        </w:tc>
        <w:tc>
          <w:p>
            <w:pPr>
              <w:jc w:val="left"/>
            </w:pPr>
            <w:r>
              <w:t xml:space="preserve">500 GB (distribuído entre componentes)</w:t>
            </w:r>
          </w:p>
        </w:tc>
        <w:tc>
          <w:p>
            <w:pPr>
              <w:jc w:val="left"/>
            </w:pPr>
            <w:r>
              <w:t xml:space="preserve">Usar </w:t>
            </w:r>
            <w:r>
              <w:rPr>
                <w:i/>
                <w:iCs/>
              </w:rPr>
              <w:t xml:space="preserve">StorageClass</w:t>
            </w:r>
            <w:r>
              <w:t xml:space="preserve"> com </w:t>
            </w:r>
            <w:r>
              <w:rPr>
                <w:i/>
                <w:iCs/>
              </w:rPr>
              <w:t xml:space="preserve">ReadWriteOnce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Rede</w:t>
            </w:r>
          </w:p>
        </w:tc>
        <w:tc>
          <w:p>
            <w:pPr>
              <w:jc w:val="left"/>
            </w:pPr>
            <w:r>
              <w:t xml:space="preserve">1 Gbps, IP público fixo para o </w:t>
            </w:r>
            <w:r>
              <w:rPr>
                <w:i/>
                <w:iCs/>
              </w:rPr>
              <w:t xml:space="preserve">Ingress</w:t>
            </w:r>
          </w:p>
        </w:tc>
        <w:tc>
          <w:p>
            <w:pPr>
              <w:jc w:val="left"/>
            </w:pPr>
            <w:r>
              <w:t xml:space="preserve">Firewall liberado para portas 443, 8443 (mTLS)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Certificados</w:t>
            </w:r>
          </w:p>
        </w:tc>
        <w:tc>
          <w:p>
            <w:pPr>
              <w:jc w:val="left"/>
            </w:pPr>
            <w:r>
              <w:t xml:space="preserve">ICP‑Brasil (e‑CNPJ) para cada participante</w:t>
            </w:r>
          </w:p>
        </w:tc>
        <w:tc>
          <w:p>
            <w:pPr>
              <w:jc w:val="left"/>
            </w:pPr>
            <w:r>
              <w:t xml:space="preserve">Renovação anual; adquiridos antes do início do projeto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11.2 Software Base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80"/>
        <w:gridCol w:w="2592"/>
        <w:gridCol w:w="388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**Componente**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**Versão**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**Função**</w:t>
            </w:r>
          </w:p>
        </w:tc>
      </w:tr>
      <w:tr>
        <w:tc>
          <w:p>
            <w:pPr>
              <w:jc w:val="left"/>
            </w:pPr>
            <w:r>
              <w:t xml:space="preserve">Kubernetes</w:t>
            </w:r>
          </w:p>
        </w:tc>
        <w:tc>
          <w:p>
            <w:pPr>
              <w:jc w:val="left"/>
            </w:pPr>
            <w:r>
              <w:t xml:space="preserve">1.28+</w:t>
            </w:r>
          </w:p>
        </w:tc>
        <w:tc>
          <w:p>
            <w:pPr>
              <w:jc w:val="left"/>
            </w:pPr>
            <w:r>
              <w:t xml:space="preserve">Orquestração de contêineres</w:t>
            </w:r>
          </w:p>
        </w:tc>
      </w:tr>
      <w:tr>
        <w:tc>
          <w:p>
            <w:pPr>
              <w:jc w:val="left"/>
            </w:pPr>
            <w:r>
              <w:t xml:space="preserve">Helm</w:t>
            </w:r>
          </w:p>
        </w:tc>
        <w:tc>
          <w:p>
            <w:pPr>
              <w:jc w:val="left"/>
            </w:pPr>
            <w:r>
              <w:t xml:space="preserve">3.12+</w:t>
            </w:r>
          </w:p>
        </w:tc>
        <w:tc>
          <w:p>
            <w:pPr>
              <w:jc w:val="left"/>
            </w:pPr>
            <w:r>
              <w:t xml:space="preserve">Gerenciamento de </w:t>
            </w:r>
            <w:r>
              <w:rPr>
                <w:i/>
                <w:iCs/>
              </w:rPr>
              <w:t xml:space="preserve">charts</w:t>
            </w:r>
          </w:p>
        </w:tc>
      </w:tr>
      <w:tr>
        <w:tc>
          <w:p>
            <w:pPr>
              <w:jc w:val="left"/>
            </w:pPr>
            <w:r>
              <w:t xml:space="preserve">Keycloak</w:t>
            </w:r>
          </w:p>
        </w:tc>
        <w:tc>
          <w:p>
            <w:pPr>
              <w:jc w:val="left"/>
            </w:pPr>
            <w:r>
              <w:t xml:space="preserve">24.x</w:t>
            </w:r>
          </w:p>
        </w:tc>
        <w:tc>
          <w:p>
            <w:pPr>
              <w:jc w:val="left"/>
            </w:pPr>
            <w:r>
              <w:t xml:space="preserve">DAPS (autenticação e autorização)</w:t>
            </w:r>
          </w:p>
        </w:tc>
      </w:tr>
      <w:tr>
        <w:tc>
          <w:p>
            <w:pPr>
              <w:jc w:val="left"/>
            </w:pPr>
            <w:r>
              <w:t xml:space="preserve">CKAN</w:t>
            </w:r>
          </w:p>
        </w:tc>
        <w:tc>
          <w:p>
            <w:pPr>
              <w:jc w:val="left"/>
            </w:pPr>
            <w:r>
              <w:t xml:space="preserve">2.10+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Metadata Broker</w:t>
            </w:r>
            <w:r>
              <w:t xml:space="preserve"> (catálogo)</w:t>
            </w:r>
          </w:p>
        </w:tc>
      </w:tr>
      <w:tr>
        <w:tc>
          <w:p>
            <w:pPr>
              <w:jc w:val="left"/>
            </w:pPr>
            <w:r>
              <w:t xml:space="preserve">Eclipse EDC</w:t>
            </w:r>
          </w:p>
        </w:tc>
        <w:tc>
          <w:p>
            <w:pPr>
              <w:jc w:val="left"/>
            </w:pPr>
            <w:r>
              <w:t xml:space="preserve">0.7.x</w:t>
            </w:r>
          </w:p>
        </w:tc>
        <w:tc>
          <w:p>
            <w:pPr>
              <w:jc w:val="left"/>
            </w:pPr>
            <w:r>
              <w:t xml:space="preserve">Conectores provedor/consumidor</w:t>
            </w:r>
          </w:p>
        </w:tc>
      </w:tr>
      <w:tr>
        <w:tc>
          <w:p>
            <w:pPr>
              <w:jc w:val="left"/>
            </w:pPr>
            <w:r>
              <w:t xml:space="preserve">IDS Clearing House</w:t>
            </w:r>
          </w:p>
        </w:tc>
        <w:tc>
          <w:p>
            <w:pPr>
              <w:jc w:val="left"/>
            </w:pPr>
            <w:r>
              <w:t xml:space="preserve">Fraunhofer ISST</w:t>
            </w:r>
          </w:p>
        </w:tc>
        <w:tc>
          <w:p>
            <w:pPr>
              <w:jc w:val="left"/>
            </w:pPr>
            <w:r>
              <w:t xml:space="preserve">Auditoria e imutabilidade</w:t>
            </w:r>
          </w:p>
        </w:tc>
      </w:tr>
      <w:tr>
        <w:tc>
          <w:p>
            <w:pPr>
              <w:jc w:val="left"/>
            </w:pPr>
            <w:r>
              <w:t xml:space="preserve">Apache Superset</w:t>
            </w:r>
          </w:p>
        </w:tc>
        <w:tc>
          <w:p>
            <w:pPr>
              <w:jc w:val="left"/>
            </w:pPr>
            <w:r>
              <w:t xml:space="preserve">3.x</w:t>
            </w:r>
          </w:p>
        </w:tc>
        <w:tc>
          <w:p>
            <w:pPr>
              <w:jc w:val="left"/>
            </w:pPr>
            <w:r>
              <w:t xml:space="preserve">Dashboards de governança</w:t>
            </w:r>
          </w:p>
        </w:tc>
      </w:tr>
      <w:tr>
        <w:tc>
          <w:p>
            <w:pPr>
              <w:jc w:val="left"/>
            </w:pPr>
            <w:r>
              <w:t xml:space="preserve">Apache Camel</w:t>
            </w:r>
          </w:p>
        </w:tc>
        <w:tc>
          <w:p>
            <w:pPr>
              <w:jc w:val="left"/>
            </w:pPr>
            <w:r>
              <w:t xml:space="preserve">4.x</w:t>
            </w:r>
          </w:p>
        </w:tc>
        <w:tc>
          <w:p>
            <w:pPr>
              <w:jc w:val="left"/>
            </w:pPr>
            <w:r>
              <w:t xml:space="preserve">Pipelines de transformação ETL</w:t>
            </w:r>
          </w:p>
        </w:tc>
      </w:tr>
      <w:tr>
        <w:tc>
          <w:p>
            <w:pPr>
              <w:jc w:val="left"/>
            </w:pPr>
            <w:r>
              <w:t xml:space="preserve">PostgreSQL</w:t>
            </w:r>
          </w:p>
        </w:tc>
        <w:tc>
          <w:p>
            <w:pPr>
              <w:jc w:val="left"/>
            </w:pPr>
            <w:r>
              <w:t xml:space="preserve">15+</w:t>
            </w:r>
          </w:p>
        </w:tc>
        <w:tc>
          <w:p>
            <w:pPr>
              <w:jc w:val="left"/>
            </w:pPr>
            <w:r>
              <w:t xml:space="preserve">Bancos de dados relacionais</w:t>
            </w:r>
          </w:p>
        </w:tc>
      </w:tr>
      <w:tr>
        <w:tc>
          <w:p>
            <w:pPr>
              <w:jc w:val="left"/>
            </w:pPr>
            <w:r>
              <w:t xml:space="preserve">Redis</w:t>
            </w:r>
          </w:p>
        </w:tc>
        <w:tc>
          <w:p>
            <w:pPr>
              <w:jc w:val="left"/>
            </w:pPr>
            <w:r>
              <w:t xml:space="preserve">7.x</w:t>
            </w:r>
          </w:p>
        </w:tc>
        <w:tc>
          <w:p>
            <w:pPr>
              <w:jc w:val="left"/>
            </w:pPr>
            <w:r>
              <w:t xml:space="preserve">Cache e sessões</w:t>
            </w:r>
          </w:p>
        </w:tc>
      </w:tr>
      <w:tr>
        <w:tc>
          <w:p>
            <w:pPr>
              <w:jc w:val="left"/>
            </w:pPr>
            <w:r>
              <w:t xml:space="preserve">MinIO</w:t>
            </w:r>
          </w:p>
        </w:tc>
        <w:tc>
          <w:p>
            <w:pPr>
              <w:jc w:val="left"/>
            </w:pPr>
            <w:r>
              <w:t xml:space="preserve">RELEASE 2024‑05‑*</w:t>
            </w:r>
          </w:p>
        </w:tc>
        <w:tc>
          <w:p>
            <w:pPr>
              <w:jc w:val="left"/>
            </w:pPr>
            <w:r>
              <w:t xml:space="preserve">Armazenamento de objetos (arquivos DATEX II)</w:t>
            </w:r>
          </w:p>
        </w:tc>
      </w:tr>
      <w:tr>
        <w:tc>
          <w:p>
            <w:pPr>
              <w:jc w:val="left"/>
            </w:pPr>
            <w:r>
              <w:t xml:space="preserve">Nginx Ingress Controller</w:t>
            </w:r>
          </w:p>
        </w:tc>
        <w:tc>
          <w:p>
            <w:pPr>
              <w:jc w:val="left"/>
            </w:pPr>
            <w:r>
              <w:t xml:space="preserve">1.9+</w:t>
            </w:r>
          </w:p>
        </w:tc>
        <w:tc>
          <w:p>
            <w:pPr>
              <w:jc w:val="left"/>
            </w:pPr>
            <w:r>
              <w:t xml:space="preserve">Roteamento e TLS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Todos os componentes são </w:t>
      </w:r>
      <w:r>
        <w:rPr>
          <w:i/>
          <w:iCs/>
        </w:rPr>
        <w:t xml:space="preserve">open‑source</w:t>
      </w:r>
      <w:r>
        <w:t xml:space="preserve"> e executados em contêineres Docker, com imagens oficiais ou fornecidas pelos respectivos mantenedores.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rPr>
          <w:b/>
          <w:bCs/>
        </w:rPr>
        <w:t xml:space="preserve">12. ESTRATÉGIA DE INTEGRAÇÃO</w:t>
      </w:r>
    </w:p>
    <w:p>
      <w:pPr>
        <w:spacing w:after="120"/>
        <w:jc w:val="left"/>
      </w:pPr>
      <w:r>
        <w:t xml:space="preserve">A integração final ocorre em quatro etapas: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Pré‑Integração (Dias 23–24):</w:t>
      </w:r>
      <w:r>
        <w:t xml:space="preserve"> Cada squad executa seus testes internos e valida os próprios </w:t>
      </w:r>
      <w:r>
        <w:rPr>
          <w:i/>
          <w:iCs/>
        </w:rPr>
        <w:t xml:space="preserve">endpoints</w:t>
      </w:r>
      <w:r>
        <w:t xml:space="preserve"> contra os mocks do IDD.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Integração Controlada (Dia 25):</w:t>
      </w:r>
      <w:r>
        <w:t xml:space="preserve"> Os squads conectam seus componentes no ambiente de </w:t>
      </w:r>
      <w:r>
        <w:rPr>
          <w:i/>
          <w:iCs/>
        </w:rPr>
        <w:t xml:space="preserve">staging</w:t>
      </w:r>
      <w:r>
        <w:t xml:space="preserve"> (Kubernetes compartilhado), utilizando certificados de teste. Um </w:t>
      </w:r>
      <w:r>
        <w:rPr>
          <w:i/>
          <w:iCs/>
        </w:rPr>
        <w:t xml:space="preserve">script</w:t>
      </w:r>
      <w:r>
        <w:t xml:space="preserve"> automatizado verifica a comunicação entre Keycloak ↔ EDC Provedor ↔ EDC Consumidor ↔ CKAN ↔ Clearing House.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Teste de Carga e Resiliência (Dia 26–27):</w:t>
      </w:r>
      <w:r>
        <w:t xml:space="preserve"> Simula‑se 10 transferências simultâneas entre os três nós (PRF, DNIT, UFPE) e monitoram‑se latência, taxa de sucesso e integridade dos recibos.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Teste E2E com *Onboarding* (Dia 28–29):</w:t>
      </w:r>
      <w:r>
        <w:t xml:space="preserve"> Um novo nó (simulado) é incorporado seguindo o </w:t>
      </w:r>
      <w:r>
        <w:rPr>
          <w:i/>
          <w:iCs/>
        </w:rPr>
        <w:t xml:space="preserve">playbook</w:t>
      </w:r>
      <w:r>
        <w:t xml:space="preserve">; todo o ciclo é executado do zero, medindo o tempo total.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Os resultados são consolidados em um </w:t>
      </w:r>
      <w:r>
        <w:rPr>
          <w:i/>
          <w:iCs/>
        </w:rPr>
        <w:t xml:space="preserve">dashboard</w:t>
      </w:r>
      <w:r>
        <w:t xml:space="preserve"> de integração, e qualquer falha aciona um </w:t>
      </w:r>
      <w:r>
        <w:rPr>
          <w:i/>
          <w:iCs/>
        </w:rPr>
        <w:t xml:space="preserve">rollback</w:t>
      </w:r>
      <w:r>
        <w:t xml:space="preserve"> para a versão estável anterior.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rPr>
          <w:b/>
          <w:bCs/>
        </w:rPr>
        <w:t xml:space="preserve">13. PRÓXIMOS PASSOS PÓS‑MVP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2"/>
        <w:gridCol w:w="2973"/>
        <w:gridCol w:w="418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**Horizonte**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**Iniciativa**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**Descrição**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Fase 2 (Dias 31–60)</w:t>
            </w:r>
          </w:p>
        </w:tc>
        <w:tc>
          <w:p>
            <w:pPr>
              <w:jc w:val="left"/>
            </w:pPr>
            <w:r>
              <w:t xml:space="preserve">Expansão de provedores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Onboarding</w:t>
            </w:r>
            <w:r>
              <w:t xml:space="preserve"> da ANTT e SENATRAN; novos </w:t>
            </w:r>
            <w:r>
              <w:rPr>
                <w:i/>
                <w:iCs/>
              </w:rPr>
              <w:t xml:space="preserve">assets</w:t>
            </w:r>
            <w:r>
              <w:t xml:space="preserve"> (telemetria, fretes)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Fase 3 (Dias 61–90)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App Store</w:t>
            </w:r>
            <w:r>
              <w:t xml:space="preserve"> e computação próxima ao dado</w:t>
            </w:r>
          </w:p>
        </w:tc>
        <w:tc>
          <w:p>
            <w:pPr>
              <w:jc w:val="left"/>
            </w:pPr>
            <w:r>
              <w:t xml:space="preserve">Primeiro </w:t>
            </w:r>
            <w:r>
              <w:rPr>
                <w:i/>
                <w:iCs/>
              </w:rPr>
              <w:t xml:space="preserve">Data App</w:t>
            </w:r>
            <w:r>
              <w:t xml:space="preserve"> homologado; execução de algoritmos em </w:t>
            </w:r>
            <w:r>
              <w:rPr>
                <w:i/>
                <w:iCs/>
              </w:rPr>
              <w:t xml:space="preserve">sandbox</w:t>
            </w:r>
            <w:r>
              <w:t xml:space="preserve"> do provedor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6–12 meses</w:t>
            </w:r>
          </w:p>
        </w:tc>
        <w:tc>
          <w:p>
            <w:pPr>
              <w:jc w:val="left"/>
            </w:pPr>
            <w:r>
              <w:t xml:space="preserve">Evolução para DIDs/VCs</w:t>
            </w:r>
          </w:p>
        </w:tc>
        <w:tc>
          <w:p>
            <w:pPr>
              <w:jc w:val="left"/>
            </w:pPr>
            <w:r>
              <w:t xml:space="preserve">Credenciais verificáveis descentralizadas; integração com </w:t>
            </w:r>
            <w:r>
              <w:rPr>
                <w:i/>
                <w:iCs/>
              </w:rPr>
              <w:t xml:space="preserve">Gaia‑X Trust Framework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12–24 meses</w:t>
            </w:r>
          </w:p>
        </w:tc>
        <w:tc>
          <w:p>
            <w:pPr>
              <w:jc w:val="left"/>
            </w:pPr>
            <w:r>
              <w:t xml:space="preserve">Interoperabilidade internacional</w:t>
            </w:r>
          </w:p>
        </w:tc>
        <w:tc>
          <w:p>
            <w:pPr>
              <w:jc w:val="left"/>
            </w:pPr>
            <w:r>
              <w:t xml:space="preserve">Conexão com </w:t>
            </w:r>
            <w:r>
              <w:rPr>
                <w:i/>
                <w:iCs/>
              </w:rPr>
              <w:t xml:space="preserve">European Mobility Data Space</w:t>
            </w:r>
            <w:r>
              <w:t xml:space="preserve"> (EMDS); hub latino‑americano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3–5 anos</w:t>
            </w:r>
          </w:p>
        </w:tc>
        <w:tc>
          <w:p>
            <w:pPr>
              <w:jc w:val="left"/>
            </w:pPr>
            <w:r>
              <w:t xml:space="preserve">Economia de dados de transporte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Marketplace</w:t>
            </w:r>
            <w:r>
              <w:t xml:space="preserve"> maduro com precificação dinâmica; integração V2X e cidades inteligentes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rPr>
          <w:b/>
          <w:bCs/>
        </w:rPr>
        <w:t xml:space="preserve">14. REFERÊNCIAS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Catálogo de Projetos Ágeis e Prompts LLM — RNDT MVP v2.0</w:t>
      </w:r>
      <w:r>
        <w:t xml:space="preserve"> (Junho/2026). Ministério dos Transportes. Define os projetos, especificações de interfaces e mocks. </w:t>
      </w:r>
      <w:r>
        <w:rPr>
          <w:i/>
          <w:iCs/>
        </w:rPr>
        <w:t xml:space="preserve">(Documento interno)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Documento Técnico de Referência — Arquitetura, Componentes e Guia de Implementação do MVP</w:t>
      </w:r>
      <w:r>
        <w:t xml:space="preserve"> (Junho/2026). Ministério dos Transportes. Fundamentação teórica do IDS RAM 4.0, macrofluxos e casos de uso. </w:t>
      </w:r>
      <w:r>
        <w:rPr>
          <w:i/>
          <w:iCs/>
        </w:rPr>
        <w:t xml:space="preserve">(Documento interno)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IDS RAM 4.0</w:t>
      </w:r>
      <w:r>
        <w:t xml:space="preserve"> — International Data Spaces Reference Architecture Model. International Data Spaces Association (IDSA), 2023.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Dataspace Protocol v0.8</w:t>
      </w:r>
      <w:r>
        <w:t xml:space="preserve"> — Eclipse Foundation / IDSA, 2024.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mobilityDCAT‑ap</w:t>
      </w:r>
      <w:r>
        <w:t xml:space="preserve"> — W3ID Transport Ontology, 2024.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rPr>
          <w:b/>
          <w:bCs/>
        </w:rPr>
        <w:t xml:space="preserve">15. APROVAÇÕES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66"/>
        <w:gridCol w:w="1783"/>
        <w:gridCol w:w="2229"/>
        <w:gridCol w:w="178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**Função**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**Nome**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**Assinatura**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**Data**</w:t>
            </w:r>
          </w:p>
        </w:tc>
      </w:tr>
      <w:tr>
        <w:tc>
          <w:p>
            <w:pPr>
              <w:jc w:val="left"/>
            </w:pPr>
            <w:r>
              <w:t xml:space="preserve">Arquiteto RNDT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Product Owner — Squad Infra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Product Owner — Squad Data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Product Owner — Squad Consumer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Product Owner — Squad Gov/Portal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Gerente de Projetos — Integração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Documento de Escopo — RNDT MVP v1.0</w:t>
      </w:r>
      <w:r>
        <w:br/>
      </w:r>
      <w:r>
        <w:rPr>
          <w:i/>
          <w:iCs/>
        </w:rPr>
        <w:t xml:space="preserve">Ministério dos Transportes | Brasília, Junho de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2026-06-22T13:31:28.219Z</dcterms:created>
  <dcterms:modified xsi:type="dcterms:W3CDTF">2026-06-22T13:31:28.219Z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