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81E5D"/>
          <w:sz w:val="32"/>
          <w:szCs w:val="32"/>
        </w:rPr>
        <w:t xml:space="preserve">EC-910 Economía de la Innovación</w:t>
      </w:r>
    </w:p>
    <w:p>
      <w:pPr>
        <w:spacing w:after="260"/>
        <w:jc w:val="center"/>
      </w:pPr>
      <w:r>
        <w:rPr>
          <w:i/>
          <w:iCs/>
          <w:color w:val="1C222B"/>
          <w:sz w:val="22"/>
          <w:szCs w:val="22"/>
        </w:rPr>
        <w:t xml:space="preserve">Programa de curso — versión modificada (7 sesiones presenciales)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gridSpan w:val="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281E5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UNIVERSIDAD FIDÉLITAS</w:t>
            </w:r>
          </w:p>
          <w:p>
            <w:pPr>
              <w:spacing w:before="40"/>
              <w:jc w:val="center"/>
            </w:pPr>
            <w:r>
              <w:rPr>
                <w:color w:val="EAF4FC"/>
                <w:sz w:val="19"/>
                <w:szCs w:val="19"/>
              </w:rPr>
              <w:t xml:space="preserve">FACULTAD DE CIENCIAS SOCIALES Y ECONÓMICAS</w:t>
            </w:r>
          </w:p>
          <w:p>
            <w:pPr>
              <w:jc w:val="center"/>
            </w:pPr>
            <w:r>
              <w:rPr>
                <w:color w:val="EAF4FC"/>
                <w:sz w:val="19"/>
                <w:szCs w:val="19"/>
              </w:rPr>
              <w:t xml:space="preserve">LICENCIATURA EN ECONOMÍA</w:t>
            </w:r>
          </w:p>
        </w:tc>
      </w:tr>
      <w:t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CÓDIGO DEL CURSO</w:t>
            </w:r>
          </w:p>
        </w:tc>
        <w:tc>
          <w:tcPr>
            <w:tcW w:type="dxa" w:w="68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EC-910</w:t>
            </w:r>
          </w:p>
        </w:tc>
      </w:tr>
      <w:t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NOMBRE DEL CURSO</w:t>
            </w:r>
          </w:p>
        </w:tc>
        <w:tc>
          <w:tcPr>
            <w:tcW w:type="dxa" w:w="68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Economía de la Innovación</w:t>
            </w:r>
          </w:p>
        </w:tc>
      </w:tr>
      <w:t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CRÉDITOS</w:t>
            </w:r>
          </w:p>
        </w:tc>
        <w:tc>
          <w:tcPr>
            <w:tcW w:type="dxa" w:w="68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DURACIÓN</w:t>
            </w:r>
          </w:p>
        </w:tc>
        <w:tc>
          <w:tcPr>
            <w:tcW w:type="dxa" w:w="68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15 semanas (7 sesiones presenciales — ver Nota de modificaciones)</w:t>
            </w:r>
          </w:p>
        </w:tc>
      </w:tr>
      <w:t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DISTRIBUCIÓN DE HORAS POR SEMANA</w:t>
            </w:r>
          </w:p>
        </w:tc>
        <w:tc>
          <w:tcPr>
            <w:tcW w:type="dxa" w:w="68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9 horas distribuidas en: 2 horas de teoría, 1 hora de trabajo práctico y 6 horas de trabajo independiente</w:t>
            </w:r>
          </w:p>
        </w:tc>
      </w:tr>
      <w:t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MODALIDAD</w:t>
            </w:r>
          </w:p>
        </w:tc>
        <w:tc>
          <w:tcPr>
            <w:tcW w:type="dxa" w:w="68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Presencial — tutoría (7 sesiones teórico-prácticas)</w:t>
            </w:r>
          </w:p>
        </w:tc>
      </w:tr>
      <w:t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NATURALEZA</w:t>
            </w:r>
          </w:p>
        </w:tc>
        <w:tc>
          <w:tcPr>
            <w:tcW w:type="dxa" w:w="68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Teórico-práctico</w:t>
            </w:r>
          </w:p>
        </w:tc>
      </w:tr>
      <w:t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UBICACIÓN</w:t>
            </w:r>
          </w:p>
        </w:tc>
        <w:tc>
          <w:tcPr>
            <w:tcW w:type="dxa" w:w="68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Por definir</w:t>
            </w:r>
          </w:p>
        </w:tc>
      </w:tr>
      <w:t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8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CORREQUISITOS</w:t>
            </w:r>
          </w:p>
        </w:tc>
        <w:tc>
          <w:tcPr>
            <w:tcW w:type="dxa" w:w="68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NIVEL</w:t>
            </w:r>
          </w:p>
        </w:tc>
        <w:tc>
          <w:tcPr>
            <w:tcW w:type="dxa" w:w="68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I cuatrimestre</w:t>
            </w:r>
          </w:p>
        </w:tc>
      </w:tr>
      <w:t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DOCENTE</w:t>
            </w:r>
          </w:p>
        </w:tc>
        <w:tc>
          <w:tcPr>
            <w:tcW w:type="dxa" w:w="68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Marianne Pérez Gómez</w:t>
            </w:r>
          </w:p>
        </w:tc>
      </w:tr>
      <w:t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SEDE</w:t>
            </w:r>
          </w:p>
        </w:tc>
        <w:tc>
          <w:tcPr>
            <w:tcW w:type="dxa" w:w="68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Central y Heredia</w:t>
            </w:r>
          </w:p>
        </w:tc>
      </w:tr>
      <w:tr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PERIODO</w:t>
            </w:r>
          </w:p>
        </w:tc>
        <w:tc>
          <w:tcPr>
            <w:tcW w:type="dxa" w:w="68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Fidélitas 2026-C3 — inicio 10 de setiembre de 2026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81E5D"/>
                <w:sz w:val="20"/>
                <w:szCs w:val="20"/>
              </w:rPr>
              <w:t xml:space="preserve">Nota sobre las modificaciones respecto al programa institucional oficial</w:t>
            </w:r>
          </w:p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• Docente asignada: </w:t>
            </w:r>
            <w:r>
              <w:rPr>
                <w:sz w:val="19"/>
                <w:szCs w:val="19"/>
              </w:rPr>
              <w:t xml:space="preserve">Marianne Pérez Gómez (el programa oficial la dejaba "por definir").</w:t>
            </w:r>
          </w:p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• Cronograma: </w:t>
            </w:r>
            <w:r>
              <w:rPr>
                <w:sz w:val="19"/>
                <w:szCs w:val="19"/>
              </w:rPr>
              <w:t xml:space="preserve">reestructurado a 7 sesiones presenciales teórico-prácticas (máximo 30 minutos de exposición docente por sesión, el resto en dinámicas de discusión), sin componente asincrónico formal entre sesiones. Los mismos entregables y ponderaciones del programa oficial se mantienen, distribuidos en estas 7 sesiones.</w:t>
            </w:r>
          </w:p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• Bibliografía: </w:t>
            </w:r>
            <w:r>
              <w:rPr>
                <w:sz w:val="19"/>
                <w:szCs w:val="19"/>
              </w:rPr>
              <w:t xml:space="preserve">reemplazada en su totalidad por fuentes en español de acceso abierto (sin requerir usuario institucional de e-libro), priorizando documentos de organismos internacionales (CEPAL, OCDE, Banco Mundial, OMPI, UNCTAD, FMI).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81E5D" w:sz="6" w:space="4"/>
        </w:pBdr>
        <w:spacing w:after="160" w:before="320"/>
      </w:pPr>
      <w:r>
        <w:rPr>
          <w:b/>
          <w:bCs/>
          <w:color w:val="281E5D"/>
          <w:sz w:val="26"/>
          <w:szCs w:val="26"/>
        </w:rPr>
        <w:t xml:space="preserve">Descripción del curso</w:t>
      </w:r>
    </w:p>
    <w:p>
      <w:pPr>
        <w:spacing w:after="120" w:line="276"/>
      </w:pPr>
      <w:r>
        <w:rPr>
          <w:sz w:val="21"/>
          <w:szCs w:val="21"/>
        </w:rPr>
        <w:t xml:space="preserve">El curso de Economía de la Innovación es un curso que forma parte del plan de estudios de Licenciatura en Economía. Tiene como objetivo proporcionar a los estudiantes los conocimientos y habilidades necesarios para comprender los aspectos fundamentales de la economía de la innovación y su importancia en la economía nacional y global.</w:t>
      </w:r>
    </w:p>
    <w:p>
      <w:pPr>
        <w:spacing w:after="120" w:line="276"/>
      </w:pPr>
      <w:r>
        <w:rPr>
          <w:sz w:val="21"/>
          <w:szCs w:val="21"/>
        </w:rPr>
        <w:t xml:space="preserve">Los estudiantes aprenden sobre el estudio de la teoría económica y su aplicación en el desarrollo tecnológico, tratando en todo momento de analizar los vínculos que se dan entre los procesos de innovación y las empresas, así como el efecto que tienen sus actividades sobre la sociedad.</w:t>
      </w:r>
    </w:p>
    <w:p>
      <w:pPr>
        <w:spacing w:after="120" w:line="276"/>
      </w:pPr>
      <w:r>
        <w:rPr>
          <w:sz w:val="21"/>
          <w:szCs w:val="21"/>
        </w:rPr>
        <w:t xml:space="preserve">Al aprobar el curso el estudiante habrá alcanzado conocimiento básico sobre temas de la innovación en la economía moderna, abordando conceptos clave, teorías y aplicaciones prácticas.</w:t>
      </w:r>
    </w:p>
    <w:p>
      <w:pPr>
        <w:spacing w:after="120" w:line="276"/>
      </w:pPr>
      <w:r>
        <w:rPr>
          <w:sz w:val="21"/>
          <w:szCs w:val="21"/>
        </w:rPr>
        <w:t xml:space="preserve">El curso ofrece una visión general del estudio de la innovación y la producción de nuevos bienes y servicios. Los estudiantes identificarán la importancia de las actividades de investigación y desarrollo de las empresas y cómo se ven influenciadas por las políticas públicas en general y por el sistema de patentes en particular.</w:t>
      </w:r>
    </w:p>
    <w:p>
      <w:pPr>
        <w:spacing w:after="120" w:line="276"/>
      </w:pPr>
      <w:r>
        <w:rPr>
          <w:sz w:val="21"/>
          <w:szCs w:val="21"/>
        </w:rPr>
        <w:t xml:space="preserve">El curso introduce el tema de las licencias y el estudio de la adopción y difusión de nuevas tecnologías. Otro tema es el de la cooperación en I+D, centrándose en el funcionamiento de las empresas conjuntas de investigación. Se discuten temas como auditorías tecnológicas y la prospección a través de escenarios alternativos. El curso también evaluará la política tecnológica actual implementada en varios países.</w:t>
      </w:r>
    </w:p>
    <w:p>
      <w:pPr>
        <w:spacing w:after="120" w:line="276"/>
      </w:pPr>
      <w:r>
        <w:rPr>
          <w:sz w:val="21"/>
          <w:szCs w:val="21"/>
        </w:rPr>
        <w:t xml:space="preserve">Al finalizar este curso, el estudiante podrá responder a la pregunta: ¿Cómo evaluar los factores clave que influyen en la economía de la innovación y su impacto en la sociedad y las empresas, para el establecimiento de políticas tecnológicas, y realización de estrategias de impacto innovador, considerando el entorno económico nacional e internacional?</w:t>
      </w:r>
    </w:p>
    <w:p>
      <w:pPr>
        <w:pStyle w:val="Heading1"/>
        <w:pBdr>
          <w:bottom w:val="single" w:color="281E5D" w:sz="6" w:space="4"/>
        </w:pBdr>
        <w:spacing w:after="160" w:before="320"/>
      </w:pPr>
      <w:r>
        <w:rPr>
          <w:b/>
          <w:bCs/>
          <w:color w:val="281E5D"/>
          <w:sz w:val="26"/>
          <w:szCs w:val="26"/>
        </w:rPr>
        <w:t xml:space="preserve">Contenidos</w:t>
      </w:r>
    </w:p>
    <w:p>
      <w:pPr>
        <w:pStyle w:val="Heading2"/>
        <w:spacing w:after="100" w:before="220"/>
      </w:pPr>
      <w:r>
        <w:rPr>
          <w:b/>
          <w:bCs/>
          <w:color w:val="281E5D"/>
          <w:sz w:val="22"/>
          <w:szCs w:val="22"/>
        </w:rPr>
        <w:t xml:space="preserve">Unidad 1. Introducción a la Economía de la Innovación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La innovación en la teoría económica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Políticas tecnológicas a nivel internacional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El proceso de innovación en la creación de valor</w:t>
      </w:r>
    </w:p>
    <w:p>
      <w:pPr>
        <w:pStyle w:val="Heading2"/>
        <w:spacing w:after="100" w:before="220"/>
      </w:pPr>
      <w:r>
        <w:rPr>
          <w:b/>
          <w:bCs/>
          <w:color w:val="281E5D"/>
          <w:sz w:val="22"/>
          <w:szCs w:val="22"/>
        </w:rPr>
        <w:t xml:space="preserve">Unidad 2. Investigación y Desarrollo, intraemprendedores, Colaboración Universidad-Empresa y Parques Tecnológicos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El proceso de Investigación y Desarrollo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Características y comportamiento de Intraemprendedores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Colaboración Universidad-Empresa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Desarrollo e importancia de los parques y clústeres tecnológicos</w:t>
      </w:r>
    </w:p>
    <w:p>
      <w:pPr>
        <w:pStyle w:val="Heading2"/>
        <w:spacing w:after="100" w:before="220"/>
      </w:pPr>
      <w:r>
        <w:rPr>
          <w:b/>
          <w:bCs/>
          <w:color w:val="281E5D"/>
          <w:sz w:val="22"/>
          <w:szCs w:val="22"/>
        </w:rPr>
        <w:t xml:space="preserve">Unidad 3. El proceso de innovación y la Propiedad Intelectual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Investigación, desarrollo e innovación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Protección del conocimiento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Patentes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Propiedad intelectual en acuerdos internacionales</w:t>
      </w:r>
    </w:p>
    <w:p>
      <w:pPr>
        <w:pStyle w:val="Heading2"/>
        <w:spacing w:after="100" w:before="220"/>
      </w:pPr>
      <w:r>
        <w:rPr>
          <w:b/>
          <w:bCs/>
          <w:color w:val="281E5D"/>
          <w:sz w:val="22"/>
          <w:szCs w:val="22"/>
        </w:rPr>
        <w:t xml:space="preserve">Unidad 4. Auditorías tecnológicas en la empresa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Inventario tecnológico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Base del conocimiento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Núcleo y tecnologías de apoyo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Tecnologías incipientes y emergentes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Potencial diferenciador de tecnología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Matrices de evaluación tecnológica</w:t>
      </w:r>
    </w:p>
    <w:p>
      <w:pPr>
        <w:pStyle w:val="Heading2"/>
        <w:spacing w:after="100" w:before="220"/>
      </w:pPr>
      <w:r>
        <w:rPr>
          <w:b/>
          <w:bCs/>
          <w:color w:val="281E5D"/>
          <w:sz w:val="22"/>
          <w:szCs w:val="22"/>
        </w:rPr>
        <w:t xml:space="preserve">Unidad 5. Previsión, prospección tecnológica y escenarios alternativos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Previsión tecnológica: pronósticos, variables sujetas a previsión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Prospección tecnológica: forecasting, curvas en S, ciclos, extrapolación de tendencias, sustitución tecnológica, árboles de relevancia, análisis morfológico, vigilancia y monitorización tecnológica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Escenarios alternativos: análisis de Delphi, análisis del impacto de las tendencias, escenarios con matrices</w:t>
      </w:r>
    </w:p>
    <w:p>
      <w:pPr>
        <w:pStyle w:val="Heading2"/>
        <w:spacing w:after="100" w:before="220"/>
      </w:pPr>
      <w:r>
        <w:rPr>
          <w:b/>
          <w:bCs/>
          <w:color w:val="281E5D"/>
          <w:sz w:val="22"/>
          <w:szCs w:val="22"/>
        </w:rPr>
        <w:t xml:space="preserve">Unidad 6. Gestión de la innovación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El proceso de gestión de la innovación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Responsabilidad social y la innovación en los negocios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1"/>
          <w:szCs w:val="21"/>
        </w:rPr>
        <w:t xml:space="preserve">Ética en la toma de decisiones en los procesos de innovación</w:t>
      </w:r>
    </w:p>
    <w:p>
      <w:pPr>
        <w:pStyle w:val="Heading1"/>
        <w:pBdr>
          <w:bottom w:val="single" w:color="281E5D" w:sz="6" w:space="4"/>
        </w:pBdr>
        <w:spacing w:after="160" w:before="320"/>
      </w:pPr>
      <w:r>
        <w:rPr>
          <w:b/>
          <w:bCs/>
          <w:color w:val="281E5D"/>
          <w:sz w:val="26"/>
          <w:szCs w:val="26"/>
        </w:rPr>
        <w:t xml:space="preserve">Metodología de enseñanza</w:t>
      </w:r>
    </w:p>
    <w:p>
      <w:pPr>
        <w:spacing w:after="120" w:line="276"/>
      </w:pPr>
      <w:r>
        <w:rPr>
          <w:sz w:val="21"/>
          <w:szCs w:val="21"/>
        </w:rPr>
        <w:t xml:space="preserve">Este es un curso teórico-práctico de interacción entre los estudiantes y la docente, de tipo participativo, donde las actividades planificadas incentivan el Aprendizaje Basado en Problemas (ABP). Las actividades que se desarrollan en el curso son: mapas mentales, discusión, resolución de casos y proyecto final.</w:t>
      </w:r>
    </w:p>
    <w:p>
      <w:pPr>
        <w:spacing w:after="120" w:line="276"/>
      </w:pPr>
      <w:r>
        <w:rPr>
          <w:sz w:val="21"/>
          <w:szCs w:val="21"/>
        </w:rPr>
        <w:t xml:space="preserve">El curso se organiza en 7 sesiones presenciales teórico-prácticas (no 15 sesiones semanales): en cada sesión, la docente expone un máximo de 30 minutos los conceptos esenciales del tema, y el resto del tiempo se dedica a dinámicas de discusión, presentación de mapas mentales y análisis de casos. No existe un componente asincrónico formal entre sesiones — todos los entregables se presentan y discuten en la sesión presencial correspondiente. Entre sesiones, el estudiante avanza las lecturas y el trabajo independiente que exige el curso (9 horas semanales según distribución oficial), sin que esto se traduzca en una entrega separada.</w:t>
      </w:r>
    </w:p>
    <w:p>
      <w:pPr>
        <w:spacing w:after="120" w:line="276"/>
      </w:pPr>
      <w:r>
        <w:rPr>
          <w:sz w:val="21"/>
          <w:szCs w:val="21"/>
        </w:rPr>
        <w:t xml:space="preserve">Su finalidad es la formación de estudiantes capaces de evaluar los factores clave que influyen en la economía de la innovación y su impacto en la sociedad y las empresas, para el establecimiento de políticas tecnológicas y la realización de estrategias de impacto innovador, considerando el entorno económico nacional e internacional.</w:t>
      </w:r>
    </w:p>
    <w:p>
      <w:pPr>
        <w:pStyle w:val="Heading1"/>
        <w:pBdr>
          <w:bottom w:val="single" w:color="281E5D" w:sz="6" w:space="4"/>
        </w:pBdr>
        <w:spacing w:after="160" w:before="320"/>
      </w:pPr>
      <w:r>
        <w:rPr>
          <w:b/>
          <w:bCs/>
          <w:color w:val="281E5D"/>
          <w:sz w:val="26"/>
          <w:szCs w:val="26"/>
        </w:rPr>
        <w:t xml:space="preserve">Estrategias de evaluación</w:t>
      </w:r>
    </w:p>
    <w:p>
      <w:pPr>
        <w:spacing w:after="120" w:line="276"/>
      </w:pPr>
      <w:r>
        <w:rPr>
          <w:sz w:val="21"/>
          <w:szCs w:val="21"/>
        </w:rPr>
        <w:t xml:space="preserve">La evaluación de los aprendizajes es entendida como un proceso integral, sistemático y continuo (formativa y sumativa). Todos los entregables se presentan y discuten en sesión presencial.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80"/>
        <w:gridCol w:w="1800"/>
      </w:tblGrid>
      <w:tr>
        <w:tc>
          <w:tcPr>
            <w:tcW w:type="dxa" w:w="82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281E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Rubros</w:t>
            </w:r>
          </w:p>
        </w:tc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281E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Porcentaje</w:t>
            </w:r>
          </w:p>
        </w:tc>
      </w:tr>
      <w:tr>
        <w:tc>
          <w:tcPr>
            <w:tcW w:type="dxa" w:w="82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Mapas mentales: 4 (7,5% cada uno)</w:t>
            </w:r>
          </w:p>
        </w:tc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82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Estudios de caso: 3 (10% cada uno)</w:t>
            </w:r>
          </w:p>
        </w:tc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82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Discusión: 4 en total (2,5% cada una)</w:t>
            </w:r>
          </w:p>
        </w:tc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82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Proyecto final (aplicación en una empresa) — Avance: 10%, Presentación: 20%</w:t>
            </w:r>
          </w:p>
        </w:tc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82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C222B"/>
                <w:sz w:val="19"/>
                <w:szCs w:val="19"/>
              </w:rPr>
              <w:t xml:space="preserve">100%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81E5D" w:sz="6" w:space="4"/>
        </w:pBdr>
        <w:spacing w:after="160" w:before="320"/>
      </w:pPr>
      <w:r>
        <w:rPr>
          <w:b/>
          <w:bCs/>
          <w:color w:val="281E5D"/>
          <w:sz w:val="26"/>
          <w:szCs w:val="26"/>
        </w:rPr>
        <w:t xml:space="preserve">Cronograma — 7 sesiones presenciales</w:t>
      </w:r>
    </w:p>
    <w:p>
      <w:pPr>
        <w:spacing w:after="120" w:line="276"/>
      </w:pPr>
      <w:r>
        <w:rPr>
          <w:sz w:val="21"/>
          <w:szCs w:val="21"/>
        </w:rPr>
        <w:t xml:space="preserve">El curso inicia el jueves 10 de setiembre de 2026. Se asume una sesión cada dos semanas, los jueves (calendario 2026-C3 de Fidélitas), terminando el 17 de diciembre de 2026. El proyecto final se presenta únicamente en la última sesión.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000"/>
        <w:gridCol w:w="3380"/>
      </w:tblGrid>
      <w:tr>
        <w:trPr>
          <w:tblHeader/>
        </w:trPr>
        <w:tc>
          <w:tcPr>
            <w:tcW w:type="dxa" w:w="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281E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Sesión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281E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281E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Unidad / contenido</w:t>
            </w:r>
          </w:p>
        </w:tc>
        <w:tc>
          <w:tcPr>
            <w:tcW w:type="dxa" w:w="33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281E5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y entregable (en sesión)</w:t>
            </w:r>
          </w:p>
        </w:tc>
      </w:tr>
      <w:tr>
        <w:tc>
          <w:tcPr>
            <w:tcW w:type="dxa" w:w="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C222B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10 set</w:t>
            </w:r>
          </w:p>
        </w:tc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U1. Introducción a la economía de la innovación: la innovación en la teoría económica, tipos de innovación, tendencias actuales</w:t>
            </w:r>
          </w:p>
        </w:tc>
        <w:tc>
          <w:tcPr>
            <w:tcW w:type="dxa" w:w="33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Bienvenida, presentación del programa, metodología y rúbricas. Conformación de grupos para el proyecto final. Dinámica de discusión.</w:t>
            </w:r>
          </w:p>
        </w:tc>
      </w:tr>
      <w:tr>
        <w:tc>
          <w:tcPr>
            <w:tcW w:type="dxa" w:w="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C222B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24 set</w:t>
            </w:r>
          </w:p>
        </w:tc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U2. I+D, intraemprendedores, colaboración universidad-empresa, parques y clústeres tecnológicos</w:t>
            </w:r>
          </w:p>
        </w:tc>
        <w:tc>
          <w:tcPr>
            <w:tcW w:type="dxa" w:w="33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Presentación Mapa mental 1. Discusión 1.</w:t>
            </w:r>
          </w:p>
        </w:tc>
      </w:tr>
      <w:tr>
        <w:tc>
          <w:tcPr>
            <w:tcW w:type="dxa" w:w="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C222B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15 oct</w:t>
            </w:r>
          </w:p>
        </w:tc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U3. El proceso de innovación y la propiedad intelectual: investigación, desarrollo e innovación, protección del conocimiento, patentes, acuerdos internacionales</w:t>
            </w:r>
          </w:p>
        </w:tc>
        <w:tc>
          <w:tcPr>
            <w:tcW w:type="dxa" w:w="33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Presentación Mapa mental 2. Discusión 2. Entrega y discusión del Estudio de caso 1: propiedad intelectual y sector económico.</w:t>
            </w:r>
          </w:p>
        </w:tc>
      </w:tr>
      <w:tr>
        <w:tc>
          <w:tcPr>
            <w:tcW w:type="dxa" w:w="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C222B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29 oct</w:t>
            </w:r>
          </w:p>
        </w:tc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U4. Auditorías tecnológicas: inventario tecnológico, base del conocimiento, tecnologías incipientes/emergentes, matrices de evaluación tecnológica</w:t>
            </w:r>
          </w:p>
        </w:tc>
        <w:tc>
          <w:tcPr>
            <w:tcW w:type="dxa" w:w="33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Presentación Mapa mental 3. Discusión 3. Entrega y discusión del Estudio de caso 2: auditoría tecnológica en una empresa.</w:t>
            </w:r>
          </w:p>
        </w:tc>
      </w:tr>
      <w:tr>
        <w:tc>
          <w:tcPr>
            <w:tcW w:type="dxa" w:w="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C222B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19 nov</w:t>
            </w:r>
          </w:p>
        </w:tc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U5. Previsión, prospección tecnológica y escenarios alternativos: forecasting, curvas S, árboles de relevancia, Delphi, escenarios</w:t>
            </w:r>
          </w:p>
        </w:tc>
        <w:tc>
          <w:tcPr>
            <w:tcW w:type="dxa" w:w="33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Presentación Mapa mental 4. Discusión 4. Entrega y discusión del Estudio de caso 3: escenarios alternativos de prospección tecnológica.</w:t>
            </w:r>
          </w:p>
        </w:tc>
      </w:tr>
      <w:tr>
        <w:tc>
          <w:tcPr>
            <w:tcW w:type="dxa" w:w="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C222B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3 dic</w:t>
            </w:r>
          </w:p>
        </w:tc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U6. Gestión de la innovación: proceso de gestión, responsabilidad social y ética en la innovación</w:t>
            </w:r>
          </w:p>
        </w:tc>
        <w:tc>
          <w:tcPr>
            <w:tcW w:type="dxa" w:w="33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Discusión integradora orientada al proyecto final. Entrega del Avance del proyecto final (10%) y retroalimentación en vivo.</w:t>
            </w:r>
          </w:p>
        </w:tc>
      </w:tr>
      <w:tr>
        <w:tc>
          <w:tcPr>
            <w:tcW w:type="dxa" w:w="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C222B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17 dic</w:t>
            </w:r>
          </w:p>
        </w:tc>
        <w:tc>
          <w:tcPr>
            <w:tcW w:type="dxa" w:w="5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—</w:t>
            </w:r>
          </w:p>
        </w:tc>
        <w:tc>
          <w:tcPr>
            <w:tcW w:type="dxa" w:w="33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222B"/>
                <w:sz w:val="18"/>
                <w:szCs w:val="18"/>
              </w:rPr>
              <w:t xml:space="preserve">Presentación del proyecto final (20%) y entrega del documento final. Cierre del curso.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81E5D" w:sz="6" w:space="4"/>
        </w:pBdr>
        <w:spacing w:after="160" w:before="320"/>
      </w:pPr>
      <w:r>
        <w:rPr>
          <w:b/>
          <w:bCs/>
          <w:color w:val="281E5D"/>
          <w:sz w:val="26"/>
          <w:szCs w:val="26"/>
        </w:rPr>
        <w:t xml:space="preserve">Bibliografía</w:t>
      </w:r>
    </w:p>
    <w:p>
      <w:pPr>
        <w:spacing w:after="120" w:line="276"/>
      </w:pPr>
      <w:r>
        <w:rPr>
          <w:sz w:val="21"/>
          <w:szCs w:val="21"/>
        </w:rPr>
        <w:t xml:space="preserve">Bibliografía en español, de acceso abierto, organizada por unidad. Reemplaza la bibliografía del programa institucional oficial, que dependía de acceso institucional a e-libro Fidélitas.</w:t>
      </w:r>
    </w:p>
    <w:p>
      <w:pPr>
        <w:pStyle w:val="Heading2"/>
        <w:spacing w:after="100" w:before="220"/>
      </w:pPr>
      <w:r>
        <w:rPr>
          <w:b/>
          <w:bCs/>
          <w:color w:val="281E5D"/>
          <w:sz w:val="22"/>
          <w:szCs w:val="22"/>
        </w:rPr>
        <w:t xml:space="preserve">Unidad 1 — Introducción a la economía de la innovación</w:t>
      </w:r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CEPAL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(2025). </w:t>
      </w:r>
      <w:r>
        <w:rPr>
          <w:b w:val="false"/>
          <w:bCs w:val="false"/>
          <w:i/>
          <w:iCs/>
          <w:sz w:val="20"/>
          <w:szCs w:val="20"/>
        </w:rPr>
        <w:t xml:space="preserve">Panorama de las Políticas de Desarrollo Productivo en América Latina y el Caribe 2025: ¿cómo salir de la trampa de baja capacidad para crecer?.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CEPAL.</w:t>
      </w:r>
      <w:r>
        <w:rPr>
          <w:sz w:val="20"/>
          <w:szCs w:val="20"/>
        </w:rPr>
        <w:t xml:space="preserve">  </w:t>
      </w:r>
      <w:hyperlink w:history="1" r:id="rIdm4rquiffjtwaemckawxlh">
        <w:r>
          <w:rPr>
            <w:rStyle w:val="Hyperlink"/>
            <w:color w:val="2F9BE0"/>
            <w:sz w:val="20"/>
            <w:szCs w:val="20"/>
          </w:rPr>
          <w:t xml:space="preserve">https://www.cepal.org/es/publicaciones/82535-panorama-politicas-desarrollo-productivo-america-latina-caribe-2025-como-salir</w:t>
        </w:r>
      </w:hyperlink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OCDE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(2016). </w:t>
      </w:r>
      <w:r>
        <w:rPr>
          <w:b w:val="false"/>
          <w:bCs w:val="false"/>
          <w:i/>
          <w:iCs/>
          <w:sz w:val="20"/>
          <w:szCs w:val="20"/>
        </w:rPr>
        <w:t xml:space="preserve">Perspectivas de la OCDE en Ciencia, Tecnología e Innovación en América Latina.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OCDE.</w:t>
      </w:r>
      <w:r>
        <w:rPr>
          <w:sz w:val="20"/>
          <w:szCs w:val="20"/>
        </w:rPr>
        <w:t xml:space="preserve">  </w:t>
      </w:r>
      <w:hyperlink w:history="1" r:id="rIddo_dqt8_mzprarbafsrqs">
        <w:r>
          <w:rPr>
            <w:rStyle w:val="Hyperlink"/>
            <w:color w:val="2F9BE0"/>
            <w:sz w:val="20"/>
            <w:szCs w:val="20"/>
          </w:rPr>
          <w:t xml:space="preserve">https://www.oecd.org/content/dam/oecd/es/publications/reports/2016/12/oecd-science-technology-and-innovation-outlook-2016_g1g6dae9/9789264303546-es.pdf</w:t>
        </w:r>
      </w:hyperlink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Banco Mundial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(2025). </w:t>
      </w:r>
      <w:r>
        <w:rPr>
          <w:b w:val="false"/>
          <w:bCs w:val="false"/>
          <w:i/>
          <w:iCs/>
          <w:sz w:val="20"/>
          <w:szCs w:val="20"/>
        </w:rPr>
        <w:t xml:space="preserve">La paradoja de la innovación en América Latina: entre el crecimiento tímido y el potencial desbordante.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Banco Mundial.</w:t>
      </w:r>
      <w:r>
        <w:rPr>
          <w:sz w:val="20"/>
          <w:szCs w:val="20"/>
        </w:rPr>
        <w:t xml:space="preserve">  </w:t>
      </w:r>
      <w:hyperlink w:history="1" r:id="rIdxi3zv-o3a5oea7tivrsbz">
        <w:r>
          <w:rPr>
            <w:rStyle w:val="Hyperlink"/>
            <w:color w:val="2F9BE0"/>
            <w:sz w:val="20"/>
            <w:szCs w:val="20"/>
          </w:rPr>
          <w:t xml:space="preserve">https://www.bancomundial.org/es/news/feature/2025/03/10/la-paradoja-de-la-innovacion-en-america-latina</w:t>
        </w:r>
      </w:hyperlink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OMPI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(2025). </w:t>
      </w:r>
      <w:r>
        <w:rPr>
          <w:b w:val="false"/>
          <w:bCs w:val="false"/>
          <w:i/>
          <w:iCs/>
          <w:sz w:val="20"/>
          <w:szCs w:val="20"/>
        </w:rPr>
        <w:t xml:space="preserve">Índice Mundial de Innovación (Global Innovation Index).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OMPI.</w:t>
      </w:r>
      <w:r>
        <w:rPr>
          <w:sz w:val="20"/>
          <w:szCs w:val="20"/>
        </w:rPr>
        <w:t xml:space="preserve">  </w:t>
      </w:r>
      <w:hyperlink w:history="1" r:id="rIdsdj4q5cxleojvyujfo_x_">
        <w:r>
          <w:rPr>
            <w:rStyle w:val="Hyperlink"/>
            <w:color w:val="2F9BE0"/>
            <w:sz w:val="20"/>
            <w:szCs w:val="20"/>
          </w:rPr>
          <w:t xml:space="preserve">https://www.wipo.int/global_innovation_index/es</w:t>
        </w:r>
      </w:hyperlink>
    </w:p>
    <w:p>
      <w:pPr>
        <w:pStyle w:val="Heading2"/>
        <w:spacing w:after="100" w:before="220"/>
      </w:pPr>
      <w:r>
        <w:rPr>
          <w:b/>
          <w:bCs/>
          <w:color w:val="281E5D"/>
          <w:sz w:val="22"/>
          <w:szCs w:val="22"/>
        </w:rPr>
        <w:t xml:space="preserve">Unidad 2 — I+D, intraemprendedores, colaboración universidad-empresa, parques tecnológicos</w:t>
      </w:r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CEPAL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(s.f.). </w:t>
      </w:r>
      <w:r>
        <w:rPr>
          <w:b w:val="false"/>
          <w:bCs w:val="false"/>
          <w:i/>
          <w:iCs/>
          <w:sz w:val="20"/>
          <w:szCs w:val="20"/>
        </w:rPr>
        <w:t xml:space="preserve">Políticas para la innovación en las pequeñas y medianas empresas en América Latina.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CEPAL.</w:t>
      </w:r>
      <w:r>
        <w:rPr>
          <w:sz w:val="20"/>
          <w:szCs w:val="20"/>
        </w:rPr>
        <w:t xml:space="preserve">  </w:t>
      </w:r>
      <w:hyperlink w:history="1" r:id="rIdq6nmr1q-5aret9ybl-wn3">
        <w:r>
          <w:rPr>
            <w:rStyle w:val="Hyperlink"/>
            <w:color w:val="2F9BE0"/>
            <w:sz w:val="20"/>
            <w:szCs w:val="20"/>
          </w:rPr>
          <w:t xml:space="preserve">https://repositorio.cepal.org/handle/11362/3868</w:t>
        </w:r>
      </w:hyperlink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OCDE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(2013). </w:t>
      </w:r>
      <w:r>
        <w:rPr>
          <w:b w:val="false"/>
          <w:bCs w:val="false"/>
          <w:i/>
          <w:iCs/>
          <w:sz w:val="20"/>
          <w:szCs w:val="20"/>
        </w:rPr>
        <w:t xml:space="preserve">Start-up América Latina: promoviendo la innovación en la región.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OCDE.</w:t>
      </w:r>
      <w:r>
        <w:rPr>
          <w:sz w:val="20"/>
          <w:szCs w:val="20"/>
        </w:rPr>
        <w:t xml:space="preserve">  </w:t>
      </w:r>
      <w:hyperlink w:history="1" r:id="rIdbooao3ztdubqfiyrhh0lq">
        <w:r>
          <w:rPr>
            <w:rStyle w:val="Hyperlink"/>
            <w:color w:val="2F9BE0"/>
            <w:sz w:val="20"/>
            <w:szCs w:val="20"/>
          </w:rPr>
          <w:t xml:space="preserve">https://www.oecd.org/content/dam/oecd/es/publications/reports/2013/09/start-up-latin-america_g1g30b96/9789264202320-es.pdf</w:t>
        </w:r>
      </w:hyperlink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Escorsa Castells, P. y Valls Pasola, J.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(2003). </w:t>
      </w:r>
      <w:r>
        <w:rPr>
          <w:b w:val="false"/>
          <w:bCs w:val="false"/>
          <w:i/>
          <w:iCs/>
          <w:sz w:val="20"/>
          <w:szCs w:val="20"/>
        </w:rPr>
        <w:t xml:space="preserve">Tecnología e innovación en la empresa.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Ediciones UPC, Barcelona.</w:t>
      </w:r>
    </w:p>
    <w:p>
      <w:pPr>
        <w:pStyle w:val="Heading2"/>
        <w:spacing w:after="100" w:before="220"/>
      </w:pPr>
      <w:r>
        <w:rPr>
          <w:b/>
          <w:bCs/>
          <w:color w:val="281E5D"/>
          <w:sz w:val="22"/>
          <w:szCs w:val="22"/>
        </w:rPr>
        <w:t xml:space="preserve">Unidad 3 — El proceso de innovación y la propiedad intelectual</w:t>
      </w:r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OMPI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(2020). </w:t>
      </w:r>
      <w:r>
        <w:rPr>
          <w:b w:val="false"/>
          <w:bCs w:val="false"/>
          <w:i/>
          <w:iCs/>
          <w:sz w:val="20"/>
          <w:szCs w:val="20"/>
        </w:rPr>
        <w:t xml:space="preserve">¿Qué es la propiedad intelectual?.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OMPI.</w:t>
      </w:r>
      <w:r>
        <w:rPr>
          <w:sz w:val="20"/>
          <w:szCs w:val="20"/>
        </w:rPr>
        <w:t xml:space="preserve">  </w:t>
      </w:r>
      <w:hyperlink w:history="1" r:id="rIduhtkfnzhaoamxmaujqkc8">
        <w:r>
          <w:rPr>
            <w:rStyle w:val="Hyperlink"/>
            <w:color w:val="2F9BE0"/>
            <w:sz w:val="20"/>
            <w:szCs w:val="20"/>
          </w:rPr>
          <w:t xml:space="preserve">https://www.wipo.int/edocs/pubdocs/es/wipo_pub_450_2020.pdf</w:t>
        </w:r>
      </w:hyperlink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OMPI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(s.f.). </w:t>
      </w:r>
      <w:r>
        <w:rPr>
          <w:b w:val="false"/>
          <w:bCs w:val="false"/>
          <w:i/>
          <w:iCs/>
          <w:sz w:val="20"/>
          <w:szCs w:val="20"/>
        </w:rPr>
        <w:t xml:space="preserve">La clave de la propiedad intelectual: guía para pequeños y medianos exportadores.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OMPI.</w:t>
      </w:r>
      <w:r>
        <w:rPr>
          <w:sz w:val="20"/>
          <w:szCs w:val="20"/>
        </w:rPr>
        <w:t xml:space="preserve">  </w:t>
      </w:r>
      <w:hyperlink w:history="1" r:id="rId0vkuubyq6wrcjhqcxct4i">
        <w:r>
          <w:rPr>
            <w:rStyle w:val="Hyperlink"/>
            <w:color w:val="2F9BE0"/>
            <w:sz w:val="20"/>
            <w:szCs w:val="20"/>
          </w:rPr>
          <w:t xml:space="preserve">https://www.wipo.int/publications/es/details.jsp?id=294</w:t>
        </w:r>
      </w:hyperlink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OMPI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(s.f.). </w:t>
      </w:r>
      <w:r>
        <w:rPr>
          <w:b w:val="false"/>
          <w:bCs w:val="false"/>
          <w:i/>
          <w:iCs/>
          <w:sz w:val="20"/>
          <w:szCs w:val="20"/>
        </w:rPr>
        <w:t xml:space="preserve">Introducción al marco jurídico internacional de la propiedad intelectual.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OMPI.</w:t>
      </w:r>
      <w:r>
        <w:rPr>
          <w:sz w:val="20"/>
          <w:szCs w:val="20"/>
        </w:rPr>
        <w:t xml:space="preserve">  </w:t>
      </w:r>
      <w:hyperlink w:history="1" r:id="rIdfvtyowproxshue8gdliyg">
        <w:r>
          <w:rPr>
            <w:rStyle w:val="Hyperlink"/>
            <w:color w:val="2F9BE0"/>
            <w:sz w:val="20"/>
            <w:szCs w:val="20"/>
          </w:rPr>
          <w:t xml:space="preserve">https://www.wipo.int/edocs/pubdocs/es/wipo-pub-1081-1-es-introduction-to-the-international-intellectual-property-legal-framework.pdf</w:t>
        </w:r>
      </w:hyperlink>
    </w:p>
    <w:p>
      <w:pPr>
        <w:pStyle w:val="Heading2"/>
        <w:spacing w:after="100" w:before="220"/>
      </w:pPr>
      <w:r>
        <w:rPr>
          <w:b/>
          <w:bCs/>
          <w:color w:val="281E5D"/>
          <w:sz w:val="22"/>
          <w:szCs w:val="22"/>
        </w:rPr>
        <w:t xml:space="preserve">Unidad 4 — Auditorías tecnológicas en la empresa</w:t>
      </w:r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OCDE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(2009). </w:t>
      </w:r>
      <w:r>
        <w:rPr>
          <w:b w:val="false"/>
          <w:bCs w:val="false"/>
          <w:i/>
          <w:iCs/>
          <w:sz w:val="20"/>
          <w:szCs w:val="20"/>
        </w:rPr>
        <w:t xml:space="preserve">Innovación en las empresas: una perspectiva microeconómica.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OCDE.</w:t>
      </w:r>
      <w:r>
        <w:rPr>
          <w:sz w:val="20"/>
          <w:szCs w:val="20"/>
        </w:rPr>
        <w:t xml:space="preserve">  </w:t>
      </w:r>
      <w:hyperlink w:history="1" r:id="rIdbsewqn613acflf4ra1ubj">
        <w:r>
          <w:rPr>
            <w:rStyle w:val="Hyperlink"/>
            <w:color w:val="2F9BE0"/>
            <w:sz w:val="20"/>
            <w:szCs w:val="20"/>
          </w:rPr>
          <w:t xml:space="preserve">https://www.oecd.org/content/dam/oecd/es/publications/reports/2009/11/innovation-in-firms_g1g191df/9789264208322-es.pdf</w:t>
        </w:r>
      </w:hyperlink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Ministerio de Industria, Turismo y Comercio de España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(s.f.). </w:t>
      </w:r>
      <w:r>
        <w:rPr>
          <w:b w:val="false"/>
          <w:bCs w:val="false"/>
          <w:i/>
          <w:iCs/>
          <w:sz w:val="20"/>
          <w:szCs w:val="20"/>
        </w:rPr>
        <w:t xml:space="preserve">Capacidades tecnológicas e innovadoras de las pymes.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Revista Economía Industrial n.º 375.</w:t>
      </w:r>
      <w:r>
        <w:rPr>
          <w:sz w:val="20"/>
          <w:szCs w:val="20"/>
        </w:rPr>
        <w:t xml:space="preserve">  </w:t>
      </w:r>
      <w:hyperlink w:history="1" r:id="rIdsfmhfmds7vmbiq6vcp1aj">
        <w:r>
          <w:rPr>
            <w:rStyle w:val="Hyperlink"/>
            <w:color w:val="2F9BE0"/>
            <w:sz w:val="20"/>
            <w:szCs w:val="20"/>
          </w:rPr>
          <w:t xml:space="preserve">https://www.mintur.gob.es/Publicaciones/Publicacionesperiodicas/EconomiaIndustrial/RevistaEconomiaIndustrial/375/65.pdf</w:t>
        </w:r>
      </w:hyperlink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Dialnet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(s.f.). </w:t>
      </w:r>
      <w:r>
        <w:rPr>
          <w:b w:val="false"/>
          <w:bCs w:val="false"/>
          <w:i/>
          <w:iCs/>
          <w:sz w:val="20"/>
          <w:szCs w:val="20"/>
        </w:rPr>
        <w:t xml:space="preserve">La innovación tecnológica como factor de competitividad empresarial.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Dialnet.</w:t>
      </w:r>
      <w:r>
        <w:rPr>
          <w:sz w:val="20"/>
          <w:szCs w:val="20"/>
        </w:rPr>
        <w:t xml:space="preserve">  </w:t>
      </w:r>
      <w:hyperlink w:history="1" r:id="rIdp5c4ahwbvasdhnjyk-s7e">
        <w:r>
          <w:rPr>
            <w:rStyle w:val="Hyperlink"/>
            <w:color w:val="2F9BE0"/>
            <w:sz w:val="20"/>
            <w:szCs w:val="20"/>
          </w:rPr>
          <w:t xml:space="preserve">https://dialnet.unirioja.es/descarga/articulo/2524044.pdf</w:t>
        </w:r>
      </w:hyperlink>
    </w:p>
    <w:p>
      <w:pPr>
        <w:pStyle w:val="Heading2"/>
        <w:spacing w:after="100" w:before="220"/>
      </w:pPr>
      <w:r>
        <w:rPr>
          <w:b/>
          <w:bCs/>
          <w:color w:val="281E5D"/>
          <w:sz w:val="22"/>
          <w:szCs w:val="22"/>
        </w:rPr>
        <w:t xml:space="preserve">Unidad 5 — Previsión, prospección tecnológica y escenarios alternativos</w:t>
      </w:r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Godet, M.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(2007). </w:t>
      </w:r>
      <w:r>
        <w:rPr>
          <w:b w:val="false"/>
          <w:bCs w:val="false"/>
          <w:i/>
          <w:iCs/>
          <w:sz w:val="20"/>
          <w:szCs w:val="20"/>
        </w:rPr>
        <w:t xml:space="preserve">Prospectiva Estratégica: problemas y métodos.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Cuadernos de LIPSOR (alojado por CEPAL).</w:t>
      </w:r>
      <w:r>
        <w:rPr>
          <w:sz w:val="20"/>
          <w:szCs w:val="20"/>
        </w:rPr>
        <w:t xml:space="preserve">  </w:t>
      </w:r>
      <w:hyperlink w:history="1" r:id="rIdgpottcs254qjovrberbsz">
        <w:r>
          <w:rPr>
            <w:rStyle w:val="Hyperlink"/>
            <w:color w:val="2F9BE0"/>
            <w:sz w:val="20"/>
            <w:szCs w:val="20"/>
          </w:rPr>
          <w:t xml:space="preserve">https://archivo.cepal.org/pdfs/GuiaProspectiva/Godet2007.pdf</w:t>
        </w:r>
      </w:hyperlink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UNCTAD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(s.f.). </w:t>
      </w:r>
      <w:r>
        <w:rPr>
          <w:b w:val="false"/>
          <w:bCs w:val="false"/>
          <w:i/>
          <w:iCs/>
          <w:sz w:val="20"/>
          <w:szCs w:val="20"/>
        </w:rPr>
        <w:t xml:space="preserve">Prospectiva tecnológica y evaluación de tecnología.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UNCTAD.</w:t>
      </w:r>
      <w:r>
        <w:rPr>
          <w:sz w:val="20"/>
          <w:szCs w:val="20"/>
        </w:rPr>
        <w:t xml:space="preserve">  </w:t>
      </w:r>
      <w:hyperlink w:history="1" r:id="rIdfqxtydpyj79atawwtmi8k">
        <w:r>
          <w:rPr>
            <w:rStyle w:val="Hyperlink"/>
            <w:color w:val="2F9BE0"/>
            <w:sz w:val="20"/>
            <w:szCs w:val="20"/>
          </w:rPr>
          <w:t xml:space="preserve">https://unctad.org/system/files/official-document/ecn162025d3_es.pdf</w:t>
        </w:r>
      </w:hyperlink>
    </w:p>
    <w:p>
      <w:pPr>
        <w:pStyle w:val="Heading2"/>
        <w:spacing w:after="100" w:before="220"/>
      </w:pPr>
      <w:r>
        <w:rPr>
          <w:b/>
          <w:bCs/>
          <w:color w:val="281E5D"/>
          <w:sz w:val="22"/>
          <w:szCs w:val="22"/>
        </w:rPr>
        <w:t xml:space="preserve">Unidad 6 — Gestión de la innovación</w:t>
      </w:r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CEPAL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(s.f.). </w:t>
      </w:r>
      <w:r>
        <w:rPr>
          <w:b w:val="false"/>
          <w:bCs w:val="false"/>
          <w:i/>
          <w:iCs/>
          <w:sz w:val="20"/>
          <w:szCs w:val="20"/>
        </w:rPr>
        <w:t xml:space="preserve">Revista CEPAL (edición sobre cambio tecnológico, innovación, productividad, competitividad y planificación para el desarrollo).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CEPAL.</w:t>
      </w:r>
      <w:r>
        <w:rPr>
          <w:sz w:val="20"/>
          <w:szCs w:val="20"/>
        </w:rPr>
        <w:t xml:space="preserve">  </w:t>
      </w:r>
      <w:hyperlink w:history="1" r:id="rIdskbwjfnhexw46ou3iztpf">
        <w:r>
          <w:rPr>
            <w:rStyle w:val="Hyperlink"/>
            <w:color w:val="2F9BE0"/>
            <w:sz w:val="20"/>
            <w:szCs w:val="20"/>
          </w:rPr>
          <w:t xml:space="preserve">https://www.cepal.org/es/comunicados/revista-cepal-publica-nueva-edicion-investigaciones-cambio-tecnologico-innovacion</w:t>
        </w:r>
      </w:hyperlink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Dialnet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(s.f.). </w:t>
      </w:r>
      <w:r>
        <w:rPr>
          <w:b w:val="false"/>
          <w:bCs w:val="false"/>
          <w:i/>
          <w:iCs/>
          <w:sz w:val="20"/>
          <w:szCs w:val="20"/>
        </w:rPr>
        <w:t xml:space="preserve">La innovación y su gestión en las pymes.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Dialnet.</w:t>
      </w:r>
      <w:r>
        <w:rPr>
          <w:sz w:val="20"/>
          <w:szCs w:val="20"/>
        </w:rPr>
        <w:t xml:space="preserve">  </w:t>
      </w:r>
      <w:hyperlink w:history="1" r:id="rIdh9alh6efkpbhz4-cyc2yi">
        <w:r>
          <w:rPr>
            <w:rStyle w:val="Hyperlink"/>
            <w:color w:val="2F9BE0"/>
            <w:sz w:val="20"/>
            <w:szCs w:val="20"/>
          </w:rPr>
          <w:t xml:space="preserve">https://dialnet.unirioja.es/descarga/articulo/10209506.pdf</w:t>
        </w:r>
      </w:hyperlink>
    </w:p>
    <w:p>
      <w:pPr>
        <w:pStyle w:val="ListParagraph"/>
        <w:numPr>
          <w:ilvl w:val="0"/>
          <w:numId w:val="2"/>
        </w:numPr>
        <w:spacing w:after="140" w:line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Escorsa Castells, P. y Valls Pasola, J.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(2003). </w:t>
      </w:r>
      <w:r>
        <w:rPr>
          <w:b w:val="false"/>
          <w:bCs w:val="false"/>
          <w:i/>
          <w:iCs/>
          <w:sz w:val="20"/>
          <w:szCs w:val="20"/>
        </w:rPr>
        <w:t xml:space="preserve">Tecnología e innovación en la empresa (reutilizado de la Unidad 2).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Ediciones UPC, Barcelona.</w:t>
      </w:r>
    </w:p>
    <w:p>
      <w:pPr>
        <w:pStyle w:val="Heading1"/>
        <w:pBdr>
          <w:bottom w:val="single" w:color="281E5D" w:sz="6" w:space="4"/>
        </w:pBdr>
        <w:spacing w:after="160" w:before="320"/>
      </w:pPr>
      <w:r>
        <w:rPr>
          <w:b/>
          <w:bCs/>
          <w:color w:val="281E5D"/>
          <w:sz w:val="26"/>
          <w:szCs w:val="26"/>
        </w:rPr>
        <w:t xml:space="preserve">Observaciones generales</w:t>
      </w:r>
    </w:p>
    <w:p>
      <w:pPr>
        <w:spacing w:after="120" w:line="276"/>
      </w:pPr>
      <w:r>
        <w:rPr>
          <w:sz w:val="21"/>
          <w:szCs w:val="21"/>
        </w:rPr>
        <w:t xml:space="preserve">El estudiante debe cumplir con todas las disposiciones del Reglamento de Régimen Estudiantil de la Universidad Fidélitas.</w:t>
      </w:r>
    </w:p>
    <w:p>
      <w:pPr>
        <w:spacing w:after="120" w:line="276"/>
      </w:pPr>
      <w:r>
        <w:rPr>
          <w:sz w:val="21"/>
          <w:szCs w:val="21"/>
        </w:rPr>
        <w:t xml:space="preserve">Las competencias genéricas institucionales (CG-1 a CG-5) y las rúbricas de evaluación detalladas se mantienen sin cambios respecto al programa institucional oficial — ver fuente/Plan del curso.docx en el repositorio del curso para su detalle completo.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4rquiffjtwaemckawxlh" Type="http://schemas.openxmlformats.org/officeDocument/2006/relationships/hyperlink" Target="https://www.cepal.org/es/publicaciones/82535-panorama-politicas-desarrollo-productivo-america-latina-caribe-2025-como-salir" TargetMode="External"/><Relationship Id="rIddo_dqt8_mzprarbafsrqs" Type="http://schemas.openxmlformats.org/officeDocument/2006/relationships/hyperlink" Target="https://www.oecd.org/content/dam/oecd/es/publications/reports/2016/12/oecd-science-technology-and-innovation-outlook-2016_g1g6dae9/9789264303546-es.pdf" TargetMode="External"/><Relationship Id="rIdxi3zv-o3a5oea7tivrsbz" Type="http://schemas.openxmlformats.org/officeDocument/2006/relationships/hyperlink" Target="https://www.bancomundial.org/es/news/feature/2025/03/10/la-paradoja-de-la-innovacion-en-america-latina" TargetMode="External"/><Relationship Id="rIdsdj4q5cxleojvyujfo_x_" Type="http://schemas.openxmlformats.org/officeDocument/2006/relationships/hyperlink" Target="https://www.wipo.int/global_innovation_index/es" TargetMode="External"/><Relationship Id="rIdq6nmr1q-5aret9ybl-wn3" Type="http://schemas.openxmlformats.org/officeDocument/2006/relationships/hyperlink" Target="https://repositorio.cepal.org/handle/11362/3868" TargetMode="External"/><Relationship Id="rIdbooao3ztdubqfiyrhh0lq" Type="http://schemas.openxmlformats.org/officeDocument/2006/relationships/hyperlink" Target="https://www.oecd.org/content/dam/oecd/es/publications/reports/2013/09/start-up-latin-america_g1g30b96/9789264202320-es.pdf" TargetMode="External"/><Relationship Id="rIduhtkfnzhaoamxmaujqkc8" Type="http://schemas.openxmlformats.org/officeDocument/2006/relationships/hyperlink" Target="https://www.wipo.int/edocs/pubdocs/es/wipo_pub_450_2020.pdf" TargetMode="External"/><Relationship Id="rId0vkuubyq6wrcjhqcxct4i" Type="http://schemas.openxmlformats.org/officeDocument/2006/relationships/hyperlink" Target="https://www.wipo.int/publications/es/details.jsp?id=294" TargetMode="External"/><Relationship Id="rIdfvtyowproxshue8gdliyg" Type="http://schemas.openxmlformats.org/officeDocument/2006/relationships/hyperlink" Target="https://www.wipo.int/edocs/pubdocs/es/wipo-pub-1081-1-es-introduction-to-the-international-intellectual-property-legal-framework.pdf" TargetMode="External"/><Relationship Id="rIdbsewqn613acflf4ra1ubj" Type="http://schemas.openxmlformats.org/officeDocument/2006/relationships/hyperlink" Target="https://www.oecd.org/content/dam/oecd/es/publications/reports/2009/11/innovation-in-firms_g1g191df/9789264208322-es.pdf" TargetMode="External"/><Relationship Id="rIdsfmhfmds7vmbiq6vcp1aj" Type="http://schemas.openxmlformats.org/officeDocument/2006/relationships/hyperlink" Target="https://www.mintur.gob.es/Publicaciones/Publicacionesperiodicas/EconomiaIndustrial/RevistaEconomiaIndustrial/375/65.pdf" TargetMode="External"/><Relationship Id="rIdp5c4ahwbvasdhnjyk-s7e" Type="http://schemas.openxmlformats.org/officeDocument/2006/relationships/hyperlink" Target="https://dialnet.unirioja.es/descarga/articulo/2524044.pdf" TargetMode="External"/><Relationship Id="rIdgpottcs254qjovrberbsz" Type="http://schemas.openxmlformats.org/officeDocument/2006/relationships/hyperlink" Target="https://archivo.cepal.org/pdfs/GuiaProspectiva/Godet2007.pdf" TargetMode="External"/><Relationship Id="rIdfqxtydpyj79atawwtmi8k" Type="http://schemas.openxmlformats.org/officeDocument/2006/relationships/hyperlink" Target="https://unctad.org/system/files/official-document/ecn162025d3_es.pdf" TargetMode="External"/><Relationship Id="rIdskbwjfnhexw46ou3iztpf" Type="http://schemas.openxmlformats.org/officeDocument/2006/relationships/hyperlink" Target="https://www.cepal.org/es/comunicados/revista-cepal-publica-nueva-edicion-investigaciones-cambio-tecnologico-innovacion" TargetMode="External"/><Relationship Id="rIdh9alh6efkpbhz4-cyc2yi" Type="http://schemas.openxmlformats.org/officeDocument/2006/relationships/hyperlink" Target="https://dialnet.unirioja.es/descarga/articulo/10209506.pdf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2026-09-10T16:28:13.626Z</dcterms:created>
  <dcterms:modified xsi:type="dcterms:W3CDTF">2026-09-10T16:28:13.640Z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