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47EF2" w14:textId="0F627F92" w:rsidR="00F604C4" w:rsidRPr="00F604C4" w:rsidRDefault="00071939" w:rsidP="00D10A4C">
      <w:pPr>
        <w:pStyle w:val="NormalWeb"/>
        <w:spacing w:line="360" w:lineRule="auto"/>
        <w:rPr>
          <w:noProof/>
        </w:rPr>
      </w:pPr>
      <w:r>
        <w:rPr>
          <w:noProof/>
        </w:rPr>
        <w:drawing>
          <wp:anchor distT="0" distB="0" distL="114300" distR="114300" simplePos="0" relativeHeight="251624447" behindDoc="0" locked="0" layoutInCell="1" allowOverlap="1" wp14:anchorId="53D49EF9" wp14:editId="4EF872AD">
            <wp:simplePos x="0" y="0"/>
            <wp:positionH relativeFrom="page">
              <wp:align>left</wp:align>
            </wp:positionH>
            <wp:positionV relativeFrom="paragraph">
              <wp:posOffset>-1175219</wp:posOffset>
            </wp:positionV>
            <wp:extent cx="7768424" cy="10642688"/>
            <wp:effectExtent l="0" t="0" r="4445" b="635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68424" cy="106426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5AD57" w14:textId="6B837F71" w:rsidR="00582E93" w:rsidRPr="00582E93" w:rsidRDefault="00582E93" w:rsidP="00D10A4C">
      <w:pPr>
        <w:pStyle w:val="NormalWeb"/>
        <w:spacing w:line="360" w:lineRule="auto"/>
        <w:rPr>
          <w:noProof/>
          <w:lang w:val="es-CO"/>
        </w:rPr>
      </w:pPr>
    </w:p>
    <w:p w14:paraId="5F7F8EF1" w14:textId="5FC9BE81" w:rsidR="000A24E1" w:rsidRPr="000A24E1" w:rsidRDefault="000A24E1" w:rsidP="00D10A4C">
      <w:pPr>
        <w:pStyle w:val="NormalWeb"/>
        <w:spacing w:line="360" w:lineRule="auto"/>
        <w:rPr>
          <w:noProof/>
        </w:rPr>
      </w:pPr>
    </w:p>
    <w:p w14:paraId="0AB6E79A" w14:textId="384B0732" w:rsidR="00C07632" w:rsidRPr="00C07632" w:rsidRDefault="00C07632" w:rsidP="00D10A4C">
      <w:pPr>
        <w:pStyle w:val="NormalWeb"/>
        <w:spacing w:line="360" w:lineRule="auto"/>
        <w:rPr>
          <w:noProof/>
          <w:lang w:val="es-CO"/>
        </w:rPr>
      </w:pPr>
    </w:p>
    <w:p w14:paraId="3DFCFB5B" w14:textId="4B4ACA7B" w:rsidR="00DB0A16" w:rsidRPr="000F2595" w:rsidRDefault="00DB0A16" w:rsidP="00D10A4C">
      <w:pPr>
        <w:pStyle w:val="NormalWeb"/>
        <w:spacing w:line="360" w:lineRule="auto"/>
        <w:rPr>
          <w:noProof/>
        </w:rPr>
      </w:pPr>
    </w:p>
    <w:p w14:paraId="2B32E726" w14:textId="0B5FF8E5" w:rsidR="00EE546F" w:rsidRPr="000F2595" w:rsidRDefault="00EE546F" w:rsidP="00D10A4C">
      <w:pPr>
        <w:pStyle w:val="NormalWeb"/>
        <w:spacing w:line="360" w:lineRule="auto"/>
        <w:rPr>
          <w:noProof/>
          <w:lang w:val="es-CO"/>
        </w:rPr>
      </w:pPr>
    </w:p>
    <w:p w14:paraId="581499A6" w14:textId="6D301405" w:rsidR="001233B5" w:rsidRPr="000F2595" w:rsidRDefault="001233B5" w:rsidP="00D10A4C">
      <w:pPr>
        <w:pStyle w:val="NormalWeb"/>
        <w:spacing w:line="360" w:lineRule="auto"/>
        <w:rPr>
          <w:noProof/>
        </w:rPr>
      </w:pPr>
    </w:p>
    <w:p w14:paraId="54822A8D" w14:textId="2C9685BC" w:rsidR="004E4301" w:rsidRPr="000F2595" w:rsidRDefault="004E4301" w:rsidP="00D10A4C">
      <w:pPr>
        <w:pStyle w:val="NormalWeb"/>
        <w:spacing w:line="360" w:lineRule="auto"/>
        <w:rPr>
          <w:noProof/>
          <w:lang w:val="es-CO"/>
        </w:rPr>
      </w:pPr>
    </w:p>
    <w:p w14:paraId="78E1285E" w14:textId="2E27EEB1" w:rsidR="00053111" w:rsidRPr="000F2595" w:rsidRDefault="00053111" w:rsidP="00D10A4C">
      <w:pPr>
        <w:pStyle w:val="NormalWeb"/>
        <w:spacing w:line="360" w:lineRule="auto"/>
        <w:rPr>
          <w:noProof/>
        </w:rPr>
      </w:pPr>
    </w:p>
    <w:p w14:paraId="6F94B0C0" w14:textId="76DBC27F" w:rsidR="00620B79" w:rsidRPr="000F2595" w:rsidRDefault="00620B79" w:rsidP="00D10A4C">
      <w:pPr>
        <w:pStyle w:val="NormalWeb"/>
        <w:spacing w:line="360" w:lineRule="auto"/>
        <w:rPr>
          <w:noProof/>
          <w:lang w:val="es-CO"/>
        </w:rPr>
      </w:pPr>
    </w:p>
    <w:p w14:paraId="4AAC7F6A" w14:textId="7B806CA0" w:rsidR="009A6E7A" w:rsidRPr="000F2595" w:rsidRDefault="00D13592" w:rsidP="00D10A4C">
      <w:pPr>
        <w:pStyle w:val="NormalWeb"/>
        <w:spacing w:line="360" w:lineRule="auto"/>
        <w:rPr>
          <w:lang w:val="es-MX"/>
        </w:rPr>
      </w:pPr>
      <w:r w:rsidRPr="000F2595">
        <w:rPr>
          <w:noProof/>
          <w:lang w:val="es-MX"/>
        </w:rPr>
        <w:t xml:space="preserve"> </w:t>
      </w:r>
    </w:p>
    <w:p w14:paraId="65DDD6AA" w14:textId="3FC70E22" w:rsidR="00171A74" w:rsidRPr="000F2595" w:rsidRDefault="00171A74" w:rsidP="00D10A4C">
      <w:pPr>
        <w:pStyle w:val="NormalWeb"/>
        <w:spacing w:line="360" w:lineRule="auto"/>
        <w:rPr>
          <w:lang w:val="es-MX"/>
        </w:rPr>
      </w:pPr>
    </w:p>
    <w:p w14:paraId="07760391" w14:textId="7BBD5C90" w:rsidR="003C4DD7" w:rsidRPr="000F2595" w:rsidRDefault="003C4DD7" w:rsidP="00D10A4C">
      <w:pPr>
        <w:pBdr>
          <w:top w:val="nil"/>
          <w:left w:val="nil"/>
          <w:bottom w:val="nil"/>
          <w:right w:val="nil"/>
          <w:between w:val="nil"/>
        </w:pBdr>
        <w:spacing w:line="360" w:lineRule="auto"/>
        <w:rPr>
          <w:rFonts w:ascii="Times New Roman" w:eastAsia="Times New Roman" w:hAnsi="Times New Roman" w:cs="Times New Roman"/>
          <w:noProof/>
        </w:rPr>
      </w:pPr>
    </w:p>
    <w:p w14:paraId="09A0424A" w14:textId="56B36430" w:rsidR="001C0364" w:rsidRPr="000F2595" w:rsidRDefault="001C0364" w:rsidP="00D10A4C">
      <w:pPr>
        <w:pBdr>
          <w:top w:val="nil"/>
          <w:left w:val="nil"/>
          <w:bottom w:val="nil"/>
          <w:right w:val="nil"/>
          <w:between w:val="nil"/>
        </w:pBdr>
        <w:spacing w:line="360" w:lineRule="auto"/>
        <w:rPr>
          <w:rFonts w:ascii="Times New Roman" w:eastAsia="Times New Roman" w:hAnsi="Times New Roman" w:cs="Times New Roman"/>
          <w:noProof/>
        </w:rPr>
      </w:pPr>
    </w:p>
    <w:p w14:paraId="22584019" w14:textId="5BF4A152" w:rsidR="001C0364" w:rsidRPr="000F2595" w:rsidRDefault="001C0364" w:rsidP="00D10A4C">
      <w:pPr>
        <w:pBdr>
          <w:top w:val="nil"/>
          <w:left w:val="nil"/>
          <w:bottom w:val="nil"/>
          <w:right w:val="nil"/>
          <w:between w:val="nil"/>
        </w:pBdr>
        <w:spacing w:line="360" w:lineRule="auto"/>
        <w:rPr>
          <w:rFonts w:ascii="Times New Roman" w:eastAsia="Times New Roman" w:hAnsi="Times New Roman" w:cs="Times New Roman"/>
          <w:noProof/>
        </w:rPr>
      </w:pPr>
    </w:p>
    <w:p w14:paraId="41FBEDD1" w14:textId="54304CD0" w:rsidR="001C0364" w:rsidRPr="000F2595" w:rsidRDefault="001C0364" w:rsidP="00D10A4C">
      <w:pPr>
        <w:pBdr>
          <w:top w:val="nil"/>
          <w:left w:val="nil"/>
          <w:bottom w:val="nil"/>
          <w:right w:val="nil"/>
          <w:between w:val="nil"/>
        </w:pBdr>
        <w:spacing w:line="360" w:lineRule="auto"/>
        <w:rPr>
          <w:rFonts w:ascii="Times New Roman" w:eastAsia="Times New Roman" w:hAnsi="Times New Roman" w:cs="Times New Roman"/>
          <w:noProof/>
        </w:rPr>
      </w:pPr>
    </w:p>
    <w:p w14:paraId="27BFCBFD" w14:textId="52978DC9" w:rsidR="001C0364" w:rsidRPr="000F2595" w:rsidRDefault="001C0364" w:rsidP="00D10A4C">
      <w:pPr>
        <w:pBdr>
          <w:top w:val="nil"/>
          <w:left w:val="nil"/>
          <w:bottom w:val="nil"/>
          <w:right w:val="nil"/>
          <w:between w:val="nil"/>
        </w:pBdr>
        <w:spacing w:line="360" w:lineRule="auto"/>
        <w:rPr>
          <w:rFonts w:ascii="Times New Roman" w:eastAsia="Times New Roman" w:hAnsi="Times New Roman" w:cs="Times New Roman"/>
          <w:noProof/>
        </w:rPr>
      </w:pPr>
    </w:p>
    <w:p w14:paraId="486C5826" w14:textId="60A1159B" w:rsidR="001C0364" w:rsidRPr="000F2595" w:rsidRDefault="001C0364" w:rsidP="00D10A4C">
      <w:pPr>
        <w:pBdr>
          <w:top w:val="nil"/>
          <w:left w:val="nil"/>
          <w:bottom w:val="nil"/>
          <w:right w:val="nil"/>
          <w:between w:val="nil"/>
        </w:pBdr>
        <w:spacing w:line="360" w:lineRule="auto"/>
        <w:rPr>
          <w:rFonts w:ascii="Times New Roman" w:eastAsia="Times New Roman" w:hAnsi="Times New Roman" w:cs="Times New Roman"/>
          <w:noProof/>
        </w:rPr>
      </w:pPr>
    </w:p>
    <w:p w14:paraId="311A7ECF" w14:textId="1394979C" w:rsidR="001C0364" w:rsidRPr="000F2595" w:rsidRDefault="001C0364" w:rsidP="00D10A4C">
      <w:pPr>
        <w:pBdr>
          <w:top w:val="nil"/>
          <w:left w:val="nil"/>
          <w:bottom w:val="nil"/>
          <w:right w:val="nil"/>
          <w:between w:val="nil"/>
        </w:pBdr>
        <w:spacing w:line="360" w:lineRule="auto"/>
        <w:rPr>
          <w:rFonts w:ascii="Times New Roman" w:eastAsia="Times New Roman" w:hAnsi="Times New Roman" w:cs="Times New Roman"/>
          <w:noProof/>
        </w:rPr>
      </w:pPr>
    </w:p>
    <w:p w14:paraId="1881699F" w14:textId="1419437C" w:rsidR="001C0364" w:rsidRPr="000F2595" w:rsidRDefault="001C0364" w:rsidP="00D10A4C">
      <w:pPr>
        <w:pBdr>
          <w:top w:val="nil"/>
          <w:left w:val="nil"/>
          <w:bottom w:val="nil"/>
          <w:right w:val="nil"/>
          <w:between w:val="nil"/>
        </w:pBdr>
        <w:spacing w:line="360" w:lineRule="auto"/>
        <w:rPr>
          <w:rFonts w:ascii="Times New Roman" w:eastAsia="Times New Roman" w:hAnsi="Times New Roman" w:cs="Times New Roman"/>
          <w:noProof/>
        </w:rPr>
      </w:pPr>
    </w:p>
    <w:p w14:paraId="063A0729" w14:textId="5BFF9869" w:rsidR="001C0364" w:rsidRPr="000F2595" w:rsidRDefault="00733A87" w:rsidP="00D10A4C">
      <w:pPr>
        <w:pBdr>
          <w:top w:val="nil"/>
          <w:left w:val="nil"/>
          <w:bottom w:val="nil"/>
          <w:right w:val="nil"/>
          <w:between w:val="nil"/>
        </w:pBdr>
        <w:spacing w:line="360" w:lineRule="auto"/>
        <w:rPr>
          <w:rFonts w:ascii="Times New Roman" w:eastAsia="Times New Roman" w:hAnsi="Times New Roman" w:cs="Times New Roman"/>
          <w:noProof/>
        </w:rPr>
      </w:pPr>
      <w:r>
        <w:rPr>
          <w:rFonts w:ascii="Times New Roman" w:eastAsia="Times New Roman" w:hAnsi="Times New Roman" w:cs="Times New Roman"/>
          <w:noProof/>
        </w:rPr>
        <w:drawing>
          <wp:anchor distT="0" distB="0" distL="114300" distR="114300" simplePos="0" relativeHeight="251711488" behindDoc="0" locked="0" layoutInCell="1" allowOverlap="1" wp14:anchorId="4DBE8CBD" wp14:editId="2E3A9EBE">
            <wp:simplePos x="0" y="0"/>
            <wp:positionH relativeFrom="margin">
              <wp:posOffset>1946275</wp:posOffset>
            </wp:positionH>
            <wp:positionV relativeFrom="paragraph">
              <wp:posOffset>126365</wp:posOffset>
            </wp:positionV>
            <wp:extent cx="1460500" cy="684858"/>
            <wp:effectExtent l="0" t="0" r="6350" b="1270"/>
            <wp:wrapNone/>
            <wp:docPr id="77444887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8879" name="Imagen 7744488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0500" cy="684858"/>
                    </a:xfrm>
                    <a:prstGeom prst="rect">
                      <a:avLst/>
                    </a:prstGeom>
                  </pic:spPr>
                </pic:pic>
              </a:graphicData>
            </a:graphic>
            <wp14:sizeRelH relativeFrom="margin">
              <wp14:pctWidth>0</wp14:pctWidth>
            </wp14:sizeRelH>
            <wp14:sizeRelV relativeFrom="margin">
              <wp14:pctHeight>0</wp14:pctHeight>
            </wp14:sizeRelV>
          </wp:anchor>
        </w:drawing>
      </w:r>
    </w:p>
    <w:p w14:paraId="6D92590B" w14:textId="28E5BF88" w:rsidR="001C0364" w:rsidRPr="000F2595" w:rsidRDefault="001C0364" w:rsidP="00D10A4C">
      <w:pPr>
        <w:pBdr>
          <w:top w:val="nil"/>
          <w:left w:val="nil"/>
          <w:bottom w:val="nil"/>
          <w:right w:val="nil"/>
          <w:between w:val="nil"/>
        </w:pBdr>
        <w:spacing w:line="360" w:lineRule="auto"/>
        <w:rPr>
          <w:rFonts w:ascii="Times New Roman" w:eastAsia="Times New Roman" w:hAnsi="Times New Roman" w:cs="Times New Roman"/>
          <w:noProof/>
        </w:rPr>
      </w:pPr>
    </w:p>
    <w:tbl>
      <w:tblPr>
        <w:tblStyle w:val="Tablaconcuadrcula"/>
        <w:tblpPr w:leftFromText="141" w:rightFromText="141" w:vertAnchor="page" w:horzAnchor="margin" w:tblpY="1603"/>
        <w:tblW w:w="8939" w:type="dxa"/>
        <w:shd w:val="clear" w:color="auto" w:fill="F2F2F2" w:themeFill="background1" w:themeFillShade="F2"/>
        <w:tblLook w:val="04A0" w:firstRow="1" w:lastRow="0" w:firstColumn="1" w:lastColumn="0" w:noHBand="0" w:noVBand="1"/>
      </w:tblPr>
      <w:tblGrid>
        <w:gridCol w:w="8939"/>
      </w:tblGrid>
      <w:tr w:rsidR="00D870BA" w14:paraId="77D81D2E" w14:textId="77777777" w:rsidTr="00D870BA">
        <w:trPr>
          <w:trHeight w:val="667"/>
        </w:trPr>
        <w:tc>
          <w:tcPr>
            <w:tcW w:w="8939" w:type="dxa"/>
            <w:shd w:val="clear" w:color="auto" w:fill="F2F2F2" w:themeFill="background1" w:themeFillShade="F2"/>
            <w:vAlign w:val="center"/>
          </w:tcPr>
          <w:p w14:paraId="42855B02" w14:textId="3D48DD1F" w:rsidR="00D870BA" w:rsidRPr="0050494D" w:rsidRDefault="00D870BA" w:rsidP="00D10A4C">
            <w:pPr>
              <w:pStyle w:val="Sinespaciado"/>
              <w:spacing w:line="360" w:lineRule="auto"/>
              <w:jc w:val="center"/>
              <w:rPr>
                <w:rFonts w:ascii="Century Gothic" w:hAnsi="Century Gothic" w:cs="Times New Roman"/>
                <w:b/>
                <w:bCs/>
              </w:rPr>
            </w:pPr>
            <w:r w:rsidRPr="0050494D">
              <w:rPr>
                <w:rFonts w:ascii="Century Gothic" w:hAnsi="Century Gothic" w:cs="Times New Roman"/>
                <w:b/>
                <w:bCs/>
              </w:rPr>
              <w:t xml:space="preserve">ANÁLISIS DEL COMPORTAMIENTO DE INGRESOS Y GASTO </w:t>
            </w:r>
          </w:p>
          <w:p w14:paraId="11013EEF" w14:textId="37997266" w:rsidR="00D870BA" w:rsidRPr="008C6503" w:rsidRDefault="00D870BA" w:rsidP="00D10A4C">
            <w:pPr>
              <w:pStyle w:val="Sinespaciado"/>
              <w:spacing w:line="360" w:lineRule="auto"/>
              <w:jc w:val="center"/>
              <w:rPr>
                <w:rFonts w:ascii="Century Gothic" w:hAnsi="Century Gothic" w:cs="Times New Roman"/>
                <w:b/>
                <w:bCs/>
              </w:rPr>
            </w:pPr>
            <w:r w:rsidRPr="0050494D">
              <w:rPr>
                <w:rFonts w:ascii="Century Gothic" w:hAnsi="Century Gothic" w:cs="Times New Roman"/>
                <w:b/>
                <w:bCs/>
              </w:rPr>
              <w:t xml:space="preserve">CON CORTE </w:t>
            </w:r>
            <w:r w:rsidR="006B6AFD">
              <w:rPr>
                <w:rFonts w:ascii="Century Gothic" w:hAnsi="Century Gothic" w:cs="Times New Roman"/>
                <w:b/>
                <w:bCs/>
              </w:rPr>
              <w:t>30 DE ABRIL</w:t>
            </w:r>
            <w:r w:rsidR="0023646A">
              <w:rPr>
                <w:rFonts w:ascii="Century Gothic" w:hAnsi="Century Gothic" w:cs="Times New Roman"/>
                <w:b/>
                <w:bCs/>
              </w:rPr>
              <w:t xml:space="preserve"> DE 2026</w:t>
            </w:r>
          </w:p>
        </w:tc>
      </w:tr>
    </w:tbl>
    <w:p w14:paraId="5BD8FE08" w14:textId="2E96664E" w:rsidR="00604E07" w:rsidRPr="00604E07" w:rsidRDefault="00604E07" w:rsidP="00D10A4C">
      <w:pPr>
        <w:spacing w:line="360" w:lineRule="auto"/>
        <w:jc w:val="both"/>
        <w:rPr>
          <w:rFonts w:ascii="Century Gothic" w:hAnsi="Century Gothic" w:cs="Times New Roman"/>
          <w:b/>
          <w:bCs/>
        </w:rPr>
      </w:pPr>
      <w:r w:rsidRPr="00604E07">
        <w:rPr>
          <w:rFonts w:ascii="Century Gothic" w:hAnsi="Century Gothic" w:cs="Times New Roman"/>
          <w:b/>
          <w:bCs/>
        </w:rPr>
        <w:t>RESUMEN EJECUTIVO</w:t>
      </w:r>
    </w:p>
    <w:p w14:paraId="51DC59A5" w14:textId="0286D0F2" w:rsidR="00C04FC0" w:rsidRDefault="00C04FC0" w:rsidP="00D10A4C">
      <w:pPr>
        <w:spacing w:after="0" w:line="360" w:lineRule="auto"/>
        <w:jc w:val="both"/>
        <w:rPr>
          <w:rStyle w:val="wdyuqq"/>
          <w:rFonts w:ascii="Century Gothic" w:hAnsi="Century Gothic" w:cs="Times New Roman"/>
        </w:rPr>
      </w:pPr>
      <w:r w:rsidRPr="00C04FC0">
        <w:rPr>
          <w:rStyle w:val="wdyuqq"/>
          <w:rFonts w:ascii="Century Gothic" w:hAnsi="Century Gothic" w:cs="Times New Roman"/>
        </w:rPr>
        <w:t xml:space="preserve">El presente informe tiene como propósito analizar el comportamiento financiero de la Universidad Pedagógica y Tecnológica de Colombia (UPTC) con corte al </w:t>
      </w:r>
      <w:r w:rsidR="006B6AFD">
        <w:rPr>
          <w:rStyle w:val="wdyuqq"/>
          <w:rFonts w:ascii="Century Gothic" w:hAnsi="Century Gothic" w:cs="Times New Roman"/>
          <w:b/>
          <w:bCs/>
        </w:rPr>
        <w:t xml:space="preserve">30 de abril </w:t>
      </w:r>
      <w:r w:rsidR="0023646A">
        <w:rPr>
          <w:rStyle w:val="wdyuqq"/>
          <w:rFonts w:ascii="Century Gothic" w:hAnsi="Century Gothic" w:cs="Times New Roman"/>
          <w:b/>
          <w:bCs/>
        </w:rPr>
        <w:t>de 2026</w:t>
      </w:r>
      <w:r w:rsidRPr="00C04FC0">
        <w:rPr>
          <w:rStyle w:val="wdyuqq"/>
          <w:rFonts w:ascii="Century Gothic" w:hAnsi="Century Gothic" w:cs="Times New Roman"/>
        </w:rPr>
        <w:t>.</w:t>
      </w:r>
      <w:r>
        <w:rPr>
          <w:rStyle w:val="wdyuqq"/>
          <w:rFonts w:ascii="Century Gothic" w:hAnsi="Century Gothic" w:cs="Times New Roman"/>
        </w:rPr>
        <w:t xml:space="preserve"> </w:t>
      </w:r>
      <w:r w:rsidR="00F77921">
        <w:rPr>
          <w:rStyle w:val="wdyuqq"/>
          <w:rFonts w:ascii="Century Gothic" w:hAnsi="Century Gothic" w:cs="Times New Roman"/>
        </w:rPr>
        <w:t>Se</w:t>
      </w:r>
      <w:r w:rsidRPr="00C04FC0">
        <w:rPr>
          <w:rStyle w:val="wdyuqq"/>
          <w:rFonts w:ascii="Century Gothic" w:hAnsi="Century Gothic" w:cs="Times New Roman"/>
        </w:rPr>
        <w:t xml:space="preserve"> examina la incorporación </w:t>
      </w:r>
      <w:r w:rsidR="00F1002D">
        <w:rPr>
          <w:rStyle w:val="wdyuqq"/>
          <w:rFonts w:ascii="Century Gothic" w:hAnsi="Century Gothic" w:cs="Times New Roman"/>
        </w:rPr>
        <w:t>y</w:t>
      </w:r>
      <w:r w:rsidR="00B76830">
        <w:rPr>
          <w:rStyle w:val="wdyuqq"/>
          <w:rFonts w:ascii="Century Gothic" w:hAnsi="Century Gothic" w:cs="Times New Roman"/>
        </w:rPr>
        <w:t xml:space="preserve"> apropiación</w:t>
      </w:r>
      <w:r w:rsidRPr="00C04FC0">
        <w:rPr>
          <w:rStyle w:val="wdyuqq"/>
          <w:rFonts w:ascii="Century Gothic" w:hAnsi="Century Gothic" w:cs="Times New Roman"/>
        </w:rPr>
        <w:t xml:space="preserve"> de los rubros de gasto conforme a lo establecido en los catálogos presupuestales No. 14 y 15.</w:t>
      </w:r>
    </w:p>
    <w:p w14:paraId="0D86F3FC" w14:textId="77777777" w:rsidR="00C04FC0" w:rsidRPr="00C04FC0" w:rsidRDefault="00C04FC0" w:rsidP="00D10A4C">
      <w:pPr>
        <w:spacing w:after="0" w:line="360" w:lineRule="auto"/>
        <w:jc w:val="both"/>
        <w:rPr>
          <w:rStyle w:val="wdyuqq"/>
          <w:rFonts w:ascii="Century Gothic" w:hAnsi="Century Gothic" w:cs="Times New Roman"/>
        </w:rPr>
      </w:pPr>
    </w:p>
    <w:p w14:paraId="3DC3712A" w14:textId="0DD920A4" w:rsidR="003753FB" w:rsidRPr="00BE7F08" w:rsidRDefault="003753FB" w:rsidP="00D10A4C">
      <w:pPr>
        <w:spacing w:line="360" w:lineRule="auto"/>
        <w:jc w:val="both"/>
        <w:rPr>
          <w:rFonts w:ascii="Century Gothic" w:hAnsi="Century Gothic" w:cs="Times New Roman"/>
          <w:b/>
          <w:bCs/>
        </w:rPr>
      </w:pPr>
      <w:r w:rsidRPr="00BE7F08">
        <w:rPr>
          <w:rFonts w:ascii="Century Gothic" w:hAnsi="Century Gothic" w:cs="Times New Roman"/>
          <w:b/>
          <w:bCs/>
        </w:rPr>
        <w:t>METODOLOGÍA DE ANÁLISIS</w:t>
      </w:r>
    </w:p>
    <w:p w14:paraId="7D9DB40F" w14:textId="452D8ADA" w:rsidR="008828B8" w:rsidRPr="008828B8" w:rsidRDefault="008828B8" w:rsidP="00D10A4C">
      <w:pPr>
        <w:spacing w:line="360" w:lineRule="auto"/>
        <w:jc w:val="both"/>
        <w:rPr>
          <w:rFonts w:ascii="Century Gothic" w:hAnsi="Century Gothic" w:cs="Times New Roman"/>
        </w:rPr>
      </w:pPr>
      <w:r w:rsidRPr="008828B8">
        <w:rPr>
          <w:rFonts w:ascii="Century Gothic" w:hAnsi="Century Gothic" w:cs="Times New Roman"/>
        </w:rPr>
        <w:t>Una vez consolidados los registros de ingresos y gastos de UPTC, se procede a su clasificación y organización conforme a las categorías definidas en el Catálogo Presupuestal vigente. Este proceso permite estructurar la información financiera de manera homogénea y facilitar su análisis.</w:t>
      </w:r>
    </w:p>
    <w:p w14:paraId="0F0D806B" w14:textId="4E3304E4" w:rsidR="008828B8" w:rsidRPr="008828B8" w:rsidRDefault="008828B8" w:rsidP="00D10A4C">
      <w:pPr>
        <w:spacing w:line="360" w:lineRule="auto"/>
        <w:jc w:val="both"/>
        <w:rPr>
          <w:rFonts w:ascii="Century Gothic" w:hAnsi="Century Gothic" w:cs="Times New Roman"/>
        </w:rPr>
      </w:pPr>
      <w:r w:rsidRPr="008828B8">
        <w:rPr>
          <w:rFonts w:ascii="Century Gothic" w:hAnsi="Century Gothic" w:cs="Times New Roman"/>
        </w:rPr>
        <w:t xml:space="preserve">Los ingresos se asignan a los conceptos correspondientes según el tipo de recurso, mientras que los gastos se agrupan en los rubros de Gastos de Personal, Gastos de Funcionamiento e Inversión. Posteriormente, se realiza un análisis de cada componente, teniendo en cuenta la unidad ejecutora y </w:t>
      </w:r>
      <w:r w:rsidR="00B76830">
        <w:rPr>
          <w:rFonts w:ascii="Century Gothic" w:hAnsi="Century Gothic" w:cs="Times New Roman"/>
        </w:rPr>
        <w:t>el recurso</w:t>
      </w:r>
      <w:r w:rsidRPr="008828B8">
        <w:rPr>
          <w:rFonts w:ascii="Century Gothic" w:hAnsi="Century Gothic" w:cs="Times New Roman"/>
        </w:rPr>
        <w:t xml:space="preserve"> fuente de financiación asociad</w:t>
      </w:r>
      <w:r w:rsidR="00B76830">
        <w:rPr>
          <w:rFonts w:ascii="Century Gothic" w:hAnsi="Century Gothic" w:cs="Times New Roman"/>
        </w:rPr>
        <w:t>o</w:t>
      </w:r>
      <w:r w:rsidRPr="008828B8">
        <w:rPr>
          <w:rFonts w:ascii="Century Gothic" w:hAnsi="Century Gothic" w:cs="Times New Roman"/>
        </w:rPr>
        <w:t>, lo cual permite una adecuada interpretación del comportamiento financiero institucional.</w:t>
      </w:r>
    </w:p>
    <w:p w14:paraId="7FDFA745" w14:textId="5AE26999" w:rsidR="008828B8" w:rsidRPr="008828B8" w:rsidRDefault="008828B8" w:rsidP="00D10A4C">
      <w:pPr>
        <w:spacing w:line="360" w:lineRule="auto"/>
        <w:jc w:val="both"/>
        <w:rPr>
          <w:rFonts w:ascii="Century Gothic" w:hAnsi="Century Gothic" w:cs="Times New Roman"/>
        </w:rPr>
      </w:pPr>
      <w:r w:rsidRPr="008828B8">
        <w:rPr>
          <w:rFonts w:ascii="Century Gothic" w:hAnsi="Century Gothic" w:cs="Times New Roman"/>
        </w:rPr>
        <w:t>La información financiera se clasifica bajo la estructura del Catálogo Presupuestal, considerando los siguientes criterios:</w:t>
      </w:r>
    </w:p>
    <w:p w14:paraId="07584321" w14:textId="56B64AFD" w:rsidR="008828B8" w:rsidRPr="008828B8" w:rsidRDefault="008828B8" w:rsidP="00D10A4C">
      <w:pPr>
        <w:pStyle w:val="Prrafodelista"/>
        <w:numPr>
          <w:ilvl w:val="0"/>
          <w:numId w:val="6"/>
        </w:numPr>
        <w:spacing w:line="360" w:lineRule="auto"/>
        <w:jc w:val="both"/>
        <w:rPr>
          <w:rFonts w:ascii="Century Gothic" w:hAnsi="Century Gothic" w:cs="Times New Roman"/>
        </w:rPr>
      </w:pPr>
      <w:r w:rsidRPr="008828B8">
        <w:rPr>
          <w:rFonts w:ascii="Century Gothic" w:hAnsi="Century Gothic" w:cs="Times New Roman"/>
        </w:rPr>
        <w:t>Ingresos: Identificados bajo 1</w:t>
      </w:r>
      <w:r w:rsidR="002B0177">
        <w:rPr>
          <w:rFonts w:ascii="Century Gothic" w:hAnsi="Century Gothic" w:cs="Times New Roman"/>
        </w:rPr>
        <w:t>8</w:t>
      </w:r>
      <w:r w:rsidRPr="008828B8">
        <w:rPr>
          <w:rFonts w:ascii="Century Gothic" w:hAnsi="Century Gothic" w:cs="Times New Roman"/>
        </w:rPr>
        <w:t xml:space="preserve"> tipos de recursos, excluyendo para este consolidado los correspondientes a Regalías (R15</w:t>
      </w:r>
      <w:r w:rsidR="00C97192">
        <w:rPr>
          <w:rFonts w:ascii="Century Gothic" w:hAnsi="Century Gothic" w:cs="Times New Roman"/>
        </w:rPr>
        <w:t>, SSF)</w:t>
      </w:r>
      <w:r w:rsidRPr="008828B8">
        <w:rPr>
          <w:rFonts w:ascii="Century Gothic" w:hAnsi="Century Gothic" w:cs="Times New Roman"/>
        </w:rPr>
        <w:t xml:space="preserve"> y UNISALUD (R50).</w:t>
      </w:r>
    </w:p>
    <w:p w14:paraId="7B923E56" w14:textId="5AFFFD82" w:rsidR="008828B8" w:rsidRPr="008828B8" w:rsidRDefault="008828B8" w:rsidP="00D10A4C">
      <w:pPr>
        <w:pStyle w:val="Prrafodelista"/>
        <w:numPr>
          <w:ilvl w:val="0"/>
          <w:numId w:val="6"/>
        </w:numPr>
        <w:spacing w:line="360" w:lineRule="auto"/>
        <w:jc w:val="both"/>
        <w:rPr>
          <w:rFonts w:ascii="Century Gothic" w:hAnsi="Century Gothic" w:cs="Times New Roman"/>
        </w:rPr>
      </w:pPr>
      <w:r w:rsidRPr="008828B8">
        <w:rPr>
          <w:rFonts w:ascii="Century Gothic" w:hAnsi="Century Gothic" w:cs="Times New Roman"/>
        </w:rPr>
        <w:t>Gastos: Agrupados en Gastos de Personal, Gastos de Funcionamiento e Inversión.</w:t>
      </w:r>
    </w:p>
    <w:p w14:paraId="2EB64394" w14:textId="0A48F22B" w:rsidR="003C4DD7" w:rsidRPr="008828B8" w:rsidRDefault="008828B8" w:rsidP="00D10A4C">
      <w:pPr>
        <w:pStyle w:val="Prrafodelista"/>
        <w:numPr>
          <w:ilvl w:val="0"/>
          <w:numId w:val="6"/>
        </w:numPr>
        <w:spacing w:line="360" w:lineRule="auto"/>
        <w:jc w:val="both"/>
        <w:rPr>
          <w:rStyle w:val="wdyuqq"/>
          <w:rFonts w:ascii="Century Gothic" w:hAnsi="Century Gothic" w:cs="Times New Roman"/>
        </w:rPr>
      </w:pPr>
      <w:r w:rsidRPr="008828B8">
        <w:rPr>
          <w:rFonts w:ascii="Century Gothic" w:hAnsi="Century Gothic" w:cs="Times New Roman"/>
        </w:rPr>
        <w:t>Procesamiento de la información: Los datos son extraídos del sistema GOOBI, lo que garantiza la trazabilidad entre el aforo inicial y el recaudo efectivo, así como la consistencia de los registros presupuestales y financieros.</w:t>
      </w:r>
    </w:p>
    <w:tbl>
      <w:tblPr>
        <w:tblStyle w:val="Tablaconcuadrcula"/>
        <w:tblW w:w="8890" w:type="dxa"/>
        <w:shd w:val="clear" w:color="auto" w:fill="F2F2F2" w:themeFill="background1" w:themeFillShade="F2"/>
        <w:tblLook w:val="04A0" w:firstRow="1" w:lastRow="0" w:firstColumn="1" w:lastColumn="0" w:noHBand="0" w:noVBand="1"/>
      </w:tblPr>
      <w:tblGrid>
        <w:gridCol w:w="8890"/>
      </w:tblGrid>
      <w:tr w:rsidR="00C26B7F" w14:paraId="594517E8" w14:textId="77777777" w:rsidTr="00D870BA">
        <w:trPr>
          <w:trHeight w:val="452"/>
        </w:trPr>
        <w:tc>
          <w:tcPr>
            <w:tcW w:w="8890" w:type="dxa"/>
            <w:shd w:val="clear" w:color="auto" w:fill="F2F2F2" w:themeFill="background1" w:themeFillShade="F2"/>
            <w:vAlign w:val="center"/>
          </w:tcPr>
          <w:p w14:paraId="5CDE5A8F" w14:textId="77662237" w:rsidR="00C26B7F" w:rsidRPr="008C6503" w:rsidRDefault="008C6503" w:rsidP="00D10A4C">
            <w:pPr>
              <w:pStyle w:val="Sinespaciado"/>
              <w:spacing w:line="360" w:lineRule="auto"/>
              <w:jc w:val="center"/>
              <w:rPr>
                <w:rFonts w:ascii="Century Gothic" w:hAnsi="Century Gothic" w:cs="Times New Roman"/>
                <w:b/>
                <w:bCs/>
              </w:rPr>
            </w:pPr>
            <w:r w:rsidRPr="008C6503">
              <w:rPr>
                <w:rFonts w:ascii="Century Gothic" w:hAnsi="Century Gothic" w:cs="Times New Roman"/>
                <w:b/>
                <w:bCs/>
              </w:rPr>
              <w:lastRenderedPageBreak/>
              <w:t>ANÁLISIS DE INGRESOS</w:t>
            </w:r>
          </w:p>
        </w:tc>
      </w:tr>
    </w:tbl>
    <w:p w14:paraId="35AFC2DE" w14:textId="77777777" w:rsidR="00D870BA" w:rsidRDefault="00D870BA" w:rsidP="00D10A4C">
      <w:pPr>
        <w:pStyle w:val="Sinespaciado"/>
        <w:spacing w:line="360" w:lineRule="auto"/>
      </w:pPr>
    </w:p>
    <w:p w14:paraId="522C520B" w14:textId="6F9C659E" w:rsidR="00060B3B" w:rsidRDefault="00060B3B" w:rsidP="00D10A4C">
      <w:pPr>
        <w:pStyle w:val="Sinespaciado"/>
        <w:spacing w:line="360" w:lineRule="auto"/>
        <w:rPr>
          <w:rFonts w:ascii="Century Gothic" w:hAnsi="Century Gothic" w:cs="Times New Roman"/>
        </w:rPr>
      </w:pPr>
      <w:r w:rsidRPr="00D870BA">
        <w:rPr>
          <w:rFonts w:ascii="Century Gothic" w:hAnsi="Century Gothic" w:cs="Times New Roman"/>
        </w:rPr>
        <w:t xml:space="preserve">A continuación, se presenta el análisis comparativo entre el aforo y el recaudo, clasificado por tipo de recurso, con corte al </w:t>
      </w:r>
      <w:r w:rsidR="006B6AFD">
        <w:rPr>
          <w:rFonts w:ascii="Century Gothic" w:hAnsi="Century Gothic" w:cs="Times New Roman"/>
          <w:b/>
          <w:bCs/>
        </w:rPr>
        <w:t>30 de abril</w:t>
      </w:r>
      <w:r w:rsidRPr="00D870BA">
        <w:rPr>
          <w:rFonts w:ascii="Century Gothic" w:hAnsi="Century Gothic" w:cs="Times New Roman"/>
        </w:rPr>
        <w:t>.</w:t>
      </w:r>
    </w:p>
    <w:p w14:paraId="57536D96" w14:textId="571AEEFD" w:rsidR="009D26BE" w:rsidRPr="009D26BE" w:rsidRDefault="009D26BE" w:rsidP="009D26BE">
      <w:pPr>
        <w:spacing w:line="360" w:lineRule="auto"/>
        <w:jc w:val="both"/>
        <w:rPr>
          <w:rFonts w:ascii="Century Gothic" w:hAnsi="Century Gothic" w:cs="Times New Roman"/>
        </w:rPr>
      </w:pPr>
      <w:r w:rsidRPr="009D26BE">
        <w:rPr>
          <w:rFonts w:ascii="Century Gothic" w:hAnsi="Century Gothic" w:cs="Times New Roman"/>
        </w:rPr>
        <w:t xml:space="preserve">El recaudo total de la Universidad Pedagógica y Tecnológica de Colombia asciende a </w:t>
      </w:r>
      <w:r w:rsidRPr="009D26BE">
        <w:rPr>
          <w:rFonts w:ascii="Century Gothic" w:hAnsi="Century Gothic" w:cs="Times New Roman"/>
          <w:b/>
          <w:bCs/>
        </w:rPr>
        <w:t>$</w:t>
      </w:r>
      <w:r w:rsidR="00B45A24">
        <w:rPr>
          <w:rFonts w:ascii="Century Gothic" w:hAnsi="Century Gothic" w:cs="Times New Roman"/>
          <w:b/>
          <w:bCs/>
        </w:rPr>
        <w:t>1</w:t>
      </w:r>
      <w:r w:rsidR="00382EE1">
        <w:rPr>
          <w:rFonts w:ascii="Century Gothic" w:hAnsi="Century Gothic" w:cs="Times New Roman"/>
          <w:b/>
          <w:bCs/>
        </w:rPr>
        <w:t>99.213,3</w:t>
      </w:r>
      <w:r w:rsidRPr="009D26BE">
        <w:rPr>
          <w:rFonts w:ascii="Century Gothic" w:hAnsi="Century Gothic" w:cs="Times New Roman"/>
          <w:b/>
          <w:bCs/>
        </w:rPr>
        <w:t xml:space="preserve"> millones</w:t>
      </w:r>
      <w:r w:rsidRPr="009D26BE">
        <w:rPr>
          <w:rFonts w:ascii="Century Gothic" w:hAnsi="Century Gothic" w:cs="Times New Roman"/>
        </w:rPr>
        <w:t xml:space="preserve">, lo que representa una ejecución del </w:t>
      </w:r>
      <w:r w:rsidR="00DA7DB8">
        <w:rPr>
          <w:rFonts w:ascii="Century Gothic" w:hAnsi="Century Gothic" w:cs="Times New Roman"/>
          <w:b/>
          <w:bCs/>
        </w:rPr>
        <w:t>3</w:t>
      </w:r>
      <w:r w:rsidR="00382EE1">
        <w:rPr>
          <w:rFonts w:ascii="Century Gothic" w:hAnsi="Century Gothic" w:cs="Times New Roman"/>
          <w:b/>
          <w:bCs/>
        </w:rPr>
        <w:t>7,8</w:t>
      </w:r>
      <w:r w:rsidRPr="009D26BE">
        <w:rPr>
          <w:rFonts w:ascii="Century Gothic" w:hAnsi="Century Gothic" w:cs="Times New Roman"/>
          <w:b/>
          <w:bCs/>
        </w:rPr>
        <w:t xml:space="preserve"> %</w:t>
      </w:r>
      <w:r w:rsidRPr="009D26BE">
        <w:rPr>
          <w:rFonts w:ascii="Century Gothic" w:hAnsi="Century Gothic" w:cs="Times New Roman"/>
        </w:rPr>
        <w:t xml:space="preserve"> frente al presupuesto aforado de </w:t>
      </w:r>
      <w:r w:rsidRPr="009D26BE">
        <w:rPr>
          <w:rFonts w:ascii="Century Gothic" w:hAnsi="Century Gothic" w:cs="Times New Roman"/>
          <w:b/>
          <w:bCs/>
        </w:rPr>
        <w:t>$52</w:t>
      </w:r>
      <w:r w:rsidR="00382EE1">
        <w:rPr>
          <w:rFonts w:ascii="Century Gothic" w:hAnsi="Century Gothic" w:cs="Times New Roman"/>
          <w:b/>
          <w:bCs/>
        </w:rPr>
        <w:t>6.515,1</w:t>
      </w:r>
      <w:r w:rsidRPr="009D26BE">
        <w:rPr>
          <w:rFonts w:ascii="Century Gothic" w:hAnsi="Century Gothic" w:cs="Times New Roman"/>
          <w:b/>
          <w:bCs/>
        </w:rPr>
        <w:t xml:space="preserve"> millones</w:t>
      </w:r>
      <w:r w:rsidRPr="009D26BE">
        <w:rPr>
          <w:rFonts w:ascii="Century Gothic" w:hAnsi="Century Gothic" w:cs="Times New Roman"/>
        </w:rPr>
        <w:t>.</w:t>
      </w:r>
    </w:p>
    <w:p w14:paraId="1DB2809F" w14:textId="6072495F" w:rsidR="009D26BE" w:rsidRDefault="009D26BE" w:rsidP="009D26BE">
      <w:pPr>
        <w:spacing w:line="360" w:lineRule="auto"/>
        <w:jc w:val="both"/>
        <w:rPr>
          <w:rFonts w:ascii="Century Gothic" w:hAnsi="Century Gothic" w:cs="Times New Roman"/>
        </w:rPr>
      </w:pPr>
      <w:r w:rsidRPr="009D26BE">
        <w:rPr>
          <w:rFonts w:ascii="Century Gothic" w:hAnsi="Century Gothic" w:cs="Times New Roman"/>
        </w:rPr>
        <w:t xml:space="preserve">Del total recaudado, </w:t>
      </w:r>
      <w:r w:rsidRPr="009D26BE">
        <w:rPr>
          <w:rFonts w:ascii="Century Gothic" w:hAnsi="Century Gothic" w:cs="Times New Roman"/>
          <w:b/>
          <w:bCs/>
        </w:rPr>
        <w:t>$2</w:t>
      </w:r>
      <w:r w:rsidR="00C84C42">
        <w:rPr>
          <w:rFonts w:ascii="Century Gothic" w:hAnsi="Century Gothic" w:cs="Times New Roman"/>
          <w:b/>
          <w:bCs/>
        </w:rPr>
        <w:t>5.</w:t>
      </w:r>
      <w:r w:rsidR="006E5776">
        <w:rPr>
          <w:rFonts w:ascii="Century Gothic" w:hAnsi="Century Gothic" w:cs="Times New Roman"/>
          <w:b/>
          <w:bCs/>
        </w:rPr>
        <w:t>958,7</w:t>
      </w:r>
      <w:r w:rsidRPr="009D26BE">
        <w:rPr>
          <w:rFonts w:ascii="Century Gothic" w:hAnsi="Century Gothic" w:cs="Times New Roman"/>
          <w:b/>
          <w:bCs/>
        </w:rPr>
        <w:t xml:space="preserve"> millones</w:t>
      </w:r>
      <w:r w:rsidRPr="009D26BE">
        <w:rPr>
          <w:rFonts w:ascii="Century Gothic" w:hAnsi="Century Gothic" w:cs="Times New Roman"/>
        </w:rPr>
        <w:t xml:space="preserve"> corresponden a recursos del balance</w:t>
      </w:r>
      <w:r w:rsidR="0015305B">
        <w:rPr>
          <w:rFonts w:ascii="Century Gothic" w:hAnsi="Century Gothic" w:cs="Times New Roman"/>
        </w:rPr>
        <w:t xml:space="preserve">, el </w:t>
      </w:r>
      <w:r w:rsidR="00401D4A" w:rsidRPr="00401D4A">
        <w:rPr>
          <w:rFonts w:ascii="Century Gothic" w:hAnsi="Century Gothic" w:cs="Times New Roman"/>
          <w:b/>
          <w:bCs/>
        </w:rPr>
        <w:t>13</w:t>
      </w:r>
      <w:r w:rsidR="0015305B" w:rsidRPr="00401D4A">
        <w:rPr>
          <w:rFonts w:ascii="Century Gothic" w:hAnsi="Century Gothic" w:cs="Times New Roman"/>
          <w:b/>
          <w:bCs/>
        </w:rPr>
        <w:t>%</w:t>
      </w:r>
      <w:r w:rsidR="006A0D95">
        <w:rPr>
          <w:rFonts w:ascii="Century Gothic" w:hAnsi="Century Gothic" w:cs="Times New Roman"/>
        </w:rPr>
        <w:t xml:space="preserve"> del ingreso.</w:t>
      </w:r>
    </w:p>
    <w:p w14:paraId="15C35A55" w14:textId="354E7385" w:rsidR="00060B3B" w:rsidRPr="00060B3B" w:rsidRDefault="00060B3B" w:rsidP="009D26BE">
      <w:pPr>
        <w:spacing w:line="360" w:lineRule="auto"/>
        <w:jc w:val="both"/>
        <w:rPr>
          <w:rFonts w:ascii="Century Gothic" w:hAnsi="Century Gothic" w:cs="Times New Roman"/>
        </w:rPr>
      </w:pPr>
      <w:r w:rsidRPr="00060B3B">
        <w:rPr>
          <w:rFonts w:ascii="Century Gothic" w:hAnsi="Century Gothic" w:cs="Times New Roman"/>
        </w:rPr>
        <w:t>En los apartados siguientes se expone de manera detallada el comportamiento del recaudo, desagregado según el tipo de recurso.</w:t>
      </w:r>
    </w:p>
    <w:p w14:paraId="5E24DB8B" w14:textId="1A7E9155" w:rsidR="00060B3B" w:rsidRDefault="00060B3B" w:rsidP="00D10A4C">
      <w:pPr>
        <w:spacing w:line="360" w:lineRule="auto"/>
        <w:jc w:val="both"/>
        <w:rPr>
          <w:rFonts w:ascii="Century Gothic" w:hAnsi="Century Gothic" w:cs="Times New Roman"/>
        </w:rPr>
      </w:pPr>
      <w:r w:rsidRPr="00060B3B">
        <w:rPr>
          <w:rFonts w:ascii="Century Gothic" w:hAnsi="Century Gothic" w:cs="Times New Roman"/>
        </w:rPr>
        <w:t>La estructura de ingresos de la Universidad se compone de diversas fuentes de financiación. De conformidad con el Catálogo Presupuestal adoptado por la institución (Catálogo No. 15), el cual define la clasificación y organización del presupuesto de ingresos, se identifican dieci</w:t>
      </w:r>
      <w:r w:rsidR="001079EB">
        <w:rPr>
          <w:rFonts w:ascii="Century Gothic" w:hAnsi="Century Gothic" w:cs="Times New Roman"/>
        </w:rPr>
        <w:t>ocho</w:t>
      </w:r>
      <w:r w:rsidRPr="00060B3B">
        <w:rPr>
          <w:rFonts w:ascii="Century Gothic" w:hAnsi="Century Gothic" w:cs="Times New Roman"/>
        </w:rPr>
        <w:t xml:space="preserve"> (1</w:t>
      </w:r>
      <w:r w:rsidR="001079EB">
        <w:rPr>
          <w:rFonts w:ascii="Century Gothic" w:hAnsi="Century Gothic" w:cs="Times New Roman"/>
        </w:rPr>
        <w:t>8</w:t>
      </w:r>
      <w:r w:rsidRPr="00060B3B">
        <w:rPr>
          <w:rFonts w:ascii="Century Gothic" w:hAnsi="Century Gothic" w:cs="Times New Roman"/>
        </w:rPr>
        <w:t>) tipos de recursos. No obstante, para los fines del presente informe, se excluyen los recursos correspondientes a Regalías (R15</w:t>
      </w:r>
      <w:r w:rsidR="000F5A7A">
        <w:rPr>
          <w:rFonts w:ascii="Century Gothic" w:hAnsi="Century Gothic" w:cs="Times New Roman"/>
        </w:rPr>
        <w:t>, SSF)</w:t>
      </w:r>
      <w:r w:rsidRPr="00060B3B">
        <w:rPr>
          <w:rFonts w:ascii="Century Gothic" w:hAnsi="Century Gothic" w:cs="Times New Roman"/>
        </w:rPr>
        <w:t xml:space="preserve"> y UNISALUD (R50).</w:t>
      </w:r>
    </w:p>
    <w:p w14:paraId="5E97901C" w14:textId="77777777" w:rsidR="0003713D" w:rsidRPr="0003713D" w:rsidRDefault="0003713D" w:rsidP="001550BC">
      <w:pPr>
        <w:spacing w:line="360" w:lineRule="auto"/>
        <w:jc w:val="both"/>
        <w:rPr>
          <w:rFonts w:ascii="Century Gothic" w:hAnsi="Century Gothic" w:cs="Times New Roman"/>
        </w:rPr>
      </w:pPr>
      <w:r w:rsidRPr="0003713D">
        <w:rPr>
          <w:rFonts w:ascii="Century Gothic" w:hAnsi="Century Gothic" w:cs="Times New Roman"/>
        </w:rPr>
        <w:t xml:space="preserve">La Gráfica 1 presenta los recursos de ingresos organizados en cuatro categorías principales. La primera corresponde a </w:t>
      </w:r>
      <w:r w:rsidRPr="001550BC">
        <w:rPr>
          <w:rFonts w:ascii="Century Gothic" w:hAnsi="Century Gothic" w:cs="Times New Roman"/>
          <w:b/>
          <w:bCs/>
        </w:rPr>
        <w:t>Aportes Nación</w:t>
      </w:r>
      <w:r w:rsidRPr="0003713D">
        <w:rPr>
          <w:rFonts w:ascii="Century Gothic" w:hAnsi="Century Gothic" w:cs="Times New Roman"/>
        </w:rPr>
        <w:t>, integrada por los recursos 10.0 Aportes Nación – Funcionamiento, 10.1 Aportes Nación – PIC Convencional, 10.2 Aportes Nación – PIC Territorial, 10.5 Aportes Nación – Política de gratuidad, 12 Estampillas Otras Universidades, 13 Cooperativas, 14 Matrículas FSE, 16.0 Aportes de inversión, 17 Devolución descuento electoral y 18 Artículo 87 CESU.</w:t>
      </w:r>
    </w:p>
    <w:p w14:paraId="15CEE8CE" w14:textId="4ACB9730" w:rsidR="0003713D" w:rsidRPr="0003713D" w:rsidRDefault="0003713D" w:rsidP="001550BC">
      <w:pPr>
        <w:spacing w:line="360" w:lineRule="auto"/>
        <w:jc w:val="both"/>
        <w:rPr>
          <w:rFonts w:ascii="Century Gothic" w:hAnsi="Century Gothic" w:cs="Times New Roman"/>
        </w:rPr>
      </w:pPr>
      <w:r w:rsidRPr="0003713D">
        <w:rPr>
          <w:rFonts w:ascii="Century Gothic" w:hAnsi="Century Gothic" w:cs="Times New Roman"/>
        </w:rPr>
        <w:t xml:space="preserve">La segunda categoría, denominada </w:t>
      </w:r>
      <w:r w:rsidRPr="001550BC">
        <w:rPr>
          <w:rFonts w:ascii="Century Gothic" w:hAnsi="Century Gothic" w:cs="Times New Roman"/>
          <w:b/>
          <w:bCs/>
        </w:rPr>
        <w:t>Matrículas Pregrado y Otras Rentas</w:t>
      </w:r>
      <w:r w:rsidRPr="0003713D">
        <w:rPr>
          <w:rFonts w:ascii="Century Gothic" w:hAnsi="Century Gothic" w:cs="Times New Roman"/>
        </w:rPr>
        <w:t>, comprende los recursos 20 Propios y 21 Devolución de IVA.</w:t>
      </w:r>
    </w:p>
    <w:p w14:paraId="692A0E2F" w14:textId="77777777" w:rsidR="0003713D" w:rsidRPr="0003713D" w:rsidRDefault="0003713D" w:rsidP="001550BC">
      <w:pPr>
        <w:spacing w:line="360" w:lineRule="auto"/>
        <w:jc w:val="both"/>
        <w:rPr>
          <w:rFonts w:ascii="Century Gothic" w:hAnsi="Century Gothic" w:cs="Times New Roman"/>
        </w:rPr>
      </w:pPr>
      <w:r w:rsidRPr="0003713D">
        <w:rPr>
          <w:rFonts w:ascii="Century Gothic" w:hAnsi="Century Gothic" w:cs="Times New Roman"/>
        </w:rPr>
        <w:t>En tercer lugar, se encuentran los i</w:t>
      </w:r>
      <w:r w:rsidRPr="001550BC">
        <w:rPr>
          <w:rFonts w:ascii="Century Gothic" w:hAnsi="Century Gothic" w:cs="Times New Roman"/>
        </w:rPr>
        <w:t xml:space="preserve">ngresos correspondientes a </w:t>
      </w:r>
      <w:r w:rsidRPr="001550BC">
        <w:rPr>
          <w:rFonts w:ascii="Century Gothic" w:hAnsi="Century Gothic" w:cs="Times New Roman"/>
          <w:b/>
          <w:bCs/>
        </w:rPr>
        <w:t>Posgrados, Convenios con y sin derechos</w:t>
      </w:r>
      <w:r w:rsidRPr="001550BC">
        <w:rPr>
          <w:rFonts w:ascii="Century Gothic" w:hAnsi="Century Gothic" w:cs="Times New Roman"/>
        </w:rPr>
        <w:t>,</w:t>
      </w:r>
      <w:r w:rsidRPr="0003713D">
        <w:rPr>
          <w:rFonts w:ascii="Century Gothic" w:hAnsi="Century Gothic" w:cs="Times New Roman"/>
        </w:rPr>
        <w:t xml:space="preserve"> conformados por los rubros 31 Posgrados, 32 Extensión, 33 Convenios con derechos, 34 Convenios sin derechos y 35 Educación continuada.</w:t>
      </w:r>
    </w:p>
    <w:p w14:paraId="783C90FB" w14:textId="77777777" w:rsidR="001550BC" w:rsidRDefault="0003713D" w:rsidP="001550BC">
      <w:pPr>
        <w:spacing w:line="360" w:lineRule="auto"/>
        <w:jc w:val="both"/>
        <w:rPr>
          <w:rFonts w:ascii="Century Gothic" w:hAnsi="Century Gothic" w:cs="Times New Roman"/>
        </w:rPr>
      </w:pPr>
      <w:r w:rsidRPr="0003713D">
        <w:rPr>
          <w:rFonts w:ascii="Century Gothic" w:hAnsi="Century Gothic" w:cs="Times New Roman"/>
        </w:rPr>
        <w:lastRenderedPageBreak/>
        <w:t xml:space="preserve">Finalmente, la categoría Ingresos de </w:t>
      </w:r>
      <w:r w:rsidRPr="001550BC">
        <w:rPr>
          <w:rFonts w:ascii="Century Gothic" w:hAnsi="Century Gothic" w:cs="Times New Roman"/>
          <w:b/>
          <w:bCs/>
        </w:rPr>
        <w:t>Estampilla Pro UPTC</w:t>
      </w:r>
      <w:r w:rsidRPr="0003713D">
        <w:rPr>
          <w:rFonts w:ascii="Century Gothic" w:hAnsi="Century Gothic" w:cs="Times New Roman"/>
        </w:rPr>
        <w:t xml:space="preserve"> incluye el rubro 40 Estampilla UPTC.</w:t>
      </w:r>
    </w:p>
    <w:p w14:paraId="6CD600FC" w14:textId="4692EB97" w:rsidR="00EA5E92" w:rsidRPr="00AD3A13" w:rsidRDefault="004A44C8" w:rsidP="0003713D">
      <w:pPr>
        <w:pStyle w:val="Sinespaciado"/>
        <w:spacing w:line="360" w:lineRule="auto"/>
        <w:rPr>
          <w:rFonts w:ascii="Century Gothic" w:hAnsi="Century Gothic" w:cs="Times New Roman"/>
          <w:b/>
          <w:bCs/>
        </w:rPr>
      </w:pPr>
      <w:r>
        <w:rPr>
          <w:rFonts w:ascii="Century Gothic" w:hAnsi="Century Gothic" w:cs="Times New Roman"/>
          <w:b/>
          <w:bCs/>
        </w:rPr>
        <w:t>Gr</w:t>
      </w:r>
      <w:r w:rsidR="000F10B1">
        <w:rPr>
          <w:rFonts w:ascii="Century Gothic" w:hAnsi="Century Gothic" w:cs="Times New Roman"/>
          <w:b/>
          <w:bCs/>
        </w:rPr>
        <w:t>á</w:t>
      </w:r>
      <w:r>
        <w:rPr>
          <w:rFonts w:ascii="Century Gothic" w:hAnsi="Century Gothic" w:cs="Times New Roman"/>
          <w:b/>
          <w:bCs/>
        </w:rPr>
        <w:t>fica</w:t>
      </w:r>
      <w:r w:rsidR="008B5D49" w:rsidRPr="00AD3A13">
        <w:rPr>
          <w:rFonts w:ascii="Century Gothic" w:hAnsi="Century Gothic" w:cs="Times New Roman"/>
          <w:b/>
          <w:bCs/>
        </w:rPr>
        <w:t xml:space="preserve"> </w:t>
      </w:r>
      <w:r w:rsidR="00106FD0" w:rsidRPr="00AD3A13">
        <w:rPr>
          <w:rFonts w:ascii="Century Gothic" w:hAnsi="Century Gothic" w:cs="Times New Roman"/>
          <w:b/>
          <w:bCs/>
        </w:rPr>
        <w:t>1</w:t>
      </w:r>
      <w:r w:rsidR="008B5D49" w:rsidRPr="00AD3A13">
        <w:rPr>
          <w:rFonts w:ascii="Century Gothic" w:hAnsi="Century Gothic" w:cs="Times New Roman"/>
          <w:b/>
          <w:bCs/>
        </w:rPr>
        <w:t xml:space="preserve">. </w:t>
      </w:r>
    </w:p>
    <w:p w14:paraId="76B7F853" w14:textId="346F364A" w:rsidR="00EA5E92" w:rsidRPr="00AD3A13" w:rsidRDefault="00BF1535" w:rsidP="00D10A4C">
      <w:pPr>
        <w:pStyle w:val="Sinespaciado"/>
        <w:spacing w:line="360" w:lineRule="auto"/>
        <w:rPr>
          <w:rFonts w:ascii="Century Gothic" w:hAnsi="Century Gothic" w:cs="Times New Roman"/>
        </w:rPr>
      </w:pPr>
      <w:r>
        <w:rPr>
          <w:rFonts w:ascii="Century Gothic" w:hAnsi="Century Gothic" w:cs="Times New Roman"/>
          <w:noProof/>
        </w:rPr>
        <mc:AlternateContent>
          <mc:Choice Requires="wps">
            <w:drawing>
              <wp:anchor distT="0" distB="0" distL="114300" distR="114300" simplePos="0" relativeHeight="251625472" behindDoc="0" locked="0" layoutInCell="1" allowOverlap="1" wp14:anchorId="33D8858D" wp14:editId="28B0242B">
                <wp:simplePos x="0" y="0"/>
                <wp:positionH relativeFrom="column">
                  <wp:posOffset>2768572</wp:posOffset>
                </wp:positionH>
                <wp:positionV relativeFrom="paragraph">
                  <wp:posOffset>1108075</wp:posOffset>
                </wp:positionV>
                <wp:extent cx="699715" cy="308969"/>
                <wp:effectExtent l="0" t="38100" r="62865" b="34290"/>
                <wp:wrapNone/>
                <wp:docPr id="919534606" name="Conector recto de flecha 1"/>
                <wp:cNvGraphicFramePr/>
                <a:graphic xmlns:a="http://schemas.openxmlformats.org/drawingml/2006/main">
                  <a:graphicData uri="http://schemas.microsoft.com/office/word/2010/wordprocessingShape">
                    <wps:wsp>
                      <wps:cNvCnPr/>
                      <wps:spPr>
                        <a:xfrm flipV="1">
                          <a:off x="0" y="0"/>
                          <a:ext cx="699715" cy="30896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139BFA" id="_x0000_t32" coordsize="21600,21600" o:spt="32" o:oned="t" path="m,l21600,21600e" filled="f">
                <v:path arrowok="t" fillok="f" o:connecttype="none"/>
                <o:lock v:ext="edit" shapetype="t"/>
              </v:shapetype>
              <v:shape id="Conector recto de flecha 1" o:spid="_x0000_s1026" type="#_x0000_t32" style="position:absolute;margin-left:218pt;margin-top:87.25pt;width:55.1pt;height:24.35pt;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" strokecolor="black [3200]" strokeweight="1.5pt">
                <v:stroke endarrow="block" joinstyle="miter"/>
              </v:shape>
            </w:pict>
          </mc:Fallback>
        </mc:AlternateContent>
      </w:r>
      <w:r>
        <w:rPr>
          <w:rFonts w:ascii="Century Gothic" w:hAnsi="Century Gothic" w:cs="Times New Roman"/>
          <w:noProof/>
        </w:rPr>
        <mc:AlternateContent>
          <mc:Choice Requires="wps">
            <w:drawing>
              <wp:anchor distT="0" distB="0" distL="114300" distR="114300" simplePos="0" relativeHeight="251643904" behindDoc="0" locked="0" layoutInCell="1" allowOverlap="1" wp14:anchorId="6556B6AC" wp14:editId="01E0201B">
                <wp:simplePos x="0" y="0"/>
                <wp:positionH relativeFrom="column">
                  <wp:posOffset>2743835</wp:posOffset>
                </wp:positionH>
                <wp:positionV relativeFrom="paragraph">
                  <wp:posOffset>1426541</wp:posOffset>
                </wp:positionV>
                <wp:extent cx="723569" cy="182880"/>
                <wp:effectExtent l="0" t="0" r="76835" b="83820"/>
                <wp:wrapNone/>
                <wp:docPr id="965226" name="Conector recto de flecha 1"/>
                <wp:cNvGraphicFramePr/>
                <a:graphic xmlns:a="http://schemas.openxmlformats.org/drawingml/2006/main">
                  <a:graphicData uri="http://schemas.microsoft.com/office/word/2010/wordprocessingShape">
                    <wps:wsp>
                      <wps:cNvCnPr/>
                      <wps:spPr>
                        <a:xfrm>
                          <a:off x="0" y="0"/>
                          <a:ext cx="723569" cy="1828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93C84" id="Conector recto de flecha 1" o:spid="_x0000_s1026" type="#_x0000_t32" style="position:absolute;margin-left:216.05pt;margin-top:112.35pt;width:56.95pt;height:14.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" strokecolor="black [3200]" strokeweight="1.5pt">
                <v:stroke endarrow="block" joinstyle="miter"/>
              </v:shape>
            </w:pict>
          </mc:Fallback>
        </mc:AlternateContent>
      </w:r>
      <w:r>
        <w:rPr>
          <w:rFonts w:ascii="Century Gothic" w:hAnsi="Century Gothic" w:cs="Times New Roman"/>
          <w:noProof/>
        </w:rPr>
        <mc:AlternateContent>
          <mc:Choice Requires="wps">
            <w:drawing>
              <wp:anchor distT="0" distB="0" distL="114300" distR="114300" simplePos="0" relativeHeight="251684864" behindDoc="0" locked="0" layoutInCell="1" allowOverlap="1" wp14:anchorId="2EAA473D" wp14:editId="79418208">
                <wp:simplePos x="0" y="0"/>
                <wp:positionH relativeFrom="column">
                  <wp:posOffset>2838091</wp:posOffset>
                </wp:positionH>
                <wp:positionV relativeFrom="paragraph">
                  <wp:posOffset>1943182</wp:posOffset>
                </wp:positionV>
                <wp:extent cx="200440" cy="166701"/>
                <wp:effectExtent l="38100" t="38100" r="28575" b="24130"/>
                <wp:wrapNone/>
                <wp:docPr id="263538006" name="Conector recto de flecha 1"/>
                <wp:cNvGraphicFramePr/>
                <a:graphic xmlns:a="http://schemas.openxmlformats.org/drawingml/2006/main">
                  <a:graphicData uri="http://schemas.microsoft.com/office/word/2010/wordprocessingShape">
                    <wps:wsp>
                      <wps:cNvCnPr/>
                      <wps:spPr>
                        <a:xfrm flipH="1" flipV="1">
                          <a:off x="0" y="0"/>
                          <a:ext cx="200440" cy="16670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557720" id="Conector recto de flecha 1" o:spid="_x0000_s1026" type="#_x0000_t32" style="position:absolute;margin-left:223.45pt;margin-top:153pt;width:15.8pt;height:13.1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" strokecolor="black [3200]" strokeweight="1.5pt">
                <v:stroke endarrow="block" joinstyle="miter"/>
              </v:shape>
            </w:pict>
          </mc:Fallback>
        </mc:AlternateContent>
      </w:r>
      <w:r>
        <w:rPr>
          <w:rFonts w:ascii="Century Gothic" w:hAnsi="Century Gothic" w:cs="Times New Roman"/>
          <w:noProof/>
        </w:rPr>
        <mc:AlternateContent>
          <mc:Choice Requires="wps">
            <w:drawing>
              <wp:anchor distT="0" distB="0" distL="114300" distR="114300" simplePos="0" relativeHeight="251670528" behindDoc="0" locked="0" layoutInCell="1" allowOverlap="1" wp14:anchorId="1FE06760" wp14:editId="278900BE">
                <wp:simplePos x="0" y="0"/>
                <wp:positionH relativeFrom="column">
                  <wp:posOffset>1287780</wp:posOffset>
                </wp:positionH>
                <wp:positionV relativeFrom="paragraph">
                  <wp:posOffset>929336</wp:posOffset>
                </wp:positionV>
                <wp:extent cx="212808" cy="97072"/>
                <wp:effectExtent l="0" t="0" r="73025" b="55880"/>
                <wp:wrapNone/>
                <wp:docPr id="1164735107" name="Conector recto de flecha 1"/>
                <wp:cNvGraphicFramePr/>
                <a:graphic xmlns:a="http://schemas.openxmlformats.org/drawingml/2006/main">
                  <a:graphicData uri="http://schemas.microsoft.com/office/word/2010/wordprocessingShape">
                    <wps:wsp>
                      <wps:cNvCnPr/>
                      <wps:spPr>
                        <a:xfrm>
                          <a:off x="0" y="0"/>
                          <a:ext cx="212808" cy="9707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1F43BE" id="Conector recto de flecha 1" o:spid="_x0000_s1026" type="#_x0000_t32" style="position:absolute;margin-left:101.4pt;margin-top:73.2pt;width:16.75pt;height:7.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" strokecolor="black [3200]" strokeweight="1.5pt">
                <v:stroke endarrow="block" joinstyle="miter"/>
              </v:shape>
            </w:pict>
          </mc:Fallback>
        </mc:AlternateContent>
      </w:r>
      <w:r>
        <w:rPr>
          <w:rFonts w:ascii="Century Gothic" w:hAnsi="Century Gothic" w:cs="Times New Roman"/>
          <w:noProof/>
        </w:rPr>
        <mc:AlternateContent>
          <mc:Choice Requires="wps">
            <w:drawing>
              <wp:anchor distT="0" distB="0" distL="114300" distR="114300" simplePos="0" relativeHeight="251656192" behindDoc="0" locked="0" layoutInCell="1" allowOverlap="1" wp14:anchorId="48DED053" wp14:editId="5B979BEA">
                <wp:simplePos x="0" y="0"/>
                <wp:positionH relativeFrom="column">
                  <wp:posOffset>1980537</wp:posOffset>
                </wp:positionH>
                <wp:positionV relativeFrom="paragraph">
                  <wp:posOffset>416560</wp:posOffset>
                </wp:positionV>
                <wp:extent cx="74598" cy="174598"/>
                <wp:effectExtent l="0" t="0" r="59055" b="54610"/>
                <wp:wrapNone/>
                <wp:docPr id="2091611873" name="Conector recto de flecha 1"/>
                <wp:cNvGraphicFramePr/>
                <a:graphic xmlns:a="http://schemas.openxmlformats.org/drawingml/2006/main">
                  <a:graphicData uri="http://schemas.microsoft.com/office/word/2010/wordprocessingShape">
                    <wps:wsp>
                      <wps:cNvCnPr/>
                      <wps:spPr>
                        <a:xfrm>
                          <a:off x="0" y="0"/>
                          <a:ext cx="74598" cy="17459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5CC932" id="Conector recto de flecha 1" o:spid="_x0000_s1026" type="#_x0000_t32" style="position:absolute;margin-left:155.95pt;margin-top:32.8pt;width:5.85pt;height:1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" strokecolor="black [3200]" strokeweight="1.5pt">
                <v:stroke endarrow="block" joinstyle="miter"/>
              </v:shape>
            </w:pict>
          </mc:Fallback>
        </mc:AlternateContent>
      </w:r>
      <w:r w:rsidR="008B5D49" w:rsidRPr="00AD3A13">
        <w:rPr>
          <w:rFonts w:ascii="Century Gothic" w:hAnsi="Century Gothic" w:cs="Times New Roman"/>
          <w:i/>
          <w:iCs/>
        </w:rPr>
        <w:t>Recursos que constituyen los Ingresos de la UPTC</w:t>
      </w:r>
      <w:r w:rsidR="00EE546F" w:rsidRPr="00AD3A13">
        <w:rPr>
          <w:rFonts w:ascii="Century Gothic" w:hAnsi="Century Gothic" w:cs="Times New Roman"/>
          <w:i/>
          <w:iCs/>
        </w:rPr>
        <w:t>.</w:t>
      </w:r>
      <w:r w:rsidRPr="00BF1535">
        <w:rPr>
          <w:noProof/>
        </w:rPr>
        <w:t xml:space="preserve"> </w:t>
      </w:r>
      <w:r w:rsidRPr="00BF1535">
        <w:rPr>
          <w:rFonts w:ascii="Century Gothic" w:hAnsi="Century Gothic" w:cs="Times New Roman"/>
        </w:rPr>
        <w:drawing>
          <wp:inline distT="0" distB="0" distL="0" distR="0" wp14:anchorId="4ADADCA3" wp14:editId="45018F29">
            <wp:extent cx="5612130" cy="211963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119630"/>
                    </a:xfrm>
                    <a:prstGeom prst="rect">
                      <a:avLst/>
                    </a:prstGeom>
                  </pic:spPr>
                </pic:pic>
              </a:graphicData>
            </a:graphic>
          </wp:inline>
        </w:drawing>
      </w:r>
    </w:p>
    <w:p w14:paraId="7A2DFD13" w14:textId="347D5C5A" w:rsidR="003C4DD7" w:rsidRPr="000F2595" w:rsidRDefault="003C4DD7" w:rsidP="00D10A4C">
      <w:pPr>
        <w:spacing w:line="360" w:lineRule="auto"/>
        <w:jc w:val="both"/>
        <w:rPr>
          <w:rFonts w:ascii="Century Gothic" w:hAnsi="Century Gothic" w:cs="Times New Roman"/>
          <w:i/>
          <w:iCs/>
        </w:rPr>
      </w:pPr>
      <w:r w:rsidRPr="000F2595">
        <w:rPr>
          <w:rFonts w:ascii="Century Gothic" w:hAnsi="Century Gothic" w:cs="Times New Roman"/>
          <w:b/>
          <w:sz w:val="18"/>
          <w:szCs w:val="18"/>
        </w:rPr>
        <w:t>Fuente:</w:t>
      </w:r>
      <w:r w:rsidRPr="000F2595">
        <w:rPr>
          <w:rFonts w:ascii="Century Gothic" w:hAnsi="Century Gothic" w:cs="Times New Roman"/>
          <w:sz w:val="18"/>
          <w:szCs w:val="18"/>
        </w:rPr>
        <w:t xml:space="preserve"> </w:t>
      </w:r>
      <w:r w:rsidR="008C0E1B">
        <w:rPr>
          <w:rFonts w:ascii="Century Gothic" w:hAnsi="Century Gothic" w:cs="Times New Roman"/>
          <w:sz w:val="18"/>
          <w:szCs w:val="18"/>
        </w:rPr>
        <w:t xml:space="preserve">Sistema Financiero </w:t>
      </w:r>
      <w:r w:rsidRPr="000F2595">
        <w:rPr>
          <w:rFonts w:ascii="Century Gothic" w:hAnsi="Century Gothic" w:cs="Times New Roman"/>
          <w:sz w:val="18"/>
          <w:szCs w:val="18"/>
        </w:rPr>
        <w:t>GOOBI, construcción propia</w:t>
      </w:r>
      <w:r w:rsidR="00B951E4" w:rsidRPr="000F2595">
        <w:rPr>
          <w:rFonts w:ascii="Century Gothic" w:hAnsi="Century Gothic" w:cs="Times New Roman"/>
          <w:sz w:val="18"/>
          <w:szCs w:val="18"/>
        </w:rPr>
        <w:t>.</w:t>
      </w:r>
    </w:p>
    <w:p w14:paraId="49610208" w14:textId="0D693B0E" w:rsidR="002E593D" w:rsidRDefault="00F37585" w:rsidP="00D10A4C">
      <w:pPr>
        <w:pStyle w:val="Sinespaciado"/>
        <w:spacing w:line="360" w:lineRule="auto"/>
        <w:jc w:val="both"/>
        <w:rPr>
          <w:rFonts w:ascii="Century Gothic" w:hAnsi="Century Gothic" w:cs="Times New Roman"/>
        </w:rPr>
      </w:pPr>
      <w:r>
        <w:rPr>
          <w:rFonts w:ascii="Century Gothic" w:hAnsi="Century Gothic" w:cs="Times New Roman"/>
        </w:rPr>
        <w:t>A continuación, e</w:t>
      </w:r>
      <w:r w:rsidR="00B86461" w:rsidRPr="00B86461">
        <w:rPr>
          <w:rFonts w:ascii="Century Gothic" w:hAnsi="Century Gothic" w:cs="Times New Roman"/>
        </w:rPr>
        <w:t xml:space="preserve">n la Gráfica 2 se detalla la composición de los recursos que integran los ingresos provenientes de la Nación, los cuales, a la fecha de corte, representan el </w:t>
      </w:r>
      <w:r w:rsidR="00C04C0E">
        <w:rPr>
          <w:rFonts w:ascii="Century Gothic" w:hAnsi="Century Gothic" w:cs="Times New Roman"/>
          <w:b/>
          <w:bCs/>
        </w:rPr>
        <w:t>72,4</w:t>
      </w:r>
      <w:r w:rsidR="00B86461" w:rsidRPr="00B86461">
        <w:rPr>
          <w:rFonts w:ascii="Century Gothic" w:hAnsi="Century Gothic" w:cs="Times New Roman"/>
          <w:b/>
          <w:bCs/>
        </w:rPr>
        <w:t xml:space="preserve"> %</w:t>
      </w:r>
      <w:r w:rsidR="00B86461" w:rsidRPr="00B86461">
        <w:rPr>
          <w:rFonts w:ascii="Century Gothic" w:hAnsi="Century Gothic" w:cs="Times New Roman"/>
        </w:rPr>
        <w:t xml:space="preserve"> del total de los ingresos de la UPTC</w:t>
      </w:r>
      <w:r w:rsidR="008031EB">
        <w:rPr>
          <w:rFonts w:ascii="Century Gothic" w:hAnsi="Century Gothic" w:cs="Times New Roman"/>
        </w:rPr>
        <w:t xml:space="preserve"> incluyendo recursos del balance</w:t>
      </w:r>
      <w:r w:rsidR="00B86461" w:rsidRPr="00B86461">
        <w:rPr>
          <w:rFonts w:ascii="Century Gothic" w:hAnsi="Century Gothic" w:cs="Times New Roman"/>
        </w:rPr>
        <w:t xml:space="preserve">. Estos alcanzan un recaudo de </w:t>
      </w:r>
      <w:r w:rsidR="00B86461" w:rsidRPr="00B86461">
        <w:rPr>
          <w:rFonts w:ascii="Century Gothic" w:hAnsi="Century Gothic" w:cs="Times New Roman"/>
          <w:b/>
          <w:bCs/>
        </w:rPr>
        <w:t>$</w:t>
      </w:r>
      <w:r w:rsidR="00486D9B">
        <w:rPr>
          <w:rFonts w:ascii="Century Gothic" w:hAnsi="Century Gothic" w:cs="Times New Roman"/>
          <w:b/>
          <w:bCs/>
        </w:rPr>
        <w:t>1</w:t>
      </w:r>
      <w:r w:rsidR="00431F46">
        <w:rPr>
          <w:rFonts w:ascii="Century Gothic" w:hAnsi="Century Gothic" w:cs="Times New Roman"/>
          <w:b/>
          <w:bCs/>
        </w:rPr>
        <w:t>2</w:t>
      </w:r>
      <w:r w:rsidR="00207DC7">
        <w:rPr>
          <w:rFonts w:ascii="Century Gothic" w:hAnsi="Century Gothic" w:cs="Times New Roman"/>
          <w:b/>
          <w:bCs/>
        </w:rPr>
        <w:t>5.518,3</w:t>
      </w:r>
      <w:r w:rsidR="00B86461" w:rsidRPr="00B86461">
        <w:rPr>
          <w:rFonts w:ascii="Century Gothic" w:hAnsi="Century Gothic" w:cs="Times New Roman"/>
          <w:b/>
          <w:bCs/>
        </w:rPr>
        <w:t xml:space="preserve"> millones</w:t>
      </w:r>
      <w:r w:rsidR="00B86461" w:rsidRPr="00B86461">
        <w:rPr>
          <w:rFonts w:ascii="Century Gothic" w:hAnsi="Century Gothic" w:cs="Times New Roman"/>
        </w:rPr>
        <w:t xml:space="preserve"> frente a un presupuesto aforado de </w:t>
      </w:r>
      <w:r w:rsidR="00B86461" w:rsidRPr="00B86461">
        <w:rPr>
          <w:rFonts w:ascii="Century Gothic" w:hAnsi="Century Gothic" w:cs="Times New Roman"/>
          <w:b/>
          <w:bCs/>
        </w:rPr>
        <w:t>$3</w:t>
      </w:r>
      <w:r w:rsidR="00A7501C">
        <w:rPr>
          <w:rFonts w:ascii="Century Gothic" w:hAnsi="Century Gothic" w:cs="Times New Roman"/>
          <w:b/>
          <w:bCs/>
        </w:rPr>
        <w:t>75.664,4</w:t>
      </w:r>
      <w:r w:rsidR="00B86461" w:rsidRPr="00B86461">
        <w:rPr>
          <w:rFonts w:ascii="Century Gothic" w:hAnsi="Century Gothic" w:cs="Times New Roman"/>
          <w:b/>
          <w:bCs/>
        </w:rPr>
        <w:t xml:space="preserve"> millones</w:t>
      </w:r>
      <w:r w:rsidR="00B86461" w:rsidRPr="00B86461">
        <w:rPr>
          <w:rFonts w:ascii="Century Gothic" w:hAnsi="Century Gothic" w:cs="Times New Roman"/>
        </w:rPr>
        <w:t xml:space="preserve">, lo que equivale a una ejecución del </w:t>
      </w:r>
      <w:r w:rsidR="00BE0F45">
        <w:rPr>
          <w:rFonts w:ascii="Century Gothic" w:hAnsi="Century Gothic" w:cs="Times New Roman"/>
          <w:b/>
          <w:bCs/>
        </w:rPr>
        <w:t>3</w:t>
      </w:r>
      <w:r w:rsidR="000111BF">
        <w:rPr>
          <w:rFonts w:ascii="Century Gothic" w:hAnsi="Century Gothic" w:cs="Times New Roman"/>
          <w:b/>
          <w:bCs/>
        </w:rPr>
        <w:t>3,4</w:t>
      </w:r>
      <w:r w:rsidR="00B86461" w:rsidRPr="00B86461">
        <w:rPr>
          <w:rFonts w:ascii="Century Gothic" w:hAnsi="Century Gothic" w:cs="Times New Roman"/>
          <w:b/>
          <w:bCs/>
        </w:rPr>
        <w:t xml:space="preserve"> %</w:t>
      </w:r>
      <w:r w:rsidR="00B86461" w:rsidRPr="00B86461">
        <w:rPr>
          <w:rFonts w:ascii="Century Gothic" w:hAnsi="Century Gothic" w:cs="Times New Roman"/>
        </w:rPr>
        <w:t xml:space="preserve"> de los ingresos proyectados.</w:t>
      </w:r>
    </w:p>
    <w:p w14:paraId="072883AC" w14:textId="77777777" w:rsidR="008A60A4" w:rsidRDefault="008A60A4" w:rsidP="00D10A4C">
      <w:pPr>
        <w:pStyle w:val="Sinespaciado"/>
        <w:spacing w:line="360" w:lineRule="auto"/>
        <w:jc w:val="both"/>
        <w:rPr>
          <w:rFonts w:ascii="Century Gothic" w:hAnsi="Century Gothic" w:cs="Times New Roman"/>
        </w:rPr>
      </w:pPr>
    </w:p>
    <w:p w14:paraId="4498B9E5" w14:textId="77777777" w:rsidR="00B877BB" w:rsidRDefault="00B877BB" w:rsidP="00D10A4C">
      <w:pPr>
        <w:pStyle w:val="Sinespaciado"/>
        <w:spacing w:line="360" w:lineRule="auto"/>
        <w:jc w:val="both"/>
        <w:rPr>
          <w:rFonts w:ascii="Century Gothic" w:hAnsi="Century Gothic" w:cs="Times New Roman"/>
        </w:rPr>
      </w:pPr>
    </w:p>
    <w:p w14:paraId="2038F743" w14:textId="77777777" w:rsidR="00B877BB" w:rsidRDefault="00B877BB" w:rsidP="00D10A4C">
      <w:pPr>
        <w:pStyle w:val="Sinespaciado"/>
        <w:spacing w:line="360" w:lineRule="auto"/>
        <w:jc w:val="both"/>
        <w:rPr>
          <w:rFonts w:ascii="Century Gothic" w:hAnsi="Century Gothic" w:cs="Times New Roman"/>
        </w:rPr>
      </w:pPr>
    </w:p>
    <w:p w14:paraId="7621A0A3" w14:textId="77777777" w:rsidR="00B877BB" w:rsidRDefault="00B877BB" w:rsidP="00D10A4C">
      <w:pPr>
        <w:pStyle w:val="Sinespaciado"/>
        <w:spacing w:line="360" w:lineRule="auto"/>
        <w:jc w:val="both"/>
        <w:rPr>
          <w:rFonts w:ascii="Century Gothic" w:hAnsi="Century Gothic" w:cs="Times New Roman"/>
        </w:rPr>
      </w:pPr>
    </w:p>
    <w:p w14:paraId="7A6FA7EC" w14:textId="77777777" w:rsidR="00B877BB" w:rsidRDefault="00B877BB" w:rsidP="00D10A4C">
      <w:pPr>
        <w:pStyle w:val="Sinespaciado"/>
        <w:spacing w:line="360" w:lineRule="auto"/>
        <w:jc w:val="both"/>
        <w:rPr>
          <w:rFonts w:ascii="Century Gothic" w:hAnsi="Century Gothic" w:cs="Times New Roman"/>
        </w:rPr>
      </w:pPr>
    </w:p>
    <w:p w14:paraId="50160400" w14:textId="77777777" w:rsidR="00B877BB" w:rsidRDefault="00B877BB" w:rsidP="00D10A4C">
      <w:pPr>
        <w:pStyle w:val="Sinespaciado"/>
        <w:spacing w:line="360" w:lineRule="auto"/>
        <w:jc w:val="both"/>
        <w:rPr>
          <w:rFonts w:ascii="Century Gothic" w:hAnsi="Century Gothic" w:cs="Times New Roman"/>
        </w:rPr>
      </w:pPr>
    </w:p>
    <w:p w14:paraId="76B2529C" w14:textId="77777777" w:rsidR="00B877BB" w:rsidRDefault="00B877BB" w:rsidP="00D10A4C">
      <w:pPr>
        <w:pStyle w:val="Sinespaciado"/>
        <w:spacing w:line="360" w:lineRule="auto"/>
        <w:jc w:val="both"/>
        <w:rPr>
          <w:rFonts w:ascii="Century Gothic" w:hAnsi="Century Gothic" w:cs="Times New Roman"/>
        </w:rPr>
      </w:pPr>
    </w:p>
    <w:p w14:paraId="61ADC217" w14:textId="77777777" w:rsidR="00B877BB" w:rsidRDefault="00B877BB" w:rsidP="00D10A4C">
      <w:pPr>
        <w:pStyle w:val="Sinespaciado"/>
        <w:spacing w:line="360" w:lineRule="auto"/>
        <w:jc w:val="both"/>
        <w:rPr>
          <w:rFonts w:ascii="Century Gothic" w:hAnsi="Century Gothic" w:cs="Times New Roman"/>
        </w:rPr>
      </w:pPr>
    </w:p>
    <w:p w14:paraId="14454E73" w14:textId="77777777" w:rsidR="00B877BB" w:rsidRDefault="00B877BB" w:rsidP="00D10A4C">
      <w:pPr>
        <w:pStyle w:val="Sinespaciado"/>
        <w:spacing w:line="360" w:lineRule="auto"/>
        <w:jc w:val="both"/>
        <w:rPr>
          <w:rFonts w:ascii="Century Gothic" w:hAnsi="Century Gothic" w:cs="Times New Roman"/>
        </w:rPr>
      </w:pPr>
    </w:p>
    <w:p w14:paraId="2E9E72B5" w14:textId="77777777" w:rsidR="00B877BB" w:rsidRDefault="00B877BB" w:rsidP="00D10A4C">
      <w:pPr>
        <w:pStyle w:val="Sinespaciado"/>
        <w:spacing w:line="360" w:lineRule="auto"/>
        <w:jc w:val="both"/>
        <w:rPr>
          <w:rFonts w:ascii="Century Gothic" w:hAnsi="Century Gothic" w:cs="Times New Roman"/>
        </w:rPr>
      </w:pPr>
    </w:p>
    <w:p w14:paraId="0884432A" w14:textId="77777777" w:rsidR="00B877BB" w:rsidRDefault="00B877BB" w:rsidP="00D10A4C">
      <w:pPr>
        <w:pStyle w:val="Sinespaciado"/>
        <w:spacing w:line="360" w:lineRule="auto"/>
        <w:jc w:val="both"/>
        <w:rPr>
          <w:rFonts w:ascii="Century Gothic" w:hAnsi="Century Gothic" w:cs="Times New Roman"/>
        </w:rPr>
      </w:pPr>
    </w:p>
    <w:p w14:paraId="150A3F5C" w14:textId="77777777" w:rsidR="00B877BB" w:rsidRDefault="00B877BB" w:rsidP="00D10A4C">
      <w:pPr>
        <w:pStyle w:val="Sinespaciado"/>
        <w:spacing w:line="360" w:lineRule="auto"/>
        <w:jc w:val="both"/>
        <w:rPr>
          <w:rFonts w:ascii="Century Gothic" w:hAnsi="Century Gothic" w:cs="Times New Roman"/>
        </w:rPr>
      </w:pPr>
    </w:p>
    <w:p w14:paraId="4787EBAD" w14:textId="0EB1784E" w:rsidR="000F10B1" w:rsidRPr="00AD3A13" w:rsidRDefault="000F10B1" w:rsidP="00D10A4C">
      <w:pPr>
        <w:pStyle w:val="Sinespaciado"/>
        <w:spacing w:line="360" w:lineRule="auto"/>
        <w:rPr>
          <w:rFonts w:ascii="Century Gothic" w:hAnsi="Century Gothic" w:cs="Times New Roman"/>
          <w:b/>
          <w:bCs/>
        </w:rPr>
      </w:pPr>
      <w:r>
        <w:rPr>
          <w:rFonts w:ascii="Century Gothic" w:hAnsi="Century Gothic" w:cs="Times New Roman"/>
          <w:b/>
          <w:bCs/>
        </w:rPr>
        <w:lastRenderedPageBreak/>
        <w:t>Gráfica</w:t>
      </w:r>
      <w:r w:rsidRPr="00AD3A13">
        <w:rPr>
          <w:rFonts w:ascii="Century Gothic" w:hAnsi="Century Gothic" w:cs="Times New Roman"/>
          <w:b/>
          <w:bCs/>
        </w:rPr>
        <w:t xml:space="preserve"> </w:t>
      </w:r>
      <w:r>
        <w:rPr>
          <w:rFonts w:ascii="Century Gothic" w:hAnsi="Century Gothic" w:cs="Times New Roman"/>
          <w:b/>
          <w:bCs/>
        </w:rPr>
        <w:t>2</w:t>
      </w:r>
      <w:r w:rsidRPr="00AD3A13">
        <w:rPr>
          <w:rFonts w:ascii="Century Gothic" w:hAnsi="Century Gothic" w:cs="Times New Roman"/>
          <w:b/>
          <w:bCs/>
        </w:rPr>
        <w:t xml:space="preserve">. </w:t>
      </w:r>
    </w:p>
    <w:p w14:paraId="44692A55" w14:textId="6E7E2558" w:rsidR="000F10B1" w:rsidRDefault="000F10B1" w:rsidP="00D10A4C">
      <w:pPr>
        <w:pStyle w:val="Sinespaciado"/>
        <w:spacing w:line="360" w:lineRule="auto"/>
        <w:rPr>
          <w:rFonts w:ascii="Century Gothic" w:hAnsi="Century Gothic" w:cs="Times New Roman"/>
          <w:i/>
          <w:iCs/>
        </w:rPr>
      </w:pPr>
      <w:r w:rsidRPr="00AD3A13">
        <w:rPr>
          <w:rFonts w:ascii="Century Gothic" w:hAnsi="Century Gothic" w:cs="Times New Roman"/>
          <w:i/>
          <w:iCs/>
        </w:rPr>
        <w:t>Recursos que constituyen los Ingresos</w:t>
      </w:r>
      <w:r w:rsidR="009C3729">
        <w:rPr>
          <w:rFonts w:ascii="Century Gothic" w:hAnsi="Century Gothic" w:cs="Times New Roman"/>
          <w:i/>
          <w:iCs/>
        </w:rPr>
        <w:t xml:space="preserve"> nación</w:t>
      </w:r>
      <w:r w:rsidRPr="00AD3A13">
        <w:rPr>
          <w:rFonts w:ascii="Century Gothic" w:hAnsi="Century Gothic" w:cs="Times New Roman"/>
          <w:i/>
          <w:iCs/>
        </w:rPr>
        <w:t xml:space="preserve"> de la UPTC.</w:t>
      </w:r>
    </w:p>
    <w:p w14:paraId="499F37B8" w14:textId="07AA9C12" w:rsidR="009C3729" w:rsidRPr="0094503E" w:rsidRDefault="0094503E" w:rsidP="00D10A4C">
      <w:pPr>
        <w:spacing w:line="360" w:lineRule="auto"/>
        <w:jc w:val="both"/>
        <w:rPr>
          <w:rFonts w:ascii="Century Gothic" w:hAnsi="Century Gothic" w:cs="Times New Roman"/>
          <w:b/>
          <w:sz w:val="18"/>
          <w:szCs w:val="18"/>
        </w:rPr>
      </w:pPr>
      <w:r w:rsidRPr="0094503E">
        <w:rPr>
          <w:rFonts w:ascii="Century Gothic" w:hAnsi="Century Gothic" w:cs="Times New Roman"/>
          <w:b/>
          <w:noProof/>
          <w:sz w:val="18"/>
          <w:szCs w:val="18"/>
        </w:rPr>
        <w:drawing>
          <wp:inline distT="0" distB="0" distL="0" distR="0" wp14:anchorId="17CE3E18" wp14:editId="5F49ADE0">
            <wp:extent cx="5612130" cy="252666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526665"/>
                    </a:xfrm>
                    <a:prstGeom prst="rect">
                      <a:avLst/>
                    </a:prstGeom>
                  </pic:spPr>
                </pic:pic>
              </a:graphicData>
            </a:graphic>
          </wp:inline>
        </w:drawing>
      </w:r>
      <w:r w:rsidR="009C3729" w:rsidRPr="000F2595">
        <w:rPr>
          <w:rFonts w:ascii="Century Gothic" w:hAnsi="Century Gothic" w:cs="Times New Roman"/>
          <w:b/>
          <w:sz w:val="18"/>
          <w:szCs w:val="18"/>
        </w:rPr>
        <w:t>Fuente:</w:t>
      </w:r>
      <w:r w:rsidR="009C3729" w:rsidRPr="000F2595">
        <w:rPr>
          <w:rFonts w:ascii="Century Gothic" w:hAnsi="Century Gothic" w:cs="Times New Roman"/>
          <w:sz w:val="18"/>
          <w:szCs w:val="18"/>
        </w:rPr>
        <w:t xml:space="preserve"> </w:t>
      </w:r>
      <w:r w:rsidR="009C3729">
        <w:rPr>
          <w:rFonts w:ascii="Century Gothic" w:hAnsi="Century Gothic" w:cs="Times New Roman"/>
          <w:sz w:val="18"/>
          <w:szCs w:val="18"/>
        </w:rPr>
        <w:t xml:space="preserve">Sistema Financiero </w:t>
      </w:r>
      <w:r w:rsidR="009C3729" w:rsidRPr="000F2595">
        <w:rPr>
          <w:rFonts w:ascii="Century Gothic" w:hAnsi="Century Gothic" w:cs="Times New Roman"/>
          <w:sz w:val="18"/>
          <w:szCs w:val="18"/>
        </w:rPr>
        <w:t>GOOBI, construcción propia.</w:t>
      </w:r>
    </w:p>
    <w:p w14:paraId="50F571AC" w14:textId="77777777" w:rsidR="006503E6" w:rsidRDefault="006503E6" w:rsidP="00AE0B13">
      <w:pPr>
        <w:spacing w:line="360" w:lineRule="auto"/>
        <w:jc w:val="both"/>
        <w:rPr>
          <w:rFonts w:ascii="Century Gothic" w:hAnsi="Century Gothic" w:cs="Times New Roman"/>
        </w:rPr>
      </w:pPr>
      <w:r w:rsidRPr="006503E6">
        <w:rPr>
          <w:rFonts w:ascii="Century Gothic" w:hAnsi="Century Gothic" w:cs="Times New Roman"/>
        </w:rPr>
        <w:t xml:space="preserve">Las cifras presentadas en la Gráfica 2 no contemplan los recursos del balance; no obstante, para los recursos provenientes de la Nación, estos ascienden a </w:t>
      </w:r>
      <w:r w:rsidRPr="006503E6">
        <w:rPr>
          <w:rFonts w:ascii="Century Gothic" w:hAnsi="Century Gothic" w:cs="Times New Roman"/>
          <w:b/>
          <w:bCs/>
        </w:rPr>
        <w:t xml:space="preserve">$19.450,2 millones </w:t>
      </w:r>
      <w:r w:rsidRPr="006503E6">
        <w:rPr>
          <w:rFonts w:ascii="Century Gothic" w:hAnsi="Century Gothic" w:cs="Times New Roman"/>
        </w:rPr>
        <w:t>con corte a la fecha del informe.</w:t>
      </w:r>
    </w:p>
    <w:p w14:paraId="0FB4CCDC" w14:textId="77777777" w:rsidR="00E421B4" w:rsidRDefault="00E421B4" w:rsidP="00D10A4C">
      <w:pPr>
        <w:spacing w:line="360" w:lineRule="auto"/>
        <w:jc w:val="both"/>
        <w:rPr>
          <w:rFonts w:ascii="Century Gothic" w:hAnsi="Century Gothic" w:cs="Times New Roman"/>
        </w:rPr>
      </w:pPr>
      <w:r w:rsidRPr="00E421B4">
        <w:rPr>
          <w:rFonts w:ascii="Century Gothic" w:hAnsi="Century Gothic" w:cs="Times New Roman"/>
        </w:rPr>
        <w:t>La Gráfica 3 muestra los recursos que integran los ingresos de Pregrado y Otras Rentas de la UPTC. Dentro de estos se contemplan las matrículas de pregrado, los derechos pecuniarios y los rendimientos financieros, entre otros conceptos.</w:t>
      </w:r>
    </w:p>
    <w:p w14:paraId="0E51DA1A" w14:textId="1E6E7CC1" w:rsidR="00C503E6" w:rsidRDefault="00C503E6" w:rsidP="00D10A4C">
      <w:pPr>
        <w:spacing w:line="360" w:lineRule="auto"/>
        <w:jc w:val="both"/>
        <w:rPr>
          <w:rFonts w:ascii="Century Gothic" w:hAnsi="Century Gothic" w:cs="Times New Roman"/>
        </w:rPr>
      </w:pPr>
      <w:r w:rsidRPr="00C503E6">
        <w:rPr>
          <w:rFonts w:ascii="Century Gothic" w:hAnsi="Century Gothic" w:cs="Times New Roman"/>
        </w:rPr>
        <w:t xml:space="preserve">A la fecha de corte, estos recursos registran un recaudo de </w:t>
      </w:r>
      <w:r w:rsidRPr="005A064D">
        <w:rPr>
          <w:rFonts w:ascii="Century Gothic" w:hAnsi="Century Gothic" w:cs="Times New Roman"/>
          <w:b/>
          <w:bCs/>
        </w:rPr>
        <w:t>$</w:t>
      </w:r>
      <w:r w:rsidR="00EA0E91">
        <w:rPr>
          <w:rFonts w:ascii="Century Gothic" w:hAnsi="Century Gothic" w:cs="Times New Roman"/>
          <w:b/>
          <w:bCs/>
        </w:rPr>
        <w:t>9.200,1</w:t>
      </w:r>
      <w:r w:rsidRPr="005A064D">
        <w:rPr>
          <w:rFonts w:ascii="Century Gothic" w:hAnsi="Century Gothic" w:cs="Times New Roman"/>
          <w:b/>
          <w:bCs/>
        </w:rPr>
        <w:t xml:space="preserve"> millones</w:t>
      </w:r>
      <w:r w:rsidRPr="00C503E6">
        <w:rPr>
          <w:rFonts w:ascii="Century Gothic" w:hAnsi="Century Gothic" w:cs="Times New Roman"/>
        </w:rPr>
        <w:t xml:space="preserve"> frente a un presupuesto aforado de </w:t>
      </w:r>
      <w:r w:rsidRPr="005A064D">
        <w:rPr>
          <w:rFonts w:ascii="Century Gothic" w:hAnsi="Century Gothic" w:cs="Times New Roman"/>
          <w:b/>
          <w:bCs/>
        </w:rPr>
        <w:t>$</w:t>
      </w:r>
      <w:r w:rsidR="00EA0E91">
        <w:rPr>
          <w:rFonts w:ascii="Century Gothic" w:hAnsi="Century Gothic" w:cs="Times New Roman"/>
          <w:b/>
          <w:bCs/>
        </w:rPr>
        <w:t>21.887,5</w:t>
      </w:r>
      <w:r w:rsidRPr="005A064D">
        <w:rPr>
          <w:rFonts w:ascii="Century Gothic" w:hAnsi="Century Gothic" w:cs="Times New Roman"/>
          <w:b/>
          <w:bCs/>
        </w:rPr>
        <w:t xml:space="preserve"> millones</w:t>
      </w:r>
      <w:r w:rsidRPr="00C503E6">
        <w:rPr>
          <w:rFonts w:ascii="Century Gothic" w:hAnsi="Century Gothic" w:cs="Times New Roman"/>
        </w:rPr>
        <w:t xml:space="preserve">, lo que equivale a una ejecución del </w:t>
      </w:r>
      <w:r w:rsidR="00EA0E91">
        <w:rPr>
          <w:rFonts w:ascii="Century Gothic" w:hAnsi="Century Gothic" w:cs="Times New Roman"/>
          <w:b/>
          <w:bCs/>
        </w:rPr>
        <w:t>42</w:t>
      </w:r>
      <w:r w:rsidRPr="005A064D">
        <w:rPr>
          <w:rFonts w:ascii="Century Gothic" w:hAnsi="Century Gothic" w:cs="Times New Roman"/>
          <w:b/>
          <w:bCs/>
        </w:rPr>
        <w:t>%</w:t>
      </w:r>
      <w:r w:rsidRPr="00C503E6">
        <w:rPr>
          <w:rFonts w:ascii="Century Gothic" w:hAnsi="Century Gothic" w:cs="Times New Roman"/>
        </w:rPr>
        <w:t>, contribuyendo así al fortalecimiento de la sostenibilidad financiera institucional.</w:t>
      </w:r>
    </w:p>
    <w:p w14:paraId="531AEC27" w14:textId="77777777" w:rsidR="002D6A05" w:rsidRDefault="002D6A05" w:rsidP="00D10A4C">
      <w:pPr>
        <w:spacing w:line="360" w:lineRule="auto"/>
        <w:jc w:val="both"/>
        <w:rPr>
          <w:rFonts w:ascii="Century Gothic" w:hAnsi="Century Gothic" w:cs="Times New Roman"/>
        </w:rPr>
      </w:pPr>
    </w:p>
    <w:p w14:paraId="6C9A4946" w14:textId="77777777" w:rsidR="002D6A05" w:rsidRDefault="002D6A05" w:rsidP="00D10A4C">
      <w:pPr>
        <w:spacing w:line="360" w:lineRule="auto"/>
        <w:jc w:val="both"/>
        <w:rPr>
          <w:rFonts w:ascii="Century Gothic" w:hAnsi="Century Gothic" w:cs="Times New Roman"/>
        </w:rPr>
      </w:pPr>
    </w:p>
    <w:p w14:paraId="11D3E328" w14:textId="77777777" w:rsidR="002D6A05" w:rsidRDefault="002D6A05" w:rsidP="00D10A4C">
      <w:pPr>
        <w:spacing w:line="360" w:lineRule="auto"/>
        <w:jc w:val="both"/>
        <w:rPr>
          <w:rFonts w:ascii="Century Gothic" w:hAnsi="Century Gothic" w:cs="Times New Roman"/>
        </w:rPr>
      </w:pPr>
    </w:p>
    <w:p w14:paraId="6D016A30" w14:textId="77777777" w:rsidR="004422AE" w:rsidRDefault="004422AE" w:rsidP="00D10A4C">
      <w:pPr>
        <w:spacing w:line="360" w:lineRule="auto"/>
        <w:jc w:val="both"/>
        <w:rPr>
          <w:rFonts w:ascii="Century Gothic" w:hAnsi="Century Gothic" w:cs="Times New Roman"/>
        </w:rPr>
      </w:pPr>
    </w:p>
    <w:p w14:paraId="25F4A55D" w14:textId="77777777" w:rsidR="004422AE" w:rsidRDefault="004422AE" w:rsidP="00D10A4C">
      <w:pPr>
        <w:spacing w:line="360" w:lineRule="auto"/>
        <w:jc w:val="both"/>
        <w:rPr>
          <w:rFonts w:ascii="Century Gothic" w:hAnsi="Century Gothic" w:cs="Times New Roman"/>
        </w:rPr>
      </w:pPr>
    </w:p>
    <w:p w14:paraId="50C09141" w14:textId="53BF4456" w:rsidR="005A064D" w:rsidRPr="00AD3A13" w:rsidRDefault="005A064D" w:rsidP="00D10A4C">
      <w:pPr>
        <w:pStyle w:val="Sinespaciado"/>
        <w:spacing w:line="360" w:lineRule="auto"/>
        <w:rPr>
          <w:rFonts w:ascii="Century Gothic" w:hAnsi="Century Gothic" w:cs="Times New Roman"/>
          <w:b/>
          <w:bCs/>
        </w:rPr>
      </w:pPr>
      <w:r>
        <w:rPr>
          <w:rFonts w:ascii="Century Gothic" w:hAnsi="Century Gothic" w:cs="Times New Roman"/>
          <w:b/>
          <w:bCs/>
        </w:rPr>
        <w:lastRenderedPageBreak/>
        <w:t>Gráfica</w:t>
      </w:r>
      <w:r w:rsidRPr="00AD3A13">
        <w:rPr>
          <w:rFonts w:ascii="Century Gothic" w:hAnsi="Century Gothic" w:cs="Times New Roman"/>
          <w:b/>
          <w:bCs/>
        </w:rPr>
        <w:t xml:space="preserve"> </w:t>
      </w:r>
      <w:r>
        <w:rPr>
          <w:rFonts w:ascii="Century Gothic" w:hAnsi="Century Gothic" w:cs="Times New Roman"/>
          <w:b/>
          <w:bCs/>
        </w:rPr>
        <w:t>3</w:t>
      </w:r>
      <w:r w:rsidRPr="00AD3A13">
        <w:rPr>
          <w:rFonts w:ascii="Century Gothic" w:hAnsi="Century Gothic" w:cs="Times New Roman"/>
          <w:b/>
          <w:bCs/>
        </w:rPr>
        <w:t xml:space="preserve">. </w:t>
      </w:r>
    </w:p>
    <w:p w14:paraId="0691461B" w14:textId="45617D70" w:rsidR="005A064D" w:rsidRDefault="005A064D" w:rsidP="00D10A4C">
      <w:pPr>
        <w:pStyle w:val="Sinespaciado"/>
        <w:spacing w:line="360" w:lineRule="auto"/>
        <w:rPr>
          <w:rFonts w:ascii="Century Gothic" w:hAnsi="Century Gothic" w:cs="Times New Roman"/>
          <w:i/>
          <w:iCs/>
        </w:rPr>
      </w:pPr>
      <w:r w:rsidRPr="00AD3A13">
        <w:rPr>
          <w:rFonts w:ascii="Century Gothic" w:hAnsi="Century Gothic" w:cs="Times New Roman"/>
          <w:i/>
          <w:iCs/>
        </w:rPr>
        <w:t>Recursos que constituyen los Ingresos</w:t>
      </w:r>
      <w:r>
        <w:rPr>
          <w:rFonts w:ascii="Century Gothic" w:hAnsi="Century Gothic" w:cs="Times New Roman"/>
          <w:i/>
          <w:iCs/>
        </w:rPr>
        <w:t xml:space="preserve"> propios</w:t>
      </w:r>
      <w:r w:rsidRPr="00AD3A13">
        <w:rPr>
          <w:rFonts w:ascii="Century Gothic" w:hAnsi="Century Gothic" w:cs="Times New Roman"/>
          <w:i/>
          <w:iCs/>
        </w:rPr>
        <w:t xml:space="preserve"> de la UPTC.</w:t>
      </w:r>
    </w:p>
    <w:p w14:paraId="389BD5CE" w14:textId="59E14C81" w:rsidR="00C503E6" w:rsidRDefault="00C07CE6" w:rsidP="00D10A4C">
      <w:pPr>
        <w:spacing w:line="360" w:lineRule="auto"/>
        <w:jc w:val="both"/>
        <w:rPr>
          <w:rFonts w:ascii="Century Gothic" w:hAnsi="Century Gothic" w:cs="Times New Roman"/>
        </w:rPr>
      </w:pPr>
      <w:r w:rsidRPr="00C07CE6">
        <w:rPr>
          <w:rFonts w:ascii="Century Gothic" w:hAnsi="Century Gothic" w:cs="Times New Roman"/>
          <w:noProof/>
        </w:rPr>
        <w:drawing>
          <wp:inline distT="0" distB="0" distL="0" distR="0" wp14:anchorId="3340D831" wp14:editId="435FA612">
            <wp:extent cx="5612130" cy="2623820"/>
            <wp:effectExtent l="0" t="0" r="762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623820"/>
                    </a:xfrm>
                    <a:prstGeom prst="rect">
                      <a:avLst/>
                    </a:prstGeom>
                  </pic:spPr>
                </pic:pic>
              </a:graphicData>
            </a:graphic>
          </wp:inline>
        </w:drawing>
      </w:r>
    </w:p>
    <w:p w14:paraId="5EE2EB50" w14:textId="160027F7" w:rsidR="00C503E6" w:rsidRDefault="001F254E" w:rsidP="00D10A4C">
      <w:pPr>
        <w:spacing w:line="360" w:lineRule="auto"/>
        <w:jc w:val="both"/>
        <w:rPr>
          <w:rFonts w:ascii="Century Gothic" w:hAnsi="Century Gothic" w:cs="Times New Roman"/>
        </w:rPr>
      </w:pPr>
      <w:r w:rsidRPr="000F2595">
        <w:rPr>
          <w:rFonts w:ascii="Century Gothic" w:hAnsi="Century Gothic" w:cs="Times New Roman"/>
          <w:b/>
          <w:sz w:val="18"/>
          <w:szCs w:val="18"/>
        </w:rPr>
        <w:t>Fuente:</w:t>
      </w:r>
      <w:r w:rsidRPr="000F2595">
        <w:rPr>
          <w:rFonts w:ascii="Century Gothic" w:hAnsi="Century Gothic" w:cs="Times New Roman"/>
          <w:sz w:val="18"/>
          <w:szCs w:val="18"/>
        </w:rPr>
        <w:t xml:space="preserve"> </w:t>
      </w:r>
      <w:r>
        <w:rPr>
          <w:rFonts w:ascii="Century Gothic" w:hAnsi="Century Gothic" w:cs="Times New Roman"/>
          <w:sz w:val="18"/>
          <w:szCs w:val="18"/>
        </w:rPr>
        <w:t xml:space="preserve">Sistema Financiero </w:t>
      </w:r>
      <w:r w:rsidRPr="000F2595">
        <w:rPr>
          <w:rFonts w:ascii="Century Gothic" w:hAnsi="Century Gothic" w:cs="Times New Roman"/>
          <w:sz w:val="18"/>
          <w:szCs w:val="18"/>
        </w:rPr>
        <w:t>GOOBI, construcción propia.</w:t>
      </w:r>
    </w:p>
    <w:p w14:paraId="6E583A73" w14:textId="35356797" w:rsidR="004422AE" w:rsidRDefault="00D13415" w:rsidP="00D10A4C">
      <w:pPr>
        <w:spacing w:line="360" w:lineRule="auto"/>
        <w:jc w:val="both"/>
        <w:rPr>
          <w:rFonts w:ascii="Century Gothic" w:hAnsi="Century Gothic" w:cs="Times New Roman"/>
        </w:rPr>
      </w:pPr>
      <w:r w:rsidRPr="00D13415">
        <w:rPr>
          <w:rFonts w:ascii="Century Gothic" w:hAnsi="Century Gothic" w:cs="Times New Roman"/>
        </w:rPr>
        <w:t xml:space="preserve">Las cifras presentadas en la Gráfica </w:t>
      </w:r>
      <w:r w:rsidR="00172856">
        <w:rPr>
          <w:rFonts w:ascii="Century Gothic" w:hAnsi="Century Gothic" w:cs="Times New Roman"/>
        </w:rPr>
        <w:t>3</w:t>
      </w:r>
      <w:r w:rsidRPr="00D13415">
        <w:rPr>
          <w:rFonts w:ascii="Century Gothic" w:hAnsi="Century Gothic" w:cs="Times New Roman"/>
        </w:rPr>
        <w:t xml:space="preserve"> no contemplan los recursos del balance; </w:t>
      </w:r>
      <w:r w:rsidR="003D5072" w:rsidRPr="00D13415">
        <w:rPr>
          <w:rFonts w:ascii="Century Gothic" w:hAnsi="Century Gothic" w:cs="Times New Roman"/>
        </w:rPr>
        <w:t xml:space="preserve">no obstante, para </w:t>
      </w:r>
      <w:r w:rsidR="003D5072">
        <w:rPr>
          <w:rFonts w:ascii="Century Gothic" w:hAnsi="Century Gothic" w:cs="Times New Roman"/>
        </w:rPr>
        <w:t>estos</w:t>
      </w:r>
      <w:r w:rsidR="003D5072" w:rsidRPr="00D13415">
        <w:rPr>
          <w:rFonts w:ascii="Century Gothic" w:hAnsi="Century Gothic" w:cs="Times New Roman"/>
        </w:rPr>
        <w:t xml:space="preserve"> recursos</w:t>
      </w:r>
      <w:r w:rsidR="003D5072">
        <w:rPr>
          <w:rFonts w:ascii="Century Gothic" w:hAnsi="Century Gothic" w:cs="Times New Roman"/>
        </w:rPr>
        <w:t xml:space="preserve"> el monto</w:t>
      </w:r>
      <w:r w:rsidR="003D5072" w:rsidRPr="00D13415">
        <w:rPr>
          <w:rFonts w:ascii="Century Gothic" w:hAnsi="Century Gothic" w:cs="Times New Roman"/>
        </w:rPr>
        <w:t xml:space="preserve"> asciende </w:t>
      </w:r>
      <w:r w:rsidRPr="00D13415">
        <w:rPr>
          <w:rFonts w:ascii="Century Gothic" w:hAnsi="Century Gothic" w:cs="Times New Roman"/>
        </w:rPr>
        <w:t xml:space="preserve">a </w:t>
      </w:r>
      <w:r w:rsidRPr="00D13415">
        <w:rPr>
          <w:rFonts w:ascii="Century Gothic" w:hAnsi="Century Gothic" w:cs="Times New Roman"/>
          <w:b/>
          <w:bCs/>
        </w:rPr>
        <w:t>$</w:t>
      </w:r>
      <w:r w:rsidRPr="00D13415">
        <w:rPr>
          <w:rFonts w:ascii="Century Gothic" w:hAnsi="Century Gothic" w:cs="Times New Roman"/>
          <w:b/>
          <w:bCs/>
        </w:rPr>
        <w:t>2.532,5</w:t>
      </w:r>
      <w:r w:rsidRPr="00D13415">
        <w:rPr>
          <w:rFonts w:ascii="Century Gothic" w:hAnsi="Century Gothic" w:cs="Times New Roman"/>
          <w:b/>
          <w:bCs/>
        </w:rPr>
        <w:t xml:space="preserve"> millones</w:t>
      </w:r>
      <w:r w:rsidRPr="00D13415">
        <w:rPr>
          <w:rFonts w:ascii="Century Gothic" w:hAnsi="Century Gothic" w:cs="Times New Roman"/>
        </w:rPr>
        <w:t xml:space="preserve"> con corte a la fecha del informe.</w:t>
      </w:r>
    </w:p>
    <w:p w14:paraId="0B9FA7B9" w14:textId="49C735C7" w:rsidR="003E08B4" w:rsidRDefault="003E08B4" w:rsidP="00D10A4C">
      <w:pPr>
        <w:spacing w:line="360" w:lineRule="auto"/>
        <w:jc w:val="both"/>
        <w:rPr>
          <w:rFonts w:ascii="Century Gothic" w:hAnsi="Century Gothic" w:cs="Times New Roman"/>
        </w:rPr>
      </w:pPr>
      <w:r>
        <w:rPr>
          <w:rFonts w:ascii="Century Gothic" w:hAnsi="Century Gothic" w:cs="Times New Roman"/>
        </w:rPr>
        <w:t xml:space="preserve">En la gráfica 4, se muestran todos los recursos 30, </w:t>
      </w:r>
      <w:r w:rsidR="001B32B2">
        <w:rPr>
          <w:rFonts w:ascii="Century Gothic" w:hAnsi="Century Gothic" w:cs="Times New Roman"/>
        </w:rPr>
        <w:t xml:space="preserve">aquí se muestran los recursos relacionados </w:t>
      </w:r>
      <w:r w:rsidR="004A573C">
        <w:rPr>
          <w:rFonts w:ascii="Century Gothic" w:hAnsi="Century Gothic" w:cs="Times New Roman"/>
        </w:rPr>
        <w:t>con posgrados (R31), Convenios con Derechos (R33), Extensión (R</w:t>
      </w:r>
      <w:r w:rsidR="0028139D">
        <w:rPr>
          <w:rFonts w:ascii="Century Gothic" w:hAnsi="Century Gothic" w:cs="Times New Roman"/>
        </w:rPr>
        <w:t>32), Educación continuada</w:t>
      </w:r>
      <w:r w:rsidR="00A66186">
        <w:rPr>
          <w:rFonts w:ascii="Century Gothic" w:hAnsi="Century Gothic" w:cs="Times New Roman"/>
        </w:rPr>
        <w:t xml:space="preserve"> (R35)</w:t>
      </w:r>
      <w:r w:rsidR="0028139D">
        <w:rPr>
          <w:rFonts w:ascii="Century Gothic" w:hAnsi="Century Gothic" w:cs="Times New Roman"/>
        </w:rPr>
        <w:t xml:space="preserve"> y </w:t>
      </w:r>
      <w:r w:rsidR="007D4242">
        <w:rPr>
          <w:rFonts w:ascii="Century Gothic" w:hAnsi="Century Gothic" w:cs="Times New Roman"/>
        </w:rPr>
        <w:t>Convenios Sin Derechos (R34).</w:t>
      </w:r>
    </w:p>
    <w:p w14:paraId="1AC10164" w14:textId="0679EDE7" w:rsidR="00172856" w:rsidRDefault="000A537E" w:rsidP="00D10A4C">
      <w:pPr>
        <w:spacing w:line="360" w:lineRule="auto"/>
        <w:jc w:val="both"/>
        <w:rPr>
          <w:rFonts w:ascii="Century Gothic" w:hAnsi="Century Gothic" w:cs="Times New Roman"/>
        </w:rPr>
      </w:pPr>
      <w:r w:rsidRPr="00C503E6">
        <w:rPr>
          <w:rFonts w:ascii="Century Gothic" w:hAnsi="Century Gothic" w:cs="Times New Roman"/>
        </w:rPr>
        <w:t xml:space="preserve">A la fecha de corte, estos recursos registran un recaudo de </w:t>
      </w:r>
      <w:r w:rsidRPr="005A064D">
        <w:rPr>
          <w:rFonts w:ascii="Century Gothic" w:hAnsi="Century Gothic" w:cs="Times New Roman"/>
          <w:b/>
          <w:bCs/>
        </w:rPr>
        <w:t>$</w:t>
      </w:r>
      <w:r w:rsidR="008C2756">
        <w:rPr>
          <w:rFonts w:ascii="Century Gothic" w:hAnsi="Century Gothic" w:cs="Times New Roman"/>
          <w:b/>
          <w:bCs/>
        </w:rPr>
        <w:t>36.931</w:t>
      </w:r>
      <w:r w:rsidRPr="005A064D">
        <w:rPr>
          <w:rFonts w:ascii="Century Gothic" w:hAnsi="Century Gothic" w:cs="Times New Roman"/>
          <w:b/>
          <w:bCs/>
        </w:rPr>
        <w:t xml:space="preserve"> millones</w:t>
      </w:r>
      <w:r w:rsidRPr="00C503E6">
        <w:rPr>
          <w:rFonts w:ascii="Century Gothic" w:hAnsi="Century Gothic" w:cs="Times New Roman"/>
        </w:rPr>
        <w:t xml:space="preserve"> frente a un presupuesto aforado de </w:t>
      </w:r>
      <w:r w:rsidRPr="005A064D">
        <w:rPr>
          <w:rFonts w:ascii="Century Gothic" w:hAnsi="Century Gothic" w:cs="Times New Roman"/>
          <w:b/>
          <w:bCs/>
        </w:rPr>
        <w:t>$</w:t>
      </w:r>
      <w:r w:rsidR="008C2756">
        <w:rPr>
          <w:rFonts w:ascii="Century Gothic" w:hAnsi="Century Gothic" w:cs="Times New Roman"/>
          <w:b/>
          <w:bCs/>
        </w:rPr>
        <w:t>97.267,3</w:t>
      </w:r>
      <w:r w:rsidRPr="005A064D">
        <w:rPr>
          <w:rFonts w:ascii="Century Gothic" w:hAnsi="Century Gothic" w:cs="Times New Roman"/>
          <w:b/>
          <w:bCs/>
        </w:rPr>
        <w:t xml:space="preserve"> millones</w:t>
      </w:r>
      <w:r w:rsidRPr="00C503E6">
        <w:rPr>
          <w:rFonts w:ascii="Century Gothic" w:hAnsi="Century Gothic" w:cs="Times New Roman"/>
        </w:rPr>
        <w:t xml:space="preserve">, lo que equivale a una ejecución del </w:t>
      </w:r>
      <w:r w:rsidR="008C2756">
        <w:rPr>
          <w:rFonts w:ascii="Century Gothic" w:hAnsi="Century Gothic" w:cs="Times New Roman"/>
          <w:b/>
          <w:bCs/>
        </w:rPr>
        <w:t>38</w:t>
      </w:r>
      <w:r w:rsidRPr="005A064D">
        <w:rPr>
          <w:rFonts w:ascii="Century Gothic" w:hAnsi="Century Gothic" w:cs="Times New Roman"/>
          <w:b/>
          <w:bCs/>
        </w:rPr>
        <w:t>%</w:t>
      </w:r>
      <w:r w:rsidR="008C2756">
        <w:rPr>
          <w:rFonts w:ascii="Century Gothic" w:hAnsi="Century Gothic" w:cs="Times New Roman"/>
        </w:rPr>
        <w:t>.</w:t>
      </w:r>
    </w:p>
    <w:p w14:paraId="51B40764" w14:textId="77777777" w:rsidR="00172856" w:rsidRDefault="00172856" w:rsidP="00D10A4C">
      <w:pPr>
        <w:spacing w:line="360" w:lineRule="auto"/>
        <w:jc w:val="both"/>
        <w:rPr>
          <w:rFonts w:ascii="Century Gothic" w:hAnsi="Century Gothic" w:cs="Times New Roman"/>
        </w:rPr>
      </w:pPr>
    </w:p>
    <w:p w14:paraId="5F6435B0" w14:textId="77777777" w:rsidR="00172856" w:rsidRDefault="00172856" w:rsidP="00D10A4C">
      <w:pPr>
        <w:spacing w:line="360" w:lineRule="auto"/>
        <w:jc w:val="both"/>
        <w:rPr>
          <w:rFonts w:ascii="Century Gothic" w:hAnsi="Century Gothic" w:cs="Times New Roman"/>
        </w:rPr>
      </w:pPr>
    </w:p>
    <w:p w14:paraId="37B78112" w14:textId="77777777" w:rsidR="00172856" w:rsidRDefault="00172856" w:rsidP="00D10A4C">
      <w:pPr>
        <w:spacing w:line="360" w:lineRule="auto"/>
        <w:jc w:val="both"/>
        <w:rPr>
          <w:rFonts w:ascii="Century Gothic" w:hAnsi="Century Gothic" w:cs="Times New Roman"/>
        </w:rPr>
      </w:pPr>
    </w:p>
    <w:p w14:paraId="3619E893" w14:textId="77777777" w:rsidR="00172856" w:rsidRDefault="00172856" w:rsidP="00D10A4C">
      <w:pPr>
        <w:spacing w:line="360" w:lineRule="auto"/>
        <w:jc w:val="both"/>
        <w:rPr>
          <w:rFonts w:ascii="Century Gothic" w:hAnsi="Century Gothic" w:cs="Times New Roman"/>
        </w:rPr>
      </w:pPr>
    </w:p>
    <w:p w14:paraId="57D814E8" w14:textId="77777777" w:rsidR="00172856" w:rsidRDefault="00172856" w:rsidP="00D10A4C">
      <w:pPr>
        <w:spacing w:line="360" w:lineRule="auto"/>
        <w:jc w:val="both"/>
        <w:rPr>
          <w:rFonts w:ascii="Century Gothic" w:hAnsi="Century Gothic" w:cs="Times New Roman"/>
        </w:rPr>
      </w:pPr>
    </w:p>
    <w:p w14:paraId="7CBE3D12" w14:textId="77777777" w:rsidR="00172856" w:rsidRDefault="00172856" w:rsidP="00D10A4C">
      <w:pPr>
        <w:spacing w:line="360" w:lineRule="auto"/>
        <w:jc w:val="both"/>
        <w:rPr>
          <w:rFonts w:ascii="Century Gothic" w:hAnsi="Century Gothic" w:cs="Times New Roman"/>
        </w:rPr>
      </w:pPr>
    </w:p>
    <w:p w14:paraId="361F201F" w14:textId="7FB29B80" w:rsidR="007D4242" w:rsidRPr="00AD3A13" w:rsidRDefault="007D4242" w:rsidP="007D4242">
      <w:pPr>
        <w:pStyle w:val="Sinespaciado"/>
        <w:spacing w:line="360" w:lineRule="auto"/>
        <w:rPr>
          <w:rFonts w:ascii="Century Gothic" w:hAnsi="Century Gothic" w:cs="Times New Roman"/>
          <w:b/>
          <w:bCs/>
        </w:rPr>
      </w:pPr>
      <w:r>
        <w:rPr>
          <w:rFonts w:ascii="Century Gothic" w:hAnsi="Century Gothic" w:cs="Times New Roman"/>
          <w:b/>
          <w:bCs/>
        </w:rPr>
        <w:lastRenderedPageBreak/>
        <w:t>Gráfica</w:t>
      </w:r>
      <w:r w:rsidRPr="00AD3A13">
        <w:rPr>
          <w:rFonts w:ascii="Century Gothic" w:hAnsi="Century Gothic" w:cs="Times New Roman"/>
          <w:b/>
          <w:bCs/>
        </w:rPr>
        <w:t xml:space="preserve"> </w:t>
      </w:r>
      <w:r>
        <w:rPr>
          <w:rFonts w:ascii="Century Gothic" w:hAnsi="Century Gothic" w:cs="Times New Roman"/>
          <w:b/>
          <w:bCs/>
        </w:rPr>
        <w:t>4</w:t>
      </w:r>
      <w:r w:rsidRPr="00AD3A13">
        <w:rPr>
          <w:rFonts w:ascii="Century Gothic" w:hAnsi="Century Gothic" w:cs="Times New Roman"/>
          <w:b/>
          <w:bCs/>
        </w:rPr>
        <w:t xml:space="preserve">. </w:t>
      </w:r>
    </w:p>
    <w:p w14:paraId="63201236" w14:textId="6D506375" w:rsidR="007D4242" w:rsidRDefault="007D4242" w:rsidP="007D4242">
      <w:pPr>
        <w:pStyle w:val="Sinespaciado"/>
        <w:spacing w:line="360" w:lineRule="auto"/>
        <w:rPr>
          <w:rFonts w:ascii="Century Gothic" w:hAnsi="Century Gothic" w:cs="Times New Roman"/>
          <w:i/>
          <w:iCs/>
        </w:rPr>
      </w:pPr>
      <w:r w:rsidRPr="00AD3A13">
        <w:rPr>
          <w:rFonts w:ascii="Century Gothic" w:hAnsi="Century Gothic" w:cs="Times New Roman"/>
          <w:i/>
          <w:iCs/>
        </w:rPr>
        <w:t xml:space="preserve">Recursos </w:t>
      </w:r>
      <w:r>
        <w:rPr>
          <w:rFonts w:ascii="Century Gothic" w:hAnsi="Century Gothic" w:cs="Times New Roman"/>
          <w:i/>
          <w:iCs/>
        </w:rPr>
        <w:t>Posgrados y Extensión UPTC</w:t>
      </w:r>
      <w:r w:rsidRPr="00AD3A13">
        <w:rPr>
          <w:rFonts w:ascii="Century Gothic" w:hAnsi="Century Gothic" w:cs="Times New Roman"/>
          <w:i/>
          <w:iCs/>
        </w:rPr>
        <w:t>.</w:t>
      </w:r>
    </w:p>
    <w:p w14:paraId="1330F768" w14:textId="0CF09A14" w:rsidR="003E08B4" w:rsidRDefault="00F901E3" w:rsidP="00D10A4C">
      <w:pPr>
        <w:spacing w:line="360" w:lineRule="auto"/>
        <w:jc w:val="both"/>
        <w:rPr>
          <w:rFonts w:ascii="Century Gothic" w:hAnsi="Century Gothic" w:cs="Times New Roman"/>
        </w:rPr>
      </w:pPr>
      <w:r w:rsidRPr="00F901E3">
        <w:rPr>
          <w:rFonts w:ascii="Century Gothic" w:hAnsi="Century Gothic" w:cs="Times New Roman"/>
          <w:noProof/>
        </w:rPr>
        <w:drawing>
          <wp:inline distT="0" distB="0" distL="0" distR="0" wp14:anchorId="0553A858" wp14:editId="25D18166">
            <wp:extent cx="5612130" cy="271208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712085"/>
                    </a:xfrm>
                    <a:prstGeom prst="rect">
                      <a:avLst/>
                    </a:prstGeom>
                  </pic:spPr>
                </pic:pic>
              </a:graphicData>
            </a:graphic>
          </wp:inline>
        </w:drawing>
      </w:r>
    </w:p>
    <w:p w14:paraId="273E2261" w14:textId="6BD911D4" w:rsidR="003E08B4" w:rsidRDefault="00F901E3" w:rsidP="00D10A4C">
      <w:pPr>
        <w:spacing w:line="360" w:lineRule="auto"/>
        <w:jc w:val="both"/>
        <w:rPr>
          <w:rFonts w:ascii="Century Gothic" w:hAnsi="Century Gothic" w:cs="Times New Roman"/>
          <w:sz w:val="20"/>
          <w:szCs w:val="20"/>
        </w:rPr>
      </w:pPr>
      <w:r w:rsidRPr="00F901E3">
        <w:rPr>
          <w:rFonts w:ascii="Century Gothic" w:hAnsi="Century Gothic" w:cs="Times New Roman"/>
          <w:b/>
          <w:bCs/>
          <w:sz w:val="20"/>
          <w:szCs w:val="20"/>
        </w:rPr>
        <w:t>Fuente:</w:t>
      </w:r>
      <w:r w:rsidRPr="00F901E3">
        <w:rPr>
          <w:rFonts w:ascii="Century Gothic" w:hAnsi="Century Gothic" w:cs="Times New Roman"/>
          <w:sz w:val="20"/>
          <w:szCs w:val="20"/>
        </w:rPr>
        <w:t xml:space="preserve"> Sistema Financiero GOOBI, construcción propia.</w:t>
      </w:r>
    </w:p>
    <w:p w14:paraId="660D59D8" w14:textId="4F858D35" w:rsidR="00172856" w:rsidRDefault="00172856" w:rsidP="00172856">
      <w:pPr>
        <w:spacing w:line="360" w:lineRule="auto"/>
        <w:jc w:val="both"/>
        <w:rPr>
          <w:rFonts w:ascii="Century Gothic" w:hAnsi="Century Gothic" w:cs="Times New Roman"/>
        </w:rPr>
      </w:pPr>
      <w:r w:rsidRPr="00D13415">
        <w:rPr>
          <w:rFonts w:ascii="Century Gothic" w:hAnsi="Century Gothic" w:cs="Times New Roman"/>
        </w:rPr>
        <w:t xml:space="preserve">Las cifras presentadas en la Gráfica </w:t>
      </w:r>
      <w:r>
        <w:rPr>
          <w:rFonts w:ascii="Century Gothic" w:hAnsi="Century Gothic" w:cs="Times New Roman"/>
        </w:rPr>
        <w:t>4</w:t>
      </w:r>
      <w:r w:rsidRPr="00D13415">
        <w:rPr>
          <w:rFonts w:ascii="Century Gothic" w:hAnsi="Century Gothic" w:cs="Times New Roman"/>
        </w:rPr>
        <w:t xml:space="preserve"> no contemplan los recursos del balance; no obstante, para </w:t>
      </w:r>
      <w:r w:rsidR="003D5072">
        <w:rPr>
          <w:rFonts w:ascii="Century Gothic" w:hAnsi="Century Gothic" w:cs="Times New Roman"/>
        </w:rPr>
        <w:t>estos</w:t>
      </w:r>
      <w:r w:rsidRPr="00D13415">
        <w:rPr>
          <w:rFonts w:ascii="Century Gothic" w:hAnsi="Century Gothic" w:cs="Times New Roman"/>
        </w:rPr>
        <w:t xml:space="preserve"> recursos</w:t>
      </w:r>
      <w:r w:rsidR="003D5072">
        <w:rPr>
          <w:rFonts w:ascii="Century Gothic" w:hAnsi="Century Gothic" w:cs="Times New Roman"/>
        </w:rPr>
        <w:t xml:space="preserve"> el monto</w:t>
      </w:r>
      <w:r w:rsidR="003D5072" w:rsidRPr="00D13415">
        <w:rPr>
          <w:rFonts w:ascii="Century Gothic" w:hAnsi="Century Gothic" w:cs="Times New Roman"/>
        </w:rPr>
        <w:t xml:space="preserve"> asciende</w:t>
      </w:r>
      <w:r w:rsidRPr="00D13415">
        <w:rPr>
          <w:rFonts w:ascii="Century Gothic" w:hAnsi="Century Gothic" w:cs="Times New Roman"/>
        </w:rPr>
        <w:t xml:space="preserve"> a </w:t>
      </w:r>
      <w:r w:rsidRPr="00D13415">
        <w:rPr>
          <w:rFonts w:ascii="Century Gothic" w:hAnsi="Century Gothic" w:cs="Times New Roman"/>
          <w:b/>
          <w:bCs/>
        </w:rPr>
        <w:t>$2.</w:t>
      </w:r>
      <w:r w:rsidR="003D5072">
        <w:rPr>
          <w:rFonts w:ascii="Century Gothic" w:hAnsi="Century Gothic" w:cs="Times New Roman"/>
          <w:b/>
          <w:bCs/>
        </w:rPr>
        <w:t>095,9</w:t>
      </w:r>
      <w:r w:rsidRPr="00D13415">
        <w:rPr>
          <w:rFonts w:ascii="Century Gothic" w:hAnsi="Century Gothic" w:cs="Times New Roman"/>
          <w:b/>
          <w:bCs/>
        </w:rPr>
        <w:t xml:space="preserve"> millones</w:t>
      </w:r>
      <w:r w:rsidRPr="00D13415">
        <w:rPr>
          <w:rFonts w:ascii="Century Gothic" w:hAnsi="Century Gothic" w:cs="Times New Roman"/>
        </w:rPr>
        <w:t xml:space="preserve"> con corte a la fecha del informe.</w:t>
      </w:r>
    </w:p>
    <w:p w14:paraId="41B8A6EA" w14:textId="500037C9" w:rsidR="007658BF" w:rsidRPr="00410DC9" w:rsidRDefault="00781C6E" w:rsidP="0038272F">
      <w:pPr>
        <w:spacing w:line="360" w:lineRule="auto"/>
        <w:jc w:val="both"/>
        <w:rPr>
          <w:rFonts w:ascii="Century Gothic" w:hAnsi="Century Gothic" w:cs="Times New Roman"/>
        </w:rPr>
      </w:pPr>
      <w:r w:rsidRPr="00781C6E">
        <w:rPr>
          <w:rFonts w:ascii="Century Gothic" w:hAnsi="Century Gothic" w:cs="Times New Roman"/>
        </w:rPr>
        <w:t xml:space="preserve">Por último, los ingresos correspondientes a la </w:t>
      </w:r>
      <w:r w:rsidRPr="003B6973">
        <w:rPr>
          <w:rFonts w:ascii="Century Gothic" w:hAnsi="Century Gothic" w:cs="Times New Roman"/>
          <w:b/>
          <w:bCs/>
        </w:rPr>
        <w:t>Estampilla Pro UPTC (R40)</w:t>
      </w:r>
      <w:r w:rsidRPr="00781C6E">
        <w:rPr>
          <w:rFonts w:ascii="Century Gothic" w:hAnsi="Century Gothic" w:cs="Times New Roman"/>
        </w:rPr>
        <w:t xml:space="preserve"> registran, con corte a la fecha del presente informe, un recaudo de </w:t>
      </w:r>
      <w:r w:rsidRPr="00781C6E">
        <w:rPr>
          <w:rFonts w:ascii="Century Gothic" w:hAnsi="Century Gothic" w:cs="Times New Roman"/>
          <w:b/>
          <w:bCs/>
        </w:rPr>
        <w:t>$1.605,1 millones</w:t>
      </w:r>
      <w:r w:rsidRPr="00781C6E">
        <w:rPr>
          <w:rFonts w:ascii="Century Gothic" w:hAnsi="Century Gothic" w:cs="Times New Roman"/>
        </w:rPr>
        <w:t xml:space="preserve"> frente a un presupuesto de </w:t>
      </w:r>
      <w:r w:rsidRPr="00781C6E">
        <w:rPr>
          <w:rFonts w:ascii="Century Gothic" w:hAnsi="Century Gothic" w:cs="Times New Roman"/>
          <w:b/>
          <w:bCs/>
        </w:rPr>
        <w:t>$7.617,3 millones</w:t>
      </w:r>
      <w:r w:rsidRPr="00781C6E">
        <w:rPr>
          <w:rFonts w:ascii="Century Gothic" w:hAnsi="Century Gothic" w:cs="Times New Roman"/>
        </w:rPr>
        <w:t xml:space="preserve">, lo que representa una ejecución del </w:t>
      </w:r>
      <w:r w:rsidRPr="00781C6E">
        <w:rPr>
          <w:rFonts w:ascii="Century Gothic" w:hAnsi="Century Gothic" w:cs="Times New Roman"/>
          <w:b/>
          <w:bCs/>
        </w:rPr>
        <w:t>28%</w:t>
      </w:r>
      <w:r w:rsidRPr="00781C6E">
        <w:rPr>
          <w:rFonts w:ascii="Century Gothic" w:hAnsi="Century Gothic" w:cs="Times New Roman"/>
        </w:rPr>
        <w:t xml:space="preserve"> del total aforado. Sin embargo, estas cifras no incluyen los recursos del balance, los cuales ascienden a </w:t>
      </w:r>
      <w:r w:rsidRPr="00781C6E">
        <w:rPr>
          <w:rFonts w:ascii="Century Gothic" w:hAnsi="Century Gothic" w:cs="Times New Roman"/>
          <w:b/>
          <w:bCs/>
        </w:rPr>
        <w:t>$1.880 millones</w:t>
      </w:r>
      <w:r w:rsidRPr="00781C6E">
        <w:rPr>
          <w:rFonts w:ascii="Century Gothic" w:hAnsi="Century Gothic" w:cs="Times New Roman"/>
        </w:rPr>
        <w:t xml:space="preserve"> a la fecha de corte del informe.</w:t>
      </w:r>
    </w:p>
    <w:tbl>
      <w:tblPr>
        <w:tblStyle w:val="Tablaconcuadrcula"/>
        <w:tblW w:w="8890" w:type="dxa"/>
        <w:shd w:val="clear" w:color="auto" w:fill="F2F2F2" w:themeFill="background1" w:themeFillShade="F2"/>
        <w:tblLook w:val="04A0" w:firstRow="1" w:lastRow="0" w:firstColumn="1" w:lastColumn="0" w:noHBand="0" w:noVBand="1"/>
      </w:tblPr>
      <w:tblGrid>
        <w:gridCol w:w="8890"/>
      </w:tblGrid>
      <w:tr w:rsidR="005833A5" w14:paraId="616D8982" w14:textId="77777777" w:rsidTr="00FA2BAA">
        <w:trPr>
          <w:trHeight w:val="452"/>
        </w:trPr>
        <w:tc>
          <w:tcPr>
            <w:tcW w:w="8890" w:type="dxa"/>
            <w:shd w:val="clear" w:color="auto" w:fill="F2F2F2" w:themeFill="background1" w:themeFillShade="F2"/>
            <w:vAlign w:val="center"/>
          </w:tcPr>
          <w:p w14:paraId="5520ABD9" w14:textId="59C75724" w:rsidR="005833A5" w:rsidRPr="008C6503" w:rsidRDefault="005833A5" w:rsidP="00D10A4C">
            <w:pPr>
              <w:pStyle w:val="Sinespaciado"/>
              <w:spacing w:line="360" w:lineRule="auto"/>
              <w:jc w:val="center"/>
              <w:rPr>
                <w:rFonts w:ascii="Century Gothic" w:hAnsi="Century Gothic" w:cs="Times New Roman"/>
                <w:b/>
                <w:bCs/>
              </w:rPr>
            </w:pPr>
            <w:r w:rsidRPr="005833A5">
              <w:rPr>
                <w:rFonts w:ascii="Century Gothic" w:hAnsi="Century Gothic" w:cs="Times New Roman"/>
                <w:b/>
                <w:bCs/>
              </w:rPr>
              <w:t>ANÁLISIS DE GASTO</w:t>
            </w:r>
          </w:p>
        </w:tc>
      </w:tr>
    </w:tbl>
    <w:p w14:paraId="5821C225" w14:textId="77777777" w:rsidR="005833A5" w:rsidRDefault="005833A5" w:rsidP="00D10A4C">
      <w:pPr>
        <w:pStyle w:val="Sinespaciado"/>
        <w:spacing w:line="360" w:lineRule="auto"/>
      </w:pPr>
    </w:p>
    <w:p w14:paraId="6B9C7717" w14:textId="1BDB558F" w:rsidR="003F2E5C" w:rsidRDefault="003F2E5C" w:rsidP="003F2E5C">
      <w:pPr>
        <w:pStyle w:val="Sinespaciado"/>
        <w:spacing w:line="360" w:lineRule="auto"/>
        <w:jc w:val="both"/>
        <w:rPr>
          <w:rFonts w:ascii="Century Gothic" w:hAnsi="Century Gothic" w:cs="Times New Roman"/>
        </w:rPr>
      </w:pPr>
      <w:r w:rsidRPr="003F2E5C">
        <w:rPr>
          <w:rFonts w:ascii="Century Gothic" w:hAnsi="Century Gothic" w:cs="Times New Roman"/>
        </w:rPr>
        <w:t xml:space="preserve">Con corte al </w:t>
      </w:r>
      <w:r w:rsidR="00190F0C">
        <w:rPr>
          <w:rFonts w:ascii="Century Gothic" w:hAnsi="Century Gothic" w:cs="Times New Roman"/>
          <w:b/>
          <w:bCs/>
        </w:rPr>
        <w:t xml:space="preserve">30 de abril </w:t>
      </w:r>
      <w:r w:rsidRPr="003F2E5C">
        <w:rPr>
          <w:rFonts w:ascii="Century Gothic" w:hAnsi="Century Gothic" w:cs="Times New Roman"/>
        </w:rPr>
        <w:t>y conforme a lo establecido en el Catálogo Presupuestal No. 14, que define la estructura del gasto, se incluyen los gastos de personal (2.1.1), los gastos de funcionamiento (2.1.2) y los gastos de inversión (2.3), entre otros conceptos. El Gráfico 5 presenta la distribución y el comportamiento de los diferentes rubros de gasto bajo esta clasificación presupuestal.</w:t>
      </w:r>
    </w:p>
    <w:p w14:paraId="26DC90D3" w14:textId="77777777" w:rsidR="003F2E5C" w:rsidRDefault="003F2E5C" w:rsidP="00D10A4C">
      <w:pPr>
        <w:pStyle w:val="Sinespaciado"/>
        <w:spacing w:line="360" w:lineRule="auto"/>
        <w:rPr>
          <w:rFonts w:ascii="Century Gothic" w:hAnsi="Century Gothic" w:cs="Times New Roman"/>
        </w:rPr>
      </w:pPr>
    </w:p>
    <w:p w14:paraId="6FC98B39" w14:textId="3D775F08" w:rsidR="00CE7C6D" w:rsidRPr="00AB533D" w:rsidRDefault="003C4DD7" w:rsidP="00D10A4C">
      <w:pPr>
        <w:pStyle w:val="Sinespaciado"/>
        <w:spacing w:line="360" w:lineRule="auto"/>
        <w:rPr>
          <w:b/>
          <w:bCs/>
        </w:rPr>
      </w:pPr>
      <w:r w:rsidRPr="00AB533D">
        <w:rPr>
          <w:rFonts w:ascii="Century Gothic" w:hAnsi="Century Gothic" w:cs="Times New Roman"/>
          <w:b/>
          <w:bCs/>
        </w:rPr>
        <w:lastRenderedPageBreak/>
        <w:t xml:space="preserve">Gráfico </w:t>
      </w:r>
      <w:r w:rsidR="000F273D">
        <w:rPr>
          <w:rFonts w:ascii="Century Gothic" w:hAnsi="Century Gothic" w:cs="Times New Roman"/>
          <w:b/>
          <w:bCs/>
        </w:rPr>
        <w:t>5</w:t>
      </w:r>
      <w:r w:rsidRPr="00AB533D">
        <w:rPr>
          <w:rFonts w:ascii="Century Gothic" w:hAnsi="Century Gothic" w:cs="Times New Roman"/>
          <w:b/>
          <w:bCs/>
        </w:rPr>
        <w:t>.</w:t>
      </w:r>
      <w:r w:rsidRPr="00AB533D">
        <w:rPr>
          <w:b/>
          <w:bCs/>
        </w:rPr>
        <w:t xml:space="preserve"> </w:t>
      </w:r>
      <w:r w:rsidR="00C9795E" w:rsidRPr="00AB533D">
        <w:rPr>
          <w:b/>
          <w:bCs/>
        </w:rPr>
        <w:t xml:space="preserve"> </w:t>
      </w:r>
    </w:p>
    <w:p w14:paraId="360B8030" w14:textId="5891CD57" w:rsidR="00DF7914" w:rsidRPr="00CE7C6D" w:rsidRDefault="006408B0" w:rsidP="00D10A4C">
      <w:pPr>
        <w:pStyle w:val="Sinespaciado"/>
        <w:spacing w:line="360" w:lineRule="auto"/>
        <w:rPr>
          <w:rStyle w:val="Textoennegrita"/>
          <w:rFonts w:ascii="Century Gothic" w:hAnsi="Century Gothic" w:cs="Times New Roman"/>
          <w:b w:val="0"/>
          <w:bCs w:val="0"/>
          <w:i/>
          <w:iCs/>
          <w:shd w:val="clear" w:color="auto" w:fill="FFFFFF"/>
        </w:rPr>
      </w:pPr>
      <w:r>
        <w:rPr>
          <w:rStyle w:val="Textoennegrita"/>
          <w:rFonts w:ascii="Century Gothic" w:hAnsi="Century Gothic" w:cs="Times New Roman"/>
          <w:b w:val="0"/>
          <w:bCs w:val="0"/>
          <w:i/>
          <w:iCs/>
          <w:shd w:val="clear" w:color="auto" w:fill="FFFFFF"/>
        </w:rPr>
        <w:t>Pagos</w:t>
      </w:r>
      <w:r w:rsidR="00F77978">
        <w:rPr>
          <w:rStyle w:val="Textoennegrita"/>
          <w:rFonts w:ascii="Century Gothic" w:hAnsi="Century Gothic" w:cs="Times New Roman"/>
          <w:b w:val="0"/>
          <w:bCs w:val="0"/>
          <w:i/>
          <w:iCs/>
          <w:shd w:val="clear" w:color="auto" w:fill="FFFFFF"/>
        </w:rPr>
        <w:t xml:space="preserve"> efectivos</w:t>
      </w:r>
      <w:r w:rsidRPr="00CE7C6D">
        <w:rPr>
          <w:rStyle w:val="Textoennegrita"/>
          <w:rFonts w:ascii="Century Gothic" w:hAnsi="Century Gothic" w:cs="Times New Roman"/>
          <w:b w:val="0"/>
          <w:bCs w:val="0"/>
          <w:i/>
          <w:iCs/>
          <w:shd w:val="clear" w:color="auto" w:fill="FFFFFF"/>
        </w:rPr>
        <w:t xml:space="preserve"> agrupados</w:t>
      </w:r>
      <w:r w:rsidR="003C4DD7" w:rsidRPr="00CE7C6D">
        <w:rPr>
          <w:rStyle w:val="Textoennegrita"/>
          <w:rFonts w:ascii="Century Gothic" w:hAnsi="Century Gothic" w:cs="Times New Roman"/>
          <w:b w:val="0"/>
          <w:bCs w:val="0"/>
          <w:i/>
          <w:iCs/>
          <w:shd w:val="clear" w:color="auto" w:fill="FFFFFF"/>
        </w:rPr>
        <w:t xml:space="preserve"> por tipo de Gasto.</w:t>
      </w:r>
      <w:r w:rsidR="0036734B" w:rsidRPr="00CE7C6D">
        <w:rPr>
          <w:rStyle w:val="Textoennegrita"/>
          <w:rFonts w:ascii="Century Gothic" w:hAnsi="Century Gothic" w:cs="Times New Roman"/>
          <w:b w:val="0"/>
          <w:bCs w:val="0"/>
          <w:i/>
          <w:iCs/>
          <w:shd w:val="clear" w:color="auto" w:fill="FFFFFF"/>
        </w:rPr>
        <w:t xml:space="preserve"> </w:t>
      </w:r>
    </w:p>
    <w:p w14:paraId="6C9721DB" w14:textId="66C09E71" w:rsidR="000F273D" w:rsidRPr="000F273D" w:rsidRDefault="0071031B" w:rsidP="000F273D">
      <w:pPr>
        <w:tabs>
          <w:tab w:val="left" w:pos="8070"/>
        </w:tabs>
        <w:spacing w:line="360" w:lineRule="auto"/>
        <w:jc w:val="both"/>
        <w:rPr>
          <w:noProof/>
        </w:rPr>
      </w:pPr>
      <w:r w:rsidRPr="0071031B">
        <w:rPr>
          <w:rFonts w:ascii="Century Gothic" w:hAnsi="Century Gothic" w:cs="Times New Roman"/>
          <w:b/>
          <w:noProof/>
          <w:sz w:val="18"/>
          <w:szCs w:val="18"/>
        </w:rPr>
        <w:drawing>
          <wp:inline distT="0" distB="0" distL="0" distR="0" wp14:anchorId="068B3962" wp14:editId="46491A7F">
            <wp:extent cx="5612130" cy="2436495"/>
            <wp:effectExtent l="0" t="0" r="762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436495"/>
                    </a:xfrm>
                    <a:prstGeom prst="rect">
                      <a:avLst/>
                    </a:prstGeom>
                  </pic:spPr>
                </pic:pic>
              </a:graphicData>
            </a:graphic>
          </wp:inline>
        </w:drawing>
      </w:r>
      <w:r w:rsidR="00DB0525" w:rsidRPr="00DB0525">
        <w:rPr>
          <w:rFonts w:ascii="Century Gothic" w:hAnsi="Century Gothic" w:cs="Times New Roman"/>
          <w:b/>
          <w:sz w:val="18"/>
          <w:szCs w:val="18"/>
        </w:rPr>
        <w:t xml:space="preserve"> </w:t>
      </w:r>
      <w:r w:rsidR="000F273D" w:rsidRPr="000F2595">
        <w:rPr>
          <w:rFonts w:ascii="Century Gothic" w:hAnsi="Century Gothic" w:cs="Times New Roman"/>
          <w:b/>
          <w:sz w:val="18"/>
          <w:szCs w:val="18"/>
        </w:rPr>
        <w:t>Fuente:</w:t>
      </w:r>
      <w:r w:rsidR="000F273D" w:rsidRPr="000F2595">
        <w:rPr>
          <w:rFonts w:ascii="Century Gothic" w:hAnsi="Century Gothic" w:cs="Times New Roman"/>
          <w:sz w:val="18"/>
          <w:szCs w:val="18"/>
        </w:rPr>
        <w:t xml:space="preserve"> </w:t>
      </w:r>
      <w:r w:rsidR="000F273D">
        <w:rPr>
          <w:rFonts w:ascii="Century Gothic" w:hAnsi="Century Gothic" w:cs="Times New Roman"/>
          <w:sz w:val="18"/>
          <w:szCs w:val="18"/>
        </w:rPr>
        <w:t xml:space="preserve">Sistema Financiero </w:t>
      </w:r>
      <w:r w:rsidR="000F273D" w:rsidRPr="000F2595">
        <w:rPr>
          <w:rFonts w:ascii="Century Gothic" w:hAnsi="Century Gothic" w:cs="Times New Roman"/>
          <w:sz w:val="18"/>
          <w:szCs w:val="18"/>
        </w:rPr>
        <w:t>GOOBI, construcción propia.</w:t>
      </w:r>
    </w:p>
    <w:p w14:paraId="01CC20E0" w14:textId="77777777" w:rsidR="00C94A05" w:rsidRDefault="00C94A05" w:rsidP="006D2F39">
      <w:pPr>
        <w:spacing w:line="360" w:lineRule="auto"/>
        <w:jc w:val="both"/>
        <w:rPr>
          <w:rFonts w:ascii="Century Gothic" w:hAnsi="Century Gothic" w:cs="Times New Roman"/>
        </w:rPr>
      </w:pPr>
      <w:bookmarkStart w:id="0" w:name="_Hlk182907581"/>
      <w:r w:rsidRPr="00C94A05">
        <w:rPr>
          <w:rFonts w:ascii="Century Gothic" w:hAnsi="Century Gothic" w:cs="Times New Roman"/>
        </w:rPr>
        <w:t xml:space="preserve">La Gráfica 5 muestra la distribución del pago efectivo, el cual alcanza un valor total de </w:t>
      </w:r>
      <w:r w:rsidRPr="00C94A05">
        <w:rPr>
          <w:rFonts w:ascii="Century Gothic" w:hAnsi="Century Gothic" w:cs="Times New Roman"/>
          <w:b/>
          <w:bCs/>
        </w:rPr>
        <w:t>$110.225,5 millones</w:t>
      </w:r>
      <w:r w:rsidRPr="00C94A05">
        <w:rPr>
          <w:rFonts w:ascii="Century Gothic" w:hAnsi="Century Gothic" w:cs="Times New Roman"/>
        </w:rPr>
        <w:t xml:space="preserve"> frente a una apropiación total de </w:t>
      </w:r>
      <w:r w:rsidRPr="00C94A05">
        <w:rPr>
          <w:rFonts w:ascii="Century Gothic" w:hAnsi="Century Gothic" w:cs="Times New Roman"/>
          <w:b/>
          <w:bCs/>
        </w:rPr>
        <w:t>$526.515,1 millones</w:t>
      </w:r>
      <w:r w:rsidRPr="00C94A05">
        <w:rPr>
          <w:rFonts w:ascii="Century Gothic" w:hAnsi="Century Gothic" w:cs="Times New Roman"/>
        </w:rPr>
        <w:t xml:space="preserve">, Se observa que la mayor participación corresponde a los gastos de personal (2.1.1), con </w:t>
      </w:r>
      <w:r w:rsidRPr="00C94A05">
        <w:rPr>
          <w:rFonts w:ascii="Century Gothic" w:hAnsi="Century Gothic" w:cs="Times New Roman"/>
          <w:b/>
          <w:bCs/>
        </w:rPr>
        <w:t>$82.530,2 millones.</w:t>
      </w:r>
      <w:r w:rsidRPr="00C94A05">
        <w:rPr>
          <w:rFonts w:ascii="Century Gothic" w:hAnsi="Century Gothic" w:cs="Times New Roman"/>
        </w:rPr>
        <w:t xml:space="preserve"> Es importante mencionar de igual manera que a la fecha de corte de este informe el compromiso de los gastos de la universidad corresponde a </w:t>
      </w:r>
      <w:r w:rsidRPr="00C94A05">
        <w:rPr>
          <w:rFonts w:ascii="Century Gothic" w:hAnsi="Century Gothic" w:cs="Times New Roman"/>
          <w:b/>
          <w:bCs/>
        </w:rPr>
        <w:t>$199.818,9 millones</w:t>
      </w:r>
      <w:r w:rsidRPr="00C94A05">
        <w:rPr>
          <w:rFonts w:ascii="Century Gothic" w:hAnsi="Century Gothic" w:cs="Times New Roman"/>
        </w:rPr>
        <w:t>.</w:t>
      </w:r>
    </w:p>
    <w:p w14:paraId="42CA5204" w14:textId="25B73DD7" w:rsidR="003C4DD7" w:rsidRPr="000F2595" w:rsidRDefault="003C4DD7" w:rsidP="006D2F39">
      <w:pPr>
        <w:spacing w:line="360" w:lineRule="auto"/>
        <w:jc w:val="both"/>
        <w:rPr>
          <w:rFonts w:ascii="Century Gothic" w:hAnsi="Century Gothic" w:cs="Times New Roman"/>
        </w:rPr>
      </w:pPr>
      <w:r w:rsidRPr="000F2595">
        <w:rPr>
          <w:rFonts w:ascii="Century Gothic" w:hAnsi="Century Gothic" w:cs="Times New Roman"/>
        </w:rPr>
        <w:t>A continuación, se detallan los comportamientos por tipo de gasto.</w:t>
      </w:r>
      <w:r w:rsidR="00812602" w:rsidRPr="000F2595">
        <w:t xml:space="preserve"> </w:t>
      </w:r>
    </w:p>
    <w:bookmarkEnd w:id="0"/>
    <w:p w14:paraId="61B3E140" w14:textId="77777777" w:rsidR="00C94A05" w:rsidRDefault="00C94A05" w:rsidP="00D10A4C">
      <w:pPr>
        <w:spacing w:after="0" w:line="360" w:lineRule="auto"/>
        <w:jc w:val="both"/>
        <w:rPr>
          <w:rFonts w:ascii="Century Gothic" w:hAnsi="Century Gothic" w:cs="Times New Roman"/>
          <w:b/>
          <w:bCs/>
          <w:i/>
          <w:iCs/>
        </w:rPr>
      </w:pPr>
    </w:p>
    <w:p w14:paraId="56853EC1" w14:textId="2A74E64D" w:rsidR="00E04957" w:rsidRPr="00AA3F56" w:rsidRDefault="001F1603" w:rsidP="00D10A4C">
      <w:pPr>
        <w:spacing w:after="0" w:line="360" w:lineRule="auto"/>
        <w:jc w:val="both"/>
        <w:rPr>
          <w:rFonts w:ascii="Century Gothic" w:hAnsi="Century Gothic" w:cs="Times New Roman"/>
          <w:b/>
          <w:bCs/>
          <w:i/>
          <w:iCs/>
        </w:rPr>
      </w:pPr>
      <w:r w:rsidRPr="00AA3F56">
        <w:rPr>
          <w:rFonts w:ascii="Century Gothic" w:hAnsi="Century Gothic" w:cs="Times New Roman"/>
          <w:b/>
          <w:bCs/>
          <w:i/>
          <w:iCs/>
        </w:rPr>
        <w:t xml:space="preserve">GASTOS DE PERSONAL </w:t>
      </w:r>
      <w:r w:rsidR="000C7FD2" w:rsidRPr="00AA3F56">
        <w:rPr>
          <w:rFonts w:ascii="Century Gothic" w:hAnsi="Century Gothic" w:cs="Times New Roman"/>
          <w:b/>
          <w:bCs/>
          <w:i/>
          <w:iCs/>
        </w:rPr>
        <w:t>(2.1.1)</w:t>
      </w:r>
    </w:p>
    <w:p w14:paraId="64B26260" w14:textId="77777777" w:rsidR="00C94A05" w:rsidRDefault="00C94A05" w:rsidP="00D10A4C">
      <w:pPr>
        <w:spacing w:after="0" w:line="360" w:lineRule="auto"/>
        <w:jc w:val="both"/>
        <w:rPr>
          <w:rFonts w:ascii="Century Gothic" w:hAnsi="Century Gothic" w:cs="Times New Roman"/>
        </w:rPr>
      </w:pPr>
    </w:p>
    <w:p w14:paraId="3C39CBB0" w14:textId="6F141DD5" w:rsidR="001818A2" w:rsidRDefault="008E36F1" w:rsidP="00D10A4C">
      <w:pPr>
        <w:spacing w:after="0" w:line="360" w:lineRule="auto"/>
        <w:jc w:val="both"/>
        <w:rPr>
          <w:rFonts w:ascii="Century Gothic" w:hAnsi="Century Gothic" w:cs="Times New Roman"/>
        </w:rPr>
      </w:pPr>
      <w:r w:rsidRPr="008E36F1">
        <w:rPr>
          <w:rFonts w:ascii="Century Gothic" w:hAnsi="Century Gothic" w:cs="Times New Roman"/>
        </w:rPr>
        <w:t xml:space="preserve">Los gastos clasificados en el presupuesto como 2.1.1 Gastos de Personal registran un </w:t>
      </w:r>
      <w:r w:rsidR="00C66A43">
        <w:rPr>
          <w:rFonts w:ascii="Century Gothic" w:hAnsi="Century Gothic" w:cs="Times New Roman"/>
        </w:rPr>
        <w:t>pago</w:t>
      </w:r>
      <w:r w:rsidRPr="008E36F1">
        <w:rPr>
          <w:rFonts w:ascii="Century Gothic" w:hAnsi="Century Gothic" w:cs="Times New Roman"/>
        </w:rPr>
        <w:t xml:space="preserve"> total de </w:t>
      </w:r>
      <w:r w:rsidRPr="008E36F1">
        <w:rPr>
          <w:rFonts w:ascii="Century Gothic" w:hAnsi="Century Gothic" w:cs="Times New Roman"/>
          <w:b/>
          <w:bCs/>
        </w:rPr>
        <w:t>$</w:t>
      </w:r>
      <w:r w:rsidR="009B55A2">
        <w:rPr>
          <w:rFonts w:ascii="Century Gothic" w:hAnsi="Century Gothic" w:cs="Times New Roman"/>
          <w:b/>
          <w:bCs/>
        </w:rPr>
        <w:t>82.530,2</w:t>
      </w:r>
      <w:r w:rsidRPr="008E36F1">
        <w:rPr>
          <w:rFonts w:ascii="Century Gothic" w:hAnsi="Century Gothic" w:cs="Times New Roman"/>
          <w:b/>
          <w:bCs/>
        </w:rPr>
        <w:t xml:space="preserve"> millones</w:t>
      </w:r>
      <w:r w:rsidRPr="008E36F1">
        <w:rPr>
          <w:rFonts w:ascii="Century Gothic" w:hAnsi="Century Gothic" w:cs="Times New Roman"/>
        </w:rPr>
        <w:t xml:space="preserve">, equivalente al </w:t>
      </w:r>
      <w:r w:rsidR="00112F56">
        <w:rPr>
          <w:rFonts w:ascii="Century Gothic" w:hAnsi="Century Gothic" w:cs="Times New Roman"/>
          <w:b/>
          <w:bCs/>
        </w:rPr>
        <w:t>22,3</w:t>
      </w:r>
      <w:r w:rsidRPr="008E36F1">
        <w:rPr>
          <w:rFonts w:ascii="Century Gothic" w:hAnsi="Century Gothic" w:cs="Times New Roman"/>
          <w:b/>
          <w:bCs/>
        </w:rPr>
        <w:t xml:space="preserve"> %</w:t>
      </w:r>
      <w:r w:rsidRPr="008E36F1">
        <w:rPr>
          <w:rFonts w:ascii="Century Gothic" w:hAnsi="Century Gothic" w:cs="Times New Roman"/>
        </w:rPr>
        <w:t xml:space="preserve"> </w:t>
      </w:r>
      <w:r w:rsidR="003B6973">
        <w:rPr>
          <w:rFonts w:ascii="Century Gothic" w:hAnsi="Century Gothic" w:cs="Times New Roman"/>
        </w:rPr>
        <w:t xml:space="preserve">de la ejecución. </w:t>
      </w:r>
      <w:r w:rsidRPr="008E36F1">
        <w:rPr>
          <w:rFonts w:ascii="Century Gothic" w:hAnsi="Century Gothic" w:cs="Times New Roman"/>
        </w:rPr>
        <w:t xml:space="preserve">El Gráfico 6 presenta el detalle de los distintos </w:t>
      </w:r>
      <w:r w:rsidR="0077270D">
        <w:rPr>
          <w:rFonts w:ascii="Century Gothic" w:hAnsi="Century Gothic" w:cs="Times New Roman"/>
        </w:rPr>
        <w:t>tipos de vinculación</w:t>
      </w:r>
      <w:r w:rsidRPr="008E36F1">
        <w:rPr>
          <w:rFonts w:ascii="Century Gothic" w:hAnsi="Century Gothic" w:cs="Times New Roman"/>
        </w:rPr>
        <w:t xml:space="preserve"> que conforman este rubro.</w:t>
      </w:r>
    </w:p>
    <w:p w14:paraId="5ADD6B79" w14:textId="77777777" w:rsidR="00983627" w:rsidRDefault="00983627" w:rsidP="00D10A4C">
      <w:pPr>
        <w:spacing w:after="0" w:line="360" w:lineRule="auto"/>
        <w:jc w:val="both"/>
        <w:rPr>
          <w:rFonts w:ascii="Century Gothic" w:hAnsi="Century Gothic" w:cs="Times New Roman"/>
        </w:rPr>
      </w:pPr>
    </w:p>
    <w:p w14:paraId="34ABC897" w14:textId="77777777" w:rsidR="00983627" w:rsidRDefault="00983627" w:rsidP="00D10A4C">
      <w:pPr>
        <w:spacing w:after="0" w:line="360" w:lineRule="auto"/>
        <w:jc w:val="both"/>
        <w:rPr>
          <w:rFonts w:ascii="Century Gothic" w:hAnsi="Century Gothic" w:cs="Times New Roman"/>
        </w:rPr>
      </w:pPr>
    </w:p>
    <w:p w14:paraId="20DCD645" w14:textId="77777777" w:rsidR="00983627" w:rsidRDefault="00983627" w:rsidP="00D10A4C">
      <w:pPr>
        <w:spacing w:after="0" w:line="360" w:lineRule="auto"/>
        <w:jc w:val="both"/>
        <w:rPr>
          <w:rFonts w:ascii="Century Gothic" w:hAnsi="Century Gothic" w:cs="Times New Roman"/>
        </w:rPr>
      </w:pPr>
    </w:p>
    <w:p w14:paraId="60EAFC52" w14:textId="77777777" w:rsidR="00983627" w:rsidRDefault="00983627" w:rsidP="00D10A4C">
      <w:pPr>
        <w:spacing w:after="0" w:line="360" w:lineRule="auto"/>
        <w:jc w:val="both"/>
        <w:rPr>
          <w:rFonts w:ascii="Century Gothic" w:hAnsi="Century Gothic" w:cs="Times New Roman"/>
        </w:rPr>
      </w:pPr>
    </w:p>
    <w:p w14:paraId="6DDE7EF7" w14:textId="609F7ABC" w:rsidR="004D152D" w:rsidRPr="00CB1DA5" w:rsidRDefault="003C4DD7" w:rsidP="00D10A4C">
      <w:pPr>
        <w:pStyle w:val="Sinespaciado"/>
        <w:spacing w:line="360" w:lineRule="auto"/>
        <w:rPr>
          <w:rFonts w:ascii="Century Gothic" w:hAnsi="Century Gothic" w:cs="Times New Roman"/>
          <w:b/>
          <w:bCs/>
        </w:rPr>
      </w:pPr>
      <w:r w:rsidRPr="00CB1DA5">
        <w:rPr>
          <w:rFonts w:ascii="Century Gothic" w:hAnsi="Century Gothic" w:cs="Times New Roman"/>
          <w:b/>
          <w:bCs/>
        </w:rPr>
        <w:lastRenderedPageBreak/>
        <w:t xml:space="preserve">Gráfico </w:t>
      </w:r>
      <w:r w:rsidR="00CB1DA5" w:rsidRPr="00CB1DA5">
        <w:rPr>
          <w:rFonts w:ascii="Century Gothic" w:hAnsi="Century Gothic" w:cs="Times New Roman"/>
          <w:b/>
          <w:bCs/>
        </w:rPr>
        <w:t>6</w:t>
      </w:r>
      <w:r w:rsidRPr="00CB1DA5">
        <w:rPr>
          <w:rFonts w:ascii="Century Gothic" w:hAnsi="Century Gothic" w:cs="Times New Roman"/>
          <w:b/>
          <w:bCs/>
        </w:rPr>
        <w:t xml:space="preserve">. </w:t>
      </w:r>
      <w:r w:rsidR="00117D2A" w:rsidRPr="00CB1DA5">
        <w:rPr>
          <w:rFonts w:ascii="Century Gothic" w:hAnsi="Century Gothic" w:cs="Times New Roman"/>
          <w:b/>
          <w:bCs/>
        </w:rPr>
        <w:t xml:space="preserve"> </w:t>
      </w:r>
    </w:p>
    <w:p w14:paraId="08289C76" w14:textId="66A8F4D3" w:rsidR="00BC4E6D" w:rsidRDefault="00E24611" w:rsidP="00D10A4C">
      <w:pPr>
        <w:pStyle w:val="Sinespaciado"/>
        <w:spacing w:line="360" w:lineRule="auto"/>
        <w:rPr>
          <w:rStyle w:val="Textoennegrita"/>
          <w:rFonts w:ascii="Century Gothic" w:hAnsi="Century Gothic" w:cs="Times New Roman"/>
          <w:b w:val="0"/>
          <w:bCs w:val="0"/>
          <w:i/>
          <w:iCs/>
          <w:shd w:val="clear" w:color="auto" w:fill="FFFFFF"/>
        </w:rPr>
      </w:pPr>
      <w:r>
        <w:rPr>
          <w:rStyle w:val="Textoennegrita"/>
          <w:rFonts w:ascii="Century Gothic" w:hAnsi="Century Gothic" w:cs="Times New Roman"/>
          <w:b w:val="0"/>
          <w:bCs w:val="0"/>
          <w:i/>
          <w:iCs/>
          <w:shd w:val="clear" w:color="auto" w:fill="FFFFFF"/>
        </w:rPr>
        <w:t>Pagos</w:t>
      </w:r>
      <w:r w:rsidR="003C4DD7" w:rsidRPr="004D152D">
        <w:rPr>
          <w:rStyle w:val="Textoennegrita"/>
          <w:rFonts w:ascii="Century Gothic" w:hAnsi="Century Gothic" w:cs="Times New Roman"/>
          <w:b w:val="0"/>
          <w:bCs w:val="0"/>
          <w:i/>
          <w:iCs/>
          <w:shd w:val="clear" w:color="auto" w:fill="FFFFFF"/>
        </w:rPr>
        <w:t xml:space="preserve"> </w:t>
      </w:r>
      <w:r w:rsidR="00356B29">
        <w:rPr>
          <w:rStyle w:val="Textoennegrita"/>
          <w:rFonts w:ascii="Century Gothic" w:hAnsi="Century Gothic" w:cs="Times New Roman"/>
          <w:b w:val="0"/>
          <w:bCs w:val="0"/>
          <w:i/>
          <w:iCs/>
          <w:shd w:val="clear" w:color="auto" w:fill="FFFFFF"/>
        </w:rPr>
        <w:t xml:space="preserve">efectivos </w:t>
      </w:r>
      <w:r w:rsidR="003C4DD7" w:rsidRPr="004D152D">
        <w:rPr>
          <w:rStyle w:val="Textoennegrita"/>
          <w:rFonts w:ascii="Century Gothic" w:hAnsi="Century Gothic" w:cs="Times New Roman"/>
          <w:b w:val="0"/>
          <w:bCs w:val="0"/>
          <w:i/>
          <w:iCs/>
          <w:shd w:val="clear" w:color="auto" w:fill="FFFFFF"/>
        </w:rPr>
        <w:t xml:space="preserve">agrupado por </w:t>
      </w:r>
      <w:r w:rsidR="00A45FFD">
        <w:rPr>
          <w:rStyle w:val="Textoennegrita"/>
          <w:rFonts w:ascii="Century Gothic" w:hAnsi="Century Gothic" w:cs="Times New Roman"/>
          <w:b w:val="0"/>
          <w:bCs w:val="0"/>
          <w:i/>
          <w:iCs/>
          <w:shd w:val="clear" w:color="auto" w:fill="FFFFFF"/>
        </w:rPr>
        <w:t>tipo de vinculación</w:t>
      </w:r>
      <w:r w:rsidR="003C4DD7" w:rsidRPr="004D152D">
        <w:rPr>
          <w:rStyle w:val="Textoennegrita"/>
          <w:rFonts w:ascii="Century Gothic" w:hAnsi="Century Gothic" w:cs="Times New Roman"/>
          <w:b w:val="0"/>
          <w:bCs w:val="0"/>
          <w:i/>
          <w:iCs/>
          <w:shd w:val="clear" w:color="auto" w:fill="FFFFFF"/>
        </w:rPr>
        <w:t>.</w:t>
      </w:r>
    </w:p>
    <w:p w14:paraId="4D5BBA0F" w14:textId="6DAA9216" w:rsidR="00FF0CB4" w:rsidRPr="004D152D" w:rsidRDefault="00FF0CB4" w:rsidP="00D10A4C">
      <w:pPr>
        <w:pStyle w:val="Sinespaciado"/>
        <w:spacing w:line="360" w:lineRule="auto"/>
        <w:rPr>
          <w:rStyle w:val="Textoennegrita"/>
          <w:rFonts w:ascii="Century Gothic" w:hAnsi="Century Gothic" w:cs="Times New Roman"/>
          <w:b w:val="0"/>
          <w:bCs w:val="0"/>
          <w:i/>
          <w:iCs/>
          <w:shd w:val="clear" w:color="auto" w:fill="FFFFFF"/>
        </w:rPr>
      </w:pPr>
      <w:r w:rsidRPr="00FF0CB4">
        <w:rPr>
          <w:rStyle w:val="Textoennegrita"/>
          <w:rFonts w:ascii="Century Gothic" w:hAnsi="Century Gothic" w:cs="Times New Roman"/>
          <w:b w:val="0"/>
          <w:bCs w:val="0"/>
          <w:i/>
          <w:iCs/>
          <w:noProof/>
          <w:shd w:val="clear" w:color="auto" w:fill="FFFFFF"/>
        </w:rPr>
        <w:drawing>
          <wp:inline distT="0" distB="0" distL="0" distR="0" wp14:anchorId="43B334DA" wp14:editId="1DAE0CCC">
            <wp:extent cx="5612130" cy="259143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591435"/>
                    </a:xfrm>
                    <a:prstGeom prst="rect">
                      <a:avLst/>
                    </a:prstGeom>
                  </pic:spPr>
                </pic:pic>
              </a:graphicData>
            </a:graphic>
          </wp:inline>
        </w:drawing>
      </w:r>
    </w:p>
    <w:p w14:paraId="6F5FF350" w14:textId="64825106" w:rsidR="003C4DD7" w:rsidRPr="00541BFF" w:rsidRDefault="008C641C" w:rsidP="00D10A4C">
      <w:pPr>
        <w:spacing w:line="360" w:lineRule="auto"/>
        <w:jc w:val="both"/>
        <w:rPr>
          <w:rFonts w:ascii="Century Gothic" w:hAnsi="Century Gothic" w:cs="Times New Roman"/>
          <w:i/>
          <w:iCs/>
          <w:noProof/>
        </w:rPr>
      </w:pPr>
      <w:r w:rsidRPr="000F2595">
        <w:rPr>
          <w:rFonts w:ascii="Century Gothic" w:hAnsi="Century Gothic" w:cs="Times New Roman"/>
          <w:b/>
          <w:sz w:val="18"/>
          <w:szCs w:val="18"/>
        </w:rPr>
        <w:t>Fuente:</w:t>
      </w:r>
      <w:r w:rsidRPr="000F2595">
        <w:rPr>
          <w:rFonts w:ascii="Century Gothic" w:hAnsi="Century Gothic" w:cs="Times New Roman"/>
          <w:sz w:val="18"/>
          <w:szCs w:val="18"/>
        </w:rPr>
        <w:t xml:space="preserve"> GOOBI, construcción propia</w:t>
      </w:r>
      <w:r w:rsidR="00DD3075" w:rsidRPr="000F2595">
        <w:rPr>
          <w:rFonts w:ascii="Century Gothic" w:hAnsi="Century Gothic" w:cs="Times New Roman"/>
          <w:sz w:val="18"/>
          <w:szCs w:val="18"/>
        </w:rPr>
        <w:t>.</w:t>
      </w:r>
      <w:r w:rsidR="000D1DAD" w:rsidRPr="000F2595">
        <w:rPr>
          <w:noProof/>
        </w:rPr>
        <w:t xml:space="preserve"> </w:t>
      </w:r>
    </w:p>
    <w:p w14:paraId="0AEB2507" w14:textId="6026B695" w:rsidR="0011574E" w:rsidRDefault="00224D94" w:rsidP="0011574E">
      <w:pPr>
        <w:spacing w:after="0" w:line="360" w:lineRule="auto"/>
        <w:jc w:val="both"/>
        <w:rPr>
          <w:rFonts w:ascii="Century Gothic" w:hAnsi="Century Gothic" w:cs="Times New Roman"/>
        </w:rPr>
      </w:pPr>
      <w:r w:rsidRPr="00224D94">
        <w:rPr>
          <w:rFonts w:ascii="Century Gothic" w:hAnsi="Century Gothic" w:cs="Times New Roman"/>
        </w:rPr>
        <w:t xml:space="preserve">El Gráfico 6 muestra que el mayor volumen de pagos corresponde al personal docente de planta, alcanzando un valor de </w:t>
      </w:r>
      <w:r w:rsidRPr="00224D94">
        <w:rPr>
          <w:rFonts w:ascii="Century Gothic" w:hAnsi="Century Gothic" w:cs="Times New Roman"/>
          <w:b/>
          <w:bCs/>
        </w:rPr>
        <w:t>$23.680 millones</w:t>
      </w:r>
      <w:r w:rsidRPr="00224D94">
        <w:rPr>
          <w:rFonts w:ascii="Century Gothic" w:hAnsi="Century Gothic" w:cs="Times New Roman"/>
        </w:rPr>
        <w:t xml:space="preserve"> con corte a la fecha del presente informe; en segundo lugar, se encuentra el personal docente ocasional, con pagos por </w:t>
      </w:r>
      <w:r w:rsidRPr="00224D94">
        <w:rPr>
          <w:rFonts w:ascii="Century Gothic" w:hAnsi="Century Gothic" w:cs="Times New Roman"/>
          <w:b/>
          <w:bCs/>
        </w:rPr>
        <w:t>$21.773,8 millones</w:t>
      </w:r>
      <w:r w:rsidRPr="00224D94">
        <w:rPr>
          <w:rFonts w:ascii="Century Gothic" w:hAnsi="Century Gothic" w:cs="Times New Roman"/>
        </w:rPr>
        <w:t>.</w:t>
      </w:r>
    </w:p>
    <w:p w14:paraId="2C94F6BB" w14:textId="77777777" w:rsidR="00224D94" w:rsidRDefault="00224D94" w:rsidP="0011574E">
      <w:pPr>
        <w:spacing w:after="0" w:line="360" w:lineRule="auto"/>
        <w:jc w:val="both"/>
        <w:rPr>
          <w:rFonts w:ascii="Century Gothic" w:hAnsi="Century Gothic" w:cs="Times New Roman"/>
        </w:rPr>
      </w:pPr>
    </w:p>
    <w:p w14:paraId="4B47FFE2" w14:textId="1638F734" w:rsidR="00E04957" w:rsidRPr="003E7863" w:rsidRDefault="001F1603" w:rsidP="00D10A4C">
      <w:pPr>
        <w:spacing w:after="0" w:line="360" w:lineRule="auto"/>
        <w:jc w:val="both"/>
        <w:rPr>
          <w:rFonts w:ascii="Century Gothic" w:hAnsi="Century Gothic" w:cs="Times New Roman"/>
          <w:b/>
          <w:bCs/>
          <w:i/>
          <w:iCs/>
        </w:rPr>
      </w:pPr>
      <w:r w:rsidRPr="003E7863">
        <w:rPr>
          <w:rFonts w:ascii="Century Gothic" w:hAnsi="Century Gothic" w:cs="Times New Roman"/>
          <w:b/>
          <w:bCs/>
          <w:i/>
          <w:iCs/>
        </w:rPr>
        <w:t>GASTOS DE FUNCIONAMIENTO</w:t>
      </w:r>
      <w:r>
        <w:rPr>
          <w:rFonts w:ascii="Century Gothic" w:hAnsi="Century Gothic" w:cs="Times New Roman"/>
          <w:b/>
          <w:bCs/>
          <w:i/>
          <w:iCs/>
        </w:rPr>
        <w:t xml:space="preserve"> (</w:t>
      </w:r>
      <w:r w:rsidR="00975805" w:rsidRPr="003E7863">
        <w:rPr>
          <w:rFonts w:ascii="Century Gothic" w:hAnsi="Century Gothic" w:cs="Times New Roman"/>
          <w:b/>
          <w:bCs/>
          <w:i/>
          <w:iCs/>
        </w:rPr>
        <w:t>2.1.2</w:t>
      </w:r>
      <w:r w:rsidR="00975805">
        <w:rPr>
          <w:rFonts w:ascii="Century Gothic" w:hAnsi="Century Gothic" w:cs="Times New Roman"/>
          <w:b/>
          <w:bCs/>
          <w:i/>
          <w:iCs/>
        </w:rPr>
        <w:t>)</w:t>
      </w:r>
    </w:p>
    <w:p w14:paraId="0E1AD532" w14:textId="77777777" w:rsidR="003E7863" w:rsidRDefault="003E7863" w:rsidP="00D10A4C">
      <w:pPr>
        <w:spacing w:after="0" w:line="360" w:lineRule="auto"/>
        <w:jc w:val="both"/>
        <w:rPr>
          <w:rFonts w:ascii="Century Gothic" w:hAnsi="Century Gothic" w:cs="Times New Roman"/>
        </w:rPr>
      </w:pPr>
    </w:p>
    <w:p w14:paraId="60B55F6E" w14:textId="41687654" w:rsidR="00E04957" w:rsidRDefault="00E04957" w:rsidP="00D10A4C">
      <w:pPr>
        <w:spacing w:after="0" w:line="360" w:lineRule="auto"/>
        <w:jc w:val="both"/>
        <w:rPr>
          <w:rFonts w:ascii="Century Gothic" w:hAnsi="Century Gothic" w:cs="Times New Roman"/>
        </w:rPr>
      </w:pPr>
      <w:r w:rsidRPr="000F2595">
        <w:rPr>
          <w:rFonts w:ascii="Century Gothic" w:hAnsi="Century Gothic" w:cs="Times New Roman"/>
        </w:rPr>
        <w:t xml:space="preserve">Los </w:t>
      </w:r>
      <w:r w:rsidR="00356B29">
        <w:rPr>
          <w:rFonts w:ascii="Century Gothic" w:hAnsi="Century Gothic" w:cs="Times New Roman"/>
        </w:rPr>
        <w:t>pagos efectivos</w:t>
      </w:r>
      <w:r w:rsidRPr="000F2595">
        <w:rPr>
          <w:rFonts w:ascii="Century Gothic" w:hAnsi="Century Gothic" w:cs="Times New Roman"/>
        </w:rPr>
        <w:t xml:space="preserve"> 2.1.2 Gastos de Funcionamiento, </w:t>
      </w:r>
      <w:r w:rsidR="007C6F34" w:rsidRPr="007C6F34">
        <w:rPr>
          <w:rFonts w:ascii="Century Gothic" w:hAnsi="Century Gothic" w:cs="Times New Roman"/>
        </w:rPr>
        <w:t xml:space="preserve">a la fecha de corte </w:t>
      </w:r>
      <w:r w:rsidR="00356B29">
        <w:rPr>
          <w:rFonts w:ascii="Century Gothic" w:hAnsi="Century Gothic" w:cs="Times New Roman"/>
        </w:rPr>
        <w:t>ascienden</w:t>
      </w:r>
      <w:r w:rsidR="0050211D">
        <w:rPr>
          <w:rFonts w:ascii="Century Gothic" w:hAnsi="Century Gothic" w:cs="Times New Roman"/>
        </w:rPr>
        <w:t xml:space="preserve"> a</w:t>
      </w:r>
      <w:r w:rsidR="007C6F34" w:rsidRPr="007C6F34">
        <w:rPr>
          <w:rFonts w:ascii="Century Gothic" w:hAnsi="Century Gothic" w:cs="Times New Roman"/>
        </w:rPr>
        <w:t xml:space="preserve"> un total de </w:t>
      </w:r>
      <w:r w:rsidR="007C6F34" w:rsidRPr="007C6F34">
        <w:rPr>
          <w:rFonts w:ascii="Century Gothic" w:hAnsi="Century Gothic" w:cs="Times New Roman"/>
          <w:b/>
          <w:bCs/>
        </w:rPr>
        <w:t>$</w:t>
      </w:r>
      <w:r w:rsidR="00440D30">
        <w:rPr>
          <w:rFonts w:ascii="Century Gothic" w:hAnsi="Century Gothic" w:cs="Times New Roman"/>
          <w:b/>
          <w:bCs/>
        </w:rPr>
        <w:t>23.261,9</w:t>
      </w:r>
      <w:r w:rsidR="007C6F34" w:rsidRPr="007C6F34">
        <w:rPr>
          <w:rFonts w:ascii="Century Gothic" w:hAnsi="Century Gothic" w:cs="Times New Roman"/>
          <w:b/>
          <w:bCs/>
        </w:rPr>
        <w:t xml:space="preserve"> millones</w:t>
      </w:r>
      <w:r w:rsidR="007C6F34" w:rsidRPr="007C6F34">
        <w:rPr>
          <w:rFonts w:ascii="Century Gothic" w:hAnsi="Century Gothic" w:cs="Times New Roman"/>
        </w:rPr>
        <w:t xml:space="preserve">. El Gráfico 7 presenta el detalle de los diferentes conceptos que conforman </w:t>
      </w:r>
      <w:r w:rsidR="00040811" w:rsidRPr="007C6F34">
        <w:rPr>
          <w:rFonts w:ascii="Century Gothic" w:hAnsi="Century Gothic" w:cs="Times New Roman"/>
        </w:rPr>
        <w:t>este paso</w:t>
      </w:r>
      <w:r w:rsidR="007C6F34" w:rsidRPr="007C6F34">
        <w:rPr>
          <w:rFonts w:ascii="Century Gothic" w:hAnsi="Century Gothic" w:cs="Times New Roman"/>
        </w:rPr>
        <w:t>.</w:t>
      </w:r>
    </w:p>
    <w:p w14:paraId="2DE05237" w14:textId="77777777" w:rsidR="00185F90" w:rsidRDefault="00185F90" w:rsidP="00D10A4C">
      <w:pPr>
        <w:spacing w:after="0" w:line="360" w:lineRule="auto"/>
        <w:jc w:val="both"/>
        <w:rPr>
          <w:rFonts w:ascii="Century Gothic" w:hAnsi="Century Gothic" w:cs="Times New Roman"/>
        </w:rPr>
      </w:pPr>
    </w:p>
    <w:p w14:paraId="0E1E0D33" w14:textId="77777777" w:rsidR="00224D94" w:rsidRDefault="00224D94" w:rsidP="00D10A4C">
      <w:pPr>
        <w:spacing w:after="0" w:line="360" w:lineRule="auto"/>
        <w:jc w:val="both"/>
        <w:rPr>
          <w:rFonts w:ascii="Century Gothic" w:hAnsi="Century Gothic" w:cs="Times New Roman"/>
        </w:rPr>
      </w:pPr>
    </w:p>
    <w:p w14:paraId="71612620" w14:textId="77777777" w:rsidR="00224D94" w:rsidRDefault="00224D94" w:rsidP="00D10A4C">
      <w:pPr>
        <w:spacing w:after="0" w:line="360" w:lineRule="auto"/>
        <w:jc w:val="both"/>
        <w:rPr>
          <w:rFonts w:ascii="Century Gothic" w:hAnsi="Century Gothic" w:cs="Times New Roman"/>
        </w:rPr>
      </w:pPr>
    </w:p>
    <w:p w14:paraId="29293915" w14:textId="77777777" w:rsidR="00224D94" w:rsidRDefault="00224D94" w:rsidP="00D10A4C">
      <w:pPr>
        <w:spacing w:after="0" w:line="360" w:lineRule="auto"/>
        <w:jc w:val="both"/>
        <w:rPr>
          <w:rFonts w:ascii="Century Gothic" w:hAnsi="Century Gothic" w:cs="Times New Roman"/>
        </w:rPr>
      </w:pPr>
    </w:p>
    <w:p w14:paraId="1577E593" w14:textId="77777777" w:rsidR="00224D94" w:rsidRDefault="00224D94" w:rsidP="00D10A4C">
      <w:pPr>
        <w:spacing w:after="0" w:line="360" w:lineRule="auto"/>
        <w:jc w:val="both"/>
        <w:rPr>
          <w:rFonts w:ascii="Century Gothic" w:hAnsi="Century Gothic" w:cs="Times New Roman"/>
        </w:rPr>
      </w:pPr>
    </w:p>
    <w:p w14:paraId="57C4521C" w14:textId="77777777" w:rsidR="00224D94" w:rsidRDefault="00224D94" w:rsidP="00D10A4C">
      <w:pPr>
        <w:spacing w:after="0" w:line="360" w:lineRule="auto"/>
        <w:jc w:val="both"/>
        <w:rPr>
          <w:rFonts w:ascii="Century Gothic" w:hAnsi="Century Gothic" w:cs="Times New Roman"/>
        </w:rPr>
      </w:pPr>
    </w:p>
    <w:p w14:paraId="7FF71FC9" w14:textId="77777777" w:rsidR="00224D94" w:rsidRDefault="00224D94" w:rsidP="00D10A4C">
      <w:pPr>
        <w:spacing w:after="0" w:line="360" w:lineRule="auto"/>
        <w:jc w:val="both"/>
        <w:rPr>
          <w:rFonts w:ascii="Century Gothic" w:hAnsi="Century Gothic" w:cs="Times New Roman"/>
        </w:rPr>
      </w:pPr>
    </w:p>
    <w:p w14:paraId="1C9F1BE0" w14:textId="77777777" w:rsidR="007C6F34" w:rsidRDefault="007C6F34" w:rsidP="00D10A4C">
      <w:pPr>
        <w:spacing w:after="0" w:line="360" w:lineRule="auto"/>
        <w:jc w:val="both"/>
        <w:rPr>
          <w:rFonts w:ascii="Century Gothic" w:hAnsi="Century Gothic" w:cs="Times New Roman"/>
        </w:rPr>
      </w:pPr>
    </w:p>
    <w:p w14:paraId="7D91719A" w14:textId="5330FB55" w:rsidR="00BD4523" w:rsidRPr="00193076" w:rsidRDefault="00E04957" w:rsidP="00D10A4C">
      <w:pPr>
        <w:pStyle w:val="Sinespaciado"/>
        <w:spacing w:line="360" w:lineRule="auto"/>
        <w:rPr>
          <w:rFonts w:ascii="Century Gothic" w:hAnsi="Century Gothic" w:cs="Times New Roman"/>
          <w:b/>
          <w:bCs/>
        </w:rPr>
      </w:pPr>
      <w:r w:rsidRPr="00193076">
        <w:rPr>
          <w:rFonts w:ascii="Century Gothic" w:hAnsi="Century Gothic" w:cs="Times New Roman"/>
          <w:b/>
          <w:bCs/>
        </w:rPr>
        <w:lastRenderedPageBreak/>
        <w:t xml:space="preserve">Gráfico </w:t>
      </w:r>
      <w:r w:rsidR="004B6D9C">
        <w:rPr>
          <w:rFonts w:ascii="Century Gothic" w:hAnsi="Century Gothic" w:cs="Times New Roman"/>
          <w:b/>
          <w:bCs/>
        </w:rPr>
        <w:t>7</w:t>
      </w:r>
      <w:r w:rsidRPr="00193076">
        <w:rPr>
          <w:rFonts w:ascii="Century Gothic" w:hAnsi="Century Gothic" w:cs="Times New Roman"/>
          <w:b/>
          <w:bCs/>
        </w:rPr>
        <w:t>.</w:t>
      </w:r>
      <w:r w:rsidR="00BD4523" w:rsidRPr="00193076">
        <w:rPr>
          <w:rFonts w:ascii="Century Gothic" w:hAnsi="Century Gothic" w:cs="Times New Roman"/>
          <w:b/>
          <w:bCs/>
        </w:rPr>
        <w:t xml:space="preserve"> </w:t>
      </w:r>
    </w:p>
    <w:p w14:paraId="7EA1898F" w14:textId="70B98666" w:rsidR="00E04957" w:rsidRDefault="00E91620" w:rsidP="00D10A4C">
      <w:pPr>
        <w:pStyle w:val="Sinespaciado"/>
        <w:spacing w:line="360" w:lineRule="auto"/>
        <w:rPr>
          <w:rStyle w:val="Textoennegrita"/>
          <w:rFonts w:ascii="Century Gothic" w:hAnsi="Century Gothic" w:cs="Times New Roman"/>
          <w:b w:val="0"/>
          <w:bCs w:val="0"/>
          <w:i/>
          <w:iCs/>
          <w:shd w:val="clear" w:color="auto" w:fill="FFFFFF"/>
        </w:rPr>
      </w:pPr>
      <w:r>
        <w:rPr>
          <w:rStyle w:val="Textoennegrita"/>
          <w:rFonts w:ascii="Century Gothic" w:hAnsi="Century Gothic" w:cs="Times New Roman"/>
          <w:b w:val="0"/>
          <w:bCs w:val="0"/>
          <w:i/>
          <w:iCs/>
          <w:shd w:val="clear" w:color="auto" w:fill="FFFFFF"/>
        </w:rPr>
        <w:t>Pagos</w:t>
      </w:r>
      <w:r w:rsidR="0050211D">
        <w:rPr>
          <w:rStyle w:val="Textoennegrita"/>
          <w:rFonts w:ascii="Century Gothic" w:hAnsi="Century Gothic" w:cs="Times New Roman"/>
          <w:b w:val="0"/>
          <w:bCs w:val="0"/>
          <w:i/>
          <w:iCs/>
          <w:shd w:val="clear" w:color="auto" w:fill="FFFFFF"/>
        </w:rPr>
        <w:t xml:space="preserve"> efectivos</w:t>
      </w:r>
      <w:r w:rsidRPr="00BD4523">
        <w:rPr>
          <w:rStyle w:val="Textoennegrita"/>
          <w:rFonts w:ascii="Century Gothic" w:hAnsi="Century Gothic" w:cs="Times New Roman"/>
          <w:b w:val="0"/>
          <w:bCs w:val="0"/>
          <w:i/>
          <w:iCs/>
          <w:shd w:val="clear" w:color="auto" w:fill="FFFFFF"/>
        </w:rPr>
        <w:t xml:space="preserve"> agrupados</w:t>
      </w:r>
      <w:r w:rsidR="00E04957" w:rsidRPr="00BD4523">
        <w:rPr>
          <w:rStyle w:val="Textoennegrita"/>
          <w:rFonts w:ascii="Century Gothic" w:hAnsi="Century Gothic" w:cs="Times New Roman"/>
          <w:b w:val="0"/>
          <w:bCs w:val="0"/>
          <w:i/>
          <w:iCs/>
          <w:shd w:val="clear" w:color="auto" w:fill="FFFFFF"/>
        </w:rPr>
        <w:t xml:space="preserve"> po</w:t>
      </w:r>
      <w:r w:rsidR="00FB30A2">
        <w:rPr>
          <w:rStyle w:val="Textoennegrita"/>
          <w:rFonts w:ascii="Century Gothic" w:hAnsi="Century Gothic" w:cs="Times New Roman"/>
          <w:b w:val="0"/>
          <w:bCs w:val="0"/>
          <w:i/>
          <w:iCs/>
          <w:shd w:val="clear" w:color="auto" w:fill="FFFFFF"/>
        </w:rPr>
        <w:t>r referencia</w:t>
      </w:r>
    </w:p>
    <w:p w14:paraId="0E60FF21" w14:textId="6FB0AF6F" w:rsidR="00C34B1C" w:rsidRPr="000F2595" w:rsidRDefault="00B25E9D" w:rsidP="00D10A4C">
      <w:pPr>
        <w:pStyle w:val="Sinespaciado"/>
        <w:spacing w:line="360" w:lineRule="auto"/>
        <w:rPr>
          <w:rFonts w:ascii="Century Gothic" w:hAnsi="Century Gothic" w:cs="Times New Roman"/>
          <w:i/>
          <w:iCs/>
          <w:noProof/>
        </w:rPr>
      </w:pPr>
      <w:r w:rsidRPr="00B25E9D">
        <w:rPr>
          <w:rFonts w:ascii="Century Gothic" w:hAnsi="Century Gothic" w:cs="Times New Roman"/>
          <w:i/>
          <w:iCs/>
          <w:noProof/>
        </w:rPr>
        <w:drawing>
          <wp:inline distT="0" distB="0" distL="0" distR="0" wp14:anchorId="68472A23" wp14:editId="192CC308">
            <wp:extent cx="5612130" cy="2358390"/>
            <wp:effectExtent l="0" t="0" r="762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358390"/>
                    </a:xfrm>
                    <a:prstGeom prst="rect">
                      <a:avLst/>
                    </a:prstGeom>
                  </pic:spPr>
                </pic:pic>
              </a:graphicData>
            </a:graphic>
          </wp:inline>
        </w:drawing>
      </w:r>
    </w:p>
    <w:p w14:paraId="24C5F8D4" w14:textId="0E4A5010" w:rsidR="00DE608F" w:rsidRPr="000F2595" w:rsidRDefault="00DE608F" w:rsidP="00D10A4C">
      <w:pPr>
        <w:spacing w:line="360" w:lineRule="auto"/>
        <w:jc w:val="both"/>
        <w:rPr>
          <w:rFonts w:ascii="Century Gothic" w:hAnsi="Century Gothic" w:cs="Times New Roman"/>
        </w:rPr>
      </w:pPr>
      <w:r w:rsidRPr="000F2595">
        <w:rPr>
          <w:rFonts w:ascii="Century Gothic" w:hAnsi="Century Gothic" w:cs="Times New Roman"/>
          <w:b/>
          <w:sz w:val="18"/>
          <w:szCs w:val="18"/>
        </w:rPr>
        <w:t>Fuente:</w:t>
      </w:r>
      <w:r w:rsidRPr="000F2595">
        <w:rPr>
          <w:rFonts w:ascii="Century Gothic" w:hAnsi="Century Gothic" w:cs="Times New Roman"/>
          <w:sz w:val="18"/>
          <w:szCs w:val="18"/>
        </w:rPr>
        <w:t xml:space="preserve"> GOOBI, construcción propia</w:t>
      </w:r>
      <w:r w:rsidR="00EE571D" w:rsidRPr="000F2595">
        <w:rPr>
          <w:rFonts w:ascii="Century Gothic" w:hAnsi="Century Gothic" w:cs="Times New Roman"/>
          <w:sz w:val="18"/>
          <w:szCs w:val="18"/>
        </w:rPr>
        <w:t>.</w:t>
      </w:r>
    </w:p>
    <w:p w14:paraId="091AA8B5" w14:textId="77777777" w:rsidR="006D06D1" w:rsidRDefault="006D06D1" w:rsidP="00D10A4C">
      <w:pPr>
        <w:spacing w:line="360" w:lineRule="auto"/>
        <w:jc w:val="both"/>
        <w:rPr>
          <w:rFonts w:ascii="Century Gothic" w:hAnsi="Century Gothic" w:cs="Times New Roman"/>
        </w:rPr>
      </w:pPr>
      <w:r w:rsidRPr="006D06D1">
        <w:rPr>
          <w:rFonts w:ascii="Century Gothic" w:hAnsi="Century Gothic" w:cs="Times New Roman"/>
        </w:rPr>
        <w:t xml:space="preserve">La Gráfica 7, correspondiente a los gastos de funcionamiento, evidencia que la mayor participación de los pagos efectivos se concentra en el rubro de contratos, con un valor de </w:t>
      </w:r>
      <w:r w:rsidRPr="006D06D1">
        <w:rPr>
          <w:rFonts w:ascii="Century Gothic" w:hAnsi="Century Gothic" w:cs="Times New Roman"/>
          <w:b/>
          <w:bCs/>
        </w:rPr>
        <w:t>$9.174,6 millones</w:t>
      </w:r>
      <w:r w:rsidRPr="006D06D1">
        <w:rPr>
          <w:rFonts w:ascii="Century Gothic" w:hAnsi="Century Gothic" w:cs="Times New Roman"/>
        </w:rPr>
        <w:t xml:space="preserve">. Este componente incluye erogaciones relacionadas con servicios profesionales, servicios de comunicaciones, suministro de alimentos, así como servicios de aseo, vigilancia, entre otros. De igual forma, es importante señalar que, con corte a la fecha del presente informe, el compromiso de los gastos de funcionamiento asciende a </w:t>
      </w:r>
      <w:r w:rsidRPr="006D06D1">
        <w:rPr>
          <w:rFonts w:ascii="Century Gothic" w:hAnsi="Century Gothic" w:cs="Times New Roman"/>
          <w:b/>
          <w:bCs/>
        </w:rPr>
        <w:t>$102.120,1 millones</w:t>
      </w:r>
      <w:r w:rsidRPr="006D06D1">
        <w:rPr>
          <w:rFonts w:ascii="Century Gothic" w:hAnsi="Century Gothic" w:cs="Times New Roman"/>
        </w:rPr>
        <w:t>.</w:t>
      </w:r>
    </w:p>
    <w:p w14:paraId="794C09BB" w14:textId="77777777" w:rsidR="00DB342C" w:rsidRDefault="00DB342C" w:rsidP="00D10A4C">
      <w:pPr>
        <w:spacing w:line="360" w:lineRule="auto"/>
        <w:jc w:val="both"/>
        <w:rPr>
          <w:rFonts w:ascii="Century Gothic" w:hAnsi="Century Gothic" w:cs="Times New Roman"/>
          <w:b/>
          <w:bCs/>
          <w:i/>
          <w:iCs/>
        </w:rPr>
      </w:pPr>
    </w:p>
    <w:p w14:paraId="6C8665AC" w14:textId="4616F1EE" w:rsidR="003C4DD7" w:rsidRPr="000F2595" w:rsidRDefault="003C4DD7" w:rsidP="00D10A4C">
      <w:pPr>
        <w:spacing w:line="360" w:lineRule="auto"/>
        <w:jc w:val="both"/>
        <w:rPr>
          <w:rFonts w:ascii="Century Gothic" w:hAnsi="Century Gothic" w:cs="Times New Roman"/>
          <w:b/>
          <w:bCs/>
        </w:rPr>
      </w:pPr>
      <w:r w:rsidRPr="00975805">
        <w:rPr>
          <w:rFonts w:ascii="Century Gothic" w:hAnsi="Century Gothic" w:cs="Times New Roman"/>
          <w:b/>
          <w:bCs/>
          <w:i/>
          <w:iCs/>
        </w:rPr>
        <w:t>GASTOS DE INVERSIÓN</w:t>
      </w:r>
      <w:r w:rsidR="00975805" w:rsidRPr="00975805">
        <w:rPr>
          <w:rFonts w:ascii="Century Gothic" w:hAnsi="Century Gothic" w:cs="Times New Roman"/>
          <w:b/>
          <w:bCs/>
          <w:i/>
          <w:iCs/>
        </w:rPr>
        <w:t xml:space="preserve"> (2.3)</w:t>
      </w:r>
    </w:p>
    <w:p w14:paraId="22FF3473" w14:textId="77777777" w:rsidR="00DB342C" w:rsidRDefault="00DB342C" w:rsidP="003C3624">
      <w:pPr>
        <w:pStyle w:val="Sinespaciado"/>
        <w:spacing w:line="360" w:lineRule="auto"/>
        <w:jc w:val="both"/>
        <w:rPr>
          <w:rFonts w:ascii="Century Gothic" w:hAnsi="Century Gothic" w:cs="Times New Roman"/>
        </w:rPr>
      </w:pPr>
    </w:p>
    <w:p w14:paraId="4680D860" w14:textId="751E35B4" w:rsidR="00DF3184" w:rsidRDefault="003C3624" w:rsidP="003C3624">
      <w:pPr>
        <w:pStyle w:val="Sinespaciado"/>
        <w:spacing w:line="360" w:lineRule="auto"/>
        <w:jc w:val="both"/>
        <w:rPr>
          <w:rFonts w:ascii="Century Gothic" w:hAnsi="Century Gothic" w:cs="Times New Roman"/>
        </w:rPr>
      </w:pPr>
      <w:r w:rsidRPr="003C3624">
        <w:rPr>
          <w:rFonts w:ascii="Century Gothic" w:hAnsi="Century Gothic" w:cs="Times New Roman"/>
        </w:rPr>
        <w:t xml:space="preserve">Con corte al </w:t>
      </w:r>
      <w:r w:rsidRPr="003C3624">
        <w:rPr>
          <w:rFonts w:ascii="Century Gothic" w:hAnsi="Century Gothic" w:cs="Times New Roman"/>
          <w:b/>
          <w:bCs/>
        </w:rPr>
        <w:t>30 de abril</w:t>
      </w:r>
      <w:r w:rsidRPr="003C3624">
        <w:rPr>
          <w:rFonts w:ascii="Century Gothic" w:hAnsi="Century Gothic" w:cs="Times New Roman"/>
        </w:rPr>
        <w:t xml:space="preserve">, el componente de inversión presenta un pago efectivo de </w:t>
      </w:r>
      <w:r w:rsidRPr="003C3624">
        <w:rPr>
          <w:rFonts w:ascii="Century Gothic" w:hAnsi="Century Gothic" w:cs="Times New Roman"/>
          <w:b/>
          <w:bCs/>
        </w:rPr>
        <w:t>$2.986,9 millones</w:t>
      </w:r>
      <w:r w:rsidRPr="003C3624">
        <w:rPr>
          <w:rFonts w:ascii="Century Gothic" w:hAnsi="Century Gothic" w:cs="Times New Roman"/>
        </w:rPr>
        <w:t xml:space="preserve">, equivalente a una ejecución del </w:t>
      </w:r>
      <w:r w:rsidRPr="003C3624">
        <w:rPr>
          <w:rFonts w:ascii="Century Gothic" w:hAnsi="Century Gothic" w:cs="Times New Roman"/>
          <w:b/>
          <w:bCs/>
        </w:rPr>
        <w:t>16,9%.</w:t>
      </w:r>
      <w:r w:rsidRPr="003C3624">
        <w:rPr>
          <w:rFonts w:ascii="Century Gothic" w:hAnsi="Century Gothic" w:cs="Times New Roman"/>
        </w:rPr>
        <w:t xml:space="preserve"> De acuerdo con la Gráfica 8, estos recursos se distribuyen entre los tres ejes estratégicos establecidos en el PDI de la UPTC. Asimismo, a la fecha de corte del informe, los gastos de inversión registran un compromiso de </w:t>
      </w:r>
      <w:r w:rsidRPr="003C3624">
        <w:rPr>
          <w:rFonts w:ascii="Century Gothic" w:hAnsi="Century Gothic" w:cs="Times New Roman"/>
          <w:b/>
          <w:bCs/>
        </w:rPr>
        <w:t>$13.717,4 millones</w:t>
      </w:r>
      <w:r w:rsidRPr="003C3624">
        <w:rPr>
          <w:rFonts w:ascii="Century Gothic" w:hAnsi="Century Gothic" w:cs="Times New Roman"/>
        </w:rPr>
        <w:t>.</w:t>
      </w:r>
    </w:p>
    <w:p w14:paraId="7D68AAA2" w14:textId="77777777" w:rsidR="007149C7" w:rsidRDefault="007149C7" w:rsidP="00D10A4C">
      <w:pPr>
        <w:pStyle w:val="Sinespaciado"/>
        <w:spacing w:line="360" w:lineRule="auto"/>
        <w:rPr>
          <w:rFonts w:ascii="Century Gothic" w:hAnsi="Century Gothic" w:cs="Times New Roman"/>
        </w:rPr>
      </w:pPr>
    </w:p>
    <w:p w14:paraId="0FAE540C" w14:textId="77777777" w:rsidR="007149C7" w:rsidRDefault="007149C7" w:rsidP="00D10A4C">
      <w:pPr>
        <w:pStyle w:val="Sinespaciado"/>
        <w:spacing w:line="360" w:lineRule="auto"/>
        <w:rPr>
          <w:rFonts w:ascii="Century Gothic" w:hAnsi="Century Gothic" w:cs="Times New Roman"/>
        </w:rPr>
      </w:pPr>
    </w:p>
    <w:p w14:paraId="479C09FD" w14:textId="77777777" w:rsidR="007149C7" w:rsidRDefault="007149C7" w:rsidP="00D10A4C">
      <w:pPr>
        <w:pStyle w:val="Sinespaciado"/>
        <w:spacing w:line="360" w:lineRule="auto"/>
        <w:rPr>
          <w:rFonts w:ascii="Century Gothic" w:hAnsi="Century Gothic" w:cs="Times New Roman"/>
        </w:rPr>
      </w:pPr>
    </w:p>
    <w:p w14:paraId="362223BC" w14:textId="13BCA133" w:rsidR="006C5359" w:rsidRPr="00243CFC" w:rsidRDefault="00547738" w:rsidP="00D10A4C">
      <w:pPr>
        <w:pStyle w:val="Sinespaciado"/>
        <w:spacing w:line="360" w:lineRule="auto"/>
        <w:rPr>
          <w:rFonts w:ascii="Century Gothic" w:hAnsi="Century Gothic" w:cs="Times New Roman"/>
          <w:b/>
          <w:bCs/>
        </w:rPr>
      </w:pPr>
      <w:r w:rsidRPr="00243CFC">
        <w:rPr>
          <w:rFonts w:ascii="Century Gothic" w:hAnsi="Century Gothic" w:cs="Times New Roman"/>
          <w:b/>
          <w:bCs/>
        </w:rPr>
        <w:lastRenderedPageBreak/>
        <w:t xml:space="preserve">Gráfico </w:t>
      </w:r>
      <w:r w:rsidR="009A66B0">
        <w:rPr>
          <w:rFonts w:ascii="Century Gothic" w:hAnsi="Century Gothic" w:cs="Times New Roman"/>
          <w:b/>
          <w:bCs/>
        </w:rPr>
        <w:t>8</w:t>
      </w:r>
      <w:r w:rsidRPr="00243CFC">
        <w:rPr>
          <w:rFonts w:ascii="Century Gothic" w:hAnsi="Century Gothic" w:cs="Times New Roman"/>
          <w:b/>
          <w:bCs/>
        </w:rPr>
        <w:t xml:space="preserve">. </w:t>
      </w:r>
    </w:p>
    <w:p w14:paraId="7962AF33" w14:textId="60457661" w:rsidR="00547738" w:rsidRDefault="00547738" w:rsidP="00D10A4C">
      <w:pPr>
        <w:pStyle w:val="Sinespaciado"/>
        <w:spacing w:line="360" w:lineRule="auto"/>
        <w:rPr>
          <w:rStyle w:val="Textoennegrita"/>
          <w:rFonts w:ascii="Century Gothic" w:hAnsi="Century Gothic" w:cs="Times New Roman"/>
          <w:b w:val="0"/>
          <w:bCs w:val="0"/>
          <w:i/>
          <w:iCs/>
          <w:shd w:val="clear" w:color="auto" w:fill="FFFFFF"/>
        </w:rPr>
      </w:pPr>
      <w:r w:rsidRPr="006C5359">
        <w:rPr>
          <w:rStyle w:val="Textoennegrita"/>
          <w:rFonts w:ascii="Century Gothic" w:hAnsi="Century Gothic" w:cs="Times New Roman"/>
          <w:b w:val="0"/>
          <w:bCs w:val="0"/>
          <w:i/>
          <w:iCs/>
          <w:shd w:val="clear" w:color="auto" w:fill="FFFFFF"/>
        </w:rPr>
        <w:t>Compromiso</w:t>
      </w:r>
      <w:r w:rsidR="00CA0FA2">
        <w:rPr>
          <w:rStyle w:val="Textoennegrita"/>
          <w:rFonts w:ascii="Century Gothic" w:hAnsi="Century Gothic" w:cs="Times New Roman"/>
          <w:b w:val="0"/>
          <w:bCs w:val="0"/>
          <w:i/>
          <w:iCs/>
          <w:shd w:val="clear" w:color="auto" w:fill="FFFFFF"/>
        </w:rPr>
        <w:t xml:space="preserve"> agrupado por </w:t>
      </w:r>
      <w:r w:rsidR="001865DE">
        <w:rPr>
          <w:rStyle w:val="Textoennegrita"/>
          <w:rFonts w:ascii="Century Gothic" w:hAnsi="Century Gothic" w:cs="Times New Roman"/>
          <w:b w:val="0"/>
          <w:bCs w:val="0"/>
          <w:i/>
          <w:iCs/>
          <w:shd w:val="clear" w:color="auto" w:fill="FFFFFF"/>
        </w:rPr>
        <w:t>ejes estratégicos</w:t>
      </w:r>
      <w:r w:rsidR="00CA0FA2">
        <w:rPr>
          <w:rStyle w:val="Textoennegrita"/>
          <w:rFonts w:ascii="Century Gothic" w:hAnsi="Century Gothic" w:cs="Times New Roman"/>
          <w:b w:val="0"/>
          <w:bCs w:val="0"/>
          <w:i/>
          <w:iCs/>
          <w:shd w:val="clear" w:color="auto" w:fill="FFFFFF"/>
        </w:rPr>
        <w:t xml:space="preserve"> del PDI</w:t>
      </w:r>
    </w:p>
    <w:p w14:paraId="6B164418" w14:textId="208DD79F" w:rsidR="00A730EC" w:rsidRPr="006C5359" w:rsidRDefault="00A730EC" w:rsidP="00D10A4C">
      <w:pPr>
        <w:pStyle w:val="Sinespaciado"/>
        <w:spacing w:line="360" w:lineRule="auto"/>
        <w:rPr>
          <w:rStyle w:val="Textoennegrita"/>
          <w:rFonts w:ascii="Century Gothic" w:hAnsi="Century Gothic" w:cs="Times New Roman"/>
          <w:b w:val="0"/>
          <w:bCs w:val="0"/>
          <w:i/>
          <w:iCs/>
          <w:shd w:val="clear" w:color="auto" w:fill="FFFFFF"/>
        </w:rPr>
      </w:pPr>
      <w:r w:rsidRPr="00A730EC">
        <w:rPr>
          <w:rStyle w:val="Textoennegrita"/>
          <w:rFonts w:ascii="Century Gothic" w:hAnsi="Century Gothic" w:cs="Times New Roman"/>
          <w:b w:val="0"/>
          <w:bCs w:val="0"/>
          <w:i/>
          <w:iCs/>
          <w:shd w:val="clear" w:color="auto" w:fill="FFFFFF"/>
        </w:rPr>
        <w:drawing>
          <wp:inline distT="0" distB="0" distL="0" distR="0" wp14:anchorId="7C95A515" wp14:editId="24C44586">
            <wp:extent cx="5612130" cy="269113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691130"/>
                    </a:xfrm>
                    <a:prstGeom prst="rect">
                      <a:avLst/>
                    </a:prstGeom>
                  </pic:spPr>
                </pic:pic>
              </a:graphicData>
            </a:graphic>
          </wp:inline>
        </w:drawing>
      </w:r>
    </w:p>
    <w:p w14:paraId="44EB9F35" w14:textId="7609F25A" w:rsidR="00670F0C" w:rsidRPr="003B1D8B" w:rsidRDefault="0087625F" w:rsidP="00D10A4C">
      <w:pPr>
        <w:spacing w:line="360" w:lineRule="auto"/>
        <w:jc w:val="both"/>
        <w:rPr>
          <w:rFonts w:ascii="Century Gothic" w:hAnsi="Century Gothic" w:cs="Times New Roman"/>
          <w:i/>
          <w:iCs/>
        </w:rPr>
      </w:pPr>
      <w:r w:rsidRPr="0087625F">
        <w:rPr>
          <w:rFonts w:ascii="Century Gothic" w:hAnsi="Century Gothic" w:cs="Times New Roman"/>
          <w:b/>
          <w:sz w:val="18"/>
          <w:szCs w:val="18"/>
        </w:rPr>
        <w:t xml:space="preserve"> </w:t>
      </w:r>
      <w:r w:rsidR="00670F0C" w:rsidRPr="000F2595">
        <w:rPr>
          <w:rFonts w:ascii="Century Gothic" w:hAnsi="Century Gothic" w:cs="Times New Roman"/>
          <w:b/>
          <w:sz w:val="18"/>
          <w:szCs w:val="18"/>
        </w:rPr>
        <w:t>Fuente:</w:t>
      </w:r>
      <w:r w:rsidR="00670F0C" w:rsidRPr="000F2595">
        <w:rPr>
          <w:rFonts w:ascii="Century Gothic" w:hAnsi="Century Gothic" w:cs="Times New Roman"/>
          <w:sz w:val="18"/>
          <w:szCs w:val="18"/>
        </w:rPr>
        <w:t xml:space="preserve"> GOOBI, construcción propia.</w:t>
      </w:r>
    </w:p>
    <w:p w14:paraId="4EBA74F0" w14:textId="77777777" w:rsidR="00B052A1" w:rsidRDefault="00B052A1" w:rsidP="004A0A70">
      <w:pPr>
        <w:spacing w:line="360" w:lineRule="auto"/>
        <w:jc w:val="both"/>
        <w:rPr>
          <w:rFonts w:ascii="Century Gothic" w:hAnsi="Century Gothic" w:cs="Times New Roman"/>
          <w:b/>
          <w:bCs/>
          <w:i/>
          <w:iCs/>
        </w:rPr>
      </w:pPr>
    </w:p>
    <w:p w14:paraId="386D4C7F" w14:textId="55AFE45A" w:rsidR="002A10DB" w:rsidRDefault="002A10DB" w:rsidP="00D10A4C">
      <w:pPr>
        <w:spacing w:line="360" w:lineRule="auto"/>
        <w:jc w:val="both"/>
        <w:rPr>
          <w:rFonts w:ascii="Century Gothic" w:hAnsi="Century Gothic" w:cs="Times New Roman"/>
        </w:rPr>
      </w:pPr>
    </w:p>
    <w:p w14:paraId="52EB5645" w14:textId="77777777" w:rsidR="00C65104" w:rsidRDefault="00C65104" w:rsidP="00D10A4C">
      <w:pPr>
        <w:spacing w:line="360" w:lineRule="auto"/>
        <w:jc w:val="both"/>
        <w:rPr>
          <w:rFonts w:ascii="Century Gothic" w:hAnsi="Century Gothic" w:cs="Times New Roman"/>
        </w:rPr>
      </w:pPr>
    </w:p>
    <w:p w14:paraId="2D6F7D42" w14:textId="77777777" w:rsidR="007149C7" w:rsidRDefault="007149C7" w:rsidP="00D10A4C">
      <w:pPr>
        <w:spacing w:line="360" w:lineRule="auto"/>
        <w:jc w:val="both"/>
        <w:rPr>
          <w:rFonts w:ascii="Century Gothic" w:hAnsi="Century Gothic" w:cs="Times New Roman"/>
        </w:rPr>
      </w:pPr>
    </w:p>
    <w:p w14:paraId="78EC12FF" w14:textId="22A81FB9" w:rsidR="00547738" w:rsidRPr="000F2595" w:rsidRDefault="00547738" w:rsidP="00D10A4C">
      <w:pPr>
        <w:spacing w:after="0" w:line="360" w:lineRule="auto"/>
        <w:jc w:val="center"/>
        <w:rPr>
          <w:rFonts w:ascii="Century Gothic" w:hAnsi="Century Gothic" w:cs="Times New Roman"/>
        </w:rPr>
      </w:pPr>
      <w:r w:rsidRPr="000F2595">
        <w:rPr>
          <w:rFonts w:ascii="Century Gothic" w:hAnsi="Century Gothic" w:cs="Times New Roman"/>
        </w:rPr>
        <w:t>_____________________________________</w:t>
      </w:r>
    </w:p>
    <w:p w14:paraId="13A1A87E" w14:textId="77777777" w:rsidR="00547738" w:rsidRPr="000F2595" w:rsidRDefault="00547738" w:rsidP="00D10A4C">
      <w:pPr>
        <w:spacing w:after="0" w:line="360" w:lineRule="auto"/>
        <w:ind w:left="720" w:hanging="720"/>
        <w:jc w:val="center"/>
        <w:rPr>
          <w:rFonts w:ascii="Century Gothic" w:hAnsi="Century Gothic" w:cs="Times New Roman"/>
        </w:rPr>
      </w:pPr>
      <w:r w:rsidRPr="000F2595">
        <w:rPr>
          <w:rFonts w:ascii="Century Gothic" w:hAnsi="Century Gothic" w:cs="Times New Roman"/>
          <w:b/>
          <w:bCs/>
        </w:rPr>
        <w:t>LUIS ÁNGEL LARA GONZÁLEZ</w:t>
      </w:r>
    </w:p>
    <w:p w14:paraId="0175719B" w14:textId="0C30CD2F" w:rsidR="00710283" w:rsidRPr="005A7338" w:rsidRDefault="00547738" w:rsidP="005A7338">
      <w:pPr>
        <w:spacing w:after="0" w:line="360" w:lineRule="auto"/>
        <w:ind w:left="720" w:hanging="720"/>
        <w:jc w:val="center"/>
        <w:rPr>
          <w:rFonts w:ascii="Century Gothic" w:hAnsi="Century Gothic" w:cs="Times New Roman"/>
          <w:i/>
          <w:iCs/>
        </w:rPr>
      </w:pPr>
      <w:r w:rsidRPr="005A7338">
        <w:rPr>
          <w:rFonts w:ascii="Century Gothic" w:hAnsi="Century Gothic" w:cs="Times New Roman"/>
          <w:i/>
          <w:iCs/>
        </w:rPr>
        <w:t>Vicerrector Administrativo y Financiero</w:t>
      </w:r>
    </w:p>
    <w:sectPr w:rsidR="00710283" w:rsidRPr="005A7338">
      <w:headerReference w:type="default" r:id="rId22"/>
      <w:footerReference w:type="default" r:id="rId2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FB89A" w14:textId="77777777" w:rsidR="002A0758" w:rsidRDefault="002A0758">
      <w:pPr>
        <w:spacing w:after="0" w:line="240" w:lineRule="auto"/>
      </w:pPr>
      <w:r>
        <w:separator/>
      </w:r>
    </w:p>
  </w:endnote>
  <w:endnote w:type="continuationSeparator" w:id="0">
    <w:p w14:paraId="5A88EA3E" w14:textId="77777777" w:rsidR="002A0758" w:rsidRDefault="002A0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44401" w14:textId="0CBF5307" w:rsidR="0053575B" w:rsidRDefault="005B7C60">
    <w:pPr>
      <w:pBdr>
        <w:top w:val="nil"/>
        <w:left w:val="nil"/>
        <w:bottom w:val="nil"/>
        <w:right w:val="nil"/>
        <w:between w:val="nil"/>
      </w:pBdr>
      <w:tabs>
        <w:tab w:val="center" w:pos="4419"/>
        <w:tab w:val="right" w:pos="8838"/>
      </w:tabs>
      <w:spacing w:after="0" w:line="240" w:lineRule="auto"/>
      <w:rPr>
        <w:color w:val="000000"/>
      </w:rPr>
    </w:pPr>
    <w:r>
      <w:rPr>
        <w:noProof/>
        <w:lang w:val="en-US" w:eastAsia="en-US"/>
      </w:rPr>
      <w:drawing>
        <wp:anchor distT="0" distB="0" distL="0" distR="0" simplePos="0" relativeHeight="251658240" behindDoc="1" locked="0" layoutInCell="1" allowOverlap="1" wp14:anchorId="040B47B8" wp14:editId="28C79C2E">
          <wp:simplePos x="0" y="0"/>
          <wp:positionH relativeFrom="column">
            <wp:posOffset>-1057910</wp:posOffset>
          </wp:positionH>
          <wp:positionV relativeFrom="paragraph">
            <wp:posOffset>-2377440</wp:posOffset>
          </wp:positionV>
          <wp:extent cx="7732395" cy="3147695"/>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2395" cy="314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19D93" w14:textId="77777777" w:rsidR="0053575B" w:rsidRDefault="0053575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7EC96" w14:textId="77777777" w:rsidR="002A0758" w:rsidRDefault="002A0758">
      <w:pPr>
        <w:spacing w:after="0" w:line="240" w:lineRule="auto"/>
      </w:pPr>
      <w:r>
        <w:separator/>
      </w:r>
    </w:p>
  </w:footnote>
  <w:footnote w:type="continuationSeparator" w:id="0">
    <w:p w14:paraId="3C88C966" w14:textId="77777777" w:rsidR="002A0758" w:rsidRDefault="002A0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90FCA" w14:textId="283914EB" w:rsidR="0053575B" w:rsidRDefault="005B7C60">
    <w:pPr>
      <w:tabs>
        <w:tab w:val="center" w:pos="4419"/>
        <w:tab w:val="right" w:pos="8838"/>
      </w:tabs>
    </w:pPr>
    <w:r>
      <w:rPr>
        <w:noProof/>
        <w:lang w:val="en-US" w:eastAsia="en-US"/>
      </w:rPr>
      <w:drawing>
        <wp:anchor distT="0" distB="0" distL="0" distR="0" simplePos="0" relativeHeight="251657216" behindDoc="0" locked="0" layoutInCell="1" allowOverlap="1" wp14:anchorId="7123C361" wp14:editId="3B50DCF2">
          <wp:simplePos x="0" y="0"/>
          <wp:positionH relativeFrom="column">
            <wp:posOffset>-1085850</wp:posOffset>
          </wp:positionH>
          <wp:positionV relativeFrom="paragraph">
            <wp:posOffset>-428625</wp:posOffset>
          </wp:positionV>
          <wp:extent cx="7792720" cy="962025"/>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2720"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6FBFB4" w14:textId="77777777" w:rsidR="0053575B" w:rsidRDefault="0053575B">
    <w:pPr>
      <w:pBdr>
        <w:top w:val="nil"/>
        <w:left w:val="nil"/>
        <w:bottom w:val="nil"/>
        <w:right w:val="nil"/>
        <w:between w:val="nil"/>
      </w:pBdr>
      <w:tabs>
        <w:tab w:val="center" w:pos="4419"/>
        <w:tab w:val="right" w:pos="88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6D6E"/>
    <w:multiLevelType w:val="hybridMultilevel"/>
    <w:tmpl w:val="DFA6A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94C88"/>
    <w:multiLevelType w:val="hybridMultilevel"/>
    <w:tmpl w:val="65561A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46A65BD"/>
    <w:multiLevelType w:val="hybridMultilevel"/>
    <w:tmpl w:val="A33EE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1A1674C"/>
    <w:multiLevelType w:val="hybridMultilevel"/>
    <w:tmpl w:val="36409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C88331E"/>
    <w:multiLevelType w:val="hybridMultilevel"/>
    <w:tmpl w:val="A014C4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9EB55D4"/>
    <w:multiLevelType w:val="hybridMultilevel"/>
    <w:tmpl w:val="DA64C8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6A93186"/>
    <w:multiLevelType w:val="hybridMultilevel"/>
    <w:tmpl w:val="63B4583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34907281">
    <w:abstractNumId w:val="4"/>
  </w:num>
  <w:num w:numId="2" w16cid:durableId="657882745">
    <w:abstractNumId w:val="6"/>
  </w:num>
  <w:num w:numId="3" w16cid:durableId="745035075">
    <w:abstractNumId w:val="0"/>
  </w:num>
  <w:num w:numId="4" w16cid:durableId="1545673236">
    <w:abstractNumId w:val="1"/>
  </w:num>
  <w:num w:numId="5" w16cid:durableId="1253005485">
    <w:abstractNumId w:val="3"/>
  </w:num>
  <w:num w:numId="6" w16cid:durableId="827286961">
    <w:abstractNumId w:val="2"/>
  </w:num>
  <w:num w:numId="7" w16cid:durableId="864247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75B"/>
    <w:rsid w:val="00001050"/>
    <w:rsid w:val="00002369"/>
    <w:rsid w:val="00003F93"/>
    <w:rsid w:val="00004B27"/>
    <w:rsid w:val="00005B5D"/>
    <w:rsid w:val="000111BF"/>
    <w:rsid w:val="000126C8"/>
    <w:rsid w:val="00013431"/>
    <w:rsid w:val="0001526D"/>
    <w:rsid w:val="0001621C"/>
    <w:rsid w:val="00023DB7"/>
    <w:rsid w:val="000245AF"/>
    <w:rsid w:val="00030B48"/>
    <w:rsid w:val="000363BE"/>
    <w:rsid w:val="000366D8"/>
    <w:rsid w:val="0003713D"/>
    <w:rsid w:val="00040114"/>
    <w:rsid w:val="00040811"/>
    <w:rsid w:val="00040B47"/>
    <w:rsid w:val="00045A8D"/>
    <w:rsid w:val="00053111"/>
    <w:rsid w:val="00055885"/>
    <w:rsid w:val="00055FC8"/>
    <w:rsid w:val="00060B3B"/>
    <w:rsid w:val="00063CC0"/>
    <w:rsid w:val="00065470"/>
    <w:rsid w:val="000667BE"/>
    <w:rsid w:val="00071786"/>
    <w:rsid w:val="00071939"/>
    <w:rsid w:val="00071B7A"/>
    <w:rsid w:val="00072DA2"/>
    <w:rsid w:val="00073375"/>
    <w:rsid w:val="0007427D"/>
    <w:rsid w:val="00075FD2"/>
    <w:rsid w:val="00077820"/>
    <w:rsid w:val="00082A13"/>
    <w:rsid w:val="00083812"/>
    <w:rsid w:val="0008487F"/>
    <w:rsid w:val="000854D9"/>
    <w:rsid w:val="00085771"/>
    <w:rsid w:val="00086E12"/>
    <w:rsid w:val="0008709E"/>
    <w:rsid w:val="000871DF"/>
    <w:rsid w:val="00087DBF"/>
    <w:rsid w:val="000916D4"/>
    <w:rsid w:val="0009362E"/>
    <w:rsid w:val="00093B81"/>
    <w:rsid w:val="00093E9C"/>
    <w:rsid w:val="0009707F"/>
    <w:rsid w:val="00097A3C"/>
    <w:rsid w:val="00097AEC"/>
    <w:rsid w:val="000A09E3"/>
    <w:rsid w:val="000A0F52"/>
    <w:rsid w:val="000A24E1"/>
    <w:rsid w:val="000A537E"/>
    <w:rsid w:val="000A7BCF"/>
    <w:rsid w:val="000B14D1"/>
    <w:rsid w:val="000B24CF"/>
    <w:rsid w:val="000B5039"/>
    <w:rsid w:val="000B5229"/>
    <w:rsid w:val="000B5FAF"/>
    <w:rsid w:val="000B603D"/>
    <w:rsid w:val="000B70B6"/>
    <w:rsid w:val="000C42FD"/>
    <w:rsid w:val="000C4FA6"/>
    <w:rsid w:val="000C603D"/>
    <w:rsid w:val="000C7FD2"/>
    <w:rsid w:val="000D14ED"/>
    <w:rsid w:val="000D1DAD"/>
    <w:rsid w:val="000D4B45"/>
    <w:rsid w:val="000D6BD3"/>
    <w:rsid w:val="000D7B07"/>
    <w:rsid w:val="000E04C3"/>
    <w:rsid w:val="000E07F4"/>
    <w:rsid w:val="000E2F44"/>
    <w:rsid w:val="000E3260"/>
    <w:rsid w:val="000E3B72"/>
    <w:rsid w:val="000E7B6C"/>
    <w:rsid w:val="000E7E6C"/>
    <w:rsid w:val="000F10B1"/>
    <w:rsid w:val="000F2595"/>
    <w:rsid w:val="000F273D"/>
    <w:rsid w:val="000F38FF"/>
    <w:rsid w:val="000F5A7A"/>
    <w:rsid w:val="000F75B0"/>
    <w:rsid w:val="001006D4"/>
    <w:rsid w:val="0010294F"/>
    <w:rsid w:val="001038C1"/>
    <w:rsid w:val="00106FD0"/>
    <w:rsid w:val="001079EB"/>
    <w:rsid w:val="00107F26"/>
    <w:rsid w:val="00112F56"/>
    <w:rsid w:val="00113802"/>
    <w:rsid w:val="0011574E"/>
    <w:rsid w:val="00117D2A"/>
    <w:rsid w:val="001226C0"/>
    <w:rsid w:val="00122C1B"/>
    <w:rsid w:val="001233B5"/>
    <w:rsid w:val="001252AE"/>
    <w:rsid w:val="00127B2E"/>
    <w:rsid w:val="00130CC7"/>
    <w:rsid w:val="00130F3D"/>
    <w:rsid w:val="00133107"/>
    <w:rsid w:val="00136AB8"/>
    <w:rsid w:val="0013700F"/>
    <w:rsid w:val="00140B6E"/>
    <w:rsid w:val="00141108"/>
    <w:rsid w:val="00141A43"/>
    <w:rsid w:val="0014401E"/>
    <w:rsid w:val="00147009"/>
    <w:rsid w:val="00147AA4"/>
    <w:rsid w:val="00152752"/>
    <w:rsid w:val="0015305B"/>
    <w:rsid w:val="00154734"/>
    <w:rsid w:val="001550BC"/>
    <w:rsid w:val="00155C7A"/>
    <w:rsid w:val="00155F18"/>
    <w:rsid w:val="0015606E"/>
    <w:rsid w:val="0015677A"/>
    <w:rsid w:val="0015789B"/>
    <w:rsid w:val="00164F23"/>
    <w:rsid w:val="00165273"/>
    <w:rsid w:val="00165955"/>
    <w:rsid w:val="00165A2D"/>
    <w:rsid w:val="0016692F"/>
    <w:rsid w:val="00171A74"/>
    <w:rsid w:val="001721DD"/>
    <w:rsid w:val="00172856"/>
    <w:rsid w:val="00174B34"/>
    <w:rsid w:val="00174FAF"/>
    <w:rsid w:val="00176218"/>
    <w:rsid w:val="001818A2"/>
    <w:rsid w:val="001819B3"/>
    <w:rsid w:val="00185F90"/>
    <w:rsid w:val="001865DE"/>
    <w:rsid w:val="00190F0C"/>
    <w:rsid w:val="001913FD"/>
    <w:rsid w:val="00191751"/>
    <w:rsid w:val="00192C0C"/>
    <w:rsid w:val="00193076"/>
    <w:rsid w:val="001A2F9F"/>
    <w:rsid w:val="001A3752"/>
    <w:rsid w:val="001A57B5"/>
    <w:rsid w:val="001A61FF"/>
    <w:rsid w:val="001A771E"/>
    <w:rsid w:val="001B32B2"/>
    <w:rsid w:val="001B3680"/>
    <w:rsid w:val="001B69D8"/>
    <w:rsid w:val="001C0364"/>
    <w:rsid w:val="001C461C"/>
    <w:rsid w:val="001C4B89"/>
    <w:rsid w:val="001D084B"/>
    <w:rsid w:val="001D09D6"/>
    <w:rsid w:val="001D0C50"/>
    <w:rsid w:val="001D32CF"/>
    <w:rsid w:val="001D3549"/>
    <w:rsid w:val="001D51BB"/>
    <w:rsid w:val="001D5860"/>
    <w:rsid w:val="001E033E"/>
    <w:rsid w:val="001E2CB7"/>
    <w:rsid w:val="001E2D18"/>
    <w:rsid w:val="001E4B46"/>
    <w:rsid w:val="001E4DE7"/>
    <w:rsid w:val="001E7F43"/>
    <w:rsid w:val="001F0FF0"/>
    <w:rsid w:val="001F14AC"/>
    <w:rsid w:val="001F1603"/>
    <w:rsid w:val="001F1BAC"/>
    <w:rsid w:val="001F254E"/>
    <w:rsid w:val="001F3B2F"/>
    <w:rsid w:val="001F3D7F"/>
    <w:rsid w:val="001F3DB3"/>
    <w:rsid w:val="001F61B8"/>
    <w:rsid w:val="001F7708"/>
    <w:rsid w:val="00200A0E"/>
    <w:rsid w:val="002011C3"/>
    <w:rsid w:val="002018AD"/>
    <w:rsid w:val="00202576"/>
    <w:rsid w:val="002027C1"/>
    <w:rsid w:val="00202C74"/>
    <w:rsid w:val="00202E80"/>
    <w:rsid w:val="002071BC"/>
    <w:rsid w:val="00207DC7"/>
    <w:rsid w:val="00210AAE"/>
    <w:rsid w:val="00211022"/>
    <w:rsid w:val="00214C4F"/>
    <w:rsid w:val="002151AC"/>
    <w:rsid w:val="0021713F"/>
    <w:rsid w:val="00217650"/>
    <w:rsid w:val="0022171F"/>
    <w:rsid w:val="00223EE7"/>
    <w:rsid w:val="00224D94"/>
    <w:rsid w:val="00226B23"/>
    <w:rsid w:val="0023093D"/>
    <w:rsid w:val="00233465"/>
    <w:rsid w:val="00233CD3"/>
    <w:rsid w:val="002345AC"/>
    <w:rsid w:val="002346DD"/>
    <w:rsid w:val="00234A0F"/>
    <w:rsid w:val="0023646A"/>
    <w:rsid w:val="002434D1"/>
    <w:rsid w:val="00243718"/>
    <w:rsid w:val="00243CFC"/>
    <w:rsid w:val="00245D8C"/>
    <w:rsid w:val="0024714B"/>
    <w:rsid w:val="00250958"/>
    <w:rsid w:val="002533C6"/>
    <w:rsid w:val="0025450C"/>
    <w:rsid w:val="00257ADC"/>
    <w:rsid w:val="002602A2"/>
    <w:rsid w:val="00261CBF"/>
    <w:rsid w:val="00264652"/>
    <w:rsid w:val="00265D9E"/>
    <w:rsid w:val="0026654D"/>
    <w:rsid w:val="00266DF4"/>
    <w:rsid w:val="002712C8"/>
    <w:rsid w:val="0027150D"/>
    <w:rsid w:val="002748E4"/>
    <w:rsid w:val="00275714"/>
    <w:rsid w:val="002757CB"/>
    <w:rsid w:val="00275C73"/>
    <w:rsid w:val="00281179"/>
    <w:rsid w:val="0028139D"/>
    <w:rsid w:val="00281583"/>
    <w:rsid w:val="002826B7"/>
    <w:rsid w:val="002853CA"/>
    <w:rsid w:val="00290EF6"/>
    <w:rsid w:val="00292EBD"/>
    <w:rsid w:val="00293892"/>
    <w:rsid w:val="00293C73"/>
    <w:rsid w:val="00293D5D"/>
    <w:rsid w:val="0029577D"/>
    <w:rsid w:val="00295C4A"/>
    <w:rsid w:val="002A0758"/>
    <w:rsid w:val="002A10DB"/>
    <w:rsid w:val="002A176E"/>
    <w:rsid w:val="002A23D2"/>
    <w:rsid w:val="002A461E"/>
    <w:rsid w:val="002A4DE6"/>
    <w:rsid w:val="002A54AA"/>
    <w:rsid w:val="002A56E0"/>
    <w:rsid w:val="002A7776"/>
    <w:rsid w:val="002B0177"/>
    <w:rsid w:val="002B650E"/>
    <w:rsid w:val="002C0602"/>
    <w:rsid w:val="002C0FD3"/>
    <w:rsid w:val="002C5565"/>
    <w:rsid w:val="002C5E12"/>
    <w:rsid w:val="002C612D"/>
    <w:rsid w:val="002C66D1"/>
    <w:rsid w:val="002C79E0"/>
    <w:rsid w:val="002C7CA7"/>
    <w:rsid w:val="002D3389"/>
    <w:rsid w:val="002D4311"/>
    <w:rsid w:val="002D5585"/>
    <w:rsid w:val="002D6A05"/>
    <w:rsid w:val="002E1DBC"/>
    <w:rsid w:val="002E593D"/>
    <w:rsid w:val="002F20BA"/>
    <w:rsid w:val="002F4760"/>
    <w:rsid w:val="003116FD"/>
    <w:rsid w:val="0031293F"/>
    <w:rsid w:val="00312A64"/>
    <w:rsid w:val="00313FCE"/>
    <w:rsid w:val="00315853"/>
    <w:rsid w:val="00324653"/>
    <w:rsid w:val="00325BAB"/>
    <w:rsid w:val="0032679D"/>
    <w:rsid w:val="0032688D"/>
    <w:rsid w:val="00327590"/>
    <w:rsid w:val="00331AD3"/>
    <w:rsid w:val="00334992"/>
    <w:rsid w:val="00334ACA"/>
    <w:rsid w:val="00335422"/>
    <w:rsid w:val="003361F4"/>
    <w:rsid w:val="00336344"/>
    <w:rsid w:val="003372B2"/>
    <w:rsid w:val="0034018B"/>
    <w:rsid w:val="00341FB9"/>
    <w:rsid w:val="00342F81"/>
    <w:rsid w:val="0034368B"/>
    <w:rsid w:val="00343807"/>
    <w:rsid w:val="003455D3"/>
    <w:rsid w:val="003464A2"/>
    <w:rsid w:val="003464AF"/>
    <w:rsid w:val="00353EB2"/>
    <w:rsid w:val="0035425C"/>
    <w:rsid w:val="00356A57"/>
    <w:rsid w:val="00356B29"/>
    <w:rsid w:val="0035767B"/>
    <w:rsid w:val="00360609"/>
    <w:rsid w:val="0036168B"/>
    <w:rsid w:val="00363EBA"/>
    <w:rsid w:val="0036422B"/>
    <w:rsid w:val="00364884"/>
    <w:rsid w:val="0036734B"/>
    <w:rsid w:val="003678E9"/>
    <w:rsid w:val="0037392D"/>
    <w:rsid w:val="00374564"/>
    <w:rsid w:val="003753FB"/>
    <w:rsid w:val="00376119"/>
    <w:rsid w:val="003810E9"/>
    <w:rsid w:val="0038272F"/>
    <w:rsid w:val="00382EE1"/>
    <w:rsid w:val="0038341D"/>
    <w:rsid w:val="003838AE"/>
    <w:rsid w:val="00383C9C"/>
    <w:rsid w:val="00387331"/>
    <w:rsid w:val="0039318B"/>
    <w:rsid w:val="0039611F"/>
    <w:rsid w:val="00396AC9"/>
    <w:rsid w:val="003A2696"/>
    <w:rsid w:val="003A2749"/>
    <w:rsid w:val="003A3955"/>
    <w:rsid w:val="003A563E"/>
    <w:rsid w:val="003A7306"/>
    <w:rsid w:val="003B0326"/>
    <w:rsid w:val="003B1A83"/>
    <w:rsid w:val="003B1D8B"/>
    <w:rsid w:val="003B2C03"/>
    <w:rsid w:val="003B2D03"/>
    <w:rsid w:val="003B3B55"/>
    <w:rsid w:val="003B6973"/>
    <w:rsid w:val="003C0D70"/>
    <w:rsid w:val="003C0ED1"/>
    <w:rsid w:val="003C2C4B"/>
    <w:rsid w:val="003C3624"/>
    <w:rsid w:val="003C4DD7"/>
    <w:rsid w:val="003C7978"/>
    <w:rsid w:val="003D065B"/>
    <w:rsid w:val="003D11A5"/>
    <w:rsid w:val="003D1BC8"/>
    <w:rsid w:val="003D5072"/>
    <w:rsid w:val="003D6AE9"/>
    <w:rsid w:val="003E08B4"/>
    <w:rsid w:val="003E1AFE"/>
    <w:rsid w:val="003E1FAF"/>
    <w:rsid w:val="003E674D"/>
    <w:rsid w:val="003E6DCC"/>
    <w:rsid w:val="003E7863"/>
    <w:rsid w:val="003F0BFA"/>
    <w:rsid w:val="003F2018"/>
    <w:rsid w:val="003F2E5C"/>
    <w:rsid w:val="003F4CCC"/>
    <w:rsid w:val="003F6083"/>
    <w:rsid w:val="003F63AC"/>
    <w:rsid w:val="003F714A"/>
    <w:rsid w:val="004004FE"/>
    <w:rsid w:val="00401D4A"/>
    <w:rsid w:val="00406E39"/>
    <w:rsid w:val="00410DC9"/>
    <w:rsid w:val="00412214"/>
    <w:rsid w:val="0041384F"/>
    <w:rsid w:val="00414326"/>
    <w:rsid w:val="00414DC3"/>
    <w:rsid w:val="00415B2B"/>
    <w:rsid w:val="004163A7"/>
    <w:rsid w:val="004174E4"/>
    <w:rsid w:val="00421936"/>
    <w:rsid w:val="00422BC3"/>
    <w:rsid w:val="0042347B"/>
    <w:rsid w:val="004244E0"/>
    <w:rsid w:val="00425AFF"/>
    <w:rsid w:val="0043064B"/>
    <w:rsid w:val="00431F46"/>
    <w:rsid w:val="00434878"/>
    <w:rsid w:val="00434FE7"/>
    <w:rsid w:val="00436BED"/>
    <w:rsid w:val="004372B7"/>
    <w:rsid w:val="00440D30"/>
    <w:rsid w:val="0044120F"/>
    <w:rsid w:val="004422AE"/>
    <w:rsid w:val="00442A57"/>
    <w:rsid w:val="00447609"/>
    <w:rsid w:val="00451272"/>
    <w:rsid w:val="0045242D"/>
    <w:rsid w:val="00452BDD"/>
    <w:rsid w:val="004536C4"/>
    <w:rsid w:val="00454845"/>
    <w:rsid w:val="00460513"/>
    <w:rsid w:val="00462471"/>
    <w:rsid w:val="0046267F"/>
    <w:rsid w:val="00463B5C"/>
    <w:rsid w:val="004641AB"/>
    <w:rsid w:val="00467EB8"/>
    <w:rsid w:val="0047597B"/>
    <w:rsid w:val="0047739B"/>
    <w:rsid w:val="0048010B"/>
    <w:rsid w:val="00482E1E"/>
    <w:rsid w:val="00483801"/>
    <w:rsid w:val="00483DB6"/>
    <w:rsid w:val="00484038"/>
    <w:rsid w:val="00485A6D"/>
    <w:rsid w:val="00486D9B"/>
    <w:rsid w:val="004915B5"/>
    <w:rsid w:val="0049623C"/>
    <w:rsid w:val="004A0A70"/>
    <w:rsid w:val="004A235F"/>
    <w:rsid w:val="004A30C4"/>
    <w:rsid w:val="004A44C8"/>
    <w:rsid w:val="004A460D"/>
    <w:rsid w:val="004A573C"/>
    <w:rsid w:val="004B6301"/>
    <w:rsid w:val="004B6D9C"/>
    <w:rsid w:val="004C26A0"/>
    <w:rsid w:val="004C3E9C"/>
    <w:rsid w:val="004C454E"/>
    <w:rsid w:val="004C5729"/>
    <w:rsid w:val="004C599B"/>
    <w:rsid w:val="004C5DB0"/>
    <w:rsid w:val="004C6F13"/>
    <w:rsid w:val="004C723F"/>
    <w:rsid w:val="004D0DB2"/>
    <w:rsid w:val="004D152D"/>
    <w:rsid w:val="004D1E9C"/>
    <w:rsid w:val="004D300D"/>
    <w:rsid w:val="004D40E7"/>
    <w:rsid w:val="004D4A92"/>
    <w:rsid w:val="004D4C09"/>
    <w:rsid w:val="004D6D56"/>
    <w:rsid w:val="004E3DB3"/>
    <w:rsid w:val="004E4301"/>
    <w:rsid w:val="004E433D"/>
    <w:rsid w:val="004E4C85"/>
    <w:rsid w:val="004E66E1"/>
    <w:rsid w:val="004E74ED"/>
    <w:rsid w:val="004F38C7"/>
    <w:rsid w:val="004F564A"/>
    <w:rsid w:val="004F7376"/>
    <w:rsid w:val="0050211D"/>
    <w:rsid w:val="00503B22"/>
    <w:rsid w:val="00503DAC"/>
    <w:rsid w:val="005048C0"/>
    <w:rsid w:val="0050494D"/>
    <w:rsid w:val="00504D33"/>
    <w:rsid w:val="00506232"/>
    <w:rsid w:val="00511A2C"/>
    <w:rsid w:val="00512146"/>
    <w:rsid w:val="00515648"/>
    <w:rsid w:val="00515B1E"/>
    <w:rsid w:val="0052166D"/>
    <w:rsid w:val="00521985"/>
    <w:rsid w:val="0052201E"/>
    <w:rsid w:val="00522572"/>
    <w:rsid w:val="005242A8"/>
    <w:rsid w:val="005243BE"/>
    <w:rsid w:val="00530215"/>
    <w:rsid w:val="00532684"/>
    <w:rsid w:val="005329AD"/>
    <w:rsid w:val="005334D6"/>
    <w:rsid w:val="00534583"/>
    <w:rsid w:val="0053575B"/>
    <w:rsid w:val="00535A2B"/>
    <w:rsid w:val="00541BFF"/>
    <w:rsid w:val="00542921"/>
    <w:rsid w:val="005441DF"/>
    <w:rsid w:val="0054692C"/>
    <w:rsid w:val="00547738"/>
    <w:rsid w:val="00551B38"/>
    <w:rsid w:val="00552CE5"/>
    <w:rsid w:val="00553B73"/>
    <w:rsid w:val="00555051"/>
    <w:rsid w:val="0055546B"/>
    <w:rsid w:val="00557B00"/>
    <w:rsid w:val="00557F75"/>
    <w:rsid w:val="00561690"/>
    <w:rsid w:val="00566BF9"/>
    <w:rsid w:val="00572C86"/>
    <w:rsid w:val="00573755"/>
    <w:rsid w:val="00576EC0"/>
    <w:rsid w:val="0057704C"/>
    <w:rsid w:val="0057731F"/>
    <w:rsid w:val="00577AED"/>
    <w:rsid w:val="00580624"/>
    <w:rsid w:val="00581B67"/>
    <w:rsid w:val="00582291"/>
    <w:rsid w:val="00582E93"/>
    <w:rsid w:val="0058315E"/>
    <w:rsid w:val="005833A5"/>
    <w:rsid w:val="00583861"/>
    <w:rsid w:val="00587846"/>
    <w:rsid w:val="0059141B"/>
    <w:rsid w:val="00595705"/>
    <w:rsid w:val="005A064D"/>
    <w:rsid w:val="005A19AC"/>
    <w:rsid w:val="005A1F41"/>
    <w:rsid w:val="005A2A81"/>
    <w:rsid w:val="005A35E6"/>
    <w:rsid w:val="005A381B"/>
    <w:rsid w:val="005A4827"/>
    <w:rsid w:val="005A692B"/>
    <w:rsid w:val="005A6C49"/>
    <w:rsid w:val="005A7338"/>
    <w:rsid w:val="005A7593"/>
    <w:rsid w:val="005B1195"/>
    <w:rsid w:val="005B1338"/>
    <w:rsid w:val="005B1831"/>
    <w:rsid w:val="005B29CF"/>
    <w:rsid w:val="005B459A"/>
    <w:rsid w:val="005B5717"/>
    <w:rsid w:val="005B6691"/>
    <w:rsid w:val="005B7C60"/>
    <w:rsid w:val="005C18CC"/>
    <w:rsid w:val="005C446A"/>
    <w:rsid w:val="005C5944"/>
    <w:rsid w:val="005C6313"/>
    <w:rsid w:val="005C670C"/>
    <w:rsid w:val="005C70AD"/>
    <w:rsid w:val="005D12F5"/>
    <w:rsid w:val="005D1FF3"/>
    <w:rsid w:val="005D4157"/>
    <w:rsid w:val="005D78D1"/>
    <w:rsid w:val="005D7DDA"/>
    <w:rsid w:val="005E00CD"/>
    <w:rsid w:val="005E0CE0"/>
    <w:rsid w:val="005E20D1"/>
    <w:rsid w:val="005E3571"/>
    <w:rsid w:val="005E52D5"/>
    <w:rsid w:val="00600137"/>
    <w:rsid w:val="00604226"/>
    <w:rsid w:val="00604E07"/>
    <w:rsid w:val="00605A10"/>
    <w:rsid w:val="006103C9"/>
    <w:rsid w:val="00610E5A"/>
    <w:rsid w:val="00613954"/>
    <w:rsid w:val="00615102"/>
    <w:rsid w:val="00617504"/>
    <w:rsid w:val="00620577"/>
    <w:rsid w:val="00620B33"/>
    <w:rsid w:val="00620B79"/>
    <w:rsid w:val="006238D4"/>
    <w:rsid w:val="0062509F"/>
    <w:rsid w:val="006252D0"/>
    <w:rsid w:val="00631E90"/>
    <w:rsid w:val="0063769A"/>
    <w:rsid w:val="00637C4F"/>
    <w:rsid w:val="006402DF"/>
    <w:rsid w:val="006408B0"/>
    <w:rsid w:val="00641A21"/>
    <w:rsid w:val="00642CB0"/>
    <w:rsid w:val="0064540B"/>
    <w:rsid w:val="00646943"/>
    <w:rsid w:val="00646A09"/>
    <w:rsid w:val="006503E6"/>
    <w:rsid w:val="006506D6"/>
    <w:rsid w:val="00650DE3"/>
    <w:rsid w:val="00652E47"/>
    <w:rsid w:val="00655184"/>
    <w:rsid w:val="00655C39"/>
    <w:rsid w:val="00655EF9"/>
    <w:rsid w:val="00660743"/>
    <w:rsid w:val="00661384"/>
    <w:rsid w:val="00662D1B"/>
    <w:rsid w:val="0066564E"/>
    <w:rsid w:val="00666561"/>
    <w:rsid w:val="006673CC"/>
    <w:rsid w:val="00670F0C"/>
    <w:rsid w:val="00680FD0"/>
    <w:rsid w:val="00684467"/>
    <w:rsid w:val="006857F2"/>
    <w:rsid w:val="00685C71"/>
    <w:rsid w:val="00685ED0"/>
    <w:rsid w:val="00690081"/>
    <w:rsid w:val="006906B3"/>
    <w:rsid w:val="00690A4A"/>
    <w:rsid w:val="00690D91"/>
    <w:rsid w:val="0069440D"/>
    <w:rsid w:val="006951DA"/>
    <w:rsid w:val="0069713C"/>
    <w:rsid w:val="00697A7C"/>
    <w:rsid w:val="006A0D95"/>
    <w:rsid w:val="006A1295"/>
    <w:rsid w:val="006A32FC"/>
    <w:rsid w:val="006A494C"/>
    <w:rsid w:val="006A7CA6"/>
    <w:rsid w:val="006B282C"/>
    <w:rsid w:val="006B6AFD"/>
    <w:rsid w:val="006B76C1"/>
    <w:rsid w:val="006C4154"/>
    <w:rsid w:val="006C5359"/>
    <w:rsid w:val="006C720A"/>
    <w:rsid w:val="006C7381"/>
    <w:rsid w:val="006D02DC"/>
    <w:rsid w:val="006D06D1"/>
    <w:rsid w:val="006D1052"/>
    <w:rsid w:val="006D2F39"/>
    <w:rsid w:val="006D4F60"/>
    <w:rsid w:val="006D5AB5"/>
    <w:rsid w:val="006E012E"/>
    <w:rsid w:val="006E03C4"/>
    <w:rsid w:val="006E1AE7"/>
    <w:rsid w:val="006E1D35"/>
    <w:rsid w:val="006E293C"/>
    <w:rsid w:val="006E53A0"/>
    <w:rsid w:val="006E5776"/>
    <w:rsid w:val="006E59D3"/>
    <w:rsid w:val="006E61E1"/>
    <w:rsid w:val="006F294E"/>
    <w:rsid w:val="006F4079"/>
    <w:rsid w:val="006F684A"/>
    <w:rsid w:val="006F760A"/>
    <w:rsid w:val="00703AD9"/>
    <w:rsid w:val="0070403D"/>
    <w:rsid w:val="00705B5B"/>
    <w:rsid w:val="00710283"/>
    <w:rsid w:val="0071031B"/>
    <w:rsid w:val="00712DD0"/>
    <w:rsid w:val="007132E2"/>
    <w:rsid w:val="007136FD"/>
    <w:rsid w:val="0071435A"/>
    <w:rsid w:val="007149C7"/>
    <w:rsid w:val="00714CAC"/>
    <w:rsid w:val="00715A8E"/>
    <w:rsid w:val="007169F9"/>
    <w:rsid w:val="0072174C"/>
    <w:rsid w:val="007221EC"/>
    <w:rsid w:val="0072363A"/>
    <w:rsid w:val="00725B96"/>
    <w:rsid w:val="0072738F"/>
    <w:rsid w:val="00730F0F"/>
    <w:rsid w:val="00731E96"/>
    <w:rsid w:val="00733A87"/>
    <w:rsid w:val="00737555"/>
    <w:rsid w:val="00737651"/>
    <w:rsid w:val="00737D4D"/>
    <w:rsid w:val="00737DDF"/>
    <w:rsid w:val="007402CB"/>
    <w:rsid w:val="007407AE"/>
    <w:rsid w:val="00740842"/>
    <w:rsid w:val="00743736"/>
    <w:rsid w:val="007443D5"/>
    <w:rsid w:val="00744B98"/>
    <w:rsid w:val="007455DC"/>
    <w:rsid w:val="00745DD2"/>
    <w:rsid w:val="00750A02"/>
    <w:rsid w:val="00752808"/>
    <w:rsid w:val="00756704"/>
    <w:rsid w:val="00760C61"/>
    <w:rsid w:val="00761450"/>
    <w:rsid w:val="007658BF"/>
    <w:rsid w:val="00767635"/>
    <w:rsid w:val="00771206"/>
    <w:rsid w:val="0077270D"/>
    <w:rsid w:val="0077283E"/>
    <w:rsid w:val="00772D70"/>
    <w:rsid w:val="0077550D"/>
    <w:rsid w:val="00776F5F"/>
    <w:rsid w:val="00777586"/>
    <w:rsid w:val="0078029A"/>
    <w:rsid w:val="00781C6E"/>
    <w:rsid w:val="00781EF2"/>
    <w:rsid w:val="00783B1A"/>
    <w:rsid w:val="0078423C"/>
    <w:rsid w:val="007916BE"/>
    <w:rsid w:val="007918FA"/>
    <w:rsid w:val="007935B8"/>
    <w:rsid w:val="00794D45"/>
    <w:rsid w:val="007961D9"/>
    <w:rsid w:val="007A02BA"/>
    <w:rsid w:val="007A1AC5"/>
    <w:rsid w:val="007A1C2C"/>
    <w:rsid w:val="007A481E"/>
    <w:rsid w:val="007A50AA"/>
    <w:rsid w:val="007A5902"/>
    <w:rsid w:val="007B0676"/>
    <w:rsid w:val="007B3002"/>
    <w:rsid w:val="007B664D"/>
    <w:rsid w:val="007B66ED"/>
    <w:rsid w:val="007C10C4"/>
    <w:rsid w:val="007C1524"/>
    <w:rsid w:val="007C30AE"/>
    <w:rsid w:val="007C37EA"/>
    <w:rsid w:val="007C3DF8"/>
    <w:rsid w:val="007C4F3F"/>
    <w:rsid w:val="007C6F34"/>
    <w:rsid w:val="007C79EC"/>
    <w:rsid w:val="007D4242"/>
    <w:rsid w:val="007D43AF"/>
    <w:rsid w:val="007E24F2"/>
    <w:rsid w:val="007E3F87"/>
    <w:rsid w:val="007E45A8"/>
    <w:rsid w:val="007E4A01"/>
    <w:rsid w:val="007E6425"/>
    <w:rsid w:val="007E75F9"/>
    <w:rsid w:val="007F00B3"/>
    <w:rsid w:val="007F011E"/>
    <w:rsid w:val="007F1F98"/>
    <w:rsid w:val="007F4864"/>
    <w:rsid w:val="007F5B48"/>
    <w:rsid w:val="007F734E"/>
    <w:rsid w:val="00800484"/>
    <w:rsid w:val="00801377"/>
    <w:rsid w:val="00802FEF"/>
    <w:rsid w:val="008031AE"/>
    <w:rsid w:val="008031EB"/>
    <w:rsid w:val="008066BF"/>
    <w:rsid w:val="00812602"/>
    <w:rsid w:val="00812BB6"/>
    <w:rsid w:val="008176F7"/>
    <w:rsid w:val="00821FE9"/>
    <w:rsid w:val="00822970"/>
    <w:rsid w:val="00824DF3"/>
    <w:rsid w:val="00826949"/>
    <w:rsid w:val="008279D1"/>
    <w:rsid w:val="00827EB1"/>
    <w:rsid w:val="00830743"/>
    <w:rsid w:val="0083651D"/>
    <w:rsid w:val="008402BB"/>
    <w:rsid w:val="00840984"/>
    <w:rsid w:val="00844AB1"/>
    <w:rsid w:val="00845BE4"/>
    <w:rsid w:val="00852F6C"/>
    <w:rsid w:val="00853B61"/>
    <w:rsid w:val="00854862"/>
    <w:rsid w:val="00854ED0"/>
    <w:rsid w:val="00855F02"/>
    <w:rsid w:val="00857A45"/>
    <w:rsid w:val="00860413"/>
    <w:rsid w:val="00860ABE"/>
    <w:rsid w:val="00860F79"/>
    <w:rsid w:val="008611C4"/>
    <w:rsid w:val="00861F01"/>
    <w:rsid w:val="0086240B"/>
    <w:rsid w:val="00863366"/>
    <w:rsid w:val="00865118"/>
    <w:rsid w:val="0086565E"/>
    <w:rsid w:val="008660C4"/>
    <w:rsid w:val="00866BE1"/>
    <w:rsid w:val="00866D2B"/>
    <w:rsid w:val="0086742C"/>
    <w:rsid w:val="00867C25"/>
    <w:rsid w:val="0087055D"/>
    <w:rsid w:val="00875358"/>
    <w:rsid w:val="008755AF"/>
    <w:rsid w:val="00875FC3"/>
    <w:rsid w:val="00876102"/>
    <w:rsid w:val="0087625F"/>
    <w:rsid w:val="008828B8"/>
    <w:rsid w:val="00883B09"/>
    <w:rsid w:val="008846F8"/>
    <w:rsid w:val="00890FFE"/>
    <w:rsid w:val="00893236"/>
    <w:rsid w:val="0089351B"/>
    <w:rsid w:val="00893C10"/>
    <w:rsid w:val="00893EDF"/>
    <w:rsid w:val="008944FE"/>
    <w:rsid w:val="0089619B"/>
    <w:rsid w:val="00896B5B"/>
    <w:rsid w:val="00897EC0"/>
    <w:rsid w:val="008A34A7"/>
    <w:rsid w:val="008A5776"/>
    <w:rsid w:val="008A60A4"/>
    <w:rsid w:val="008B077A"/>
    <w:rsid w:val="008B0845"/>
    <w:rsid w:val="008B128A"/>
    <w:rsid w:val="008B2632"/>
    <w:rsid w:val="008B3303"/>
    <w:rsid w:val="008B5D49"/>
    <w:rsid w:val="008C0525"/>
    <w:rsid w:val="008C0E1B"/>
    <w:rsid w:val="008C114B"/>
    <w:rsid w:val="008C2756"/>
    <w:rsid w:val="008C42CC"/>
    <w:rsid w:val="008C497F"/>
    <w:rsid w:val="008C5497"/>
    <w:rsid w:val="008C641C"/>
    <w:rsid w:val="008C6503"/>
    <w:rsid w:val="008C772C"/>
    <w:rsid w:val="008D1176"/>
    <w:rsid w:val="008D4456"/>
    <w:rsid w:val="008D46E1"/>
    <w:rsid w:val="008D5349"/>
    <w:rsid w:val="008D741C"/>
    <w:rsid w:val="008D7ED4"/>
    <w:rsid w:val="008E36F1"/>
    <w:rsid w:val="008E41B9"/>
    <w:rsid w:val="008F25BE"/>
    <w:rsid w:val="008F4377"/>
    <w:rsid w:val="009011B5"/>
    <w:rsid w:val="009026DA"/>
    <w:rsid w:val="009045A2"/>
    <w:rsid w:val="00912194"/>
    <w:rsid w:val="00912BC6"/>
    <w:rsid w:val="00912C37"/>
    <w:rsid w:val="0091419C"/>
    <w:rsid w:val="00917530"/>
    <w:rsid w:val="00920A3F"/>
    <w:rsid w:val="00921B69"/>
    <w:rsid w:val="00922461"/>
    <w:rsid w:val="00924E27"/>
    <w:rsid w:val="00926B85"/>
    <w:rsid w:val="0092730A"/>
    <w:rsid w:val="00927FBB"/>
    <w:rsid w:val="00931A2A"/>
    <w:rsid w:val="00934417"/>
    <w:rsid w:val="009363E6"/>
    <w:rsid w:val="00936C66"/>
    <w:rsid w:val="0094184A"/>
    <w:rsid w:val="009444A4"/>
    <w:rsid w:val="0094503E"/>
    <w:rsid w:val="00945DCA"/>
    <w:rsid w:val="0094602C"/>
    <w:rsid w:val="00950BA7"/>
    <w:rsid w:val="009511BE"/>
    <w:rsid w:val="009566E6"/>
    <w:rsid w:val="00957F7F"/>
    <w:rsid w:val="00960136"/>
    <w:rsid w:val="00961642"/>
    <w:rsid w:val="00963629"/>
    <w:rsid w:val="009654D7"/>
    <w:rsid w:val="0096553B"/>
    <w:rsid w:val="00970342"/>
    <w:rsid w:val="00970B5F"/>
    <w:rsid w:val="00971199"/>
    <w:rsid w:val="00972889"/>
    <w:rsid w:val="00972C0B"/>
    <w:rsid w:val="00974223"/>
    <w:rsid w:val="00975805"/>
    <w:rsid w:val="00976DD0"/>
    <w:rsid w:val="00980280"/>
    <w:rsid w:val="00981EAE"/>
    <w:rsid w:val="009829DB"/>
    <w:rsid w:val="00983627"/>
    <w:rsid w:val="00984E53"/>
    <w:rsid w:val="009853E3"/>
    <w:rsid w:val="00985A67"/>
    <w:rsid w:val="0098670D"/>
    <w:rsid w:val="009869E9"/>
    <w:rsid w:val="00990C75"/>
    <w:rsid w:val="00991272"/>
    <w:rsid w:val="00991CAB"/>
    <w:rsid w:val="00993E36"/>
    <w:rsid w:val="00994C57"/>
    <w:rsid w:val="009955A2"/>
    <w:rsid w:val="00995E1A"/>
    <w:rsid w:val="00996686"/>
    <w:rsid w:val="00996740"/>
    <w:rsid w:val="009977C7"/>
    <w:rsid w:val="009A0FCC"/>
    <w:rsid w:val="009A3998"/>
    <w:rsid w:val="009A5B8B"/>
    <w:rsid w:val="009A5FF1"/>
    <w:rsid w:val="009A66B0"/>
    <w:rsid w:val="009A6E7A"/>
    <w:rsid w:val="009B1230"/>
    <w:rsid w:val="009B12F8"/>
    <w:rsid w:val="009B1E0F"/>
    <w:rsid w:val="009B24A2"/>
    <w:rsid w:val="009B2FBE"/>
    <w:rsid w:val="009B3C52"/>
    <w:rsid w:val="009B3ECF"/>
    <w:rsid w:val="009B55A2"/>
    <w:rsid w:val="009B6682"/>
    <w:rsid w:val="009C0600"/>
    <w:rsid w:val="009C07CB"/>
    <w:rsid w:val="009C1322"/>
    <w:rsid w:val="009C34F8"/>
    <w:rsid w:val="009C3729"/>
    <w:rsid w:val="009C45DB"/>
    <w:rsid w:val="009C4760"/>
    <w:rsid w:val="009C69E4"/>
    <w:rsid w:val="009C71F2"/>
    <w:rsid w:val="009C735E"/>
    <w:rsid w:val="009C744F"/>
    <w:rsid w:val="009D1AC8"/>
    <w:rsid w:val="009D26BE"/>
    <w:rsid w:val="009D47E0"/>
    <w:rsid w:val="009D4C7F"/>
    <w:rsid w:val="009D60BD"/>
    <w:rsid w:val="009E2AEF"/>
    <w:rsid w:val="009E2C12"/>
    <w:rsid w:val="009E4C1C"/>
    <w:rsid w:val="009E4F3E"/>
    <w:rsid w:val="009E69F4"/>
    <w:rsid w:val="009E7A73"/>
    <w:rsid w:val="009F30F5"/>
    <w:rsid w:val="009F4153"/>
    <w:rsid w:val="009F7B4E"/>
    <w:rsid w:val="00A010B3"/>
    <w:rsid w:val="00A076B2"/>
    <w:rsid w:val="00A1408F"/>
    <w:rsid w:val="00A15D04"/>
    <w:rsid w:val="00A17102"/>
    <w:rsid w:val="00A211ED"/>
    <w:rsid w:val="00A212AD"/>
    <w:rsid w:val="00A225E8"/>
    <w:rsid w:val="00A23E84"/>
    <w:rsid w:val="00A25A12"/>
    <w:rsid w:val="00A25BC2"/>
    <w:rsid w:val="00A31740"/>
    <w:rsid w:val="00A329B7"/>
    <w:rsid w:val="00A33614"/>
    <w:rsid w:val="00A35C26"/>
    <w:rsid w:val="00A36313"/>
    <w:rsid w:val="00A36D4E"/>
    <w:rsid w:val="00A42EF4"/>
    <w:rsid w:val="00A43A14"/>
    <w:rsid w:val="00A4544B"/>
    <w:rsid w:val="00A45894"/>
    <w:rsid w:val="00A45FFD"/>
    <w:rsid w:val="00A462C0"/>
    <w:rsid w:val="00A46ED5"/>
    <w:rsid w:val="00A47604"/>
    <w:rsid w:val="00A55EBE"/>
    <w:rsid w:val="00A56FBA"/>
    <w:rsid w:val="00A60402"/>
    <w:rsid w:val="00A61576"/>
    <w:rsid w:val="00A62BE8"/>
    <w:rsid w:val="00A66186"/>
    <w:rsid w:val="00A665DB"/>
    <w:rsid w:val="00A66DE6"/>
    <w:rsid w:val="00A7010A"/>
    <w:rsid w:val="00A730EC"/>
    <w:rsid w:val="00A732FF"/>
    <w:rsid w:val="00A7501C"/>
    <w:rsid w:val="00A75C39"/>
    <w:rsid w:val="00A777D5"/>
    <w:rsid w:val="00A77C13"/>
    <w:rsid w:val="00A800E2"/>
    <w:rsid w:val="00A815E4"/>
    <w:rsid w:val="00A816FA"/>
    <w:rsid w:val="00A8275B"/>
    <w:rsid w:val="00A85C68"/>
    <w:rsid w:val="00A86EA3"/>
    <w:rsid w:val="00A93D0F"/>
    <w:rsid w:val="00A95633"/>
    <w:rsid w:val="00A96693"/>
    <w:rsid w:val="00A972A4"/>
    <w:rsid w:val="00A97A86"/>
    <w:rsid w:val="00AA0A3E"/>
    <w:rsid w:val="00AA2302"/>
    <w:rsid w:val="00AA3F56"/>
    <w:rsid w:val="00AA54C1"/>
    <w:rsid w:val="00AA5D9B"/>
    <w:rsid w:val="00AB1BFE"/>
    <w:rsid w:val="00AB5270"/>
    <w:rsid w:val="00AB533D"/>
    <w:rsid w:val="00AB5990"/>
    <w:rsid w:val="00AB5FE5"/>
    <w:rsid w:val="00AB7A99"/>
    <w:rsid w:val="00AC0535"/>
    <w:rsid w:val="00AC1D41"/>
    <w:rsid w:val="00AC2058"/>
    <w:rsid w:val="00AC55F8"/>
    <w:rsid w:val="00AC721D"/>
    <w:rsid w:val="00AC756E"/>
    <w:rsid w:val="00AD0D3E"/>
    <w:rsid w:val="00AD117D"/>
    <w:rsid w:val="00AD1AC5"/>
    <w:rsid w:val="00AD2A62"/>
    <w:rsid w:val="00AD3A13"/>
    <w:rsid w:val="00AD510B"/>
    <w:rsid w:val="00AD6246"/>
    <w:rsid w:val="00AD711F"/>
    <w:rsid w:val="00AD721D"/>
    <w:rsid w:val="00AE0705"/>
    <w:rsid w:val="00AE0B13"/>
    <w:rsid w:val="00AE16CB"/>
    <w:rsid w:val="00AE1B88"/>
    <w:rsid w:val="00AE3B0B"/>
    <w:rsid w:val="00AE3EBB"/>
    <w:rsid w:val="00AE492F"/>
    <w:rsid w:val="00AF454C"/>
    <w:rsid w:val="00AF5384"/>
    <w:rsid w:val="00AF5803"/>
    <w:rsid w:val="00AF5BB6"/>
    <w:rsid w:val="00AF6585"/>
    <w:rsid w:val="00AF6C16"/>
    <w:rsid w:val="00B0243C"/>
    <w:rsid w:val="00B02578"/>
    <w:rsid w:val="00B052A1"/>
    <w:rsid w:val="00B0594A"/>
    <w:rsid w:val="00B05B49"/>
    <w:rsid w:val="00B05CF7"/>
    <w:rsid w:val="00B119D2"/>
    <w:rsid w:val="00B15766"/>
    <w:rsid w:val="00B15F0B"/>
    <w:rsid w:val="00B17760"/>
    <w:rsid w:val="00B22B60"/>
    <w:rsid w:val="00B23323"/>
    <w:rsid w:val="00B23532"/>
    <w:rsid w:val="00B243D6"/>
    <w:rsid w:val="00B25E9D"/>
    <w:rsid w:val="00B271FD"/>
    <w:rsid w:val="00B30CBF"/>
    <w:rsid w:val="00B3163F"/>
    <w:rsid w:val="00B334CB"/>
    <w:rsid w:val="00B337C7"/>
    <w:rsid w:val="00B35DED"/>
    <w:rsid w:val="00B37F3D"/>
    <w:rsid w:val="00B40028"/>
    <w:rsid w:val="00B406EE"/>
    <w:rsid w:val="00B41724"/>
    <w:rsid w:val="00B44006"/>
    <w:rsid w:val="00B44AF0"/>
    <w:rsid w:val="00B4508D"/>
    <w:rsid w:val="00B45123"/>
    <w:rsid w:val="00B45A24"/>
    <w:rsid w:val="00B461E4"/>
    <w:rsid w:val="00B46684"/>
    <w:rsid w:val="00B47CE8"/>
    <w:rsid w:val="00B53EE7"/>
    <w:rsid w:val="00B55660"/>
    <w:rsid w:val="00B57345"/>
    <w:rsid w:val="00B64A6D"/>
    <w:rsid w:val="00B65AA0"/>
    <w:rsid w:val="00B7055D"/>
    <w:rsid w:val="00B73388"/>
    <w:rsid w:val="00B73829"/>
    <w:rsid w:val="00B74F7D"/>
    <w:rsid w:val="00B7582A"/>
    <w:rsid w:val="00B758A5"/>
    <w:rsid w:val="00B76486"/>
    <w:rsid w:val="00B76830"/>
    <w:rsid w:val="00B80942"/>
    <w:rsid w:val="00B8216F"/>
    <w:rsid w:val="00B82A2C"/>
    <w:rsid w:val="00B83CF8"/>
    <w:rsid w:val="00B85132"/>
    <w:rsid w:val="00B863B2"/>
    <w:rsid w:val="00B86461"/>
    <w:rsid w:val="00B86D81"/>
    <w:rsid w:val="00B877BB"/>
    <w:rsid w:val="00B91B5B"/>
    <w:rsid w:val="00B951E4"/>
    <w:rsid w:val="00B95BEB"/>
    <w:rsid w:val="00B95FCF"/>
    <w:rsid w:val="00B97649"/>
    <w:rsid w:val="00BA05C1"/>
    <w:rsid w:val="00BA0641"/>
    <w:rsid w:val="00BA0C7C"/>
    <w:rsid w:val="00BA1411"/>
    <w:rsid w:val="00BA6F04"/>
    <w:rsid w:val="00BB0D45"/>
    <w:rsid w:val="00BB153B"/>
    <w:rsid w:val="00BB1B5B"/>
    <w:rsid w:val="00BB2468"/>
    <w:rsid w:val="00BB5F85"/>
    <w:rsid w:val="00BC0BBA"/>
    <w:rsid w:val="00BC327E"/>
    <w:rsid w:val="00BC37C4"/>
    <w:rsid w:val="00BC3A25"/>
    <w:rsid w:val="00BC3DE3"/>
    <w:rsid w:val="00BC442A"/>
    <w:rsid w:val="00BC4E6D"/>
    <w:rsid w:val="00BC5466"/>
    <w:rsid w:val="00BD339A"/>
    <w:rsid w:val="00BD3E74"/>
    <w:rsid w:val="00BD4523"/>
    <w:rsid w:val="00BD4BB8"/>
    <w:rsid w:val="00BE0F45"/>
    <w:rsid w:val="00BE21B2"/>
    <w:rsid w:val="00BE3FAF"/>
    <w:rsid w:val="00BE5FFA"/>
    <w:rsid w:val="00BE6C4B"/>
    <w:rsid w:val="00BE79ED"/>
    <w:rsid w:val="00BE7F08"/>
    <w:rsid w:val="00BF009C"/>
    <w:rsid w:val="00BF010D"/>
    <w:rsid w:val="00BF1535"/>
    <w:rsid w:val="00BF20B0"/>
    <w:rsid w:val="00BF23A9"/>
    <w:rsid w:val="00BF38FC"/>
    <w:rsid w:val="00BF3982"/>
    <w:rsid w:val="00BF743F"/>
    <w:rsid w:val="00BF7EF9"/>
    <w:rsid w:val="00C0076F"/>
    <w:rsid w:val="00C0110D"/>
    <w:rsid w:val="00C04C0E"/>
    <w:rsid w:val="00C04FC0"/>
    <w:rsid w:val="00C0510D"/>
    <w:rsid w:val="00C05292"/>
    <w:rsid w:val="00C06070"/>
    <w:rsid w:val="00C06F54"/>
    <w:rsid w:val="00C070AA"/>
    <w:rsid w:val="00C07632"/>
    <w:rsid w:val="00C07771"/>
    <w:rsid w:val="00C07C93"/>
    <w:rsid w:val="00C07CE6"/>
    <w:rsid w:val="00C10779"/>
    <w:rsid w:val="00C1696C"/>
    <w:rsid w:val="00C172D5"/>
    <w:rsid w:val="00C17B5D"/>
    <w:rsid w:val="00C20940"/>
    <w:rsid w:val="00C209B2"/>
    <w:rsid w:val="00C209CE"/>
    <w:rsid w:val="00C26B7F"/>
    <w:rsid w:val="00C271ED"/>
    <w:rsid w:val="00C31DE1"/>
    <w:rsid w:val="00C321C6"/>
    <w:rsid w:val="00C32D2D"/>
    <w:rsid w:val="00C330D0"/>
    <w:rsid w:val="00C34B1C"/>
    <w:rsid w:val="00C34BCC"/>
    <w:rsid w:val="00C35039"/>
    <w:rsid w:val="00C41EA0"/>
    <w:rsid w:val="00C45E29"/>
    <w:rsid w:val="00C464B3"/>
    <w:rsid w:val="00C479DD"/>
    <w:rsid w:val="00C503E6"/>
    <w:rsid w:val="00C50E4A"/>
    <w:rsid w:val="00C51874"/>
    <w:rsid w:val="00C51BE6"/>
    <w:rsid w:val="00C526F6"/>
    <w:rsid w:val="00C532BD"/>
    <w:rsid w:val="00C5527D"/>
    <w:rsid w:val="00C5587B"/>
    <w:rsid w:val="00C56F10"/>
    <w:rsid w:val="00C61178"/>
    <w:rsid w:val="00C61DCA"/>
    <w:rsid w:val="00C638CA"/>
    <w:rsid w:val="00C65104"/>
    <w:rsid w:val="00C66A43"/>
    <w:rsid w:val="00C66CFA"/>
    <w:rsid w:val="00C673A5"/>
    <w:rsid w:val="00C701CA"/>
    <w:rsid w:val="00C72025"/>
    <w:rsid w:val="00C72620"/>
    <w:rsid w:val="00C76C02"/>
    <w:rsid w:val="00C806A1"/>
    <w:rsid w:val="00C8266B"/>
    <w:rsid w:val="00C84C42"/>
    <w:rsid w:val="00C866E0"/>
    <w:rsid w:val="00C900EC"/>
    <w:rsid w:val="00C91AC4"/>
    <w:rsid w:val="00C94A05"/>
    <w:rsid w:val="00C955EA"/>
    <w:rsid w:val="00C97192"/>
    <w:rsid w:val="00C9795E"/>
    <w:rsid w:val="00CA052F"/>
    <w:rsid w:val="00CA0998"/>
    <w:rsid w:val="00CA0FA2"/>
    <w:rsid w:val="00CA668A"/>
    <w:rsid w:val="00CA6C10"/>
    <w:rsid w:val="00CB1DA5"/>
    <w:rsid w:val="00CB25A8"/>
    <w:rsid w:val="00CB4633"/>
    <w:rsid w:val="00CC0174"/>
    <w:rsid w:val="00CC0D5D"/>
    <w:rsid w:val="00CC4684"/>
    <w:rsid w:val="00CC4828"/>
    <w:rsid w:val="00CC4969"/>
    <w:rsid w:val="00CD0DD9"/>
    <w:rsid w:val="00CD6A7E"/>
    <w:rsid w:val="00CE0BA7"/>
    <w:rsid w:val="00CE2D8B"/>
    <w:rsid w:val="00CE3E16"/>
    <w:rsid w:val="00CE4762"/>
    <w:rsid w:val="00CE7C6D"/>
    <w:rsid w:val="00CF7565"/>
    <w:rsid w:val="00CF7CBF"/>
    <w:rsid w:val="00D00634"/>
    <w:rsid w:val="00D03657"/>
    <w:rsid w:val="00D03E13"/>
    <w:rsid w:val="00D0460C"/>
    <w:rsid w:val="00D05A0A"/>
    <w:rsid w:val="00D06B5B"/>
    <w:rsid w:val="00D06F85"/>
    <w:rsid w:val="00D10A4C"/>
    <w:rsid w:val="00D112CC"/>
    <w:rsid w:val="00D12A22"/>
    <w:rsid w:val="00D13415"/>
    <w:rsid w:val="00D13592"/>
    <w:rsid w:val="00D13CF3"/>
    <w:rsid w:val="00D1406F"/>
    <w:rsid w:val="00D14B58"/>
    <w:rsid w:val="00D14F48"/>
    <w:rsid w:val="00D163D9"/>
    <w:rsid w:val="00D17FA8"/>
    <w:rsid w:val="00D21FC3"/>
    <w:rsid w:val="00D221DD"/>
    <w:rsid w:val="00D23160"/>
    <w:rsid w:val="00D23EB8"/>
    <w:rsid w:val="00D24001"/>
    <w:rsid w:val="00D258B4"/>
    <w:rsid w:val="00D25B0A"/>
    <w:rsid w:val="00D2662C"/>
    <w:rsid w:val="00D26FAA"/>
    <w:rsid w:val="00D2730A"/>
    <w:rsid w:val="00D32DA9"/>
    <w:rsid w:val="00D33744"/>
    <w:rsid w:val="00D34709"/>
    <w:rsid w:val="00D35ED5"/>
    <w:rsid w:val="00D37343"/>
    <w:rsid w:val="00D3749F"/>
    <w:rsid w:val="00D401E1"/>
    <w:rsid w:val="00D42DE1"/>
    <w:rsid w:val="00D4463D"/>
    <w:rsid w:val="00D44A19"/>
    <w:rsid w:val="00D45F5A"/>
    <w:rsid w:val="00D46C65"/>
    <w:rsid w:val="00D5106A"/>
    <w:rsid w:val="00D532FD"/>
    <w:rsid w:val="00D5387E"/>
    <w:rsid w:val="00D608B1"/>
    <w:rsid w:val="00D60D48"/>
    <w:rsid w:val="00D64039"/>
    <w:rsid w:val="00D66BFB"/>
    <w:rsid w:val="00D70B68"/>
    <w:rsid w:val="00D715E2"/>
    <w:rsid w:val="00D73BA1"/>
    <w:rsid w:val="00D77D43"/>
    <w:rsid w:val="00D77F02"/>
    <w:rsid w:val="00D80794"/>
    <w:rsid w:val="00D8330A"/>
    <w:rsid w:val="00D83B41"/>
    <w:rsid w:val="00D86FAC"/>
    <w:rsid w:val="00D870BA"/>
    <w:rsid w:val="00D916D1"/>
    <w:rsid w:val="00D916E5"/>
    <w:rsid w:val="00D9324B"/>
    <w:rsid w:val="00D94DFA"/>
    <w:rsid w:val="00D94E56"/>
    <w:rsid w:val="00D951D2"/>
    <w:rsid w:val="00D96389"/>
    <w:rsid w:val="00D9785B"/>
    <w:rsid w:val="00DA0409"/>
    <w:rsid w:val="00DA14CA"/>
    <w:rsid w:val="00DA2C3E"/>
    <w:rsid w:val="00DA454E"/>
    <w:rsid w:val="00DA54A3"/>
    <w:rsid w:val="00DA57CC"/>
    <w:rsid w:val="00DA73C1"/>
    <w:rsid w:val="00DA7DB8"/>
    <w:rsid w:val="00DB01D3"/>
    <w:rsid w:val="00DB0525"/>
    <w:rsid w:val="00DB0A16"/>
    <w:rsid w:val="00DB2EFF"/>
    <w:rsid w:val="00DB342C"/>
    <w:rsid w:val="00DB4B37"/>
    <w:rsid w:val="00DB5D13"/>
    <w:rsid w:val="00DB60B0"/>
    <w:rsid w:val="00DC0E49"/>
    <w:rsid w:val="00DC1AF7"/>
    <w:rsid w:val="00DC25AA"/>
    <w:rsid w:val="00DC3A3E"/>
    <w:rsid w:val="00DC3CA8"/>
    <w:rsid w:val="00DC47A3"/>
    <w:rsid w:val="00DD10D0"/>
    <w:rsid w:val="00DD1550"/>
    <w:rsid w:val="00DD1DC6"/>
    <w:rsid w:val="00DD2B27"/>
    <w:rsid w:val="00DD3075"/>
    <w:rsid w:val="00DD48F2"/>
    <w:rsid w:val="00DD5756"/>
    <w:rsid w:val="00DD5DF9"/>
    <w:rsid w:val="00DE0AB2"/>
    <w:rsid w:val="00DE36F4"/>
    <w:rsid w:val="00DE4844"/>
    <w:rsid w:val="00DE608F"/>
    <w:rsid w:val="00DE6138"/>
    <w:rsid w:val="00DE62E1"/>
    <w:rsid w:val="00DE79CD"/>
    <w:rsid w:val="00DF0988"/>
    <w:rsid w:val="00DF0AC3"/>
    <w:rsid w:val="00DF3184"/>
    <w:rsid w:val="00DF6298"/>
    <w:rsid w:val="00DF7914"/>
    <w:rsid w:val="00E02F6C"/>
    <w:rsid w:val="00E03E0F"/>
    <w:rsid w:val="00E03E3A"/>
    <w:rsid w:val="00E04022"/>
    <w:rsid w:val="00E04957"/>
    <w:rsid w:val="00E05107"/>
    <w:rsid w:val="00E05524"/>
    <w:rsid w:val="00E06C36"/>
    <w:rsid w:val="00E0798C"/>
    <w:rsid w:val="00E10E04"/>
    <w:rsid w:val="00E1123C"/>
    <w:rsid w:val="00E1712A"/>
    <w:rsid w:val="00E175CC"/>
    <w:rsid w:val="00E179B8"/>
    <w:rsid w:val="00E21258"/>
    <w:rsid w:val="00E223A5"/>
    <w:rsid w:val="00E2315E"/>
    <w:rsid w:val="00E239BA"/>
    <w:rsid w:val="00E24611"/>
    <w:rsid w:val="00E26BED"/>
    <w:rsid w:val="00E30E1F"/>
    <w:rsid w:val="00E322B1"/>
    <w:rsid w:val="00E35027"/>
    <w:rsid w:val="00E36202"/>
    <w:rsid w:val="00E3794C"/>
    <w:rsid w:val="00E41137"/>
    <w:rsid w:val="00E421B4"/>
    <w:rsid w:val="00E44BDE"/>
    <w:rsid w:val="00E45CE1"/>
    <w:rsid w:val="00E4703C"/>
    <w:rsid w:val="00E521AD"/>
    <w:rsid w:val="00E534B5"/>
    <w:rsid w:val="00E53A74"/>
    <w:rsid w:val="00E56DA7"/>
    <w:rsid w:val="00E57D7F"/>
    <w:rsid w:val="00E60262"/>
    <w:rsid w:val="00E6034C"/>
    <w:rsid w:val="00E66300"/>
    <w:rsid w:val="00E66CAF"/>
    <w:rsid w:val="00E677B3"/>
    <w:rsid w:val="00E72D2F"/>
    <w:rsid w:val="00E72EB4"/>
    <w:rsid w:val="00E7558B"/>
    <w:rsid w:val="00E80E81"/>
    <w:rsid w:val="00E82467"/>
    <w:rsid w:val="00E84121"/>
    <w:rsid w:val="00E87BB6"/>
    <w:rsid w:val="00E87CC6"/>
    <w:rsid w:val="00E91620"/>
    <w:rsid w:val="00E952E1"/>
    <w:rsid w:val="00E95E5A"/>
    <w:rsid w:val="00EA0E91"/>
    <w:rsid w:val="00EA2460"/>
    <w:rsid w:val="00EA4123"/>
    <w:rsid w:val="00EA4519"/>
    <w:rsid w:val="00EA5E92"/>
    <w:rsid w:val="00EA719D"/>
    <w:rsid w:val="00EB1BEC"/>
    <w:rsid w:val="00EB3F87"/>
    <w:rsid w:val="00EB4B45"/>
    <w:rsid w:val="00EB5D57"/>
    <w:rsid w:val="00EB6715"/>
    <w:rsid w:val="00EB7547"/>
    <w:rsid w:val="00EB76AE"/>
    <w:rsid w:val="00EB7822"/>
    <w:rsid w:val="00EC1274"/>
    <w:rsid w:val="00EC21AA"/>
    <w:rsid w:val="00EC33CA"/>
    <w:rsid w:val="00EC655E"/>
    <w:rsid w:val="00EC7763"/>
    <w:rsid w:val="00ED2D02"/>
    <w:rsid w:val="00ED392F"/>
    <w:rsid w:val="00ED4F15"/>
    <w:rsid w:val="00ED619F"/>
    <w:rsid w:val="00ED66D3"/>
    <w:rsid w:val="00ED72FB"/>
    <w:rsid w:val="00EE10F0"/>
    <w:rsid w:val="00EE546F"/>
    <w:rsid w:val="00EE571D"/>
    <w:rsid w:val="00EE5D2C"/>
    <w:rsid w:val="00EF19C3"/>
    <w:rsid w:val="00EF2ACD"/>
    <w:rsid w:val="00EF2C94"/>
    <w:rsid w:val="00EF39C1"/>
    <w:rsid w:val="00EF54DB"/>
    <w:rsid w:val="00F034F0"/>
    <w:rsid w:val="00F03D0F"/>
    <w:rsid w:val="00F057F4"/>
    <w:rsid w:val="00F05D0A"/>
    <w:rsid w:val="00F05EB1"/>
    <w:rsid w:val="00F1002D"/>
    <w:rsid w:val="00F12AEF"/>
    <w:rsid w:val="00F1491F"/>
    <w:rsid w:val="00F200D2"/>
    <w:rsid w:val="00F21432"/>
    <w:rsid w:val="00F25074"/>
    <w:rsid w:val="00F25B41"/>
    <w:rsid w:val="00F27356"/>
    <w:rsid w:val="00F2766A"/>
    <w:rsid w:val="00F27AA3"/>
    <w:rsid w:val="00F3166B"/>
    <w:rsid w:val="00F31CFF"/>
    <w:rsid w:val="00F32771"/>
    <w:rsid w:val="00F32FFD"/>
    <w:rsid w:val="00F3356F"/>
    <w:rsid w:val="00F344BF"/>
    <w:rsid w:val="00F34735"/>
    <w:rsid w:val="00F37585"/>
    <w:rsid w:val="00F376E7"/>
    <w:rsid w:val="00F37871"/>
    <w:rsid w:val="00F40D37"/>
    <w:rsid w:val="00F40FD5"/>
    <w:rsid w:val="00F4133A"/>
    <w:rsid w:val="00F415E5"/>
    <w:rsid w:val="00F41DAA"/>
    <w:rsid w:val="00F425A6"/>
    <w:rsid w:val="00F44980"/>
    <w:rsid w:val="00F45E30"/>
    <w:rsid w:val="00F4664C"/>
    <w:rsid w:val="00F50047"/>
    <w:rsid w:val="00F54DA4"/>
    <w:rsid w:val="00F55E85"/>
    <w:rsid w:val="00F563F7"/>
    <w:rsid w:val="00F572FC"/>
    <w:rsid w:val="00F604C4"/>
    <w:rsid w:val="00F66A24"/>
    <w:rsid w:val="00F74848"/>
    <w:rsid w:val="00F751E8"/>
    <w:rsid w:val="00F75B64"/>
    <w:rsid w:val="00F7763F"/>
    <w:rsid w:val="00F77921"/>
    <w:rsid w:val="00F7792E"/>
    <w:rsid w:val="00F77978"/>
    <w:rsid w:val="00F81CCD"/>
    <w:rsid w:val="00F84081"/>
    <w:rsid w:val="00F8422D"/>
    <w:rsid w:val="00F84311"/>
    <w:rsid w:val="00F85FE7"/>
    <w:rsid w:val="00F86C35"/>
    <w:rsid w:val="00F8708E"/>
    <w:rsid w:val="00F870A8"/>
    <w:rsid w:val="00F901E3"/>
    <w:rsid w:val="00F906DF"/>
    <w:rsid w:val="00F90CFB"/>
    <w:rsid w:val="00F925A5"/>
    <w:rsid w:val="00F9420E"/>
    <w:rsid w:val="00F94812"/>
    <w:rsid w:val="00F97E80"/>
    <w:rsid w:val="00FA4078"/>
    <w:rsid w:val="00FA4E62"/>
    <w:rsid w:val="00FA70C1"/>
    <w:rsid w:val="00FA7A7C"/>
    <w:rsid w:val="00FB0C23"/>
    <w:rsid w:val="00FB11F1"/>
    <w:rsid w:val="00FB1DE1"/>
    <w:rsid w:val="00FB2883"/>
    <w:rsid w:val="00FB30A2"/>
    <w:rsid w:val="00FB49B1"/>
    <w:rsid w:val="00FB4BFE"/>
    <w:rsid w:val="00FC2A73"/>
    <w:rsid w:val="00FC4CE2"/>
    <w:rsid w:val="00FC521D"/>
    <w:rsid w:val="00FC79F8"/>
    <w:rsid w:val="00FD004A"/>
    <w:rsid w:val="00FD0B49"/>
    <w:rsid w:val="00FD31DE"/>
    <w:rsid w:val="00FD70DA"/>
    <w:rsid w:val="00FE19B4"/>
    <w:rsid w:val="00FE2A11"/>
    <w:rsid w:val="00FE35C1"/>
    <w:rsid w:val="00FE457B"/>
    <w:rsid w:val="00FE4FC9"/>
    <w:rsid w:val="00FE6F02"/>
    <w:rsid w:val="00FE718F"/>
    <w:rsid w:val="00FE74E5"/>
    <w:rsid w:val="00FF032B"/>
    <w:rsid w:val="00FF0CB4"/>
    <w:rsid w:val="00FF1206"/>
    <w:rsid w:val="00FF132E"/>
    <w:rsid w:val="00FF1AB0"/>
    <w:rsid w:val="00FF41DA"/>
    <w:rsid w:val="00FF64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4128C"/>
  <w15:docId w15:val="{E24E491E-759A-4526-9E3A-E420D872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856"/>
    <w:pPr>
      <w:spacing w:after="160" w:line="259" w:lineRule="auto"/>
    </w:pPr>
    <w:rPr>
      <w:sz w:val="22"/>
      <w:szCs w:val="22"/>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160" w:line="259" w:lineRule="auto"/>
    </w:pPr>
    <w:rPr>
      <w:sz w:val="22"/>
      <w:szCs w:val="22"/>
    </w:rPr>
    <w:tblPr>
      <w:tblCellMar>
        <w:top w:w="0" w:type="dxa"/>
        <w:left w:w="0" w:type="dxa"/>
        <w:bottom w:w="0" w:type="dxa"/>
        <w:right w:w="0" w:type="dxa"/>
      </w:tblCellMar>
    </w:tblPr>
  </w:style>
  <w:style w:type="paragraph" w:customStyle="1" w:styleId="Puesto">
    <w:name w:val="Puesto"/>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2C3F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3F89"/>
  </w:style>
  <w:style w:type="paragraph" w:styleId="Piedepgina">
    <w:name w:val="footer"/>
    <w:basedOn w:val="Normal"/>
    <w:link w:val="PiedepginaCar"/>
    <w:uiPriority w:val="99"/>
    <w:unhideWhenUsed/>
    <w:rsid w:val="002C3F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3F89"/>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uiPriority w:val="99"/>
    <w:unhideWhenUsed/>
    <w:rsid w:val="003E1AFE"/>
    <w:rPr>
      <w:color w:val="0000FF"/>
      <w:u w:val="single"/>
    </w:rPr>
  </w:style>
  <w:style w:type="paragraph" w:styleId="Prrafodelista">
    <w:name w:val="List Paragraph"/>
    <w:basedOn w:val="Normal"/>
    <w:uiPriority w:val="34"/>
    <w:qFormat/>
    <w:rsid w:val="003372B2"/>
    <w:pPr>
      <w:ind w:left="720"/>
      <w:contextualSpacing/>
    </w:pPr>
  </w:style>
  <w:style w:type="paragraph" w:styleId="Textodeglobo">
    <w:name w:val="Balloon Text"/>
    <w:basedOn w:val="Normal"/>
    <w:link w:val="TextodegloboCar"/>
    <w:uiPriority w:val="99"/>
    <w:semiHidden/>
    <w:unhideWhenUsed/>
    <w:rsid w:val="00F31CFF"/>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F31CFF"/>
    <w:rPr>
      <w:rFonts w:ascii="Segoe UI" w:hAnsi="Segoe UI" w:cs="Segoe UI"/>
      <w:sz w:val="18"/>
      <w:szCs w:val="18"/>
    </w:rPr>
  </w:style>
  <w:style w:type="character" w:customStyle="1" w:styleId="wdyuqq">
    <w:name w:val="wdyuqq"/>
    <w:basedOn w:val="Fuentedeprrafopredeter"/>
    <w:rsid w:val="003C4DD7"/>
  </w:style>
  <w:style w:type="character" w:styleId="Textoennegrita">
    <w:name w:val="Strong"/>
    <w:uiPriority w:val="22"/>
    <w:qFormat/>
    <w:rsid w:val="003C4DD7"/>
    <w:rPr>
      <w:b/>
      <w:bCs/>
    </w:rPr>
  </w:style>
  <w:style w:type="table" w:styleId="Tablanormal5">
    <w:name w:val="Plain Table 5"/>
    <w:basedOn w:val="Tablanormal"/>
    <w:uiPriority w:val="45"/>
    <w:rsid w:val="00F45E30"/>
    <w:rPr>
      <w:rFonts w:asciiTheme="minorHAnsi" w:eastAsiaTheme="minorHAnsi" w:hAnsiTheme="minorHAnsi" w:cstheme="minorBidi"/>
      <w:kern w:val="2"/>
      <w:sz w:val="22"/>
      <w:szCs w:val="2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171A7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Sinespaciado">
    <w:name w:val="No Spacing"/>
    <w:uiPriority w:val="1"/>
    <w:qFormat/>
    <w:rsid w:val="00EA5E92"/>
    <w:rPr>
      <w:sz w:val="22"/>
      <w:szCs w:val="22"/>
    </w:rPr>
  </w:style>
  <w:style w:type="table" w:styleId="Tablaconcuadrcula">
    <w:name w:val="Table Grid"/>
    <w:basedOn w:val="Tablanormal"/>
    <w:uiPriority w:val="39"/>
    <w:rsid w:val="00C26B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0029">
      <w:bodyDiv w:val="1"/>
      <w:marLeft w:val="0"/>
      <w:marRight w:val="0"/>
      <w:marTop w:val="0"/>
      <w:marBottom w:val="0"/>
      <w:divBdr>
        <w:top w:val="none" w:sz="0" w:space="0" w:color="auto"/>
        <w:left w:val="none" w:sz="0" w:space="0" w:color="auto"/>
        <w:bottom w:val="none" w:sz="0" w:space="0" w:color="auto"/>
        <w:right w:val="none" w:sz="0" w:space="0" w:color="auto"/>
      </w:divBdr>
    </w:div>
    <w:div w:id="61024682">
      <w:bodyDiv w:val="1"/>
      <w:marLeft w:val="0"/>
      <w:marRight w:val="0"/>
      <w:marTop w:val="0"/>
      <w:marBottom w:val="0"/>
      <w:divBdr>
        <w:top w:val="none" w:sz="0" w:space="0" w:color="auto"/>
        <w:left w:val="none" w:sz="0" w:space="0" w:color="auto"/>
        <w:bottom w:val="none" w:sz="0" w:space="0" w:color="auto"/>
        <w:right w:val="none" w:sz="0" w:space="0" w:color="auto"/>
      </w:divBdr>
    </w:div>
    <w:div w:id="75173936">
      <w:bodyDiv w:val="1"/>
      <w:marLeft w:val="0"/>
      <w:marRight w:val="0"/>
      <w:marTop w:val="0"/>
      <w:marBottom w:val="0"/>
      <w:divBdr>
        <w:top w:val="none" w:sz="0" w:space="0" w:color="auto"/>
        <w:left w:val="none" w:sz="0" w:space="0" w:color="auto"/>
        <w:bottom w:val="none" w:sz="0" w:space="0" w:color="auto"/>
        <w:right w:val="none" w:sz="0" w:space="0" w:color="auto"/>
      </w:divBdr>
    </w:div>
    <w:div w:id="121004725">
      <w:bodyDiv w:val="1"/>
      <w:marLeft w:val="0"/>
      <w:marRight w:val="0"/>
      <w:marTop w:val="0"/>
      <w:marBottom w:val="0"/>
      <w:divBdr>
        <w:top w:val="none" w:sz="0" w:space="0" w:color="auto"/>
        <w:left w:val="none" w:sz="0" w:space="0" w:color="auto"/>
        <w:bottom w:val="none" w:sz="0" w:space="0" w:color="auto"/>
        <w:right w:val="none" w:sz="0" w:space="0" w:color="auto"/>
      </w:divBdr>
    </w:div>
    <w:div w:id="196088523">
      <w:bodyDiv w:val="1"/>
      <w:marLeft w:val="0"/>
      <w:marRight w:val="0"/>
      <w:marTop w:val="0"/>
      <w:marBottom w:val="0"/>
      <w:divBdr>
        <w:top w:val="none" w:sz="0" w:space="0" w:color="auto"/>
        <w:left w:val="none" w:sz="0" w:space="0" w:color="auto"/>
        <w:bottom w:val="none" w:sz="0" w:space="0" w:color="auto"/>
        <w:right w:val="none" w:sz="0" w:space="0" w:color="auto"/>
      </w:divBdr>
    </w:div>
    <w:div w:id="263265455">
      <w:bodyDiv w:val="1"/>
      <w:marLeft w:val="0"/>
      <w:marRight w:val="0"/>
      <w:marTop w:val="0"/>
      <w:marBottom w:val="0"/>
      <w:divBdr>
        <w:top w:val="none" w:sz="0" w:space="0" w:color="auto"/>
        <w:left w:val="none" w:sz="0" w:space="0" w:color="auto"/>
        <w:bottom w:val="none" w:sz="0" w:space="0" w:color="auto"/>
        <w:right w:val="none" w:sz="0" w:space="0" w:color="auto"/>
      </w:divBdr>
    </w:div>
    <w:div w:id="347565370">
      <w:bodyDiv w:val="1"/>
      <w:marLeft w:val="0"/>
      <w:marRight w:val="0"/>
      <w:marTop w:val="0"/>
      <w:marBottom w:val="0"/>
      <w:divBdr>
        <w:top w:val="none" w:sz="0" w:space="0" w:color="auto"/>
        <w:left w:val="none" w:sz="0" w:space="0" w:color="auto"/>
        <w:bottom w:val="none" w:sz="0" w:space="0" w:color="auto"/>
        <w:right w:val="none" w:sz="0" w:space="0" w:color="auto"/>
      </w:divBdr>
    </w:div>
    <w:div w:id="528447386">
      <w:bodyDiv w:val="1"/>
      <w:marLeft w:val="0"/>
      <w:marRight w:val="0"/>
      <w:marTop w:val="0"/>
      <w:marBottom w:val="0"/>
      <w:divBdr>
        <w:top w:val="none" w:sz="0" w:space="0" w:color="auto"/>
        <w:left w:val="none" w:sz="0" w:space="0" w:color="auto"/>
        <w:bottom w:val="none" w:sz="0" w:space="0" w:color="auto"/>
        <w:right w:val="none" w:sz="0" w:space="0" w:color="auto"/>
      </w:divBdr>
    </w:div>
    <w:div w:id="744305115">
      <w:bodyDiv w:val="1"/>
      <w:marLeft w:val="0"/>
      <w:marRight w:val="0"/>
      <w:marTop w:val="0"/>
      <w:marBottom w:val="0"/>
      <w:divBdr>
        <w:top w:val="none" w:sz="0" w:space="0" w:color="auto"/>
        <w:left w:val="none" w:sz="0" w:space="0" w:color="auto"/>
        <w:bottom w:val="none" w:sz="0" w:space="0" w:color="auto"/>
        <w:right w:val="none" w:sz="0" w:space="0" w:color="auto"/>
      </w:divBdr>
    </w:div>
    <w:div w:id="750472049">
      <w:bodyDiv w:val="1"/>
      <w:marLeft w:val="0"/>
      <w:marRight w:val="0"/>
      <w:marTop w:val="0"/>
      <w:marBottom w:val="0"/>
      <w:divBdr>
        <w:top w:val="none" w:sz="0" w:space="0" w:color="auto"/>
        <w:left w:val="none" w:sz="0" w:space="0" w:color="auto"/>
        <w:bottom w:val="none" w:sz="0" w:space="0" w:color="auto"/>
        <w:right w:val="none" w:sz="0" w:space="0" w:color="auto"/>
      </w:divBdr>
    </w:div>
    <w:div w:id="879822370">
      <w:bodyDiv w:val="1"/>
      <w:marLeft w:val="0"/>
      <w:marRight w:val="0"/>
      <w:marTop w:val="0"/>
      <w:marBottom w:val="0"/>
      <w:divBdr>
        <w:top w:val="none" w:sz="0" w:space="0" w:color="auto"/>
        <w:left w:val="none" w:sz="0" w:space="0" w:color="auto"/>
        <w:bottom w:val="none" w:sz="0" w:space="0" w:color="auto"/>
        <w:right w:val="none" w:sz="0" w:space="0" w:color="auto"/>
      </w:divBdr>
    </w:div>
    <w:div w:id="904990211">
      <w:bodyDiv w:val="1"/>
      <w:marLeft w:val="0"/>
      <w:marRight w:val="0"/>
      <w:marTop w:val="0"/>
      <w:marBottom w:val="0"/>
      <w:divBdr>
        <w:top w:val="none" w:sz="0" w:space="0" w:color="auto"/>
        <w:left w:val="none" w:sz="0" w:space="0" w:color="auto"/>
        <w:bottom w:val="none" w:sz="0" w:space="0" w:color="auto"/>
        <w:right w:val="none" w:sz="0" w:space="0" w:color="auto"/>
      </w:divBdr>
    </w:div>
    <w:div w:id="1014503150">
      <w:bodyDiv w:val="1"/>
      <w:marLeft w:val="0"/>
      <w:marRight w:val="0"/>
      <w:marTop w:val="0"/>
      <w:marBottom w:val="0"/>
      <w:divBdr>
        <w:top w:val="none" w:sz="0" w:space="0" w:color="auto"/>
        <w:left w:val="none" w:sz="0" w:space="0" w:color="auto"/>
        <w:bottom w:val="none" w:sz="0" w:space="0" w:color="auto"/>
        <w:right w:val="none" w:sz="0" w:space="0" w:color="auto"/>
      </w:divBdr>
    </w:div>
    <w:div w:id="1052191960">
      <w:bodyDiv w:val="1"/>
      <w:marLeft w:val="0"/>
      <w:marRight w:val="0"/>
      <w:marTop w:val="0"/>
      <w:marBottom w:val="0"/>
      <w:divBdr>
        <w:top w:val="none" w:sz="0" w:space="0" w:color="auto"/>
        <w:left w:val="none" w:sz="0" w:space="0" w:color="auto"/>
        <w:bottom w:val="none" w:sz="0" w:space="0" w:color="auto"/>
        <w:right w:val="none" w:sz="0" w:space="0" w:color="auto"/>
      </w:divBdr>
    </w:div>
    <w:div w:id="1073042947">
      <w:bodyDiv w:val="1"/>
      <w:marLeft w:val="0"/>
      <w:marRight w:val="0"/>
      <w:marTop w:val="0"/>
      <w:marBottom w:val="0"/>
      <w:divBdr>
        <w:top w:val="none" w:sz="0" w:space="0" w:color="auto"/>
        <w:left w:val="none" w:sz="0" w:space="0" w:color="auto"/>
        <w:bottom w:val="none" w:sz="0" w:space="0" w:color="auto"/>
        <w:right w:val="none" w:sz="0" w:space="0" w:color="auto"/>
      </w:divBdr>
    </w:div>
    <w:div w:id="1087922608">
      <w:bodyDiv w:val="1"/>
      <w:marLeft w:val="0"/>
      <w:marRight w:val="0"/>
      <w:marTop w:val="0"/>
      <w:marBottom w:val="0"/>
      <w:divBdr>
        <w:top w:val="none" w:sz="0" w:space="0" w:color="auto"/>
        <w:left w:val="none" w:sz="0" w:space="0" w:color="auto"/>
        <w:bottom w:val="none" w:sz="0" w:space="0" w:color="auto"/>
        <w:right w:val="none" w:sz="0" w:space="0" w:color="auto"/>
      </w:divBdr>
    </w:div>
    <w:div w:id="1352951743">
      <w:bodyDiv w:val="1"/>
      <w:marLeft w:val="0"/>
      <w:marRight w:val="0"/>
      <w:marTop w:val="0"/>
      <w:marBottom w:val="0"/>
      <w:divBdr>
        <w:top w:val="none" w:sz="0" w:space="0" w:color="auto"/>
        <w:left w:val="none" w:sz="0" w:space="0" w:color="auto"/>
        <w:bottom w:val="none" w:sz="0" w:space="0" w:color="auto"/>
        <w:right w:val="none" w:sz="0" w:space="0" w:color="auto"/>
      </w:divBdr>
    </w:div>
    <w:div w:id="1440099257">
      <w:bodyDiv w:val="1"/>
      <w:marLeft w:val="0"/>
      <w:marRight w:val="0"/>
      <w:marTop w:val="0"/>
      <w:marBottom w:val="0"/>
      <w:divBdr>
        <w:top w:val="none" w:sz="0" w:space="0" w:color="auto"/>
        <w:left w:val="none" w:sz="0" w:space="0" w:color="auto"/>
        <w:bottom w:val="none" w:sz="0" w:space="0" w:color="auto"/>
        <w:right w:val="none" w:sz="0" w:space="0" w:color="auto"/>
      </w:divBdr>
    </w:div>
    <w:div w:id="1621110168">
      <w:bodyDiv w:val="1"/>
      <w:marLeft w:val="0"/>
      <w:marRight w:val="0"/>
      <w:marTop w:val="0"/>
      <w:marBottom w:val="0"/>
      <w:divBdr>
        <w:top w:val="none" w:sz="0" w:space="0" w:color="auto"/>
        <w:left w:val="none" w:sz="0" w:space="0" w:color="auto"/>
        <w:bottom w:val="none" w:sz="0" w:space="0" w:color="auto"/>
        <w:right w:val="none" w:sz="0" w:space="0" w:color="auto"/>
      </w:divBdr>
    </w:div>
    <w:div w:id="1653364406">
      <w:bodyDiv w:val="1"/>
      <w:marLeft w:val="0"/>
      <w:marRight w:val="0"/>
      <w:marTop w:val="0"/>
      <w:marBottom w:val="0"/>
      <w:divBdr>
        <w:top w:val="none" w:sz="0" w:space="0" w:color="auto"/>
        <w:left w:val="none" w:sz="0" w:space="0" w:color="auto"/>
        <w:bottom w:val="none" w:sz="0" w:space="0" w:color="auto"/>
        <w:right w:val="none" w:sz="0" w:space="0" w:color="auto"/>
      </w:divBdr>
    </w:div>
    <w:div w:id="1662008002">
      <w:bodyDiv w:val="1"/>
      <w:marLeft w:val="0"/>
      <w:marRight w:val="0"/>
      <w:marTop w:val="0"/>
      <w:marBottom w:val="0"/>
      <w:divBdr>
        <w:top w:val="none" w:sz="0" w:space="0" w:color="auto"/>
        <w:left w:val="none" w:sz="0" w:space="0" w:color="auto"/>
        <w:bottom w:val="none" w:sz="0" w:space="0" w:color="auto"/>
        <w:right w:val="none" w:sz="0" w:space="0" w:color="auto"/>
      </w:divBdr>
    </w:div>
    <w:div w:id="1763839833">
      <w:bodyDiv w:val="1"/>
      <w:marLeft w:val="0"/>
      <w:marRight w:val="0"/>
      <w:marTop w:val="0"/>
      <w:marBottom w:val="0"/>
      <w:divBdr>
        <w:top w:val="none" w:sz="0" w:space="0" w:color="auto"/>
        <w:left w:val="none" w:sz="0" w:space="0" w:color="auto"/>
        <w:bottom w:val="none" w:sz="0" w:space="0" w:color="auto"/>
        <w:right w:val="none" w:sz="0" w:space="0" w:color="auto"/>
      </w:divBdr>
    </w:div>
    <w:div w:id="1880512822">
      <w:bodyDiv w:val="1"/>
      <w:marLeft w:val="0"/>
      <w:marRight w:val="0"/>
      <w:marTop w:val="0"/>
      <w:marBottom w:val="0"/>
      <w:divBdr>
        <w:top w:val="none" w:sz="0" w:space="0" w:color="auto"/>
        <w:left w:val="none" w:sz="0" w:space="0" w:color="auto"/>
        <w:bottom w:val="none" w:sz="0" w:space="0" w:color="auto"/>
        <w:right w:val="none" w:sz="0" w:space="0" w:color="auto"/>
      </w:divBdr>
    </w:div>
    <w:div w:id="1912035973">
      <w:bodyDiv w:val="1"/>
      <w:marLeft w:val="0"/>
      <w:marRight w:val="0"/>
      <w:marTop w:val="0"/>
      <w:marBottom w:val="0"/>
      <w:divBdr>
        <w:top w:val="none" w:sz="0" w:space="0" w:color="auto"/>
        <w:left w:val="none" w:sz="0" w:space="0" w:color="auto"/>
        <w:bottom w:val="none" w:sz="0" w:space="0" w:color="auto"/>
        <w:right w:val="none" w:sz="0" w:space="0" w:color="auto"/>
      </w:divBdr>
    </w:div>
    <w:div w:id="1989820552">
      <w:bodyDiv w:val="1"/>
      <w:marLeft w:val="0"/>
      <w:marRight w:val="0"/>
      <w:marTop w:val="0"/>
      <w:marBottom w:val="0"/>
      <w:divBdr>
        <w:top w:val="none" w:sz="0" w:space="0" w:color="auto"/>
        <w:left w:val="none" w:sz="0" w:space="0" w:color="auto"/>
        <w:bottom w:val="none" w:sz="0" w:space="0" w:color="auto"/>
        <w:right w:val="none" w:sz="0" w:space="0" w:color="auto"/>
      </w:divBdr>
    </w:div>
    <w:div w:id="20084820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ca80a2e-0e99-4f3c-9009-77f49b7844c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5rzhI4Uu27RmuTOn24l/m7qqA==">AMUW2mUYStZ3DaA19ZU5R9z3id8THwXWlvy2cyWWdy+4JwkUwyJP8+GLzCP6Xc3peCNy9LNv2zl2+96JQRadzMpGvc/l/ILEE7/5TsHKhywiAJaR1tGDNRk=</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739B460224D3984697166D0344842D83" ma:contentTypeVersion="15" ma:contentTypeDescription="Crear nuevo documento." ma:contentTypeScope="" ma:versionID="1dea0e376c019312c85cc42c5af69107">
  <xsd:schema xmlns:xsd="http://www.w3.org/2001/XMLSchema" xmlns:xs="http://www.w3.org/2001/XMLSchema" xmlns:p="http://schemas.microsoft.com/office/2006/metadata/properties" xmlns:ns3="fca80a2e-0e99-4f3c-9009-77f49b7844ca" xmlns:ns4="deb647d7-3ef2-4257-8d93-98fc770050b9" targetNamespace="http://schemas.microsoft.com/office/2006/metadata/properties" ma:root="true" ma:fieldsID="eaf274cbd4eeb1b66928dcad2fb050e3" ns3:_="" ns4:_="">
    <xsd:import namespace="fca80a2e-0e99-4f3c-9009-77f49b7844ca"/>
    <xsd:import namespace="deb647d7-3ef2-4257-8d93-98fc770050b9"/>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a80a2e-0e99-4f3c-9009-77f49b7844c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b647d7-3ef2-4257-8d93-98fc770050b9"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68077F-8B59-4AE2-BF28-A10300B1EAA0}">
  <ds:schemaRefs>
    <ds:schemaRef ds:uri="http://schemas.microsoft.com/sharepoint/v3/contenttype/forms"/>
  </ds:schemaRefs>
</ds:datastoreItem>
</file>

<file path=customXml/itemProps2.xml><?xml version="1.0" encoding="utf-8"?>
<ds:datastoreItem xmlns:ds="http://schemas.openxmlformats.org/officeDocument/2006/customXml" ds:itemID="{6628610C-8C4F-445E-8835-EF03DF9107F9}">
  <ds:schemaRefs>
    <ds:schemaRef ds:uri="http://schemas.microsoft.com/office/2006/metadata/properties"/>
    <ds:schemaRef ds:uri="http://schemas.microsoft.com/office/infopath/2007/PartnerControls"/>
    <ds:schemaRef ds:uri="fca80a2e-0e99-4f3c-9009-77f49b7844ca"/>
  </ds:schemaRefs>
</ds:datastoreItem>
</file>

<file path=customXml/itemProps3.xml><?xml version="1.0" encoding="utf-8"?>
<ds:datastoreItem xmlns:ds="http://schemas.openxmlformats.org/officeDocument/2006/customXml" ds:itemID="{B3008675-C84E-4546-BA2D-01A6230781DC}">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E13EADD-A14B-4102-995C-1257E2C03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a80a2e-0e99-4f3c-9009-77f49b7844ca"/>
    <ds:schemaRef ds:uri="deb647d7-3ef2-4257-8d93-98fc77005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11</Pages>
  <Words>1493</Words>
  <Characters>8216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administrador_</dc:creator>
  <cp:keywords/>
  <cp:lastModifiedBy>Fabian Cely</cp:lastModifiedBy>
  <cp:revision>126</cp:revision>
  <cp:lastPrinted>2026-02-12T15:13:00Z</cp:lastPrinted>
  <dcterms:created xsi:type="dcterms:W3CDTF">2026-05-11T15:55:00Z</dcterms:created>
  <dcterms:modified xsi:type="dcterms:W3CDTF">2026-05-14T16:13:00Z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0x010100739B460224D3984697166D0344842D83</vt:lpwstr>
  </property>
</Properties>
</file>