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Flying Tiger Copenhagen  ·  Assortment Analyst, IMEA</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Dear IMEA Team,</w:t>
      </w:r>
    </w:p>
    <w:p>
      <w:pPr>
        <w:spacing w:after="190" w:line="280"/>
      </w:pPr>
      <w:r>
        <w:rPr>
          <w:rFonts w:ascii="Calibri" w:cs="Calibri" w:eastAsia="Calibri" w:hAnsi="Calibri"/>
          <w:color w:val="1A1A1A"/>
          <w:sz w:val="22"/>
          <w:szCs w:val="22"/>
        </w:rPr>
        <w:t xml:space="preserve">I am writing to apply for the Assortment Analyst, IMEA position at Flying Tiger Copenhagen. What drew me in was the question right at the top of your posting, whether I am passionate about using data to drive commercial decisions in a fast paced retail environment. That is genuinely the part of my work I enjoy most, and the idea of applying it to a brand built on creativity and fun, in a region as dynamic as IMEA, is exactly the kind of challenge I am looking for.</w:t>
      </w:r>
    </w:p>
    <w:p>
      <w:pPr>
        <w:spacing w:after="190" w:line="280"/>
      </w:pPr>
      <w:r>
        <w:rPr>
          <w:rFonts w:ascii="Calibri" w:cs="Calibri" w:eastAsia="Calibri" w:hAnsi="Calibri"/>
          <w:color w:val="1A1A1A"/>
          <w:sz w:val="22"/>
          <w:szCs w:val="22"/>
        </w:rPr>
        <w:t xml:space="preserve">At COWI, I own the Power BI reporting and underlying data structures for a company of more than 7,500 employees across several countries. That means building dashboards people at every level actually use, structuring Excel based data on pay and headcount to spot patterns, and turning what I find into weekly and monthly reporting for stakeholders who are not analysts themselves. I also took ownership of the data structure behind COWI's Engagement Survey, making sure the numbers held up across the whole organisation. Delivering reliable, decision ready reporting on a recurring cadence, across a large and varied dataset, is something I already do every day.</w:t>
      </w:r>
    </w:p>
    <w:p>
      <w:pPr>
        <w:spacing w:after="190" w:line="280"/>
      </w:pPr>
      <w:r>
        <w:rPr>
          <w:rFonts w:ascii="Calibri" w:cs="Calibri" w:eastAsia="Calibri" w:hAnsi="Calibri"/>
          <w:color w:val="1A1A1A"/>
          <w:sz w:val="22"/>
          <w:szCs w:val="22"/>
        </w:rPr>
        <w:t xml:space="preserve">My cand.merc. in Economic Marketing at CBS is built around exactly the kind of thinking this role calls for, combining quantitative and qualitative market analysis to understand customer behaviour and translate it into concrete recommendations. Alongside that I work daily in advanced Excel and PowerPoint, and I am comfortable querying data in SQL when a report needs it, so I can move from raw numbers to a clear recommendation without losing anyone along the way.</w:t>
      </w:r>
    </w:p>
    <w:p>
      <w:pPr>
        <w:spacing w:after="190" w:line="280"/>
      </w:pPr>
      <w:r>
        <w:rPr>
          <w:rFonts w:ascii="Calibri" w:cs="Calibri" w:eastAsia="Calibri" w:hAnsi="Calibri"/>
          <w:color w:val="1A1A1A"/>
          <w:sz w:val="22"/>
          <w:szCs w:val="22"/>
        </w:rPr>
        <w:t xml:space="preserve">Before COWI, I spent two years at Teknologiens Mediehus running B2B accounts end to end, where I used commercial and customer data to research the market and prioritise where the real opportunities were. That same instinct, looking at the numbers and asking where the gaps and the growth actually are, feels directly relevant to shaping assortment decisions for a growing region.</w:t>
      </w:r>
    </w:p>
    <w:p>
      <w:pPr>
        <w:spacing w:after="260" w:line="280"/>
      </w:pPr>
      <w:r>
        <w:rPr>
          <w:rFonts w:ascii="Calibri" w:cs="Calibri" w:eastAsia="Calibri" w:hAnsi="Calibri"/>
          <w:color w:val="1A1A1A"/>
          <w:sz w:val="22"/>
          <w:szCs w:val="22"/>
        </w:rPr>
        <w:t xml:space="preserve">I would be excited to bring that mix of data discipline and commercial curiosity to a small, entrepreneurial team like yours, and I would love the chance to talk through how I could contribute to IMEA's growth.</w:t>
      </w:r>
    </w:p>
    <w:p>
      <w:pPr>
        <w:spacing w:after="50" w:line="240"/>
      </w:pPr>
      <w:r>
        <w:rPr>
          <w:rFonts w:ascii="Calibri" w:cs="Calibri" w:eastAsia="Calibri" w:hAnsi="Calibri"/>
          <w:color w:val="1A1A1A"/>
          <w:sz w:val="22"/>
          <w:szCs w:val="22"/>
        </w:rPr>
        <w:t xml:space="preserve">Kind regards,</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2026-09-12T08:16:07.852Z</dcterms:created>
  <dcterms:modified xsi:type="dcterms:W3CDTF">2026-09-12T08:16:07.852Z</dcterms:modified>
</cp:coreProperties>
</file>

<file path=docProps/custom.xml><?xml version="1.0" encoding="utf-8"?>
<Properties xmlns="http://schemas.openxmlformats.org/officeDocument/2006/custom-properties" xmlns:vt="http://schemas.openxmlformats.org/officeDocument/2006/docPropsVTypes"/>
</file>