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TDC Erhverv  ·  Data Governance Specialist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Paul Makkar,</w:t>
      </w:r>
    </w:p>
    <w:p>
      <w:pPr>
        <w:spacing w:after="190" w:line="280"/>
      </w:pPr>
      <w:r>
        <w:rPr>
          <w:rFonts w:ascii="Calibri" w:cs="Calibri" w:eastAsia="Calibri" w:hAnsi="Calibri"/>
          <w:color w:val="1A1A1A"/>
          <w:sz w:val="22"/>
          <w:szCs w:val="22"/>
        </w:rPr>
        <w:t xml:space="preserve">I am writing to apply for the Data Governance Specialist role at TDC Erhverv. Owning the data structure behind a survey covering 7,500 plus employees across four countries has taught me exactly the kind of pragmatic, detail first approach to data governance your team is looking for, and I would love to bring that into Nuuday's data platform and Enterprise Business Glossary work.</w:t>
      </w:r>
    </w:p>
    <w:p>
      <w:pPr>
        <w:spacing w:after="190" w:line="280"/>
      </w:pPr>
      <w:r>
        <w:rPr>
          <w:rFonts w:ascii="Calibri" w:cs="Calibri" w:eastAsia="Calibri" w:hAnsi="Calibri"/>
          <w:color w:val="1A1A1A"/>
          <w:sz w:val="22"/>
          <w:szCs w:val="22"/>
        </w:rPr>
        <w:t xml:space="preserve">At COWI, I work with Power BI and data modelling to turn people and financial data into reliable reporting, and I am comfortable querying data in SQL when supporting that work. I own the underlying data structure for the Engagement Survey and Workplace Assessment Survey, ensuring reporting accuracy across the whole organisation, which has made me comfortable being the point of contact when data does not quite line up, tracing an inconsistency back to its source, and working with the people who actually own the underlying data to get it right.</w:t>
      </w:r>
    </w:p>
    <w:p>
      <w:pPr>
        <w:spacing w:after="190" w:line="280"/>
      </w:pPr>
      <w:r>
        <w:rPr>
          <w:rFonts w:ascii="Calibri" w:cs="Calibri" w:eastAsia="Calibri" w:hAnsi="Calibri"/>
          <w:color w:val="1A1A1A"/>
          <w:sz w:val="22"/>
          <w:szCs w:val="22"/>
        </w:rPr>
        <w:t xml:space="preserve">A large part of my role is translating business needs from HR, Payroll and Finance stakeholders across Denmark, Norway, Sweden and Iceland into reliable, well governed reporting, which mirrors the stakeholder relationships this role would need with Data Domain Owners, Data Stewards and Glossary Term Owners. I also design and deploy AI agents in Microsoft Copilot to streamline everyday workflows, which reflects the same pragmatic mindset the posting highlights, finding a workable process rather than a perfect but unused one.</w:t>
      </w:r>
    </w:p>
    <w:p>
      <w:pPr>
        <w:spacing w:after="260" w:line="280"/>
      </w:pPr>
      <w:r>
        <w:rPr>
          <w:rFonts w:ascii="Calibri" w:cs="Calibri" w:eastAsia="Calibri" w:hAnsi="Calibri"/>
          <w:color w:val="1A1A1A"/>
          <w:sz w:val="22"/>
          <w:szCs w:val="22"/>
        </w:rPr>
        <w:t xml:space="preserve">I am drawn to TDC Erhverv because data governance only matters when it is grounded in a business that depends on getting large volumes of data right every day, and few Danish companies do that at the scale Nuuday does. I would welcome the chance to talk about how my background could support your data domain owners and stewards.</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2026-09-17T08:14:54.623Z</dcterms:created>
  <dcterms:modified xsi:type="dcterms:W3CDTF">2026-09-17T08:14:54.623Z</dcterms:modified>
</cp:coreProperties>
</file>

<file path=docProps/custom.xml><?xml version="1.0" encoding="utf-8"?>
<Properties xmlns="http://schemas.openxmlformats.org/officeDocument/2006/custom-properties" xmlns:vt="http://schemas.openxmlformats.org/officeDocument/2006/docPropsVTypes"/>
</file>