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ProductLife Group  ·  Associate Digital Consultant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ProductLife Group Digital Team,</w:t>
      </w:r>
    </w:p>
    <w:p>
      <w:pPr>
        <w:spacing w:after="190" w:line="280"/>
      </w:pPr>
      <w:r>
        <w:rPr>
          <w:rFonts w:ascii="Calibri" w:cs="Calibri" w:eastAsia="Calibri" w:hAnsi="Calibri"/>
          <w:color w:val="1A1A1A"/>
          <w:sz w:val="22"/>
          <w:szCs w:val="22"/>
        </w:rPr>
        <w:t xml:space="preserve">I am applying for the Associate Digital Consultant role in your Copenhagen office because it combines exactly the kind of work I enjoy most, getting complex data into a state where people can actually trust and use it, with the client facing, consulting side of that work that I am keen to grow into. The scope you describe, data readiness, cleansing, mapping and migration for regulated systems, is very close to the kind of data work I already do, just applied to a new and genuinely interesting industry.</w:t>
      </w:r>
    </w:p>
    <w:p>
      <w:pPr>
        <w:spacing w:after="190" w:line="280"/>
      </w:pPr>
      <w:r>
        <w:rPr>
          <w:rFonts w:ascii="Calibri" w:cs="Calibri" w:eastAsia="Calibri" w:hAnsi="Calibri"/>
          <w:color w:val="1A1A1A"/>
          <w:sz w:val="22"/>
          <w:szCs w:val="22"/>
        </w:rPr>
        <w:t xml:space="preserve">At COWI, I own the data structures and Power BI reporting behind people and financial data for a global organisation of 7,500 plus employees across Denmark, Norway, Sweden and Iceland. I built and maintain the data structure for COWI's Engagement Survey and Workplace Assessment Survey, making sure thousands of employee records map correctly before anyone can trust the reporting on top of them, and I query and transform data in SQL to support that Power BI work. I also design and deploy AI agents in Microsoft Copilot to automate parts of our daily workflows, so using AI tools responsibly and checking their output carefully, as you describe for this role, is already part of how I work day to day.</w:t>
      </w:r>
    </w:p>
    <w:p>
      <w:pPr>
        <w:spacing w:after="190" w:line="280"/>
      </w:pPr>
      <w:r>
        <w:rPr>
          <w:rFonts w:ascii="Calibri" w:cs="Calibri" w:eastAsia="Calibri" w:hAnsi="Calibri"/>
          <w:color w:val="1A1A1A"/>
          <w:sz w:val="22"/>
          <w:szCs w:val="22"/>
        </w:rPr>
        <w:t xml:space="preserve">I am also comfortable on the client facing and delivery side of this kind of work. At Teknologiens Mediehus I owned a portfolio of B2B accounts end to end in HubSpot, from first contact through proposal and negotiation to a closed deal, which taught me how to manage stakeholders, deadlines and expectations on my own. At COWI, that same instinct now shows up in how I partner with HR, Payroll and Finance stakeholders across four countries to turn their requirements into reporting they can rely on, which maps closely to the stakeholder engagement across clinical, regulatory and data teams this role asks for.</w:t>
      </w:r>
    </w:p>
    <w:p>
      <w:pPr>
        <w:spacing w:after="190" w:line="280"/>
      </w:pPr>
      <w:r>
        <w:rPr>
          <w:rFonts w:ascii="Calibri" w:cs="Calibri" w:eastAsia="Calibri" w:hAnsi="Calibri"/>
          <w:color w:val="1A1A1A"/>
          <w:sz w:val="22"/>
          <w:szCs w:val="22"/>
        </w:rPr>
        <w:t xml:space="preserve">My CBS degree in Economics and Marketing sharpened the analytical and structured side of this profile further, combining quantitative and qualitative methods to work through real business problems, and a dedicated Tableau course at Roskilde University gave me hands on experience building analyses and visualisations from real datasets. Between that academic grounding and two plus years of hands on Power BI, Excel and SQL work in a large, multi country organisation, I believe I would pick up the regulated, Life Sciences specific parts of this role quickly.</w:t>
      </w:r>
    </w:p>
    <w:p>
      <w:pPr>
        <w:spacing w:after="260" w:line="280"/>
      </w:pPr>
      <w:r>
        <w:rPr>
          <w:rFonts w:ascii="Calibri" w:cs="Calibri" w:eastAsia="Calibri" w:hAnsi="Calibri"/>
          <w:color w:val="1A1A1A"/>
          <w:sz w:val="22"/>
          <w:szCs w:val="22"/>
        </w:rPr>
        <w:t xml:space="preserve">ProductLife Group's focus on digital delivery for Life Sciences clients, and the chance to grow from associate work into broader client facing consulting responsibilities, is exactly the direction I want my career to take. I would welcome the opportunity to talk further about how my background could contribute to your digital team in Copenhagen.</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2026-10-11T08:21:15.076Z</dcterms:created>
  <dcterms:modified xsi:type="dcterms:W3CDTF">2026-10-11T08:21:15.076Z</dcterms:modified>
</cp:coreProperties>
</file>

<file path=docProps/custom.xml><?xml version="1.0" encoding="utf-8"?>
<Properties xmlns="http://schemas.openxmlformats.org/officeDocument/2006/custom-properties" xmlns:vt="http://schemas.openxmlformats.org/officeDocument/2006/docPropsVTypes"/>
</file>