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Accenture Nordics  ·  Strategy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Accenture Nordics,</w:t>
      </w:r>
    </w:p>
    <w:p>
      <w:pPr>
        <w:spacing w:after="190" w:line="280"/>
      </w:pPr>
      <w:r>
        <w:rPr>
          <w:rFonts w:ascii="Calibri" w:cs="Calibri" w:eastAsia="Calibri" w:hAnsi="Calibri"/>
          <w:color w:val="1A1A1A"/>
          <w:sz w:val="22"/>
          <w:szCs w:val="22"/>
        </w:rPr>
        <w:t xml:space="preserve">I am applying for the Strategy Analyst position at Accenture Nordics. I am drawn to the role because it is built around the same instinct I already bring to my current work, taking a complex, ambiguous problem with many moving parts and turning it into a structured set of questions and, eventually, a clear recommendation.</w:t>
      </w:r>
    </w:p>
    <w:p>
      <w:pPr>
        <w:spacing w:after="190" w:line="280"/>
      </w:pPr>
      <w:r>
        <w:rPr>
          <w:rFonts w:ascii="Calibri" w:cs="Calibri" w:eastAsia="Calibri" w:hAnsi="Calibri"/>
          <w:color w:val="1A1A1A"/>
          <w:sz w:val="22"/>
          <w:szCs w:val="22"/>
        </w:rPr>
        <w:t xml:space="preserve">At COWI, I sit at the centre of exactly that kind of complexity. I manage annual pay regulation processes across Denmark, Norway, Sweden and Iceland at the same time, and I own the data structure behind COWI's global Engagement Survey and Workplace Assessment Survey, making sure reporting stays accurate across more than 7,500 employees worldwide. Keeping that many stakeholders and moving parts aligned, while still delivering something reliable and easy to act on, is a skill I use every week.</w:t>
      </w:r>
    </w:p>
    <w:p>
      <w:pPr>
        <w:spacing w:after="190" w:line="280"/>
      </w:pPr>
      <w:r>
        <w:rPr>
          <w:rFonts w:ascii="Calibri" w:cs="Calibri" w:eastAsia="Calibri" w:hAnsi="Calibri"/>
          <w:color w:val="1A1A1A"/>
          <w:sz w:val="22"/>
          <w:szCs w:val="22"/>
        </w:rPr>
        <w:t xml:space="preserve">My MSc in Economics and Marketing at CBS combined quantitative and qualitative market analysis methods, including statistical modelling and focus group research, to analyse markets, customers and competitors and translate the findings into strategic recommendations. That is the same hypothesis-driven approach to market and customer analysis that a Strategy Analyst role calls for, just applied in an academic setting rather than a client one.</w:t>
      </w:r>
    </w:p>
    <w:p>
      <w:pPr>
        <w:spacing w:after="190" w:line="280"/>
      </w:pPr>
      <w:r>
        <w:rPr>
          <w:rFonts w:ascii="Calibri" w:cs="Calibri" w:eastAsia="Calibri" w:hAnsi="Calibri"/>
          <w:color w:val="1A1A1A"/>
          <w:sz w:val="22"/>
          <w:szCs w:val="22"/>
        </w:rPr>
        <w:t xml:space="preserve">Earlier, at Skattestyrelsen, I delivered KPI tracking and reporting directly to senior management, which taught me how to make complex data understandable and actionable for people who need to make decisions quickly. Communicating clearly and concisely to senior stakeholders is something I have practiced consistently across both of my student roles.</w:t>
      </w:r>
    </w:p>
    <w:p>
      <w:pPr>
        <w:spacing w:after="260" w:line="280"/>
      </w:pPr>
      <w:r>
        <w:rPr>
          <w:rFonts w:ascii="Calibri" w:cs="Calibri" w:eastAsia="Calibri" w:hAnsi="Calibri"/>
          <w:color w:val="1A1A1A"/>
          <w:sz w:val="22"/>
          <w:szCs w:val="22"/>
        </w:rPr>
        <w:t xml:space="preserve">I am completing my MSc at CBS in 2026 and I am genuinely excited about the breadth of industries and problems I would get to work on at Accenture Nordics, together with people from equally varied backgrounds. I would welcome the opportunity to discuss my application further.</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2026-09-29T11:10:45.130Z</dcterms:created>
  <dcterms:modified xsi:type="dcterms:W3CDTF">2026-09-29T11:10:45.130Z</dcterms:modified>
</cp:coreProperties>
</file>

<file path=docProps/custom.xml><?xml version="1.0" encoding="utf-8"?>
<Properties xmlns="http://schemas.openxmlformats.org/officeDocument/2006/custom-properties" xmlns:vt="http://schemas.openxmlformats.org/officeDocument/2006/docPropsVTypes"/>
</file>