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 w:val="0"/>
          <w:i w:val="0"/>
          <w:color w:val="555555"/>
          <w:sz w:val="18"/>
        </w:rPr>
        <w:t>Evaluación Parcial N°2 · ISY0101 Ingeniería de Soluciones con IA</w:t>
      </w:r>
    </w:p>
    <w:p>
      <w:pPr>
        <w:spacing w:after="0"/>
      </w:pPr>
      <w:r>
        <w:rPr>
          <w:b/>
          <w:i w:val="0"/>
          <w:color w:val="1F3A5F"/>
          <w:sz w:val="36"/>
        </w:rPr>
        <w:t>Agente de despacho y rutas «Transportes Cordillera»</w:t>
      </w:r>
    </w:p>
    <w:p>
      <w:pPr>
        <w:spacing w:after="60"/>
      </w:pPr>
      <w:r>
        <w:rPr>
          <w:b w:val="0"/>
          <w:i/>
          <w:sz w:val="20"/>
        </w:rPr>
        <w:t>Agente funcional con LangGraph, memoria corta y larga, y planificación adaptativa (stack 100% gratuito)</w:t>
      </w:r>
    </w:p>
    <w:p>
      <w:r>
        <w:rPr>
          <w:b/>
        </w:rPr>
        <w:t xml:space="preserve">Integrantes: </w:t>
      </w:r>
      <w:r>
        <w:rPr>
          <w:b w:val="0"/>
        </w:rPr>
        <w:t xml:space="preserve">[Nombre Apellido 1] · [Nombre Apellido 2]      </w:t>
      </w:r>
      <w:r>
        <w:rPr>
          <w:b/>
        </w:rPr>
        <w:t xml:space="preserve">Docente: </w:t>
      </w:r>
      <w:r>
        <w:rPr>
          <w:b w:val="0"/>
        </w:rPr>
        <w:t xml:space="preserve">[Nombre]      </w:t>
      </w:r>
      <w:r>
        <w:rPr>
          <w:b/>
        </w:rPr>
        <w:t xml:space="preserve">Fecha: </w:t>
      </w:r>
      <w:r>
        <w:rPr>
          <w:b w:val="0"/>
        </w:rPr>
        <w:t>[dd/mm/aaaa]</w:t>
      </w:r>
    </w:p>
    <w:p>
      <w:r>
        <w:rPr>
          <w:b/>
        </w:rPr>
        <w:t xml:space="preserve">Repositorio: </w:t>
      </w:r>
      <w:r>
        <w:rPr>
          <w:b w:val="0"/>
        </w:rPr>
        <w:t>[https://github.com/&lt;usuario&gt;/cordillera-dispatch-agent]</w:t>
      </w:r>
    </w:p>
    <w:p>
      <w:pPr>
        <w:pStyle w:val="Heading1"/>
      </w:pPr>
      <w:r>
        <w:t>1. Contexto y requerimiento organizacional</w:t>
      </w:r>
    </w:p>
    <w:p>
      <w:r>
        <w:rPr>
          <w:b w:val="0"/>
          <w:i w:val="0"/>
        </w:rPr>
        <w:t>Transportes Cordillera (empresa ficticia) asigna a mano los pedidos del día a sus 5 camiones. Cuando un camión se avería, un cliente VIP pide urgencia o una entrega falla, el plan se descuadra, se pierde el contexto de lo ocurrido y los clientes no reciben avisos a tiempo. Se desarrolló un agente que recibe eventos en lenguaje natural y responde planificando, replanificando, avisando y registrando, con escalamiento a un supervisor humano cuando corresponde.</w:t>
      </w:r>
    </w:p>
    <w:p>
      <w:pPr>
        <w:pStyle w:val="Heading1"/>
      </w:pPr>
      <w:r>
        <w:t>2. Arquitectura y orquestación de componentes (IE2, IE6)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4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 w:val="0"/>
          <w:i/>
          <w:color w:val="555555"/>
          <w:sz w:val="16"/>
        </w:rPr>
        <w:t>Figura 1. Componentes del agente: interfaz, grafo LangGraph, herramientas, almacenes y LLM.</w:t>
      </w:r>
    </w:p>
    <w:p>
      <w:r>
        <w:rPr>
          <w:b w:val="0"/>
          <w:i w:val="0"/>
        </w:rPr>
        <w:t>El flujo se implementó como un grafo de estado en LangGraph (13 nodos, 4 aristas condicionales). La decisión crítica (prioridad, capacidad, ventanas) la toma un planificador determinista; el LLM interpreta texto libre y redacta avisos. El proveedor de LLM es intercambiable (Groq, Ollama o modo sin LLM) mediante una variable de entorno.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105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_graf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10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 w:val="0"/>
          <w:i/>
          <w:color w:val="555555"/>
          <w:sz w:val="16"/>
        </w:rPr>
        <w:t>Figura 2. Flujo del grafo: clasificar → memoria → actuar → planificar → validar/reparar → ejecutar → avisar.</w:t>
      </w:r>
    </w:p>
    <w:p>
      <w:r>
        <w:rPr>
          <w:b w:val="0"/>
          <w:i w:val="0"/>
        </w:rPr>
        <w:t>El agente se expone mediante una API HTTP (FastAPI) y un panel web en React construido con el kit de componentes fintech-ui-react (tema indigo): centro de control con KPIs, consola de eventos en lenguaje natural, razonamiento paso a paso, flota, rutas, pedidos, memoria con búsqueda semántica y asistente conversacional. Es responsivo (sidebar en escritorio, dock en móvil).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32818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8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 w:val="0"/>
          <w:i/>
          <w:color w:val="555555"/>
          <w:sz w:val="16"/>
        </w:rPr>
        <w:t>Figura 3. Panel web: tras una avería (camión 3) y un pedido VIP urgente, el agente muestra su razonamiento.</w:t>
      </w:r>
    </w:p>
    <w:p>
      <w:pPr>
        <w:pStyle w:val="Heading1"/>
      </w:pPr>
      <w:r>
        <w:t>3. Herramientas del agente (IE1)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13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Tipo</w:t>
            </w:r>
          </w:p>
        </w:tc>
        <w:tc>
          <w:tcPr>
            <w:tcW w:type="dxa" w:w="4649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7"/>
              </w:rPr>
              <w:t>Herramientas (src/tools/)</w:t>
            </w:r>
          </w:p>
        </w:tc>
        <w:tc>
          <w:tcPr>
            <w:tcW w:type="dxa" w:w="4309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7"/>
              </w:rPr>
              <w:t>Función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7"/>
              </w:rPr>
              <w:t>Consulta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sz w:val="17"/>
              </w:rPr>
              <w:t>get_fleet_status, get_pending_orders, get_traffic, get_client_profile, get_route, search_past_incidents, search_policies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sz w:val="17"/>
              </w:rPr>
              <w:t>Leen flota, pedidos, tráfico simulado, historial del cliente y memoria semántica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7"/>
              </w:rPr>
              <w:t>Escritura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sz w:val="17"/>
              </w:rPr>
              <w:t>assign_orders, write_route_sheet, notify_client, notify_supervisor, reschedule_order, set_order_priority, set_truck_status, log_incident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sz w:val="17"/>
              </w:rPr>
              <w:t>Modifican la BD y generan hojas de ruta (.md) y avisos (.jsonl); assign_orders valida capacidad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7"/>
              </w:rPr>
              <w:t>Razonamiento</w:t>
            </w:r>
          </w:p>
        </w:tc>
        <w:tc>
          <w:tcPr>
            <w:tcW w:type="dxa" w:w="4649"/>
          </w:tcPr>
          <w:p>
            <w:pPr>
              <w:spacing w:after="0"/>
            </w:pPr>
            <w:r/>
            <w:r>
              <w:rPr>
                <w:sz w:val="17"/>
              </w:rPr>
              <w:t>classify_event (LLM + reglas), redacción de avisos, agente ReAct de consultas (qa_agent.py)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sz w:val="17"/>
              </w:rPr>
              <w:t>Clasifica eventos con salida estructurada y validación de ids; el LLM elige herramientas de consulta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Autonomía y límites: el agente ejecuta sin intervención el flujo completo; ante datos faltantes pregunta, ante eventos no reconocidos escala, y nunca cancela pedidos por su cuenta.</w:t>
      </w:r>
    </w:p>
    <w:p>
      <w:pPr>
        <w:pStyle w:val="Heading1"/>
      </w:pPr>
      <w:r>
        <w:t>4. Memoria y recuperación de contexto (IE3, IE4)</w:t>
      </w:r>
    </w:p>
    <w:p>
      <w:pPr>
        <w:pStyle w:val="ListBullet"/>
        <w:spacing w:after="20"/>
      </w:pPr>
      <w:r>
        <w:rPr>
          <w:b/>
        </w:rPr>
        <w:t xml:space="preserve">Memoria corta: </w:t>
      </w:r>
      <w:r>
        <w:rPr>
          <w:b w:val="0"/>
        </w:rPr>
        <w:t>checkpointer SQLite de LangGraph con un thread_id por jornada. Guarda el historial de eventos y el número de replanificaciones; sobrevive al reinicio del proceso (prueba test_s5b) y se usa para decidir: 3 replanes en la jornada generan un aviso de inestabilidad.</w:t>
      </w:r>
    </w:p>
    <w:p>
      <w:pPr>
        <w:pStyle w:val="ListBullet"/>
        <w:spacing w:after="20"/>
      </w:pPr>
      <w:r>
        <w:rPr>
          <w:b/>
        </w:rPr>
        <w:t xml:space="preserve">Memoria larga semántica: </w:t>
      </w:r>
      <w:r>
        <w:rPr>
          <w:b w:val="0"/>
        </w:rPr>
        <w:t>ChromaDB (distancia coseno) con embeddings nomic-embed-text. Indexa 15 incidentes históricos y las 7 políticas; cada incidente nuevo se indexa al registrarse. Recupera la estrategia usada antes (p. ej. reprogramar mañana si el cliente tiene ausencias previas).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953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Consulta de prueba</w:t>
            </w:r>
          </w:p>
        </w:tc>
        <w:tc>
          <w:tcPr>
            <w:tcW w:type="dxa" w:w="4139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Mejor similitud</w:t>
            </w:r>
          </w:p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sz w:val="17"/>
              </w:rPr>
              <w:t>«el camión 3 se averió en zona norte»</w:t>
            </w:r>
          </w:p>
        </w:tc>
        <w:tc>
          <w:tcPr>
            <w:tcW w:type="dxa" w:w="4139"/>
          </w:tcPr>
          <w:p>
            <w:pPr>
              <w:spacing w:after="0"/>
            </w:pPr>
            <w:r/>
            <w:r>
              <w:rPr>
                <w:sz w:val="17"/>
              </w:rPr>
              <w:t>0.717</w:t>
            </w:r>
          </w:p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sz w:val="17"/>
              </w:rPr>
              <w:t>«se me rompió una rueda del camión» (paráfrasis)</w:t>
            </w:r>
          </w:p>
        </w:tc>
        <w:tc>
          <w:tcPr>
            <w:tcW w:type="dxa" w:w="4139"/>
          </w:tcPr>
          <w:p>
            <w:pPr>
              <w:spacing w:after="0"/>
            </w:pPr>
            <w:r/>
            <w:r>
              <w:rPr>
                <w:sz w:val="17"/>
              </w:rPr>
              <w:t>0.667</w:t>
            </w:r>
          </w:p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sz w:val="17"/>
              </w:rPr>
              <w:t>«Cliente ausente en el pedido 8»</w:t>
            </w:r>
          </w:p>
        </w:tc>
        <w:tc>
          <w:tcPr>
            <w:tcW w:type="dxa" w:w="4139"/>
          </w:tcPr>
          <w:p>
            <w:pPr>
              <w:spacing w:after="0"/>
            </w:pPr>
            <w:r/>
            <w:r>
              <w:rPr>
                <w:sz w:val="17"/>
              </w:rPr>
              <w:t>0.739</w:t>
            </w:r>
          </w:p>
        </w:tc>
      </w:tr>
      <w:tr>
        <w:tc>
          <w:tcPr>
            <w:tcW w:type="dxa" w:w="5953"/>
          </w:tcPr>
          <w:p>
            <w:pPr>
              <w:spacing w:after="0"/>
            </w:pPr>
            <w:r/>
            <w:r>
              <w:rPr>
                <w:sz w:val="17"/>
              </w:rPr>
              <w:t>«pasta de dientes» (ruido)</w:t>
            </w:r>
          </w:p>
        </w:tc>
        <w:tc>
          <w:tcPr>
            <w:tcW w:type="dxa" w:w="4139"/>
          </w:tcPr>
          <w:p>
            <w:pPr>
              <w:spacing w:after="0"/>
            </w:pPr>
            <w:r/>
            <w:r>
              <w:rPr>
                <w:sz w:val="17"/>
              </w:rPr>
              <w:t>0.540 → descartado (umbral 0.60)</w:t>
            </w:r>
          </w:p>
        </w:tc>
      </w:tr>
    </w:tbl>
    <w:p>
      <w:pPr>
        <w:spacing w:after="40"/>
      </w:pPr>
    </w:p>
    <w:p>
      <w:pPr>
        <w:pStyle w:val="Heading1"/>
      </w:pPr>
      <w:r>
        <w:t>5. Planificación y toma de decisiones (IE5)</w:t>
      </w:r>
    </w:p>
    <w:p>
      <w:r>
        <w:rPr>
          <w:b w:val="0"/>
          <w:i w:val="0"/>
        </w:rPr>
        <w:t>Puntuación: score = prioridad×100 + 50 (si VIP) + 100/max(holgura, 5). Asignación voraz por score con capacidad como restricción dura y bono de estabilidad; secuenciación por cierre de ventana, viaje y prioridad; validación (CAPACIDAD, VENTANA, TURNO) y reparación local hasta 3 intentos, tras los cuales se escala. Decisiones por evento: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268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7"/>
              </w:rPr>
              <w:t>Evento</w:t>
            </w:r>
          </w:p>
        </w:tc>
        <w:tc>
          <w:tcPr>
            <w:tcW w:type="dxa" w:w="7824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Decisión del agente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7"/>
              </w:rPr>
              <w:t>Avería de camión</w:t>
            </w:r>
          </w:p>
        </w:tc>
        <w:tc>
          <w:tcPr>
            <w:tcW w:type="dxa" w:w="7824"/>
          </w:tcPr>
          <w:p>
            <w:pPr>
              <w:spacing w:after="0"/>
            </w:pPr>
            <w:r/>
            <w:r>
              <w:rPr>
                <w:sz w:val="17"/>
              </w:rPr>
              <w:t>Camión → averiado; reasigna sus pedidos pendientes entre los demás; avisa a los afectados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7"/>
              </w:rPr>
              <w:t>VIP urgente</w:t>
            </w:r>
          </w:p>
        </w:tc>
        <w:tc>
          <w:tcPr>
            <w:tcW w:type="dxa" w:w="7824"/>
          </w:tcPr>
          <w:p>
            <w:pPr>
              <w:spacing w:after="0"/>
            </w:pPr>
            <w:r/>
            <w:r>
              <w:rPr>
                <w:sz w:val="17"/>
              </w:rPr>
              <w:t>Prioridad 4 y hora límite; reordena la ruta; si no es factible, repara y escala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7"/>
              </w:rPr>
              <w:t>Entrega fallida</w:t>
            </w:r>
          </w:p>
        </w:tc>
        <w:tc>
          <w:tcPr>
            <w:tcW w:type="dxa" w:w="7824"/>
          </w:tcPr>
          <w:p>
            <w:pPr>
              <w:spacing w:after="0"/>
            </w:pPr>
            <w:r/>
            <w:r>
              <w:rPr>
                <w:sz w:val="17"/>
              </w:rPr>
              <w:t>1.er intento: reintento hoy (o mañana si el cliente tiene ausencias previas); 2.º intento: escala al supervisor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7"/>
              </w:rPr>
              <w:t>Ambiguo / desconocido</w:t>
            </w:r>
          </w:p>
        </w:tc>
        <w:tc>
          <w:tcPr>
            <w:tcW w:type="dxa" w:w="7824"/>
          </w:tcPr>
          <w:p>
            <w:pPr>
              <w:spacing w:after="0"/>
            </w:pPr>
            <w:r/>
            <w:r>
              <w:rPr>
                <w:sz w:val="17"/>
              </w:rPr>
              <w:t>Pide el dato faltante o escala; descarta ids inexistentes</w:t>
            </w:r>
          </w:p>
        </w:tc>
      </w:tr>
    </w:tbl>
    <w:p>
      <w:pPr>
        <w:spacing w:after="40"/>
      </w:pPr>
    </w:p>
    <w:p>
      <w:pPr>
        <w:pStyle w:val="Heading1"/>
      </w:pPr>
      <w:r>
        <w:t>6. Pruebas y evidencia</w:t>
      </w:r>
    </w:p>
    <w:p>
      <w:r>
        <w:rPr>
          <w:b w:val="0"/>
          <w:i w:val="0"/>
        </w:rPr>
        <w:t>Se implementaron 57 pruebas automáticas (pytest, sin red ni LLM) y 9 escenarios con registro del razonamiento nodo por nodo (docs/evidencia/).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948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7"/>
              </w:rPr>
              <w:t>Escenario</w:t>
            </w:r>
          </w:p>
        </w:tc>
        <w:tc>
          <w:tcPr>
            <w:tcW w:type="dxa" w:w="7143"/>
            <w:shd w:val="clear" w:color="auto" w:fill="DCE6F2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Resultado verificado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7"/>
              </w:rPr>
              <w:t>1 Avería (11:00)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sz w:val="17"/>
              </w:rPr>
              <w:t>9 entregas ya realizadas; 16 pendientes reasignadas; 0 pedidos en el camión averiado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7"/>
              </w:rPr>
              <w:t>2 VIP urgente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sz w:val="17"/>
              </w:rPr>
              <w:t>Pedido 14 con prioridad 4, 1.ª parada de su camión y ETA 12:00 (límite 12:00)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7"/>
              </w:rPr>
              <w:t>3 Entrega fallida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sz w:val="17"/>
              </w:rPr>
              <w:t>1.er fallo: reintento hoy; 2.º fallo: pedido «fallido» y escalado al supervisor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7"/>
              </w:rPr>
              <w:t>4 Memoria larga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sz w:val="17"/>
              </w:rPr>
              <w:t>Recupera el incidente de batería (similitud 0.79) y su estrategia de reasignación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7"/>
              </w:rPr>
              <w:t>5 Cadena de eventos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sz w:val="17"/>
              </w:rPr>
              <w:t>4 eventos en memoria, 3 replanes → aviso de inestabilidad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7"/>
              </w:rPr>
              <w:t>6 LLM caído / 7 ambiguos / 8 plan imposible</w:t>
            </w:r>
          </w:p>
        </w:tc>
        <w:tc>
          <w:tcPr>
            <w:tcW w:type="dxa" w:w="7143"/>
          </w:tcPr>
          <w:p>
            <w:pPr>
              <w:spacing w:after="0"/>
            </w:pPr>
            <w:r/>
            <w:r>
              <w:rPr>
                <w:sz w:val="17"/>
              </w:rPr>
              <w:t>Degrada a reglas; pide datos o escala; 3 reparaciones y escalamiento</w:t>
            </w:r>
          </w:p>
        </w:tc>
      </w:tr>
    </w:tbl>
    <w:p>
      <w:pPr>
        <w:spacing w:after="40"/>
      </w:pPr>
    </w:p>
    <w:p>
      <w:r>
        <w:rPr>
          <w:b/>
        </w:rPr>
        <w:t xml:space="preserve">Hallazgo con el LLM local real (qwen2.5:1.5b): </w:t>
      </w:r>
      <w:r>
        <w:rPr>
          <w:b w:val="0"/>
        </w:rPr>
        <w:t>clasificó «Cliente ausente en el pedido 8» como inicio de jornada, lo que habría replanificado todo el día. Se añadieron guardarraíles (las reglas de alta precisión prevalecen; «nuevo_dia» solo con confirmación de reglas) y validación de los avisos redactados por el LLM, con pruebas de regresión.</w:t>
      </w:r>
    </w:p>
    <w:p>
      <w:pPr>
        <w:pStyle w:val="Heading1"/>
      </w:pPr>
      <w:r>
        <w:t>7. Decisiones de diseño y su justificación (IE6, IE9)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FFF4CE"/>
          </w:tcPr>
          <w:p>
            <w:pPr>
              <w:spacing w:after="20"/>
            </w:pPr>
            <w:r/>
            <w:r>
              <w:rPr>
                <w:b/>
              </w:rPr>
              <w:t>✍️ A completar por el equipo (sin apoyo de IA)</w:t>
            </w:r>
          </w:p>
          <w:p>
            <w:pPr>
              <w:spacing w:after="20"/>
            </w:pPr>
            <w:r>
              <w:rPr>
                <w:sz w:val="18"/>
              </w:rPr>
              <w:t>Para cada decisión, escriban su justificación técnica con sus palabras usando la evidencia indicada (detalle en docs/decisiones.md):</w:t>
            </w:r>
          </w:p>
          <w:p>
            <w:pPr>
              <w:spacing w:after="20"/>
            </w:pPr>
            <w:r>
              <w:rPr>
                <w:sz w:val="18"/>
              </w:rPr>
              <w:t>• D1 LangGraph frente a otros frameworks de agentes — evidencia: flujo con ramas, estado persistente.</w:t>
            </w:r>
          </w:p>
          <w:p>
            <w:pPr>
              <w:spacing w:after="20"/>
            </w:pPr>
            <w:r>
              <w:rPr>
                <w:sz w:val="18"/>
              </w:rPr>
              <w:t>• D2 Planificador determinista + LLM solo para interpretar/redactar — evidencia: hallazgo con qwen2.5:1.5b.</w:t>
            </w:r>
          </w:p>
          <w:p>
            <w:pPr>
              <w:spacing w:after="20"/>
            </w:pPr>
            <w:r>
              <w:rPr>
                <w:sz w:val="18"/>
              </w:rPr>
              <w:t>• D3 Groq/Ollama intercambiables y 100% gratuito — evidencia: equipo con 7.9 GB de RAM y sin GPU dedicada.</w:t>
            </w:r>
          </w:p>
          <w:p>
            <w:pPr>
              <w:spacing w:after="20"/>
            </w:pPr>
            <w:r>
              <w:rPr>
                <w:sz w:val="18"/>
              </w:rPr>
              <w:t>• D4 ChromaDB + nomic-embed-text y umbral 0.60 — evidencia: tabla de similitudes de la sección 4.</w:t>
            </w:r>
          </w:p>
          <w:p>
            <w:pPr>
              <w:spacing w:after="20"/>
            </w:pPr>
            <w:r>
              <w:rPr>
                <w:sz w:val="18"/>
              </w:rPr>
              <w:t>[Escribir aquí]</w:t>
            </w:r>
          </w:p>
        </w:tc>
      </w:tr>
    </w:tbl>
    <w:p>
      <w:pPr>
        <w:spacing w:after="20"/>
      </w:pPr>
    </w:p>
    <w:p>
      <w:pPr>
        <w:pStyle w:val="Heading1"/>
      </w:pPr>
      <w:r>
        <w:t>8. Conclusiones y reflexiones individuales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val="clear" w:color="auto" w:fill="FFF4CE"/>
          </w:tcPr>
          <w:p>
            <w:pPr>
              <w:spacing w:after="20"/>
            </w:pPr>
            <w:r/>
            <w:r>
              <w:rPr>
                <w:b/>
              </w:rPr>
              <w:t>✍️ A completar por cada integrante, sin apoyo de IA (obligatorio)</w:t>
            </w:r>
          </w:p>
          <w:p>
            <w:pPr>
              <w:spacing w:after="20"/>
            </w:pPr>
            <w:r>
              <w:rPr>
                <w:sz w:val="18"/>
              </w:rPr>
              <w:t>Integrante 1 — aprendizaje y contribución al proyecto: [escribir aquí]</w:t>
            </w:r>
          </w:p>
          <w:p>
            <w:pPr>
              <w:spacing w:after="20"/>
            </w:pPr>
            <w:r>
              <w:rPr>
                <w:sz w:val="18"/>
              </w:rPr>
              <w:t>Integrante 2 — aprendizaje y contribución al proyecto: [escribir aquí]</w:t>
            </w:r>
          </w:p>
          <w:p>
            <w:pPr>
              <w:spacing w:after="20"/>
            </w:pPr>
            <w:r>
              <w:rPr>
                <w:sz w:val="18"/>
              </w:rPr>
              <w:t>Conclusiones del equipo (logros, limitaciones y trabajo futuro): [escribir aquí]</w:t>
            </w:r>
          </w:p>
        </w:tc>
      </w:tr>
    </w:tbl>
    <w:p>
      <w:pPr>
        <w:spacing w:after="20"/>
      </w:pPr>
    </w:p>
    <w:p>
      <w:pPr>
        <w:pStyle w:val="Heading1"/>
      </w:pPr>
      <w:r>
        <w:t>9. Declaración de uso de inteligencia artificial</w:t>
      </w:r>
    </w:p>
    <w:p>
      <w:r>
        <w:rPr>
          <w:b w:val="0"/>
          <w:i w:val="0"/>
        </w:rPr>
        <w:t>Se utilizó Claude Code (modelo Claude Sonnet 5.5, Anthropic) como asistente para generar el código base, las pruebas, los diagramas, el panel web y los borradores de la documentación técnica del repositorio. Todo el contenido fue ejecutado, revisado y validado por el equipo (57 pruebas automáticas y ejecución manual de los escenarios). Dentro del propio sistema, un LLM (Llama 3.3 vía Groq o Qwen2.5 vía Ollama) clasifica eventos y redacta avisos a clientes, con validación determinista de sus salidas. Las justificaciones técnicas, conclusiones y reflexiones individuales fueron redactadas por los integrantes sin apoyo de IA. [Equipo: confirmar o ajustar esta declaración.]</w:t>
      </w:r>
    </w:p>
    <w:p>
      <w:pPr>
        <w:pStyle w:val="Heading1"/>
      </w:pPr>
      <w:r>
        <w:t>Referencias (APA 7)</w:t>
      </w:r>
    </w:p>
    <w:p>
      <w:pPr>
        <w:spacing w:after="20"/>
        <w:ind w:left="454" w:hanging="454"/>
      </w:pPr>
      <w:r>
        <w:rPr>
          <w:sz w:val="17"/>
        </w:rPr>
        <w:t>Chase, H. (2022). LangChain [Software]. LangChain, Inc. https://github.com/langchain-ai/langchain</w:t>
      </w:r>
    </w:p>
    <w:p>
      <w:pPr>
        <w:spacing w:after="20"/>
        <w:ind w:left="454" w:hanging="454"/>
      </w:pPr>
      <w:r>
        <w:rPr>
          <w:sz w:val="17"/>
        </w:rPr>
        <w:t>LangChain, Inc. (2024). LangGraph documentation. https://langchain-ai.github.io/langgraph/</w:t>
      </w:r>
    </w:p>
    <w:p>
      <w:pPr>
        <w:spacing w:after="20"/>
        <w:ind w:left="454" w:hanging="454"/>
      </w:pPr>
      <w:r>
        <w:rPr>
          <w:sz w:val="17"/>
        </w:rPr>
        <w:t>Chroma. (2023). Chroma: The AI-native open-source embedding database. https://www.trychroma.com/</w:t>
      </w:r>
    </w:p>
    <w:p>
      <w:pPr>
        <w:spacing w:after="20"/>
        <w:ind w:left="454" w:hanging="454"/>
      </w:pPr>
      <w:r>
        <w:rPr>
          <w:sz w:val="17"/>
        </w:rPr>
        <w:t>Groq, Inc. (2024). GroqCloud documentation. https://console.groq.com/docs</w:t>
      </w:r>
    </w:p>
    <w:p>
      <w:pPr>
        <w:spacing w:after="20"/>
        <w:ind w:left="454" w:hanging="454"/>
      </w:pPr>
      <w:r>
        <w:rPr>
          <w:sz w:val="17"/>
        </w:rPr>
        <w:t>Nussbaum, Z., Morris, J. X., Duderstadt, B., &amp; Mulyar, A. (2024). Nomic Embed: Training a reproducible long context text embedder. arXiv:2402.01613.</w:t>
      </w:r>
    </w:p>
    <w:p>
      <w:pPr>
        <w:spacing w:after="20"/>
        <w:ind w:left="454" w:hanging="454"/>
      </w:pPr>
      <w:r>
        <w:rPr>
          <w:sz w:val="17"/>
        </w:rPr>
        <w:t>Ollama. (2023). Ollama [Software]. https://ollama.com</w:t>
      </w:r>
    </w:p>
    <w:p>
      <w:pPr>
        <w:spacing w:after="20"/>
        <w:ind w:left="454" w:hanging="454"/>
      </w:pPr>
      <w:r>
        <w:rPr>
          <w:sz w:val="17"/>
        </w:rPr>
        <w:t>Qwen Team. (2024). Qwen2.5 technical report. arXiv:2412.15115.</w:t>
      </w:r>
    </w:p>
    <w:p>
      <w:pPr>
        <w:spacing w:after="20"/>
        <w:ind w:left="454" w:hanging="454"/>
      </w:pPr>
      <w:r>
        <w:rPr>
          <w:sz w:val="17"/>
        </w:rPr>
        <w:t>Yao, S., Zhao, J., Yu, D., Du, N., Shafran, I., Narasimhan, K., &amp; Cao, Y. (2023). ReAct: Synergizing reasoning and acting in language models. ICLR 2023. arXiv:2210.03629.</w:t>
      </w:r>
    </w:p>
    <w:sectPr w:rsidR="00FC693F" w:rsidRPr="0006063C" w:rsidSect="00034616"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559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