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RECURSO DE REPOSICIÓN — CARLOS PÉREZ (Accionista)</w:t>
      </w:r>
    </w:p>
    <w:p>
      <w:pPr>
        <w:jc w:val="center"/>
      </w:pPr>
      <w:r>
        <w:rPr>
          <w:b w:val="0"/>
          <w:sz w:val="22"/>
        </w:rPr>
        <w:t>Bogotá D.C., febrero de 2024</w:t>
      </w:r>
    </w:p>
    <w:p/>
    <w:p>
      <w:r>
        <w:rPr>
          <w:b w:val="0"/>
          <w:sz w:val="22"/>
        </w:rPr>
        <w:t>Señor</w:t>
      </w:r>
    </w:p>
    <w:p>
      <w:r>
        <w:rPr>
          <w:b w:val="0"/>
          <w:sz w:val="22"/>
        </w:rPr>
        <w:t>SUPERINTENDENTE</w:t>
      </w:r>
    </w:p>
    <w:p>
      <w:r>
        <w:rPr>
          <w:b w:val="0"/>
          <w:sz w:val="22"/>
        </w:rPr>
        <w:t>E. S. D.</w:t>
      </w:r>
    </w:p>
    <w:p/>
    <w:p>
      <w:r>
        <w:rPr>
          <w:b w:val="0"/>
          <w:sz w:val="22"/>
        </w:rPr>
        <w:t>En ejercicio del derecho consagrado en el artículo 76 de la Ley 1437 de 2011, interpongo recurso de reposición contra la Resolución No. 2024-001, con base en los siguientes argumentos:</w:t>
      </w:r>
    </w:p>
    <w:p/>
    <w:p>
      <w:r>
        <w:rPr>
          <w:b/>
          <w:sz w:val="22"/>
        </w:rPr>
        <w:t>1. FALTA DE COMPETENCIA DE LA ENTIDAD</w:t>
      </w:r>
    </w:p>
    <w:p>
      <w:r>
        <w:rPr>
          <w:b w:val="0"/>
          <w:sz w:val="22"/>
        </w:rPr>
        <w:t>El recurrente sostiene que la Superintendencia carece de competencia para investigar y sancionar las conductas objeto del procedimiento, pues corresponde exclusivamente a la Contraloría General de la República adelantar este tipo de actuaciones. La resolución impugnada viola el principio de legalidad al usurpar funciones que no le corresponden a esta Entidad.</w:t>
      </w:r>
    </w:p>
    <w:p/>
    <w:p>
      <w:r>
        <w:rPr>
          <w:b/>
          <w:sz w:val="22"/>
        </w:rPr>
        <w:t>2. VIOLACIÓN AL DEBIDO PROCESO Y DERECHO DE DEFENSA</w:t>
      </w:r>
    </w:p>
    <w:p>
      <w:r>
        <w:rPr>
          <w:b w:val="0"/>
          <w:sz w:val="22"/>
        </w:rPr>
        <w:t>El recurrente manifiesta que durante el trámite administrativo no se le permitió ejercer plenamente su derecho de contradicción, pues varios documentos del expediente fueron clasificados como reservados sin justificación legal. Esta actuación vulnera el artículo 29 constitucional y el principio de publicidad del procedimiento administrativo.</w:t>
      </w:r>
    </w:p>
    <w:p/>
    <w:p>
      <w:r>
        <w:rPr>
          <w:b/>
          <w:sz w:val="22"/>
        </w:rPr>
        <w:t>3. PRESCRIPCIÓN DE LA ACCIÓN</w:t>
      </w:r>
    </w:p>
    <w:p>
      <w:r>
        <w:rPr>
          <w:b w:val="0"/>
          <w:sz w:val="22"/>
        </w:rPr>
        <w:t>Argumenta el recurrente que transcurrió más de tres años entre la ocurrencia de los hechos y la iniciación formal de la investigación, por lo que operó la prescripción de la acción sancionatoria. La entidad no puede sancionar conductas respecto de las cuales su potestad ha caducado.</w:t>
      </w:r>
    </w:p>
    <w:p/>
    <w:p>
      <w:r>
        <w:rPr>
          <w:b/>
          <w:sz w:val="22"/>
        </w:rPr>
        <w:t>4. INEXISTENCIA DE LA INFRACCIÓN</w:t>
      </w:r>
    </w:p>
    <w:p>
      <w:r>
        <w:rPr>
          <w:b w:val="0"/>
          <w:sz w:val="22"/>
        </w:rPr>
        <w:t>Sostiene que los hechos investigados no constituyen infracción a ninguna norma legal o reglamentaria vigente. La conducta atribuida a la empresa es una práctica comercial lícita, amparada por la libertad de empresa y la autonomía privada reconocidas en la Constitución Política.</w:t>
      </w:r>
    </w:p>
    <w:p/>
    <w:p>
      <w:r>
        <w:rPr>
          <w:b/>
          <w:sz w:val="22"/>
        </w:rPr>
        <w:t>PETICIÓN</w:t>
      </w:r>
    </w:p>
    <w:p>
      <w:r>
        <w:rPr>
          <w:b w:val="0"/>
          <w:sz w:val="22"/>
        </w:rPr>
        <w:t>Con base en los argumentos expuestos, solicito respetuosamente revocar la Resolución No. 2024-001 o, en subsidio, modificarla reduciendo sustancialmente la sanción impuesta.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