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RECURSO DE REPOSICIÓN — XYZ S.A.S.</w:t>
      </w:r>
    </w:p>
    <w:p>
      <w:pPr>
        <w:jc w:val="center"/>
      </w:pPr>
      <w:r>
        <w:rPr>
          <w:b w:val="0"/>
          <w:sz w:val="22"/>
        </w:rPr>
        <w:t>Bogotá D.C., febrero de 2024</w:t>
      </w:r>
    </w:p>
    <w:p/>
    <w:p>
      <w:r>
        <w:rPr>
          <w:b w:val="0"/>
          <w:sz w:val="22"/>
        </w:rPr>
        <w:t>Señor</w:t>
      </w:r>
    </w:p>
    <w:p>
      <w:r>
        <w:rPr>
          <w:b w:val="0"/>
          <w:sz w:val="22"/>
        </w:rPr>
        <w:t>SUPERINTENDENTE</w:t>
      </w:r>
    </w:p>
    <w:p>
      <w:r>
        <w:rPr>
          <w:b w:val="0"/>
          <w:sz w:val="22"/>
        </w:rPr>
        <w:t>E. S. D.</w:t>
      </w:r>
    </w:p>
    <w:p/>
    <w:p>
      <w:r>
        <w:rPr>
          <w:b w:val="0"/>
          <w:sz w:val="22"/>
        </w:rPr>
        <w:t>En ejercicio del derecho consagrado en el artículo 76 de la Ley 1437 de 2011, interpongo recurso de reposición contra la Resolución No. 2024-001, con base en los siguientes argumentos:</w:t>
      </w:r>
    </w:p>
    <w:p/>
    <w:p>
      <w:r>
        <w:rPr>
          <w:b/>
          <w:sz w:val="22"/>
        </w:rPr>
        <w:t>1. VIOLACIÓN AL DEBIDO PROCESO</w:t>
      </w:r>
    </w:p>
    <w:p>
      <w:r>
        <w:rPr>
          <w:b w:val="0"/>
          <w:sz w:val="22"/>
        </w:rPr>
        <w:t>Señala el recurrente que la resolución sancionatoria desconoce las garantías del debido proceso administrativo, toda vez que la entidad no cumplió con el traslado oportuno de la totalidad del expediente. Esta omisión vulnera el artículo 29 de la Constitución Política y el artículo 47 de la Ley 1437 de 2011. En consecuencia, solicita se declare la nulidad de la actuación.</w:t>
      </w:r>
    </w:p>
    <w:p/>
    <w:p>
      <w:r>
        <w:rPr>
          <w:b/>
          <w:sz w:val="22"/>
        </w:rPr>
        <w:t>2. PRESCRIPCIÓN DE LA ACCIÓN SANCIONATORIA</w:t>
      </w:r>
    </w:p>
    <w:p>
      <w:r>
        <w:rPr>
          <w:b w:val="0"/>
          <w:sz w:val="22"/>
        </w:rPr>
        <w:t>Aduce el apoderado que la acción sancionatoria se encuentra prescrita, pues los hechos investigados ocurrieron el 10 de marzo de 2022 y la notificación del auto de apertura no se realizó dentro del término de un año establecido en la norma. Por lo anterior, la potestad sancionatoria se extinguió y la resolución carece de fundamento jurídico.</w:t>
      </w:r>
    </w:p>
    <w:p/>
    <w:p>
      <w:r>
        <w:rPr>
          <w:b/>
          <w:sz w:val="22"/>
        </w:rPr>
        <w:t>3. AUSENCIA DE CULPA</w:t>
      </w:r>
    </w:p>
    <w:p>
      <w:r>
        <w:rPr>
          <w:b w:val="0"/>
          <w:sz w:val="22"/>
        </w:rPr>
        <w:t>Manifiesta el recurrente que no existió culpa ni dolo en la conducta de su representada, pues adoptó todas las medidas razonables para dar cumplimiento a las obligaciones legales. La empresa contratió una firma consultora especializada y actuó de buena fe, lo que excluye cualquier reproche sancionatorio.</w:t>
      </w:r>
    </w:p>
    <w:p/>
    <w:p>
      <w:r>
        <w:rPr>
          <w:b/>
          <w:sz w:val="22"/>
        </w:rPr>
        <w:t>4. DESPROPORCIÓN DE LA SANCIÓN</w:t>
      </w:r>
    </w:p>
    <w:p>
      <w:r>
        <w:rPr>
          <w:b w:val="0"/>
          <w:sz w:val="22"/>
        </w:rPr>
        <w:t>Alega el recurrente que la multa impuesta de cien millones de pesos resulta desproporcionada en relación con la gravedad de la conducta y la capacidad económica de la empresa. Solicita que se reduzca la sanción a veinte millones de pesos, atendiendo los criterios de graduación previstos en la ley.</w:t>
      </w:r>
    </w:p>
    <w:p/>
    <w:p>
      <w:r>
        <w:rPr>
          <w:b/>
          <w:sz w:val="22"/>
        </w:rPr>
        <w:t>PETICIÓN</w:t>
      </w:r>
    </w:p>
    <w:p>
      <w:r>
        <w:rPr>
          <w:b w:val="0"/>
          <w:sz w:val="22"/>
        </w:rPr>
        <w:t>Con base en los argumentos expuestos, solicito respetuosamente revocar la Resolución No. 2024-001 o, en subsidio, modificarla reduciendo sustancialmente la sanción impuesta.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