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RECURSO DE REPOSICIÓN — GREMIO EMPRESARIAL (Tercero interviniente)</w:t>
      </w:r>
    </w:p>
    <w:p>
      <w:pPr>
        <w:jc w:val="center"/>
      </w:pPr>
      <w:r>
        <w:rPr>
          <w:b w:val="0"/>
          <w:sz w:val="22"/>
        </w:rPr>
        <w:t>Bogotá D.C., febrero de 2024</w:t>
      </w:r>
    </w:p>
    <w:p/>
    <w:p>
      <w:r>
        <w:rPr>
          <w:b w:val="0"/>
          <w:sz w:val="22"/>
        </w:rPr>
        <w:t>Señor</w:t>
      </w:r>
    </w:p>
    <w:p>
      <w:r>
        <w:rPr>
          <w:b w:val="0"/>
          <w:sz w:val="22"/>
        </w:rPr>
        <w:t>SUPERINTENDENTE</w:t>
      </w:r>
    </w:p>
    <w:p>
      <w:r>
        <w:rPr>
          <w:b w:val="0"/>
          <w:sz w:val="22"/>
        </w:rPr>
        <w:t>E. S. D.</w:t>
      </w:r>
    </w:p>
    <w:p/>
    <w:p>
      <w:r>
        <w:rPr>
          <w:b w:val="0"/>
          <w:sz w:val="22"/>
        </w:rPr>
        <w:t>En ejercicio del derecho consagrado en el artículo 76 de la Ley 1437 de 2011, interpongo recurso de reposición contra la Resolución No. 2024-001, con base en los siguientes argumentos:</w:t>
      </w:r>
    </w:p>
    <w:p/>
    <w:p>
      <w:r>
        <w:rPr>
          <w:b/>
          <w:sz w:val="22"/>
        </w:rPr>
        <w:t>1. IMPACTO SECTORIAL DE LA DECISIÓN</w:t>
      </w:r>
    </w:p>
    <w:p>
      <w:r>
        <w:rPr>
          <w:b w:val="0"/>
          <w:sz w:val="22"/>
        </w:rPr>
        <w:t>El gremio empresarial manifiesta que la resolución sancionatoria crea un precedente negativo para toda la industria, pues prohíbe prácticas que han sido habituales y necesarias para el funcionamiento del mercado durante más de una década. La decisión genera inseguridad jurídica y desincentiva la inversión en el sector.</w:t>
      </w:r>
    </w:p>
    <w:p/>
    <w:p>
      <w:r>
        <w:rPr>
          <w:b/>
          <w:sz w:val="22"/>
        </w:rPr>
        <w:t>2. VIOLACIÓN AL DEBIDO PROCESO COLECTIVO</w:t>
      </w:r>
    </w:p>
    <w:p>
      <w:r>
        <w:rPr>
          <w:b w:val="0"/>
          <w:sz w:val="22"/>
        </w:rPr>
        <w:t>Argumenta el gremio que no fue vinculado oportunamente al proceso, pese a tener interés legítimo en el mismo. Esta omisión desconoce su derecho de participación en actuaciones administrativas que afectan directamente a sus afiliados, conforme al artículo 13 de la Ley 1437 de 2011.</w:t>
      </w:r>
    </w:p>
    <w:p/>
    <w:p>
      <w:r>
        <w:rPr>
          <w:b/>
          <w:sz w:val="22"/>
        </w:rPr>
        <w:t>3. PRESCRIPCIÓN Y CADUCIDAD</w:t>
      </w:r>
    </w:p>
    <w:p>
      <w:r>
        <w:rPr>
          <w:b w:val="0"/>
          <w:sz w:val="22"/>
        </w:rPr>
        <w:t>Reitera que la acción sancionatoria está prescrita y la entidad no podía ejercer su potestad punitiva respecto de conductas tan antiguas. La seguridad jurídica exige que las sanciones se impongan oportunamente o no se impongan. El paso del tiempo extingue la potestad sancionatoria.</w:t>
      </w:r>
    </w:p>
    <w:p/>
    <w:p>
      <w:r>
        <w:rPr>
          <w:b/>
          <w:sz w:val="22"/>
        </w:rPr>
        <w:t>4. FALTA DE PROPORCIONALIDAD</w:t>
      </w:r>
    </w:p>
    <w:p>
      <w:r>
        <w:rPr>
          <w:b w:val="0"/>
          <w:sz w:val="22"/>
        </w:rPr>
        <w:t>La sanción impuesta no guarda proporcionalidad con el bien jurídico presuntamente afectado ni con las circunstancias atenuantes del caso. La ley exige que la graduación de las sanciones atienda criterios objetivos como el beneficio obtenido, el daño causado y la buena fe del infractor. Ninguno de estos criterios fue considerado adecuadamente.</w:t>
      </w:r>
    </w:p>
    <w:p/>
    <w:p>
      <w:r>
        <w:rPr>
          <w:b/>
          <w:sz w:val="22"/>
        </w:rPr>
        <w:t>PETICIÓN</w:t>
      </w:r>
    </w:p>
    <w:p>
      <w:r>
        <w:rPr>
          <w:b w:val="0"/>
          <w:sz w:val="22"/>
        </w:rPr>
        <w:t>Con base en los argumentos expuestos, solicito respetuosamente revocar la Resolución No. 2024-001 o, en subsidio, modificarla reduciendo sustancialmente la sanción impuesta.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