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RECURSO DE REPOSICIÓN — MARÍA TORRES (Representante Legal)</w:t>
      </w:r>
    </w:p>
    <w:p>
      <w:pPr>
        <w:jc w:val="center"/>
      </w:pPr>
      <w:r>
        <w:rPr>
          <w:b w:val="0"/>
          <w:sz w:val="22"/>
        </w:rPr>
        <w:t>Bogotá D.C., febrero de 2024</w:t>
      </w:r>
    </w:p>
    <w:p/>
    <w:p>
      <w:r>
        <w:rPr>
          <w:b w:val="0"/>
          <w:sz w:val="22"/>
        </w:rPr>
        <w:t>Señor</w:t>
      </w:r>
    </w:p>
    <w:p>
      <w:r>
        <w:rPr>
          <w:b w:val="0"/>
          <w:sz w:val="22"/>
        </w:rPr>
        <w:t>SUPERINTENDENTE</w:t>
      </w:r>
    </w:p>
    <w:p>
      <w:r>
        <w:rPr>
          <w:b w:val="0"/>
          <w:sz w:val="22"/>
        </w:rPr>
        <w:t>E. S. D.</w:t>
      </w:r>
    </w:p>
    <w:p/>
    <w:p>
      <w:r>
        <w:rPr>
          <w:b w:val="0"/>
          <w:sz w:val="22"/>
        </w:rPr>
        <w:t>En ejercicio del derecho consagrado en el artículo 76 de la Ley 1437 de 2011, interpongo recurso de reposición contra la Resolución No. 2024-001, con base en los siguientes argumentos:</w:t>
      </w:r>
    </w:p>
    <w:p/>
    <w:p>
      <w:r>
        <w:rPr>
          <w:b/>
          <w:sz w:val="22"/>
        </w:rPr>
        <w:t>1. NULIDAD POR VICIOS DE PROCEDIMIENTO</w:t>
      </w:r>
    </w:p>
    <w:p>
      <w:r>
        <w:rPr>
          <w:b w:val="0"/>
          <w:sz w:val="22"/>
        </w:rPr>
        <w:t>La representante legal alega que el procedimiento administrativo adolece de vicios insubsanables de nulidad, pues el funcionario instructor no tenía competencia para firmar el pliego de cargos. Esta irregularidad afecta la validez de todos los actos expedidos con posterioridad y vicia de nulidad absoluta la resolución sancionatoria.</w:t>
      </w:r>
    </w:p>
    <w:p/>
    <w:p>
      <w:r>
        <w:rPr>
          <w:b/>
          <w:sz w:val="22"/>
        </w:rPr>
        <w:t>2. DESPROPORCIÓN E IRRAZONABILIDAD DE LA SANCIÓN</w:t>
      </w:r>
    </w:p>
    <w:p>
      <w:r>
        <w:rPr>
          <w:b w:val="0"/>
          <w:sz w:val="22"/>
        </w:rPr>
        <w:t>La recurrente argumenta que la sanción impuesta es manifiestamente desproporcionada e irrazonable. La multa de cien millones de pesos equivale al 40% de los ingresos anuales de la empresa, lo que amenaza su viabilidad financiera y desconoce el principio de proporcionalidad. Solicita reducción a un máximo del 5% de los ingresos anuales.</w:t>
      </w:r>
    </w:p>
    <w:p/>
    <w:p>
      <w:r>
        <w:rPr>
          <w:b/>
          <w:sz w:val="22"/>
        </w:rPr>
        <w:t>3. AUSENCIA DE DOLO O CULPA GRAVE</w:t>
      </w:r>
    </w:p>
    <w:p>
      <w:r>
        <w:rPr>
          <w:b w:val="0"/>
          <w:sz w:val="22"/>
        </w:rPr>
        <w:t>Manifiesta que la empresa actuó siempre de buena fe y no incurrió en culpa grave ni dolo. Todas las actuaciones se realizaron siguiendo el consejo de expertos legales y con la convicción de estar obrando conforme a la ley. La culpa leve no puede ser suficiente para imponer una sanción de esta magnitud en el marco de una actividad empresarial legítima.</w:t>
      </w:r>
    </w:p>
    <w:p/>
    <w:p>
      <w:r>
        <w:rPr>
          <w:b/>
          <w:sz w:val="22"/>
        </w:rPr>
        <w:t>4. VIOLACIÓN AL PRINCIPIO DE CONFIANZA LEGÍTIMA</w:t>
      </w:r>
    </w:p>
    <w:p>
      <w:r>
        <w:rPr>
          <w:b w:val="0"/>
          <w:sz w:val="22"/>
        </w:rPr>
        <w:t>Señala que la Superintendencia había emitido conceptos y circulares en el pasado que permitían la conducta ahora sancionada, generando confianza legítima en los operadores del mercado. Sancionar conductas autorizadas implícitamente por la misma entidad viola los principios de buena fe y confianza legítima consagrados en la Constitución.</w:t>
      </w:r>
    </w:p>
    <w:p/>
    <w:p>
      <w:r>
        <w:rPr>
          <w:b/>
          <w:sz w:val="22"/>
        </w:rPr>
        <w:t>PETICIÓN</w:t>
      </w:r>
    </w:p>
    <w:p>
      <w:r>
        <w:rPr>
          <w:b w:val="0"/>
          <w:sz w:val="22"/>
        </w:rPr>
        <w:t>Con base en los argumentos expuestos, solicito respetuosamente revocar la Resolución No. 2024-001 o, en subsidio, modificarla reduciendo sustancialmente la sanción impuesta.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