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RESOLUCIÓN No. 2024-001</w:t>
      </w:r>
    </w:p>
    <w:p>
      <w:pPr>
        <w:jc w:val="center"/>
      </w:pPr>
      <w:r>
        <w:rPr>
          <w:b w:val="0"/>
          <w:sz w:val="22"/>
        </w:rPr>
        <w:t>Por la cual se impone sanción administrativa</w:t>
      </w:r>
    </w:p>
    <w:p>
      <w:pPr>
        <w:jc w:val="center"/>
      </w:pPr>
      <w:r>
        <w:rPr>
          <w:b w:val="0"/>
          <w:sz w:val="22"/>
        </w:rPr>
        <w:t>Bogotá D.C., 15 de enero de 2024</w:t>
      </w:r>
    </w:p>
    <w:p/>
    <w:p>
      <w:r>
        <w:rPr>
          <w:b/>
          <w:sz w:val="22"/>
        </w:rPr>
        <w:t>I. ANTECEDENTES</w:t>
      </w:r>
    </w:p>
    <w:p>
      <w:r>
        <w:rPr>
          <w:b w:val="0"/>
          <w:sz w:val="22"/>
        </w:rPr>
        <w:t>La Superintendencia inició investigación administrativa contra la empresa XYZ S.A.S., identificada con NIT 900.123.456-7, por presunta infracción a las normas del sector. El proceso se adelantó conforme al procedimiento establecido en la Ley 1437 de 2011.</w:t>
      </w:r>
    </w:p>
    <w:p>
      <w:r>
        <w:rPr>
          <w:b/>
          <w:sz w:val="22"/>
        </w:rPr>
        <w:t>II. CONSIDERACIONES</w:t>
      </w:r>
    </w:p>
    <w:p>
      <w:r>
        <w:rPr>
          <w:b w:val="0"/>
          <w:sz w:val="22"/>
        </w:rPr>
        <w:t>Con respecto al argumento del debido proceso, esta Entidad considera que el procedimiento administrativo sancionatorio fue adelantado en estricto cumplimiento de las garantías constitucionales y legales. Se notificó oportunamente al investigado, se le otorgó traslado de cargos y se garantizó el derecho de contradicción y defensa.</w:t>
      </w:r>
    </w:p>
    <w:p>
      <w:r>
        <w:rPr>
          <w:b w:val="0"/>
          <w:sz w:val="22"/>
        </w:rPr>
        <w:t>En relación con el argumento de prescripción de la acción sancionatoria, esta Superintendencia advierte que los hechos objeto de investigación ocurrieron el 10 de marzo de 2022, y la apertura de investigación se realizó el 5 de septiembre de 2022, es decir, dentro del término de tres (3) años previsto en el artículo 52 del Código Disciplinario. Por tanto, la acción sancionatoria no está prescrita.</w:t>
      </w:r>
    </w:p>
    <w:p>
      <w:r>
        <w:rPr>
          <w:b w:val="0"/>
          <w:sz w:val="22"/>
        </w:rPr>
        <w:t>Frente al argumento de falta de competencia, esta Entidad tiene plenas facultades constitucionales y legales para adelantar investigaciones y sancionar conductas que afecten el orden económico y social, de conformidad con lo establecido en el Decreto 4170 de 2011 y la Ley 1480 de 2011.</w:t>
      </w:r>
    </w:p>
    <w:p>
      <w:r>
        <w:rPr>
          <w:b w:val="0"/>
          <w:sz w:val="22"/>
        </w:rPr>
        <w:t>En cuanto al argumento de ausencia de dolo o culpa, esta Superintendencia verificó que la conducta infractora fue cometida de manera negligente, pues la empresa contaba con los medios para cumplir con la obligación y omitió adoptar las medidas necesarias. La culpa leve es suficiente para imponer sanción administrativa.</w:t>
      </w:r>
    </w:p>
    <w:p>
      <w:r>
        <w:rPr>
          <w:b/>
          <w:sz w:val="22"/>
        </w:rPr>
        <w:t>III. DECISIÓN</w:t>
      </w:r>
    </w:p>
    <w:p>
      <w:r>
        <w:rPr>
          <w:b w:val="0"/>
          <w:sz w:val="22"/>
        </w:rPr>
        <w:t>Por lo anteriormente expuesto, esta Superintendencia RESUELVE: PRIMERO: Sancionar a XYZ S.A.S. con multa de cien millones de pesos ($100.000.000). SEGUNDO: Notificar la presente resolución conforme a la ley. TERCERO: Contra la presente resolución proceden los recursos de reposición y en subsidio de apelación.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