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Quito, a 29 de Marzo de 2023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Sres. Castillo de Amaguaña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Presente.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Por medio de la presente, informo que se realizó el ajuste a los aplicativos del Club con lo que se detalla a continuación: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color w:val="222222"/>
                <w:kern w:val="0"/>
                <w:sz w:val="22"/>
                <w:szCs w:val="22"/>
                <w:shd w:fill="FFFFFF" w:val="clear"/>
                <w:lang w:val="es-EC" w:eastAsia="en-US" w:bidi="ar-SA"/>
              </w:rPr>
              <w:t>Sistema Cobranzas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30" w:hanging="27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lang w:val="es-EC" w:eastAsia="en-US" w:bidi="ar-SA"/>
              </w:rPr>
              <w:t>Solicitar que las descargas de los débitos sean automáticos para las entidades Banco Internacional y Banco Guayaquil y evitar realizar el proceso de forma manual. (Proceso similar al de débito pichincha).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/>
                <w:bCs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lang w:eastAsia="es-EC"/>
              </w:rPr>
            </w:pPr>
            <w:r>
              <w:rPr>
                <w:rFonts w:eastAsia="Times New Roman" w:cs="Calibri" w:cstheme="minorHAnsi"/>
                <w:b/>
                <w:bCs/>
                <w:color w:val="222222"/>
                <w:kern w:val="0"/>
                <w:sz w:val="22"/>
                <w:szCs w:val="22"/>
                <w:lang w:val="es-EC" w:eastAsia="es-EC" w:bidi="ar-SA"/>
              </w:rPr>
              <w:t>Respuesta: </w:t>
            </w:r>
            <w:r>
              <w:rPr>
                <w:rFonts w:eastAsia="Times New Roman" w:cs="Calibri" w:cstheme="minorHAnsi"/>
                <w:color w:val="000000"/>
                <w:kern w:val="0"/>
                <w:sz w:val="22"/>
                <w:szCs w:val="22"/>
                <w:lang w:val="es-EC" w:eastAsia="es-EC" w:bidi="ar-SA"/>
              </w:rPr>
              <w:t> 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2"/>
                <w:szCs w:val="22"/>
                <w:lang w:val="es-EC" w:eastAsia="es-EC" w:bidi="ar-SA"/>
              </w:rPr>
              <w:t xml:space="preserve">Se da solución a la novedad reportada, se realiza el ajuste y se valida con el personal técnico del club.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2"/>
                <w:szCs w:val="22"/>
                <w:lang w:val="es-EC" w:eastAsia="es-EC" w:bidi="ar-SA"/>
              </w:rPr>
              <w:t>Se realizan cambios a la base: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INSERT INTO zona (Cod_Zona, Zona, Cobrador, forma_pago_debito, Celular, mostrar, email)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VALUES ('23', NULL, 'INTERNACIONAL SCI', 'DEI', NULL, 1, NULL);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INSERT INTO zona (Cod_Zona, Zona, Cobrador, forma_pago_debito, Celular, mostrar, email)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t>VALUES ('24', NULL, 'INTERNACIONAL SCE', 'DEI', NULL, 1, NULL);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5400040" cy="1431925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4638675" cy="5162550"/>
                  <wp:effectExtent l="0" t="0" r="0" b="0"/>
                  <wp:docPr id="2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Actualizar el archivo de carga de Cuotas de Funcionamiento en Banco Guayaquil de acuerdo al formato actual.   AMERICAN EXPRESS, VISA, MASTERCARD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  <w:t>Solución: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s-EC" w:bidi="ar-SA"/>
              </w:rPr>
              <w:t xml:space="preserve">Se procede al ajuste de los archivos de descarga y se valida el proceso 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5400040" cy="1928495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Establecer un tiempo indefinido para los socios que solicitan exoneración de Cuotas de Funcionamiento por Capacidades Especiales al 50%, considerando que el sistema solo establece 3 años y al cumplirse este tiempo nuevamente genera las facturas de las Cuota de Funcionamiento con valores del 100%. Ampliar el rango de fechas.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  <w:t xml:space="preserve">Solución: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s-EC" w:bidi="ar-SA"/>
              </w:rPr>
              <w:t>Se procede al ajuste en la base de datos para que el sistema proceda como se indica en la petición.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Corrección en formato de fechas en reporte de invitaciones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  <w:t xml:space="preserve">Solución: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t>S</w:t>
            </w:r>
            <w:bookmarkStart w:id="0" w:name="_GoBack"/>
            <w:bookmarkEnd w:id="0"/>
            <w:r>
              <w:rPr>
                <w:kern w:val="0"/>
                <w:sz w:val="22"/>
                <w:szCs w:val="22"/>
                <w:lang w:val="es-EC" w:eastAsia="en-US" w:bidi="ar-SA"/>
              </w:rPr>
              <w:t>e corrige librería del reporte y se envía el cambio.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5400040" cy="2946400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s-EC" w:bidi="ar-SA"/>
              </w:rPr>
              <w:t xml:space="preserve">Se reporta </w:t>
            </w: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novedad con envío de correo sobre las notificaciones de pagos a los socios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s-EC" w:bidi="ar-SA"/>
              </w:rPr>
              <w:t>Solución: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Se ajusta correo como herramienta predeterminada en Windows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La primera vez que se ejecuta Thunderbird cuando se envíe el correo, se debe deshabilitar el visto de alerta de que existe otro programa intentando enviar correo.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5400040" cy="1867535"/>
                  <wp:effectExtent l="0" t="0" r="0" b="0"/>
                  <wp:docPr id="5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drawing>
                <wp:inline distT="0" distB="0" distL="0" distR="0">
                  <wp:extent cx="5400040" cy="2555875"/>
                  <wp:effectExtent l="0" t="0" r="0" b="0"/>
                  <wp:docPr id="6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 w:hanging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Cambiar meses de morosidad de 6 a 4 meses en reporte “Socios por anularse”.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  <w:t>Solución: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Se procede con el cambio solicitado en la pantalla y en el envío de correo al socio.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Ajustar proceso “Migración Pac” para que apunte a nueva configuración de base sistema contable alojado en la nube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C" w:eastAsia="en-US" w:bidi="ar-SA"/>
              </w:rPr>
              <w:t>Solución: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  <w:t>Se realiza el ajuste en el proceso de conexión y se valida con el usuario.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s-EC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b/>
                <w:kern w:val="0"/>
                <w:sz w:val="22"/>
                <w:szCs w:val="22"/>
                <w:lang w:val="es-EC" w:eastAsia="en-US" w:bidi="ar-SA"/>
              </w:rPr>
              <w:t>Ajuste proceso “Migración Siaccess”, se solicita se pueda sincronizar en la base de este proceso los campos: “fecha nacimiento”, “correo”, “celular”, “dirección domiciliaria” del socio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720" w:hanging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s-EC" w:bidi="ar-SA"/>
              </w:rPr>
              <w:t>Solución: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kern w:val="0"/>
                <w:sz w:val="22"/>
                <w:szCs w:val="22"/>
                <w:lang w:val="es-EC" w:eastAsia="en-US" w:bidi="ar-SA"/>
              </w:rPr>
              <w:t>Se procede con el ajuste al proceso para actualizar los campos indicados y se valida con el usuario.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b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s-EC" w:bidi="ar-SA"/>
              </w:rPr>
              <w:t xml:space="preserve"> 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222222"/>
                <w:lang w:eastAsia="es-EC"/>
              </w:rPr>
            </w:pPr>
            <w:r>
              <w:rPr>
                <w:rFonts w:eastAsia="Times New Roman" w:cs="Calibri" w:cstheme="minorHAnsi"/>
                <w:color w:val="222222"/>
                <w:kern w:val="0"/>
                <w:sz w:val="22"/>
                <w:szCs w:val="22"/>
                <w:lang w:val="es-EC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s-EC" w:eastAsia="en-US" w:bidi="ar-SA"/>
              </w:rPr>
            </w:r>
          </w:p>
        </w:tc>
      </w:tr>
    </w:tbl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Atentamente.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  <w:t>Ing. Pavel Torres V.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eastAsia="Times New Roman" w:cs="Calibri" w:asciiTheme="minorHAnsi" w:cstheme="minorHAnsi" w:hAnsiTheme="minorHAnsi"/>
        <w:color w:val="2222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336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0f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72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LibreOffice/7.3.7.2$Linux_X86_64 LibreOffice_project/30$Build-2</Application>
  <AppVersion>15.0000</AppVersion>
  <Pages>4</Pages>
  <Words>445</Words>
  <Characters>2269</Characters>
  <CharactersWithSpaces>2669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2020-11-26T18:05:00Z</dcterms:created>
  <dc:creator>Usuario de Windows</dc:creator>
  <dc:description/>
  <dc:language>es-EC</dc:language>
  <cp:lastModifiedBy>Usuario de Windows</cp:lastModifiedBy>
  <dcterms:modified xsi:type="dcterms:W3CDTF">2023-03-29T14:30:00Z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