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m1</w:t>
            </w: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m2</w:t>
            </w: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m3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Geschlecht der beurteilten Person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Frau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(0.044)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(0.045)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(0.056)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Kind &lt;18 im Haushalt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Kind im Haushalt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(0.055)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(0.074)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Geschlecht der befragten Person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Frau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(0.045)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(0.045)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Alter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30-44 Jahre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(0.070)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(0.070)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45-59 Jahre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&gt;=60 Jahre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Höchster Bildungsabschluss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Sekundarstufe II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(0.056)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(0.056)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post-sek., tertiär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-0.155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-0.156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(0.076)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(0.075)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Wohnortgröße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Vorstadt, kleine Stadt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Land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(0.064)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(0.064)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Geschlecht der beurteilten Person # Kind &lt;18 im Haushalt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Frau # Kind im Haushalt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(0.092)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(0.032)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(0.084)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(0.086)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