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Si de tant en tant, hem de destacar un any en què van passar força coses destacables i concloure que van passar coses “que ho van canviar tot”, es diu i punt. I més encara si l'any anterior va ser més aviat calmat. </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El 1981 va ser aquell any en què per primera vegada vam conèixer el significat, i vam correlacionar les lletres de les inicials SIDA.</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Va ser aquell any en què succeïa el cop d'estat del 23 de febrer que tot i que no va reeixir, va comportar unes limitacions evidents a l’autogovern de Catalunya.</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A Irlanda, una llarga vaga de fam per demanar el reconeixement de presoners de guerra als membres de l'IRA. Moririen 10 presoners.</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El transbordador espacial Columbia culminava amb èxit el seu primer vol espacial.</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Belice, Antigua i Barbuda s'independitzaven del Regne Unit.</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Un altre dia 23, en aquest cas de maig, deixava el seu rastre a la vora d'aquí. A Barcelona hi va haver un estrambòtic assalt a la sucursal del Banc Central a la plaça de Catalunya, del qual tampoc ens n'han explicat la raó. El mateix dia a Granollers la nova emissora de ràdio municipal iniciava les seves emissions. Un bon any per començar si ens atenim a alguns dels èxits musicals de l’any com “preassure” de David Bowie, “Start me Up” dels Rollings, “In the air tonight” o “Don’t you wat me” The Human League.</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Al cinema, el carter sempre trucava dues vegades, i a fe de Déu que la Jessica Lange li obria la porta, també sempre.</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Aquell any també es va inaugurar la nova carretera de Lliçà d'Amunt, el nou local de la Societat Coral Amics de la Unió, el Casal de Jove, el nou portal de l'església de Sant Esteve i entraven els primers agents femenins al cos de la Guàrdia Urbana.</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La lliga espanyola de bàsquet va ser per al Reial Madrid i el FCBarcelona, va guanyar la Copa del Rei mentre el Maccabi de Tel-Aviv s'enduia la Copa d'Europa.</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L'NBA va ser per a Boston i el mvp per a Julius Erwing.</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Era aquella època en què en el món del tenis Borg i McEnroe es “repartien el bacallà”.</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En sintonia, aquells anys naixien Roger Federer i Serena Williams.</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El 1981 també van néixer Alicia Keys, Samuel Eto'o i Zlatan Ibrahimović.</w:t>
      </w:r>
    </w:p>
    <w:p w:rsidR="00000000" w:rsidDel="00000000" w:rsidP="00000000" w:rsidRDefault="00000000" w:rsidRPr="00000000" w14:paraId="0000000F">
      <w:pPr>
        <w:shd w:fill="ffffff" w:val="clear"/>
        <w:spacing w:line="240" w:lineRule="auto"/>
        <w:jc w:val="both"/>
        <w:rPr/>
      </w:pPr>
      <w:r w:rsidDel="00000000" w:rsidR="00000000" w:rsidRPr="00000000">
        <w:rPr>
          <w:sz w:val="24"/>
          <w:szCs w:val="24"/>
          <w:rtl w:val="0"/>
        </w:rPr>
        <w:t xml:space="preserve">Bobby Sands, va ser el primer a morir a la vaga de fam d'Irlanda. Aquell any també morien Josep Pla, Bob Marley, Georges Brassens, Joe Louis i Moshe Dayan.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