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13B1" w14:textId="77777777" w:rsidR="005235B2" w:rsidRPr="001966D3" w:rsidRDefault="00000000">
      <w:pPr>
        <w:spacing w:after="40"/>
        <w:jc w:val="center"/>
        <w:rPr>
          <w:lang w:val="es-CO"/>
        </w:rPr>
      </w:pPr>
      <w:r w:rsidRPr="001966D3">
        <w:rPr>
          <w:b/>
          <w:color w:val="1F4E79"/>
          <w:sz w:val="32"/>
          <w:lang w:val="es-CO"/>
        </w:rPr>
        <w:t>Informe de avance del proyecto de grado</w:t>
      </w:r>
    </w:p>
    <w:p w14:paraId="4B905F1E" w14:textId="77777777" w:rsidR="005235B2" w:rsidRPr="001966D3" w:rsidRDefault="00000000">
      <w:pPr>
        <w:jc w:val="center"/>
        <w:rPr>
          <w:lang w:val="es-CO"/>
        </w:rPr>
      </w:pPr>
      <w:r w:rsidRPr="001966D3">
        <w:rPr>
          <w:b/>
          <w:sz w:val="24"/>
          <w:lang w:val="es-CO"/>
        </w:rPr>
        <w:t>Identificación de factores de riesgo de malnutrición en niños prematuros evaluados a 12 meses de edad corregida</w:t>
      </w:r>
    </w:p>
    <w:p w14:paraId="7C9DD870" w14:textId="77777777" w:rsidR="005235B2" w:rsidRPr="001966D3" w:rsidRDefault="00000000">
      <w:pPr>
        <w:spacing w:after="120"/>
        <w:jc w:val="center"/>
        <w:rPr>
          <w:lang w:val="es-CO"/>
        </w:rPr>
      </w:pPr>
      <w:r w:rsidRPr="001966D3">
        <w:rPr>
          <w:lang w:val="es-CO"/>
        </w:rPr>
        <w:t>Autores: ________________________________________________     Fecha: abril de 2026</w:t>
      </w:r>
    </w:p>
    <w:p w14:paraId="4E853906" w14:textId="77777777" w:rsidR="005235B2" w:rsidRPr="001966D3" w:rsidRDefault="00000000">
      <w:pPr>
        <w:pStyle w:val="Ttulo1"/>
        <w:spacing w:before="120" w:after="40"/>
        <w:rPr>
          <w:lang w:val="es-CO"/>
        </w:rPr>
      </w:pPr>
      <w:r w:rsidRPr="001966D3">
        <w:rPr>
          <w:lang w:val="es-CO"/>
        </w:rPr>
        <w:t>1. Descripción breve de la propuesta de solución</w:t>
      </w:r>
    </w:p>
    <w:p w14:paraId="67E96A3A" w14:textId="77777777" w:rsidR="005235B2" w:rsidRPr="001966D3" w:rsidRDefault="00000000">
      <w:pPr>
        <w:jc w:val="both"/>
        <w:rPr>
          <w:lang w:val="es-CO"/>
        </w:rPr>
      </w:pPr>
      <w:r w:rsidRPr="001966D3">
        <w:rPr>
          <w:lang w:val="es-CO"/>
        </w:rPr>
        <w:t>El proyecto busca apoyar la toma de decisiones clínicas del Programa Madre Canguro Integral (PMCI) mediante modelos de aprendizaje automático que estimen el riesgo de malnutrición a los 12 meses de edad corregida (EC) en niños prematuros o con bajo peso al nacer. La propuesta parte de una necesidad clínica concreta: identificar tempranamente factores de riesgo modificables y no modificables para priorizar intervenciones nutricionales y de seguimiento antes de que el déficit sea evidente a los 12 meses.</w:t>
      </w:r>
    </w:p>
    <w:p w14:paraId="009D251E" w14:textId="77777777" w:rsidR="005235B2" w:rsidRPr="001966D3" w:rsidRDefault="00000000">
      <w:pPr>
        <w:jc w:val="both"/>
        <w:rPr>
          <w:lang w:val="es-CO"/>
        </w:rPr>
      </w:pPr>
      <w:r w:rsidRPr="001966D3">
        <w:rPr>
          <w:lang w:val="es-CO"/>
        </w:rPr>
        <w:t>La solución desarrollada hasta el momento es una cascada temporal de modelos LightGBM que calcula el riesgo en siete momentos clínicos acumulativos, desde variables prenatales y del parto hasta la visita de 9 meses EC. Los desenlaces se definieron con criterios antropométricos usados internacionalmente: stunting o talla baja (HAZ &lt; -2 DS), bajo peso (WAZ &lt; -2 DS) y wasting o desnutrición aguda (WHZ &lt; -2 DS), coherentes con los estándares de crecimiento de la OMS (World Health Organization, 2006).</w:t>
      </w:r>
    </w:p>
    <w:p w14:paraId="27A58E8C" w14:textId="77777777" w:rsidR="005235B2" w:rsidRPr="001966D3" w:rsidRDefault="00000000">
      <w:pPr>
        <w:jc w:val="both"/>
        <w:rPr>
          <w:lang w:val="es-CO"/>
        </w:rPr>
      </w:pPr>
      <w:r w:rsidRPr="001966D3">
        <w:rPr>
          <w:lang w:val="es-CO"/>
        </w:rPr>
        <w:t>El enfoque mantiene una lectura clínica: no solo produce probabilidades, sino que identifica variables influyentes mediante SHAP, lo que permite discutir los resultados con neonatólogos y convertir el modelo en una herramienta de soporte, no en un sustituto del juicio médico.</w:t>
      </w:r>
    </w:p>
    <w:p w14:paraId="155A4F81" w14:textId="77777777" w:rsidR="005235B2" w:rsidRPr="001966D3" w:rsidRDefault="00000000">
      <w:pPr>
        <w:pStyle w:val="Ttulo1"/>
        <w:spacing w:before="120" w:after="40"/>
        <w:rPr>
          <w:lang w:val="es-CO"/>
        </w:rPr>
      </w:pPr>
      <w:r w:rsidRPr="001966D3">
        <w:rPr>
          <w:lang w:val="es-CO"/>
        </w:rPr>
        <w:t>2. Recolección y preparación de los datos</w:t>
      </w:r>
    </w:p>
    <w:p w14:paraId="44A8C125" w14:textId="77777777" w:rsidR="005235B2" w:rsidRPr="001966D3" w:rsidRDefault="00000000">
      <w:pPr>
        <w:jc w:val="both"/>
        <w:rPr>
          <w:lang w:val="es-CO"/>
        </w:rPr>
      </w:pPr>
      <w:r w:rsidRPr="001966D3">
        <w:rPr>
          <w:lang w:val="es-CO"/>
        </w:rPr>
        <w:t>La información usada en el proyecto proviene de las historias clínicas anonimizadas del Programa Madre Canguro Integral de la Fundación Canguro. En total, la base contiene 64.801 registros de niños atendidos en el programa y 753 columnas con datos clínicos, familiares y de seguimiento. Estos datos permiten observar la evolución de cada niño desde antes del nacimiento hasta los controles de 3, 6, 9 y 12 meses de edad corregida.</w:t>
      </w:r>
    </w:p>
    <w:p w14:paraId="19069042" w14:textId="77777777" w:rsidR="005235B2" w:rsidRPr="001966D3" w:rsidRDefault="00000000">
      <w:pPr>
        <w:jc w:val="both"/>
        <w:rPr>
          <w:lang w:val="es-CO"/>
        </w:rPr>
      </w:pPr>
      <w:r w:rsidRPr="001966D3">
        <w:rPr>
          <w:lang w:val="es-CO"/>
        </w:rPr>
        <w:t>Antes de construir los modelos fue necesario ordenar y limpiar la base. Algunos campos venían marcados como "#NULL!", que en la práctica significa que el dato no estaba disponible; esos valores se trataron como información faltante. También se revisó cuáles columnas correspondían realmente a cada momento del seguimiento para evitar usar, por accidente, información del futuro. Por ejemplo, si el modelo pretende predecir el estado nutricional a los 12 meses, no puede usar variables medidas en esa misma visita como si fueran datos disponibles con anticipación.</w:t>
      </w:r>
    </w:p>
    <w:p w14:paraId="2BD8EDAC" w14:textId="77777777" w:rsidR="005235B2" w:rsidRPr="001966D3" w:rsidRDefault="00000000">
      <w:pPr>
        <w:jc w:val="both"/>
        <w:rPr>
          <w:lang w:val="es-CO"/>
        </w:rPr>
      </w:pPr>
      <w:r w:rsidRPr="001966D3">
        <w:rPr>
          <w:lang w:val="es-CO"/>
        </w:rPr>
        <w:t>La organización por fases permite hacer predicciones en distintos momentos de la atención. En F0 solo se usa información prenatal y del parto; luego cada fase agrega nuevos datos. Así, el modelo puede dar una alerta temprana cuando hay poca información, y una estimación más precisa cuando ya existen más controles del niño.</w:t>
      </w:r>
    </w:p>
    <w:tbl>
      <w:tblPr>
        <w:tblW w:w="0" w:type="auto"/>
        <w:jc w:val="center"/>
        <w:tblLook w:val="04A0" w:firstRow="1" w:lastRow="0" w:firstColumn="1" w:lastColumn="0" w:noHBand="0" w:noVBand="1"/>
      </w:tblPr>
      <w:tblGrid>
        <w:gridCol w:w="1008"/>
        <w:gridCol w:w="4464"/>
        <w:gridCol w:w="2016"/>
      </w:tblGrid>
      <w:tr w:rsidR="005235B2" w14:paraId="602EC407" w14:textId="77777777">
        <w:trPr>
          <w:jc w:val="center"/>
        </w:trPr>
        <w:tc>
          <w:tcPr>
            <w:tcW w:w="100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C22B414" w14:textId="77777777" w:rsidR="005235B2" w:rsidRDefault="00000000">
            <w:pPr>
              <w:spacing w:after="0"/>
            </w:pPr>
            <w:r>
              <w:rPr>
                <w:b/>
                <w:color w:val="1F4E79"/>
                <w:sz w:val="17"/>
              </w:rPr>
              <w:t>Fase</w:t>
            </w:r>
          </w:p>
        </w:tc>
        <w:tc>
          <w:tcPr>
            <w:tcW w:w="4464"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1A633FE1" w14:textId="77777777" w:rsidR="005235B2" w:rsidRDefault="00000000">
            <w:pPr>
              <w:spacing w:after="0"/>
            </w:pPr>
            <w:r>
              <w:rPr>
                <w:b/>
                <w:color w:val="1F4E79"/>
                <w:sz w:val="17"/>
              </w:rPr>
              <w:t>Momento clínico</w:t>
            </w:r>
          </w:p>
        </w:tc>
        <w:tc>
          <w:tcPr>
            <w:tcW w:w="201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6C9661B1" w14:textId="77777777" w:rsidR="005235B2" w:rsidRDefault="00000000">
            <w:pPr>
              <w:spacing w:after="0"/>
            </w:pPr>
            <w:r>
              <w:rPr>
                <w:b/>
                <w:color w:val="1F4E79"/>
                <w:sz w:val="17"/>
              </w:rPr>
              <w:t>Variables acumuladas</w:t>
            </w:r>
          </w:p>
        </w:tc>
      </w:tr>
      <w:tr w:rsidR="005235B2" w14:paraId="74CF15BE" w14:textId="77777777">
        <w:trPr>
          <w:jc w:val="center"/>
        </w:trPr>
        <w:tc>
          <w:tcPr>
            <w:tcW w:w="1008" w:type="dxa"/>
            <w:tcBorders>
              <w:top w:val="single" w:sz="4" w:space="0" w:color="BFBFBF"/>
              <w:left w:val="single" w:sz="4" w:space="0" w:color="BFBFBF"/>
              <w:bottom w:val="single" w:sz="4" w:space="0" w:color="BFBFBF"/>
              <w:right w:val="single" w:sz="4" w:space="0" w:color="BFBFBF"/>
            </w:tcBorders>
            <w:vAlign w:val="center"/>
          </w:tcPr>
          <w:p w14:paraId="7D231CC7" w14:textId="77777777" w:rsidR="005235B2" w:rsidRDefault="00000000">
            <w:pPr>
              <w:spacing w:after="0"/>
            </w:pPr>
            <w:r>
              <w:rPr>
                <w:sz w:val="17"/>
              </w:rPr>
              <w:t>F0</w:t>
            </w:r>
          </w:p>
        </w:tc>
        <w:tc>
          <w:tcPr>
            <w:tcW w:w="4464" w:type="dxa"/>
            <w:tcBorders>
              <w:top w:val="single" w:sz="4" w:space="0" w:color="BFBFBF"/>
              <w:left w:val="single" w:sz="4" w:space="0" w:color="BFBFBF"/>
              <w:bottom w:val="single" w:sz="4" w:space="0" w:color="BFBFBF"/>
              <w:right w:val="single" w:sz="4" w:space="0" w:color="BFBFBF"/>
            </w:tcBorders>
            <w:vAlign w:val="center"/>
          </w:tcPr>
          <w:p w14:paraId="4713EF23" w14:textId="77777777" w:rsidR="005235B2" w:rsidRDefault="00000000">
            <w:pPr>
              <w:spacing w:after="0"/>
            </w:pPr>
            <w:r>
              <w:rPr>
                <w:sz w:val="17"/>
              </w:rPr>
              <w:t>Prenatal / parto</w:t>
            </w:r>
          </w:p>
        </w:tc>
        <w:tc>
          <w:tcPr>
            <w:tcW w:w="2016" w:type="dxa"/>
            <w:tcBorders>
              <w:top w:val="single" w:sz="4" w:space="0" w:color="BFBFBF"/>
              <w:left w:val="single" w:sz="4" w:space="0" w:color="BFBFBF"/>
              <w:bottom w:val="single" w:sz="4" w:space="0" w:color="BFBFBF"/>
              <w:right w:val="single" w:sz="4" w:space="0" w:color="BFBFBF"/>
            </w:tcBorders>
            <w:vAlign w:val="center"/>
          </w:tcPr>
          <w:p w14:paraId="62C9DA78" w14:textId="77777777" w:rsidR="005235B2" w:rsidRDefault="00000000">
            <w:pPr>
              <w:spacing w:after="0"/>
            </w:pPr>
            <w:r>
              <w:rPr>
                <w:sz w:val="17"/>
              </w:rPr>
              <w:t>41</w:t>
            </w:r>
          </w:p>
        </w:tc>
      </w:tr>
      <w:tr w:rsidR="005235B2" w14:paraId="36FE22B0" w14:textId="77777777">
        <w:trPr>
          <w:jc w:val="center"/>
        </w:trPr>
        <w:tc>
          <w:tcPr>
            <w:tcW w:w="1008" w:type="dxa"/>
            <w:tcBorders>
              <w:top w:val="single" w:sz="4" w:space="0" w:color="BFBFBF"/>
              <w:left w:val="single" w:sz="4" w:space="0" w:color="BFBFBF"/>
              <w:bottom w:val="single" w:sz="4" w:space="0" w:color="BFBFBF"/>
              <w:right w:val="single" w:sz="4" w:space="0" w:color="BFBFBF"/>
            </w:tcBorders>
            <w:vAlign w:val="center"/>
          </w:tcPr>
          <w:p w14:paraId="4782064B" w14:textId="77777777" w:rsidR="005235B2" w:rsidRDefault="00000000">
            <w:pPr>
              <w:spacing w:after="0"/>
            </w:pPr>
            <w:r>
              <w:rPr>
                <w:sz w:val="17"/>
              </w:rPr>
              <w:t>F1</w:t>
            </w:r>
          </w:p>
        </w:tc>
        <w:tc>
          <w:tcPr>
            <w:tcW w:w="4464" w:type="dxa"/>
            <w:tcBorders>
              <w:top w:val="single" w:sz="4" w:space="0" w:color="BFBFBF"/>
              <w:left w:val="single" w:sz="4" w:space="0" w:color="BFBFBF"/>
              <w:bottom w:val="single" w:sz="4" w:space="0" w:color="BFBFBF"/>
              <w:right w:val="single" w:sz="4" w:space="0" w:color="BFBFBF"/>
            </w:tcBorders>
            <w:vAlign w:val="center"/>
          </w:tcPr>
          <w:p w14:paraId="62385737" w14:textId="77777777" w:rsidR="005235B2" w:rsidRDefault="00000000">
            <w:pPr>
              <w:spacing w:after="0"/>
            </w:pPr>
            <w:r>
              <w:rPr>
                <w:sz w:val="17"/>
              </w:rPr>
              <w:t>Nacimiento</w:t>
            </w:r>
          </w:p>
        </w:tc>
        <w:tc>
          <w:tcPr>
            <w:tcW w:w="2016" w:type="dxa"/>
            <w:tcBorders>
              <w:top w:val="single" w:sz="4" w:space="0" w:color="BFBFBF"/>
              <w:left w:val="single" w:sz="4" w:space="0" w:color="BFBFBF"/>
              <w:bottom w:val="single" w:sz="4" w:space="0" w:color="BFBFBF"/>
              <w:right w:val="single" w:sz="4" w:space="0" w:color="BFBFBF"/>
            </w:tcBorders>
            <w:vAlign w:val="center"/>
          </w:tcPr>
          <w:p w14:paraId="2676CF5E" w14:textId="77777777" w:rsidR="005235B2" w:rsidRDefault="00000000">
            <w:pPr>
              <w:spacing w:after="0"/>
            </w:pPr>
            <w:r>
              <w:rPr>
                <w:sz w:val="17"/>
              </w:rPr>
              <w:t>75</w:t>
            </w:r>
          </w:p>
        </w:tc>
      </w:tr>
      <w:tr w:rsidR="005235B2" w14:paraId="417F4CC6" w14:textId="77777777">
        <w:trPr>
          <w:jc w:val="center"/>
        </w:trPr>
        <w:tc>
          <w:tcPr>
            <w:tcW w:w="1008" w:type="dxa"/>
            <w:tcBorders>
              <w:top w:val="single" w:sz="4" w:space="0" w:color="BFBFBF"/>
              <w:left w:val="single" w:sz="4" w:space="0" w:color="BFBFBF"/>
              <w:bottom w:val="single" w:sz="4" w:space="0" w:color="BFBFBF"/>
              <w:right w:val="single" w:sz="4" w:space="0" w:color="BFBFBF"/>
            </w:tcBorders>
            <w:vAlign w:val="center"/>
          </w:tcPr>
          <w:p w14:paraId="4E859619" w14:textId="77777777" w:rsidR="005235B2" w:rsidRDefault="00000000">
            <w:pPr>
              <w:spacing w:after="0"/>
            </w:pPr>
            <w:r>
              <w:rPr>
                <w:sz w:val="17"/>
              </w:rPr>
              <w:t>F2</w:t>
            </w:r>
          </w:p>
        </w:tc>
        <w:tc>
          <w:tcPr>
            <w:tcW w:w="4464" w:type="dxa"/>
            <w:tcBorders>
              <w:top w:val="single" w:sz="4" w:space="0" w:color="BFBFBF"/>
              <w:left w:val="single" w:sz="4" w:space="0" w:color="BFBFBF"/>
              <w:bottom w:val="single" w:sz="4" w:space="0" w:color="BFBFBF"/>
              <w:right w:val="single" w:sz="4" w:space="0" w:color="BFBFBF"/>
            </w:tcBorders>
            <w:vAlign w:val="center"/>
          </w:tcPr>
          <w:p w14:paraId="75DC26F4" w14:textId="77777777" w:rsidR="005235B2" w:rsidRDefault="00000000">
            <w:pPr>
              <w:spacing w:after="0"/>
            </w:pPr>
            <w:r>
              <w:rPr>
                <w:sz w:val="17"/>
              </w:rPr>
              <w:t>Hospitalización</w:t>
            </w:r>
          </w:p>
        </w:tc>
        <w:tc>
          <w:tcPr>
            <w:tcW w:w="2016" w:type="dxa"/>
            <w:tcBorders>
              <w:top w:val="single" w:sz="4" w:space="0" w:color="BFBFBF"/>
              <w:left w:val="single" w:sz="4" w:space="0" w:color="BFBFBF"/>
              <w:bottom w:val="single" w:sz="4" w:space="0" w:color="BFBFBF"/>
              <w:right w:val="single" w:sz="4" w:space="0" w:color="BFBFBF"/>
            </w:tcBorders>
            <w:vAlign w:val="center"/>
          </w:tcPr>
          <w:p w14:paraId="19CF51BC" w14:textId="77777777" w:rsidR="005235B2" w:rsidRDefault="00000000">
            <w:pPr>
              <w:spacing w:after="0"/>
            </w:pPr>
            <w:r>
              <w:rPr>
                <w:sz w:val="17"/>
              </w:rPr>
              <w:t>107</w:t>
            </w:r>
          </w:p>
        </w:tc>
      </w:tr>
      <w:tr w:rsidR="005235B2" w14:paraId="5CE5A658" w14:textId="77777777">
        <w:trPr>
          <w:jc w:val="center"/>
        </w:trPr>
        <w:tc>
          <w:tcPr>
            <w:tcW w:w="1008" w:type="dxa"/>
            <w:tcBorders>
              <w:top w:val="single" w:sz="4" w:space="0" w:color="BFBFBF"/>
              <w:left w:val="single" w:sz="4" w:space="0" w:color="BFBFBF"/>
              <w:bottom w:val="single" w:sz="4" w:space="0" w:color="BFBFBF"/>
              <w:right w:val="single" w:sz="4" w:space="0" w:color="BFBFBF"/>
            </w:tcBorders>
            <w:vAlign w:val="center"/>
          </w:tcPr>
          <w:p w14:paraId="4BB1199A" w14:textId="77777777" w:rsidR="005235B2" w:rsidRDefault="00000000">
            <w:pPr>
              <w:spacing w:after="0"/>
            </w:pPr>
            <w:r>
              <w:rPr>
                <w:sz w:val="17"/>
              </w:rPr>
              <w:t>F3</w:t>
            </w:r>
          </w:p>
        </w:tc>
        <w:tc>
          <w:tcPr>
            <w:tcW w:w="4464" w:type="dxa"/>
            <w:tcBorders>
              <w:top w:val="single" w:sz="4" w:space="0" w:color="BFBFBF"/>
              <w:left w:val="single" w:sz="4" w:space="0" w:color="BFBFBF"/>
              <w:bottom w:val="single" w:sz="4" w:space="0" w:color="BFBFBF"/>
              <w:right w:val="single" w:sz="4" w:space="0" w:color="BFBFBF"/>
            </w:tcBorders>
            <w:vAlign w:val="center"/>
          </w:tcPr>
          <w:p w14:paraId="64300255" w14:textId="77777777" w:rsidR="005235B2" w:rsidRDefault="00000000">
            <w:pPr>
              <w:spacing w:after="0"/>
            </w:pPr>
            <w:r>
              <w:rPr>
                <w:sz w:val="17"/>
              </w:rPr>
              <w:t>40 semanas EC</w:t>
            </w:r>
          </w:p>
        </w:tc>
        <w:tc>
          <w:tcPr>
            <w:tcW w:w="2016" w:type="dxa"/>
            <w:tcBorders>
              <w:top w:val="single" w:sz="4" w:space="0" w:color="BFBFBF"/>
              <w:left w:val="single" w:sz="4" w:space="0" w:color="BFBFBF"/>
              <w:bottom w:val="single" w:sz="4" w:space="0" w:color="BFBFBF"/>
              <w:right w:val="single" w:sz="4" w:space="0" w:color="BFBFBF"/>
            </w:tcBorders>
            <w:vAlign w:val="center"/>
          </w:tcPr>
          <w:p w14:paraId="20D66B78" w14:textId="77777777" w:rsidR="005235B2" w:rsidRDefault="00000000">
            <w:pPr>
              <w:spacing w:after="0"/>
            </w:pPr>
            <w:r>
              <w:rPr>
                <w:sz w:val="17"/>
              </w:rPr>
              <w:t>137</w:t>
            </w:r>
          </w:p>
        </w:tc>
      </w:tr>
      <w:tr w:rsidR="005235B2" w14:paraId="32B9FCD2" w14:textId="77777777">
        <w:trPr>
          <w:jc w:val="center"/>
        </w:trPr>
        <w:tc>
          <w:tcPr>
            <w:tcW w:w="1008" w:type="dxa"/>
            <w:tcBorders>
              <w:top w:val="single" w:sz="4" w:space="0" w:color="BFBFBF"/>
              <w:left w:val="single" w:sz="4" w:space="0" w:color="BFBFBF"/>
              <w:bottom w:val="single" w:sz="4" w:space="0" w:color="BFBFBF"/>
              <w:right w:val="single" w:sz="4" w:space="0" w:color="BFBFBF"/>
            </w:tcBorders>
            <w:vAlign w:val="center"/>
          </w:tcPr>
          <w:p w14:paraId="712B704F" w14:textId="77777777" w:rsidR="005235B2" w:rsidRDefault="00000000">
            <w:pPr>
              <w:spacing w:after="0"/>
            </w:pPr>
            <w:r>
              <w:rPr>
                <w:sz w:val="17"/>
              </w:rPr>
              <w:t>F4</w:t>
            </w:r>
          </w:p>
        </w:tc>
        <w:tc>
          <w:tcPr>
            <w:tcW w:w="4464" w:type="dxa"/>
            <w:tcBorders>
              <w:top w:val="single" w:sz="4" w:space="0" w:color="BFBFBF"/>
              <w:left w:val="single" w:sz="4" w:space="0" w:color="BFBFBF"/>
              <w:bottom w:val="single" w:sz="4" w:space="0" w:color="BFBFBF"/>
              <w:right w:val="single" w:sz="4" w:space="0" w:color="BFBFBF"/>
            </w:tcBorders>
            <w:vAlign w:val="center"/>
          </w:tcPr>
          <w:p w14:paraId="2A806795" w14:textId="77777777" w:rsidR="005235B2" w:rsidRDefault="00000000">
            <w:pPr>
              <w:spacing w:after="0"/>
            </w:pPr>
            <w:r>
              <w:rPr>
                <w:sz w:val="17"/>
              </w:rPr>
              <w:t>3 meses EC</w:t>
            </w:r>
          </w:p>
        </w:tc>
        <w:tc>
          <w:tcPr>
            <w:tcW w:w="2016" w:type="dxa"/>
            <w:tcBorders>
              <w:top w:val="single" w:sz="4" w:space="0" w:color="BFBFBF"/>
              <w:left w:val="single" w:sz="4" w:space="0" w:color="BFBFBF"/>
              <w:bottom w:val="single" w:sz="4" w:space="0" w:color="BFBFBF"/>
              <w:right w:val="single" w:sz="4" w:space="0" w:color="BFBFBF"/>
            </w:tcBorders>
            <w:vAlign w:val="center"/>
          </w:tcPr>
          <w:p w14:paraId="1B1293BA" w14:textId="77777777" w:rsidR="005235B2" w:rsidRDefault="00000000">
            <w:pPr>
              <w:spacing w:after="0"/>
            </w:pPr>
            <w:r>
              <w:rPr>
                <w:sz w:val="17"/>
              </w:rPr>
              <w:t>164</w:t>
            </w:r>
          </w:p>
        </w:tc>
      </w:tr>
      <w:tr w:rsidR="005235B2" w14:paraId="3A836726" w14:textId="77777777">
        <w:trPr>
          <w:jc w:val="center"/>
        </w:trPr>
        <w:tc>
          <w:tcPr>
            <w:tcW w:w="1008" w:type="dxa"/>
            <w:tcBorders>
              <w:top w:val="single" w:sz="4" w:space="0" w:color="BFBFBF"/>
              <w:left w:val="single" w:sz="4" w:space="0" w:color="BFBFBF"/>
              <w:bottom w:val="single" w:sz="4" w:space="0" w:color="BFBFBF"/>
              <w:right w:val="single" w:sz="4" w:space="0" w:color="BFBFBF"/>
            </w:tcBorders>
            <w:vAlign w:val="center"/>
          </w:tcPr>
          <w:p w14:paraId="2424CB40" w14:textId="77777777" w:rsidR="005235B2" w:rsidRDefault="00000000">
            <w:pPr>
              <w:spacing w:after="0"/>
            </w:pPr>
            <w:r>
              <w:rPr>
                <w:sz w:val="17"/>
              </w:rPr>
              <w:t>F5</w:t>
            </w:r>
          </w:p>
        </w:tc>
        <w:tc>
          <w:tcPr>
            <w:tcW w:w="4464" w:type="dxa"/>
            <w:tcBorders>
              <w:top w:val="single" w:sz="4" w:space="0" w:color="BFBFBF"/>
              <w:left w:val="single" w:sz="4" w:space="0" w:color="BFBFBF"/>
              <w:bottom w:val="single" w:sz="4" w:space="0" w:color="BFBFBF"/>
              <w:right w:val="single" w:sz="4" w:space="0" w:color="BFBFBF"/>
            </w:tcBorders>
            <w:vAlign w:val="center"/>
          </w:tcPr>
          <w:p w14:paraId="32960A40" w14:textId="77777777" w:rsidR="005235B2" w:rsidRDefault="00000000">
            <w:pPr>
              <w:spacing w:after="0"/>
            </w:pPr>
            <w:r>
              <w:rPr>
                <w:sz w:val="17"/>
              </w:rPr>
              <w:t>6 meses EC</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41556" w14:textId="77777777" w:rsidR="005235B2" w:rsidRDefault="00000000">
            <w:pPr>
              <w:spacing w:after="0"/>
            </w:pPr>
            <w:r>
              <w:rPr>
                <w:sz w:val="17"/>
              </w:rPr>
              <w:t>183</w:t>
            </w:r>
          </w:p>
        </w:tc>
      </w:tr>
      <w:tr w:rsidR="005235B2" w14:paraId="27945C91" w14:textId="77777777">
        <w:trPr>
          <w:jc w:val="center"/>
        </w:trPr>
        <w:tc>
          <w:tcPr>
            <w:tcW w:w="1008" w:type="dxa"/>
            <w:tcBorders>
              <w:top w:val="single" w:sz="4" w:space="0" w:color="BFBFBF"/>
              <w:left w:val="single" w:sz="4" w:space="0" w:color="BFBFBF"/>
              <w:bottom w:val="single" w:sz="4" w:space="0" w:color="BFBFBF"/>
              <w:right w:val="single" w:sz="4" w:space="0" w:color="BFBFBF"/>
            </w:tcBorders>
            <w:vAlign w:val="center"/>
          </w:tcPr>
          <w:p w14:paraId="5E18EDA7" w14:textId="77777777" w:rsidR="005235B2" w:rsidRDefault="00000000">
            <w:pPr>
              <w:spacing w:after="0"/>
            </w:pPr>
            <w:r>
              <w:rPr>
                <w:sz w:val="17"/>
              </w:rPr>
              <w:t>F6</w:t>
            </w:r>
          </w:p>
        </w:tc>
        <w:tc>
          <w:tcPr>
            <w:tcW w:w="4464" w:type="dxa"/>
            <w:tcBorders>
              <w:top w:val="single" w:sz="4" w:space="0" w:color="BFBFBF"/>
              <w:left w:val="single" w:sz="4" w:space="0" w:color="BFBFBF"/>
              <w:bottom w:val="single" w:sz="4" w:space="0" w:color="BFBFBF"/>
              <w:right w:val="single" w:sz="4" w:space="0" w:color="BFBFBF"/>
            </w:tcBorders>
            <w:vAlign w:val="center"/>
          </w:tcPr>
          <w:p w14:paraId="7D61F921" w14:textId="77777777" w:rsidR="005235B2" w:rsidRDefault="00000000">
            <w:pPr>
              <w:spacing w:after="0"/>
            </w:pPr>
            <w:r>
              <w:rPr>
                <w:sz w:val="17"/>
              </w:rPr>
              <w:t>9 meses EC</w:t>
            </w:r>
          </w:p>
        </w:tc>
        <w:tc>
          <w:tcPr>
            <w:tcW w:w="2016" w:type="dxa"/>
            <w:tcBorders>
              <w:top w:val="single" w:sz="4" w:space="0" w:color="BFBFBF"/>
              <w:left w:val="single" w:sz="4" w:space="0" w:color="BFBFBF"/>
              <w:bottom w:val="single" w:sz="4" w:space="0" w:color="BFBFBF"/>
              <w:right w:val="single" w:sz="4" w:space="0" w:color="BFBFBF"/>
            </w:tcBorders>
            <w:vAlign w:val="center"/>
          </w:tcPr>
          <w:p w14:paraId="329F628C" w14:textId="77777777" w:rsidR="005235B2" w:rsidRDefault="00000000">
            <w:pPr>
              <w:spacing w:after="0"/>
            </w:pPr>
            <w:r>
              <w:rPr>
                <w:sz w:val="17"/>
              </w:rPr>
              <w:t>198</w:t>
            </w:r>
          </w:p>
        </w:tc>
      </w:tr>
    </w:tbl>
    <w:p w14:paraId="01AFFA00" w14:textId="77777777" w:rsidR="005235B2" w:rsidRPr="001966D3" w:rsidRDefault="00000000">
      <w:pPr>
        <w:jc w:val="center"/>
        <w:rPr>
          <w:lang w:val="es-CO"/>
        </w:rPr>
      </w:pPr>
      <w:r w:rsidRPr="001966D3">
        <w:rPr>
          <w:i/>
          <w:color w:val="595959"/>
          <w:sz w:val="16"/>
          <w:lang w:val="es-CO"/>
        </w:rPr>
        <w:t>Tabla 1. Momentos del seguimiento usados por la solución.</w:t>
      </w:r>
    </w:p>
    <w:p w14:paraId="571684E0" w14:textId="77777777" w:rsidR="005235B2" w:rsidRDefault="00000000">
      <w:pPr>
        <w:jc w:val="center"/>
      </w:pPr>
      <w:r>
        <w:rPr>
          <w:noProof/>
        </w:rPr>
        <w:drawing>
          <wp:inline distT="0" distB="0" distL="0" distR="0" wp14:anchorId="07601A1A" wp14:editId="0CD60408">
            <wp:extent cx="5029200" cy="1765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rematurez_cell04_out01.png"/>
                    <pic:cNvPicPr/>
                  </pic:nvPicPr>
                  <pic:blipFill>
                    <a:blip r:embed="rId8"/>
                    <a:stretch>
                      <a:fillRect/>
                    </a:stretch>
                  </pic:blipFill>
                  <pic:spPr>
                    <a:xfrm>
                      <a:off x="0" y="0"/>
                      <a:ext cx="5029200" cy="1765056"/>
                    </a:xfrm>
                    <a:prstGeom prst="rect">
                      <a:avLst/>
                    </a:prstGeom>
                  </pic:spPr>
                </pic:pic>
              </a:graphicData>
            </a:graphic>
          </wp:inline>
        </w:drawing>
      </w:r>
    </w:p>
    <w:p w14:paraId="15F46C08" w14:textId="77777777" w:rsidR="005235B2" w:rsidRPr="001966D3" w:rsidRDefault="00000000">
      <w:pPr>
        <w:jc w:val="center"/>
        <w:rPr>
          <w:lang w:val="es-CO"/>
        </w:rPr>
      </w:pPr>
      <w:r w:rsidRPr="001966D3">
        <w:rPr>
          <w:i/>
          <w:color w:val="595959"/>
          <w:sz w:val="16"/>
          <w:lang w:val="es-CO"/>
        </w:rPr>
        <w:t>Figura 1. Resumen de cuánta información faltante existe en las columnas de la base de datos.</w:t>
      </w:r>
    </w:p>
    <w:p w14:paraId="5CE1338A" w14:textId="77777777" w:rsidR="005235B2" w:rsidRPr="001966D3" w:rsidRDefault="00000000">
      <w:pPr>
        <w:jc w:val="both"/>
        <w:rPr>
          <w:lang w:val="es-CO"/>
        </w:rPr>
      </w:pPr>
      <w:r w:rsidRPr="001966D3">
        <w:rPr>
          <w:lang w:val="es-CO"/>
        </w:rPr>
        <w:t>El análisis inicial mostró que no todas las columnas tienen la misma calidad. Algunas están casi completas y otras tienen muchos datos faltantes, especialmente las relacionadas con visitas de seguimiento. Esto no siempre significa un error: en un programa clínico real, algunos pacientes dejan de asistir, llegan tarde a controles o no tienen todas las mediciones. Por esa razón, se eligió un modelo capaz de trabajar con datos incompletos sin obligar a inventar valores para todos los campos.</w:t>
      </w:r>
    </w:p>
    <w:p w14:paraId="46831DA8" w14:textId="77777777" w:rsidR="005235B2" w:rsidRPr="001966D3" w:rsidRDefault="00000000">
      <w:pPr>
        <w:jc w:val="both"/>
        <w:rPr>
          <w:lang w:val="es-CO"/>
        </w:rPr>
      </w:pPr>
      <w:r w:rsidRPr="001966D3">
        <w:rPr>
          <w:lang w:val="es-CO"/>
        </w:rPr>
        <w:lastRenderedPageBreak/>
        <w:t>Para los análisis por tiempo se trabajó principalmente con los periodos 2007-2012, 2013-2017 y 2018-2022, porque son los grupos con información más completa y comparable. Los registros de 2023 se dejaron como revisión adicional, ya que muchos niños aún no tenían cerrado el seguimiento de 12 meses.</w:t>
      </w:r>
    </w:p>
    <w:p w14:paraId="2F159EC8" w14:textId="77777777" w:rsidR="005235B2" w:rsidRPr="001966D3" w:rsidRDefault="00000000">
      <w:pPr>
        <w:pStyle w:val="Ttulo1"/>
        <w:spacing w:before="120" w:after="40"/>
        <w:rPr>
          <w:lang w:val="es-CO"/>
        </w:rPr>
      </w:pPr>
      <w:r w:rsidRPr="001966D3">
        <w:rPr>
          <w:lang w:val="es-CO"/>
        </w:rPr>
        <w:t>3. Construcción de los modelos o solución</w:t>
      </w:r>
    </w:p>
    <w:p w14:paraId="6B7935F2" w14:textId="77777777" w:rsidR="005235B2" w:rsidRPr="001966D3" w:rsidRDefault="00000000">
      <w:pPr>
        <w:jc w:val="both"/>
        <w:rPr>
          <w:lang w:val="es-CO"/>
        </w:rPr>
      </w:pPr>
      <w:r w:rsidRPr="001966D3">
        <w:rPr>
          <w:lang w:val="es-CO"/>
        </w:rPr>
        <w:t>La solución construida funciona como una serie de modelos que se activan según el momento del seguimiento. En lugar de crear un único modelo final, se entrenaron modelos separados para cada fase y para cada tipo de malnutrición evaluado: talla baja para la edad, bajo peso para la edad y desnutrición aguda. En total se guardaron 21 modelos principales.</w:t>
      </w:r>
    </w:p>
    <w:p w14:paraId="24177635" w14:textId="11D49DFC" w:rsidR="005235B2" w:rsidRPr="001966D3" w:rsidRDefault="00000000">
      <w:pPr>
        <w:jc w:val="both"/>
        <w:rPr>
          <w:lang w:val="es-CO"/>
        </w:rPr>
      </w:pPr>
      <w:r w:rsidRPr="001966D3">
        <w:rPr>
          <w:lang w:val="es-CO"/>
        </w:rPr>
        <w:t xml:space="preserve">El método usado </w:t>
      </w:r>
      <w:r w:rsidR="001966D3">
        <w:rPr>
          <w:lang w:val="es-CO"/>
        </w:rPr>
        <w:t xml:space="preserve">es </w:t>
      </w:r>
      <w:r w:rsidRPr="001966D3">
        <w:rPr>
          <w:lang w:val="es-CO"/>
        </w:rPr>
        <w:t xml:space="preserve">LightGBM. </w:t>
      </w:r>
      <w:r w:rsidR="001966D3">
        <w:rPr>
          <w:lang w:val="es-CO"/>
        </w:rPr>
        <w:t>Esto ya que</w:t>
      </w:r>
      <w:r w:rsidRPr="001966D3">
        <w:rPr>
          <w:lang w:val="es-CO"/>
        </w:rPr>
        <w:t xml:space="preserve"> aprende patrones a partir de tablas grandes de datos. Resulta útil en este proyecto porque puede manejar muchas variables, detectar relaciones que no son completamente lineales y trabajar con campos faltantes. Además, permite revisar qué variables influyen más en cada predicción.</w:t>
      </w:r>
    </w:p>
    <w:p w14:paraId="331E9B4F" w14:textId="77777777" w:rsidR="005235B2" w:rsidRPr="001966D3" w:rsidRDefault="00000000">
      <w:pPr>
        <w:jc w:val="both"/>
        <w:rPr>
          <w:lang w:val="es-CO"/>
        </w:rPr>
      </w:pPr>
      <w:r w:rsidRPr="001966D3">
        <w:rPr>
          <w:lang w:val="es-CO"/>
        </w:rPr>
        <w:t>Para comprobar que los resultados no dependieran de una sola división de los datos, se usó una estrategia de validación en cinco partes. Esto consiste en entrenar y evaluar el modelo varias veces con subconjuntos distintos de la base. También se tuvo en cuenta que algunos desenlaces son menos frecuentes que otros; por ejemplo, la desnutrición aguda tiene menos casos positivos que la talla baja. Por eso, durante el entrenamiento se ajustó el peso de las clases para que el modelo no ignorara los casos menos comunes.</w:t>
      </w:r>
    </w:p>
    <w:p w14:paraId="3838E730" w14:textId="77777777" w:rsidR="005235B2" w:rsidRPr="001966D3" w:rsidRDefault="00000000">
      <w:pPr>
        <w:jc w:val="both"/>
        <w:rPr>
          <w:lang w:val="es-CO"/>
        </w:rPr>
      </w:pPr>
      <w:r w:rsidRPr="001966D3">
        <w:rPr>
          <w:lang w:val="es-CO"/>
        </w:rPr>
        <w:t>Una vez evaluados los modelos, se guardaron versiones finales listas para ser usadas en una futura herramienta o tablero. Junto a los modelos se generaron archivos con las predicciones, las métricas de desempeño y las variables necesarias para explicar por qué un niño queda clasificado con mayor o menor riesgo.</w:t>
      </w:r>
    </w:p>
    <w:p w14:paraId="7A09ECD5" w14:textId="77777777" w:rsidR="005235B2" w:rsidRPr="001966D3" w:rsidRDefault="00000000">
      <w:pPr>
        <w:jc w:val="both"/>
        <w:rPr>
          <w:lang w:val="es-CO"/>
        </w:rPr>
      </w:pPr>
      <w:r w:rsidRPr="001966D3">
        <w:rPr>
          <w:lang w:val="es-CO"/>
        </w:rPr>
        <w:t>También se comparó el resultado con una alternativa más tradicional, la regresión logística. La diferencia a favor de LightGBM fue moderada, no enorme. Esto es una buena señal: significa que parte de los patrones son clínicamente consistentes y no dependen de una técnica difícil de interpretar. Aun así, LightGBM aporta ventajas prácticas para manejar datos incompletos y combinar muchas variables.</w:t>
      </w:r>
    </w:p>
    <w:p w14:paraId="69CFA3C2" w14:textId="77777777" w:rsidR="005235B2" w:rsidRPr="001966D3" w:rsidRDefault="00000000">
      <w:pPr>
        <w:pStyle w:val="Ttulo1"/>
        <w:spacing w:before="120" w:after="40"/>
        <w:rPr>
          <w:lang w:val="es-CO"/>
        </w:rPr>
      </w:pPr>
      <w:r w:rsidRPr="001966D3">
        <w:rPr>
          <w:lang w:val="es-CO"/>
        </w:rPr>
        <w:t>4. Resultados obtenidos</w:t>
      </w:r>
    </w:p>
    <w:p w14:paraId="5DCA3765" w14:textId="77777777" w:rsidR="005235B2" w:rsidRPr="001966D3" w:rsidRDefault="00000000">
      <w:pPr>
        <w:jc w:val="both"/>
        <w:rPr>
          <w:lang w:val="es-CO"/>
        </w:rPr>
      </w:pPr>
      <w:r w:rsidRPr="001966D3">
        <w:rPr>
          <w:lang w:val="es-CO"/>
        </w:rPr>
        <w:t>Los resultados muestran que el modelo mejora a medida que avanza el seguimiento del niño. Esto era esperable: al comienzo solo se conocen datos del embarazo, parto y nacimiento; más adelante ya se observa cómo crece el niño en sus controles. Por eso, las predicciones hechas con información de 6 y 9 meses son más precisas que las predicciones hechas solo con datos iniciales.</w:t>
      </w:r>
    </w:p>
    <w:p w14:paraId="31BC0971" w14:textId="77777777" w:rsidR="005235B2" w:rsidRPr="001966D3" w:rsidRDefault="00000000">
      <w:pPr>
        <w:jc w:val="both"/>
        <w:rPr>
          <w:lang w:val="es-CO"/>
        </w:rPr>
      </w:pPr>
      <w:r w:rsidRPr="001966D3">
        <w:rPr>
          <w:lang w:val="es-CO"/>
        </w:rPr>
        <w:t>La tabla siguiente usa AUC, una medida que resume qué tan bien separa el modelo a los niños con riesgo de los niños sin riesgo. Un AUC cercano a 0,5 equivale a una predicción casi al azar; un valor más cercano a 1 indica mejor capacidad de diferenciación. En los tres desenlaces, los valores suben de forma clara entre F0 y F6.</w:t>
      </w:r>
    </w:p>
    <w:tbl>
      <w:tblPr>
        <w:tblW w:w="0" w:type="auto"/>
        <w:jc w:val="center"/>
        <w:tblLook w:val="04A0" w:firstRow="1" w:lastRow="0" w:firstColumn="1" w:lastColumn="0" w:noHBand="0" w:noVBand="1"/>
      </w:tblPr>
      <w:tblGrid>
        <w:gridCol w:w="3168"/>
        <w:gridCol w:w="1440"/>
        <w:gridCol w:w="1440"/>
        <w:gridCol w:w="1440"/>
      </w:tblGrid>
      <w:tr w:rsidR="005235B2" w14:paraId="5013546C" w14:textId="77777777">
        <w:trPr>
          <w:jc w:val="center"/>
        </w:trPr>
        <w:tc>
          <w:tcPr>
            <w:tcW w:w="316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15C2EF2C" w14:textId="77777777" w:rsidR="005235B2" w:rsidRDefault="00000000">
            <w:pPr>
              <w:spacing w:after="0"/>
            </w:pPr>
            <w:r>
              <w:rPr>
                <w:b/>
                <w:color w:val="1F4E79"/>
                <w:sz w:val="17"/>
              </w:rPr>
              <w:t>Fase</w:t>
            </w:r>
          </w:p>
        </w:tc>
        <w:tc>
          <w:tcPr>
            <w:tcW w:w="144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25E2A85" w14:textId="77777777" w:rsidR="005235B2" w:rsidRDefault="00000000">
            <w:pPr>
              <w:spacing w:after="0"/>
            </w:pPr>
            <w:r>
              <w:rPr>
                <w:b/>
                <w:color w:val="1F4E79"/>
                <w:sz w:val="17"/>
              </w:rPr>
              <w:t>Stunting</w:t>
            </w:r>
          </w:p>
        </w:tc>
        <w:tc>
          <w:tcPr>
            <w:tcW w:w="144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219231B8" w14:textId="77777777" w:rsidR="005235B2" w:rsidRDefault="00000000">
            <w:pPr>
              <w:spacing w:after="0"/>
            </w:pPr>
            <w:r>
              <w:rPr>
                <w:b/>
                <w:color w:val="1F4E79"/>
                <w:sz w:val="17"/>
              </w:rPr>
              <w:t>Bajo peso</w:t>
            </w:r>
          </w:p>
        </w:tc>
        <w:tc>
          <w:tcPr>
            <w:tcW w:w="144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008A2E00" w14:textId="77777777" w:rsidR="005235B2" w:rsidRDefault="00000000">
            <w:pPr>
              <w:spacing w:after="0"/>
            </w:pPr>
            <w:r>
              <w:rPr>
                <w:b/>
                <w:color w:val="1F4E79"/>
                <w:sz w:val="17"/>
              </w:rPr>
              <w:t>Wasting</w:t>
            </w:r>
          </w:p>
        </w:tc>
      </w:tr>
      <w:tr w:rsidR="005235B2" w14:paraId="6C12B143" w14:textId="77777777">
        <w:trPr>
          <w:jc w:val="center"/>
        </w:trPr>
        <w:tc>
          <w:tcPr>
            <w:tcW w:w="3168" w:type="dxa"/>
            <w:tcBorders>
              <w:top w:val="single" w:sz="4" w:space="0" w:color="BFBFBF"/>
              <w:left w:val="single" w:sz="4" w:space="0" w:color="BFBFBF"/>
              <w:bottom w:val="single" w:sz="4" w:space="0" w:color="BFBFBF"/>
              <w:right w:val="single" w:sz="4" w:space="0" w:color="BFBFBF"/>
            </w:tcBorders>
            <w:vAlign w:val="center"/>
          </w:tcPr>
          <w:p w14:paraId="109A8356" w14:textId="77777777" w:rsidR="005235B2" w:rsidRDefault="00000000">
            <w:pPr>
              <w:spacing w:after="0"/>
            </w:pPr>
            <w:r>
              <w:rPr>
                <w:sz w:val="17"/>
              </w:rPr>
              <w:t>F0 Prenatal/parto</w:t>
            </w:r>
          </w:p>
        </w:tc>
        <w:tc>
          <w:tcPr>
            <w:tcW w:w="1440" w:type="dxa"/>
            <w:tcBorders>
              <w:top w:val="single" w:sz="4" w:space="0" w:color="BFBFBF"/>
              <w:left w:val="single" w:sz="4" w:space="0" w:color="BFBFBF"/>
              <w:bottom w:val="single" w:sz="4" w:space="0" w:color="BFBFBF"/>
              <w:right w:val="single" w:sz="4" w:space="0" w:color="BFBFBF"/>
            </w:tcBorders>
            <w:vAlign w:val="center"/>
          </w:tcPr>
          <w:p w14:paraId="12AD3FDB" w14:textId="77777777" w:rsidR="005235B2" w:rsidRDefault="00000000">
            <w:pPr>
              <w:spacing w:after="0"/>
            </w:pPr>
            <w:r>
              <w:rPr>
                <w:sz w:val="17"/>
              </w:rPr>
              <w:t>0,645</w:t>
            </w:r>
          </w:p>
        </w:tc>
        <w:tc>
          <w:tcPr>
            <w:tcW w:w="1440" w:type="dxa"/>
            <w:tcBorders>
              <w:top w:val="single" w:sz="4" w:space="0" w:color="BFBFBF"/>
              <w:left w:val="single" w:sz="4" w:space="0" w:color="BFBFBF"/>
              <w:bottom w:val="single" w:sz="4" w:space="0" w:color="BFBFBF"/>
              <w:right w:val="single" w:sz="4" w:space="0" w:color="BFBFBF"/>
            </w:tcBorders>
            <w:vAlign w:val="center"/>
          </w:tcPr>
          <w:p w14:paraId="1B775E39" w14:textId="77777777" w:rsidR="005235B2" w:rsidRDefault="00000000">
            <w:pPr>
              <w:spacing w:after="0"/>
            </w:pPr>
            <w:r>
              <w:rPr>
                <w:sz w:val="17"/>
              </w:rPr>
              <w:t>0,618</w:t>
            </w:r>
          </w:p>
        </w:tc>
        <w:tc>
          <w:tcPr>
            <w:tcW w:w="1440" w:type="dxa"/>
            <w:tcBorders>
              <w:top w:val="single" w:sz="4" w:space="0" w:color="BFBFBF"/>
              <w:left w:val="single" w:sz="4" w:space="0" w:color="BFBFBF"/>
              <w:bottom w:val="single" w:sz="4" w:space="0" w:color="BFBFBF"/>
              <w:right w:val="single" w:sz="4" w:space="0" w:color="BFBFBF"/>
            </w:tcBorders>
            <w:vAlign w:val="center"/>
          </w:tcPr>
          <w:p w14:paraId="4D6663E2" w14:textId="77777777" w:rsidR="005235B2" w:rsidRDefault="00000000">
            <w:pPr>
              <w:spacing w:after="0"/>
            </w:pPr>
            <w:r>
              <w:rPr>
                <w:sz w:val="17"/>
              </w:rPr>
              <w:t>0,555</w:t>
            </w:r>
          </w:p>
        </w:tc>
      </w:tr>
      <w:tr w:rsidR="005235B2" w14:paraId="039D5080" w14:textId="77777777">
        <w:trPr>
          <w:jc w:val="center"/>
        </w:trPr>
        <w:tc>
          <w:tcPr>
            <w:tcW w:w="3168" w:type="dxa"/>
            <w:tcBorders>
              <w:top w:val="single" w:sz="4" w:space="0" w:color="BFBFBF"/>
              <w:left w:val="single" w:sz="4" w:space="0" w:color="BFBFBF"/>
              <w:bottom w:val="single" w:sz="4" w:space="0" w:color="BFBFBF"/>
              <w:right w:val="single" w:sz="4" w:space="0" w:color="BFBFBF"/>
            </w:tcBorders>
            <w:vAlign w:val="center"/>
          </w:tcPr>
          <w:p w14:paraId="24274137" w14:textId="77777777" w:rsidR="005235B2" w:rsidRDefault="00000000">
            <w:pPr>
              <w:spacing w:after="0"/>
            </w:pPr>
            <w:r>
              <w:rPr>
                <w:sz w:val="17"/>
              </w:rPr>
              <w:t>F1 Nacimiento</w:t>
            </w:r>
          </w:p>
        </w:tc>
        <w:tc>
          <w:tcPr>
            <w:tcW w:w="1440" w:type="dxa"/>
            <w:tcBorders>
              <w:top w:val="single" w:sz="4" w:space="0" w:color="BFBFBF"/>
              <w:left w:val="single" w:sz="4" w:space="0" w:color="BFBFBF"/>
              <w:bottom w:val="single" w:sz="4" w:space="0" w:color="BFBFBF"/>
              <w:right w:val="single" w:sz="4" w:space="0" w:color="BFBFBF"/>
            </w:tcBorders>
            <w:vAlign w:val="center"/>
          </w:tcPr>
          <w:p w14:paraId="10FDA7C9" w14:textId="77777777" w:rsidR="005235B2" w:rsidRDefault="00000000">
            <w:pPr>
              <w:spacing w:after="0"/>
            </w:pPr>
            <w:r>
              <w:rPr>
                <w:sz w:val="17"/>
              </w:rPr>
              <w:t>0,737</w:t>
            </w:r>
          </w:p>
        </w:tc>
        <w:tc>
          <w:tcPr>
            <w:tcW w:w="1440" w:type="dxa"/>
            <w:tcBorders>
              <w:top w:val="single" w:sz="4" w:space="0" w:color="BFBFBF"/>
              <w:left w:val="single" w:sz="4" w:space="0" w:color="BFBFBF"/>
              <w:bottom w:val="single" w:sz="4" w:space="0" w:color="BFBFBF"/>
              <w:right w:val="single" w:sz="4" w:space="0" w:color="BFBFBF"/>
            </w:tcBorders>
            <w:vAlign w:val="center"/>
          </w:tcPr>
          <w:p w14:paraId="6E1A8476" w14:textId="77777777" w:rsidR="005235B2" w:rsidRDefault="00000000">
            <w:pPr>
              <w:spacing w:after="0"/>
            </w:pPr>
            <w:r>
              <w:rPr>
                <w:sz w:val="17"/>
              </w:rPr>
              <w:t>0,751</w:t>
            </w:r>
          </w:p>
        </w:tc>
        <w:tc>
          <w:tcPr>
            <w:tcW w:w="1440" w:type="dxa"/>
            <w:tcBorders>
              <w:top w:val="single" w:sz="4" w:space="0" w:color="BFBFBF"/>
              <w:left w:val="single" w:sz="4" w:space="0" w:color="BFBFBF"/>
              <w:bottom w:val="single" w:sz="4" w:space="0" w:color="BFBFBF"/>
              <w:right w:val="single" w:sz="4" w:space="0" w:color="BFBFBF"/>
            </w:tcBorders>
            <w:vAlign w:val="center"/>
          </w:tcPr>
          <w:p w14:paraId="0A5896C9" w14:textId="77777777" w:rsidR="005235B2" w:rsidRDefault="00000000">
            <w:pPr>
              <w:spacing w:after="0"/>
            </w:pPr>
            <w:r>
              <w:rPr>
                <w:sz w:val="17"/>
              </w:rPr>
              <w:t>0,689</w:t>
            </w:r>
          </w:p>
        </w:tc>
      </w:tr>
      <w:tr w:rsidR="005235B2" w14:paraId="326EBE94" w14:textId="77777777">
        <w:trPr>
          <w:jc w:val="center"/>
        </w:trPr>
        <w:tc>
          <w:tcPr>
            <w:tcW w:w="3168" w:type="dxa"/>
            <w:tcBorders>
              <w:top w:val="single" w:sz="4" w:space="0" w:color="BFBFBF"/>
              <w:left w:val="single" w:sz="4" w:space="0" w:color="BFBFBF"/>
              <w:bottom w:val="single" w:sz="4" w:space="0" w:color="BFBFBF"/>
              <w:right w:val="single" w:sz="4" w:space="0" w:color="BFBFBF"/>
            </w:tcBorders>
            <w:vAlign w:val="center"/>
          </w:tcPr>
          <w:p w14:paraId="4525E9CF" w14:textId="77777777" w:rsidR="005235B2" w:rsidRDefault="00000000">
            <w:pPr>
              <w:spacing w:after="0"/>
            </w:pPr>
            <w:r>
              <w:rPr>
                <w:sz w:val="17"/>
              </w:rPr>
              <w:t>F2 Hospitalización</w:t>
            </w:r>
          </w:p>
        </w:tc>
        <w:tc>
          <w:tcPr>
            <w:tcW w:w="1440" w:type="dxa"/>
            <w:tcBorders>
              <w:top w:val="single" w:sz="4" w:space="0" w:color="BFBFBF"/>
              <w:left w:val="single" w:sz="4" w:space="0" w:color="BFBFBF"/>
              <w:bottom w:val="single" w:sz="4" w:space="0" w:color="BFBFBF"/>
              <w:right w:val="single" w:sz="4" w:space="0" w:color="BFBFBF"/>
            </w:tcBorders>
            <w:vAlign w:val="center"/>
          </w:tcPr>
          <w:p w14:paraId="5A878396" w14:textId="77777777" w:rsidR="005235B2" w:rsidRDefault="00000000">
            <w:pPr>
              <w:spacing w:after="0"/>
            </w:pPr>
            <w:r>
              <w:rPr>
                <w:sz w:val="17"/>
              </w:rPr>
              <w:t>0,741</w:t>
            </w:r>
          </w:p>
        </w:tc>
        <w:tc>
          <w:tcPr>
            <w:tcW w:w="1440" w:type="dxa"/>
            <w:tcBorders>
              <w:top w:val="single" w:sz="4" w:space="0" w:color="BFBFBF"/>
              <w:left w:val="single" w:sz="4" w:space="0" w:color="BFBFBF"/>
              <w:bottom w:val="single" w:sz="4" w:space="0" w:color="BFBFBF"/>
              <w:right w:val="single" w:sz="4" w:space="0" w:color="BFBFBF"/>
            </w:tcBorders>
            <w:vAlign w:val="center"/>
          </w:tcPr>
          <w:p w14:paraId="1BD00615" w14:textId="77777777" w:rsidR="005235B2" w:rsidRDefault="00000000">
            <w:pPr>
              <w:spacing w:after="0"/>
            </w:pPr>
            <w:r>
              <w:rPr>
                <w:sz w:val="17"/>
              </w:rPr>
              <w:t>0,754</w:t>
            </w:r>
          </w:p>
        </w:tc>
        <w:tc>
          <w:tcPr>
            <w:tcW w:w="1440" w:type="dxa"/>
            <w:tcBorders>
              <w:top w:val="single" w:sz="4" w:space="0" w:color="BFBFBF"/>
              <w:left w:val="single" w:sz="4" w:space="0" w:color="BFBFBF"/>
              <w:bottom w:val="single" w:sz="4" w:space="0" w:color="BFBFBF"/>
              <w:right w:val="single" w:sz="4" w:space="0" w:color="BFBFBF"/>
            </w:tcBorders>
            <w:vAlign w:val="center"/>
          </w:tcPr>
          <w:p w14:paraId="16861F62" w14:textId="77777777" w:rsidR="005235B2" w:rsidRDefault="00000000">
            <w:pPr>
              <w:spacing w:after="0"/>
            </w:pPr>
            <w:r>
              <w:rPr>
                <w:sz w:val="17"/>
              </w:rPr>
              <w:t>0,705</w:t>
            </w:r>
          </w:p>
        </w:tc>
      </w:tr>
      <w:tr w:rsidR="005235B2" w14:paraId="3FF9DBED" w14:textId="77777777">
        <w:trPr>
          <w:jc w:val="center"/>
        </w:trPr>
        <w:tc>
          <w:tcPr>
            <w:tcW w:w="3168" w:type="dxa"/>
            <w:tcBorders>
              <w:top w:val="single" w:sz="4" w:space="0" w:color="BFBFBF"/>
              <w:left w:val="single" w:sz="4" w:space="0" w:color="BFBFBF"/>
              <w:bottom w:val="single" w:sz="4" w:space="0" w:color="BFBFBF"/>
              <w:right w:val="single" w:sz="4" w:space="0" w:color="BFBFBF"/>
            </w:tcBorders>
            <w:vAlign w:val="center"/>
          </w:tcPr>
          <w:p w14:paraId="5D9214A5" w14:textId="77777777" w:rsidR="005235B2" w:rsidRDefault="00000000">
            <w:pPr>
              <w:spacing w:after="0"/>
            </w:pPr>
            <w:r>
              <w:rPr>
                <w:sz w:val="17"/>
              </w:rPr>
              <w:t>F3 40 semanas EC</w:t>
            </w:r>
          </w:p>
        </w:tc>
        <w:tc>
          <w:tcPr>
            <w:tcW w:w="1440" w:type="dxa"/>
            <w:tcBorders>
              <w:top w:val="single" w:sz="4" w:space="0" w:color="BFBFBF"/>
              <w:left w:val="single" w:sz="4" w:space="0" w:color="BFBFBF"/>
              <w:bottom w:val="single" w:sz="4" w:space="0" w:color="BFBFBF"/>
              <w:right w:val="single" w:sz="4" w:space="0" w:color="BFBFBF"/>
            </w:tcBorders>
            <w:vAlign w:val="center"/>
          </w:tcPr>
          <w:p w14:paraId="482EF8D3" w14:textId="77777777" w:rsidR="005235B2" w:rsidRDefault="00000000">
            <w:pPr>
              <w:spacing w:after="0"/>
            </w:pPr>
            <w:r>
              <w:rPr>
                <w:sz w:val="17"/>
              </w:rPr>
              <w:t>0,768</w:t>
            </w:r>
          </w:p>
        </w:tc>
        <w:tc>
          <w:tcPr>
            <w:tcW w:w="1440" w:type="dxa"/>
            <w:tcBorders>
              <w:top w:val="single" w:sz="4" w:space="0" w:color="BFBFBF"/>
              <w:left w:val="single" w:sz="4" w:space="0" w:color="BFBFBF"/>
              <w:bottom w:val="single" w:sz="4" w:space="0" w:color="BFBFBF"/>
              <w:right w:val="single" w:sz="4" w:space="0" w:color="BFBFBF"/>
            </w:tcBorders>
            <w:vAlign w:val="center"/>
          </w:tcPr>
          <w:p w14:paraId="4D0C8C4B" w14:textId="77777777" w:rsidR="005235B2" w:rsidRDefault="00000000">
            <w:pPr>
              <w:spacing w:after="0"/>
            </w:pPr>
            <w:r>
              <w:rPr>
                <w:sz w:val="17"/>
              </w:rPr>
              <w:t>0,773</w:t>
            </w:r>
          </w:p>
        </w:tc>
        <w:tc>
          <w:tcPr>
            <w:tcW w:w="1440" w:type="dxa"/>
            <w:tcBorders>
              <w:top w:val="single" w:sz="4" w:space="0" w:color="BFBFBF"/>
              <w:left w:val="single" w:sz="4" w:space="0" w:color="BFBFBF"/>
              <w:bottom w:val="single" w:sz="4" w:space="0" w:color="BFBFBF"/>
              <w:right w:val="single" w:sz="4" w:space="0" w:color="BFBFBF"/>
            </w:tcBorders>
            <w:vAlign w:val="center"/>
          </w:tcPr>
          <w:p w14:paraId="756F0AAF" w14:textId="77777777" w:rsidR="005235B2" w:rsidRDefault="00000000">
            <w:pPr>
              <w:spacing w:after="0"/>
            </w:pPr>
            <w:r>
              <w:rPr>
                <w:sz w:val="17"/>
              </w:rPr>
              <w:t>0,725</w:t>
            </w:r>
          </w:p>
        </w:tc>
      </w:tr>
      <w:tr w:rsidR="005235B2" w14:paraId="14C1ED6C" w14:textId="77777777">
        <w:trPr>
          <w:jc w:val="center"/>
        </w:trPr>
        <w:tc>
          <w:tcPr>
            <w:tcW w:w="3168" w:type="dxa"/>
            <w:tcBorders>
              <w:top w:val="single" w:sz="4" w:space="0" w:color="BFBFBF"/>
              <w:left w:val="single" w:sz="4" w:space="0" w:color="BFBFBF"/>
              <w:bottom w:val="single" w:sz="4" w:space="0" w:color="BFBFBF"/>
              <w:right w:val="single" w:sz="4" w:space="0" w:color="BFBFBF"/>
            </w:tcBorders>
            <w:vAlign w:val="center"/>
          </w:tcPr>
          <w:p w14:paraId="6F76F2C7" w14:textId="77777777" w:rsidR="005235B2" w:rsidRDefault="00000000">
            <w:pPr>
              <w:spacing w:after="0"/>
            </w:pPr>
            <w:r>
              <w:rPr>
                <w:sz w:val="17"/>
              </w:rPr>
              <w:t>F4 3 meses EC</w:t>
            </w:r>
          </w:p>
        </w:tc>
        <w:tc>
          <w:tcPr>
            <w:tcW w:w="1440" w:type="dxa"/>
            <w:tcBorders>
              <w:top w:val="single" w:sz="4" w:space="0" w:color="BFBFBF"/>
              <w:left w:val="single" w:sz="4" w:space="0" w:color="BFBFBF"/>
              <w:bottom w:val="single" w:sz="4" w:space="0" w:color="BFBFBF"/>
              <w:right w:val="single" w:sz="4" w:space="0" w:color="BFBFBF"/>
            </w:tcBorders>
            <w:vAlign w:val="center"/>
          </w:tcPr>
          <w:p w14:paraId="414CBAC6" w14:textId="77777777" w:rsidR="005235B2" w:rsidRDefault="00000000">
            <w:pPr>
              <w:spacing w:after="0"/>
            </w:pPr>
            <w:r>
              <w:rPr>
                <w:sz w:val="17"/>
              </w:rPr>
              <w:t>0,821</w:t>
            </w:r>
          </w:p>
        </w:tc>
        <w:tc>
          <w:tcPr>
            <w:tcW w:w="1440" w:type="dxa"/>
            <w:tcBorders>
              <w:top w:val="single" w:sz="4" w:space="0" w:color="BFBFBF"/>
              <w:left w:val="single" w:sz="4" w:space="0" w:color="BFBFBF"/>
              <w:bottom w:val="single" w:sz="4" w:space="0" w:color="BFBFBF"/>
              <w:right w:val="single" w:sz="4" w:space="0" w:color="BFBFBF"/>
            </w:tcBorders>
            <w:vAlign w:val="center"/>
          </w:tcPr>
          <w:p w14:paraId="37A608C9" w14:textId="77777777" w:rsidR="005235B2" w:rsidRDefault="00000000">
            <w:pPr>
              <w:spacing w:after="0"/>
            </w:pPr>
            <w:r>
              <w:rPr>
                <w:sz w:val="17"/>
              </w:rPr>
              <w:t>0,874</w:t>
            </w:r>
          </w:p>
        </w:tc>
        <w:tc>
          <w:tcPr>
            <w:tcW w:w="1440" w:type="dxa"/>
            <w:tcBorders>
              <w:top w:val="single" w:sz="4" w:space="0" w:color="BFBFBF"/>
              <w:left w:val="single" w:sz="4" w:space="0" w:color="BFBFBF"/>
              <w:bottom w:val="single" w:sz="4" w:space="0" w:color="BFBFBF"/>
              <w:right w:val="single" w:sz="4" w:space="0" w:color="BFBFBF"/>
            </w:tcBorders>
            <w:vAlign w:val="center"/>
          </w:tcPr>
          <w:p w14:paraId="77ABCC1A" w14:textId="77777777" w:rsidR="005235B2" w:rsidRDefault="00000000">
            <w:pPr>
              <w:spacing w:after="0"/>
            </w:pPr>
            <w:r>
              <w:rPr>
                <w:sz w:val="17"/>
              </w:rPr>
              <w:t>0,826</w:t>
            </w:r>
          </w:p>
        </w:tc>
      </w:tr>
      <w:tr w:rsidR="005235B2" w14:paraId="7DC7AA50" w14:textId="77777777">
        <w:trPr>
          <w:jc w:val="center"/>
        </w:trPr>
        <w:tc>
          <w:tcPr>
            <w:tcW w:w="3168" w:type="dxa"/>
            <w:tcBorders>
              <w:top w:val="single" w:sz="4" w:space="0" w:color="BFBFBF"/>
              <w:left w:val="single" w:sz="4" w:space="0" w:color="BFBFBF"/>
              <w:bottom w:val="single" w:sz="4" w:space="0" w:color="BFBFBF"/>
              <w:right w:val="single" w:sz="4" w:space="0" w:color="BFBFBF"/>
            </w:tcBorders>
            <w:vAlign w:val="center"/>
          </w:tcPr>
          <w:p w14:paraId="6EBDF1F8" w14:textId="77777777" w:rsidR="005235B2" w:rsidRDefault="00000000">
            <w:pPr>
              <w:spacing w:after="0"/>
            </w:pPr>
            <w:r>
              <w:rPr>
                <w:sz w:val="17"/>
              </w:rPr>
              <w:t>F5 6 meses EC</w:t>
            </w:r>
          </w:p>
        </w:tc>
        <w:tc>
          <w:tcPr>
            <w:tcW w:w="1440" w:type="dxa"/>
            <w:tcBorders>
              <w:top w:val="single" w:sz="4" w:space="0" w:color="BFBFBF"/>
              <w:left w:val="single" w:sz="4" w:space="0" w:color="BFBFBF"/>
              <w:bottom w:val="single" w:sz="4" w:space="0" w:color="BFBFBF"/>
              <w:right w:val="single" w:sz="4" w:space="0" w:color="BFBFBF"/>
            </w:tcBorders>
            <w:vAlign w:val="center"/>
          </w:tcPr>
          <w:p w14:paraId="07F8979B" w14:textId="77777777" w:rsidR="005235B2" w:rsidRDefault="00000000">
            <w:pPr>
              <w:spacing w:after="0"/>
            </w:pPr>
            <w:r>
              <w:rPr>
                <w:sz w:val="17"/>
              </w:rPr>
              <w:t>0,894</w:t>
            </w:r>
          </w:p>
        </w:tc>
        <w:tc>
          <w:tcPr>
            <w:tcW w:w="1440" w:type="dxa"/>
            <w:tcBorders>
              <w:top w:val="single" w:sz="4" w:space="0" w:color="BFBFBF"/>
              <w:left w:val="single" w:sz="4" w:space="0" w:color="BFBFBF"/>
              <w:bottom w:val="single" w:sz="4" w:space="0" w:color="BFBFBF"/>
              <w:right w:val="single" w:sz="4" w:space="0" w:color="BFBFBF"/>
            </w:tcBorders>
            <w:vAlign w:val="center"/>
          </w:tcPr>
          <w:p w14:paraId="66DCC6FC" w14:textId="77777777" w:rsidR="005235B2" w:rsidRDefault="00000000">
            <w:pPr>
              <w:spacing w:after="0"/>
            </w:pPr>
            <w:r>
              <w:rPr>
                <w:sz w:val="17"/>
              </w:rPr>
              <w:t>0,936</w:t>
            </w:r>
          </w:p>
        </w:tc>
        <w:tc>
          <w:tcPr>
            <w:tcW w:w="1440" w:type="dxa"/>
            <w:tcBorders>
              <w:top w:val="single" w:sz="4" w:space="0" w:color="BFBFBF"/>
              <w:left w:val="single" w:sz="4" w:space="0" w:color="BFBFBF"/>
              <w:bottom w:val="single" w:sz="4" w:space="0" w:color="BFBFBF"/>
              <w:right w:val="single" w:sz="4" w:space="0" w:color="BFBFBF"/>
            </w:tcBorders>
            <w:vAlign w:val="center"/>
          </w:tcPr>
          <w:p w14:paraId="3ECA9BCC" w14:textId="77777777" w:rsidR="005235B2" w:rsidRDefault="00000000">
            <w:pPr>
              <w:spacing w:after="0"/>
            </w:pPr>
            <w:r>
              <w:rPr>
                <w:sz w:val="17"/>
              </w:rPr>
              <w:t>0,895</w:t>
            </w:r>
          </w:p>
        </w:tc>
      </w:tr>
      <w:tr w:rsidR="005235B2" w14:paraId="6650E0C7" w14:textId="77777777">
        <w:trPr>
          <w:jc w:val="center"/>
        </w:trPr>
        <w:tc>
          <w:tcPr>
            <w:tcW w:w="3168" w:type="dxa"/>
            <w:tcBorders>
              <w:top w:val="single" w:sz="4" w:space="0" w:color="BFBFBF"/>
              <w:left w:val="single" w:sz="4" w:space="0" w:color="BFBFBF"/>
              <w:bottom w:val="single" w:sz="4" w:space="0" w:color="BFBFBF"/>
              <w:right w:val="single" w:sz="4" w:space="0" w:color="BFBFBF"/>
            </w:tcBorders>
            <w:vAlign w:val="center"/>
          </w:tcPr>
          <w:p w14:paraId="6FDDAAA8" w14:textId="77777777" w:rsidR="005235B2" w:rsidRDefault="00000000">
            <w:pPr>
              <w:spacing w:after="0"/>
            </w:pPr>
            <w:r>
              <w:rPr>
                <w:sz w:val="17"/>
              </w:rPr>
              <w:t>F6 9 meses EC</w:t>
            </w:r>
          </w:p>
        </w:tc>
        <w:tc>
          <w:tcPr>
            <w:tcW w:w="1440" w:type="dxa"/>
            <w:tcBorders>
              <w:top w:val="single" w:sz="4" w:space="0" w:color="BFBFBF"/>
              <w:left w:val="single" w:sz="4" w:space="0" w:color="BFBFBF"/>
              <w:bottom w:val="single" w:sz="4" w:space="0" w:color="BFBFBF"/>
              <w:right w:val="single" w:sz="4" w:space="0" w:color="BFBFBF"/>
            </w:tcBorders>
            <w:vAlign w:val="center"/>
          </w:tcPr>
          <w:p w14:paraId="25E8E8F1" w14:textId="77777777" w:rsidR="005235B2" w:rsidRDefault="00000000">
            <w:pPr>
              <w:spacing w:after="0"/>
            </w:pPr>
            <w:r>
              <w:rPr>
                <w:sz w:val="17"/>
              </w:rPr>
              <w:t>0,929</w:t>
            </w:r>
          </w:p>
        </w:tc>
        <w:tc>
          <w:tcPr>
            <w:tcW w:w="1440" w:type="dxa"/>
            <w:tcBorders>
              <w:top w:val="single" w:sz="4" w:space="0" w:color="BFBFBF"/>
              <w:left w:val="single" w:sz="4" w:space="0" w:color="BFBFBF"/>
              <w:bottom w:val="single" w:sz="4" w:space="0" w:color="BFBFBF"/>
              <w:right w:val="single" w:sz="4" w:space="0" w:color="BFBFBF"/>
            </w:tcBorders>
            <w:vAlign w:val="center"/>
          </w:tcPr>
          <w:p w14:paraId="733D2D67" w14:textId="77777777" w:rsidR="005235B2" w:rsidRDefault="00000000">
            <w:pPr>
              <w:spacing w:after="0"/>
            </w:pPr>
            <w:r>
              <w:rPr>
                <w:sz w:val="17"/>
              </w:rPr>
              <w:t>0,963</w:t>
            </w:r>
          </w:p>
        </w:tc>
        <w:tc>
          <w:tcPr>
            <w:tcW w:w="1440" w:type="dxa"/>
            <w:tcBorders>
              <w:top w:val="single" w:sz="4" w:space="0" w:color="BFBFBF"/>
              <w:left w:val="single" w:sz="4" w:space="0" w:color="BFBFBF"/>
              <w:bottom w:val="single" w:sz="4" w:space="0" w:color="BFBFBF"/>
              <w:right w:val="single" w:sz="4" w:space="0" w:color="BFBFBF"/>
            </w:tcBorders>
            <w:vAlign w:val="center"/>
          </w:tcPr>
          <w:p w14:paraId="0D03D00B" w14:textId="77777777" w:rsidR="005235B2" w:rsidRDefault="00000000">
            <w:pPr>
              <w:spacing w:after="0"/>
            </w:pPr>
            <w:r>
              <w:rPr>
                <w:sz w:val="17"/>
              </w:rPr>
              <w:t>0,925</w:t>
            </w:r>
          </w:p>
        </w:tc>
      </w:tr>
    </w:tbl>
    <w:p w14:paraId="47CC27A1" w14:textId="77777777" w:rsidR="005235B2" w:rsidRPr="001966D3" w:rsidRDefault="00000000">
      <w:pPr>
        <w:jc w:val="center"/>
        <w:rPr>
          <w:lang w:val="es-CO"/>
        </w:rPr>
      </w:pPr>
      <w:r w:rsidRPr="001966D3">
        <w:rPr>
          <w:i/>
          <w:color w:val="595959"/>
          <w:sz w:val="16"/>
          <w:lang w:val="es-CO"/>
        </w:rPr>
        <w:t>Tabla 2. Desempeño promedio del modelo en cada fase. Valores más altos indican mejor separación entre riesgo y no riesgo.</w:t>
      </w:r>
    </w:p>
    <w:p w14:paraId="7E19368F" w14:textId="77777777" w:rsidR="005235B2" w:rsidRDefault="00000000">
      <w:pPr>
        <w:jc w:val="center"/>
      </w:pPr>
      <w:r>
        <w:rPr>
          <w:noProof/>
        </w:rPr>
        <w:drawing>
          <wp:inline distT="0" distB="0" distL="0" distR="0" wp14:anchorId="09655D4F" wp14:editId="10B94E3C">
            <wp:extent cx="5852160" cy="1616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ado_Malnutricion-final_cell10_out00.png"/>
                    <pic:cNvPicPr/>
                  </pic:nvPicPr>
                  <pic:blipFill>
                    <a:blip r:embed="rId9"/>
                    <a:stretch>
                      <a:fillRect/>
                    </a:stretch>
                  </pic:blipFill>
                  <pic:spPr>
                    <a:xfrm>
                      <a:off x="0" y="0"/>
                      <a:ext cx="5852160" cy="1616649"/>
                    </a:xfrm>
                    <a:prstGeom prst="rect">
                      <a:avLst/>
                    </a:prstGeom>
                  </pic:spPr>
                </pic:pic>
              </a:graphicData>
            </a:graphic>
          </wp:inline>
        </w:drawing>
      </w:r>
    </w:p>
    <w:p w14:paraId="284EFB72" w14:textId="77777777" w:rsidR="005235B2" w:rsidRPr="001966D3" w:rsidRDefault="00000000">
      <w:pPr>
        <w:jc w:val="center"/>
        <w:rPr>
          <w:lang w:val="es-CO"/>
        </w:rPr>
      </w:pPr>
      <w:r w:rsidRPr="001966D3">
        <w:rPr>
          <w:i/>
          <w:color w:val="595959"/>
          <w:sz w:val="16"/>
          <w:lang w:val="es-CO"/>
        </w:rPr>
        <w:t>Figura 2. Mejora progresiva del desempeño cuando se agrega más información del seguimiento.</w:t>
      </w:r>
    </w:p>
    <w:p w14:paraId="791102AD" w14:textId="77777777" w:rsidR="005235B2" w:rsidRPr="001966D3" w:rsidRDefault="00000000">
      <w:pPr>
        <w:jc w:val="both"/>
        <w:rPr>
          <w:lang w:val="es-CO"/>
        </w:rPr>
      </w:pPr>
      <w:r w:rsidRPr="001966D3">
        <w:rPr>
          <w:lang w:val="es-CO"/>
        </w:rPr>
        <w:t>En la mejor fase disponible, que corresponde a los 9 meses de edad corregida, el modelo tuvo un desempeño alto para los tres desenlaces. Para bajo peso alcanzó el mejor resultado global. Para talla baja también logró una buena combinación entre detectar casos de riesgo y evitar falsas alarmas. En desnutrición aguda el resultado fue bueno, pero la sensibilidad fue menor, probablemente porque hay menos casos positivos y eso hace más difícil aprender el patrón.</w:t>
      </w:r>
    </w:p>
    <w:p w14:paraId="1CA0A4E1" w14:textId="77777777" w:rsidR="005235B2" w:rsidRPr="001966D3" w:rsidRDefault="00000000">
      <w:pPr>
        <w:jc w:val="both"/>
        <w:rPr>
          <w:lang w:val="es-CO"/>
        </w:rPr>
      </w:pPr>
      <w:r w:rsidRPr="001966D3">
        <w:rPr>
          <w:lang w:val="es-CO"/>
        </w:rPr>
        <w:t>En esta tabla, sensibilidad significa la capacidad de detectar a los niños que sí presentan el problema, mientras que especificidad significa la capacidad de reconocer a quienes no lo presentan. En un contexto clínico, estas dos medidas deben balancearse con cuidado: si se busca tamizaje temprano, puede ser preferible aceptar más alertas a cambio de dejar menos casos sin detectar.</w:t>
      </w:r>
    </w:p>
    <w:tbl>
      <w:tblPr>
        <w:tblW w:w="0" w:type="auto"/>
        <w:jc w:val="center"/>
        <w:tblLook w:val="04A0" w:firstRow="1" w:lastRow="0" w:firstColumn="1" w:lastColumn="0" w:noHBand="0" w:noVBand="1"/>
      </w:tblPr>
      <w:tblGrid>
        <w:gridCol w:w="2448"/>
        <w:gridCol w:w="1296"/>
        <w:gridCol w:w="1152"/>
        <w:gridCol w:w="1152"/>
        <w:gridCol w:w="1152"/>
        <w:gridCol w:w="1152"/>
      </w:tblGrid>
      <w:tr w:rsidR="005235B2" w14:paraId="578DCE03"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59E2134B" w14:textId="77777777" w:rsidR="005235B2" w:rsidRDefault="00000000">
            <w:pPr>
              <w:spacing w:after="0"/>
            </w:pPr>
            <w:r>
              <w:rPr>
                <w:b/>
                <w:color w:val="1F4E79"/>
                <w:sz w:val="17"/>
              </w:rPr>
              <w:lastRenderedPageBreak/>
              <w:t>Outcome en F6</w:t>
            </w:r>
          </w:p>
        </w:tc>
        <w:tc>
          <w:tcPr>
            <w:tcW w:w="129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510B0FFE" w14:textId="77777777" w:rsidR="005235B2" w:rsidRDefault="00000000">
            <w:pPr>
              <w:spacing w:after="0"/>
            </w:pPr>
            <w:r>
              <w:rPr>
                <w:b/>
                <w:color w:val="1F4E79"/>
                <w:sz w:val="17"/>
              </w:rPr>
              <w:t>AUC test</w:t>
            </w:r>
          </w:p>
        </w:tc>
        <w:tc>
          <w:tcPr>
            <w:tcW w:w="115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07164C2" w14:textId="77777777" w:rsidR="005235B2" w:rsidRDefault="00000000">
            <w:pPr>
              <w:spacing w:after="0"/>
            </w:pPr>
            <w:r>
              <w:rPr>
                <w:b/>
                <w:color w:val="1F4E79"/>
                <w:sz w:val="17"/>
              </w:rPr>
              <w:t>Sens.</w:t>
            </w:r>
          </w:p>
        </w:tc>
        <w:tc>
          <w:tcPr>
            <w:tcW w:w="115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09332605" w14:textId="77777777" w:rsidR="005235B2" w:rsidRDefault="00000000">
            <w:pPr>
              <w:spacing w:after="0"/>
            </w:pPr>
            <w:r>
              <w:rPr>
                <w:b/>
                <w:color w:val="1F4E79"/>
                <w:sz w:val="17"/>
              </w:rPr>
              <w:t>Espec.</w:t>
            </w:r>
          </w:p>
        </w:tc>
        <w:tc>
          <w:tcPr>
            <w:tcW w:w="115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0A46427F" w14:textId="77777777" w:rsidR="005235B2" w:rsidRDefault="00000000">
            <w:pPr>
              <w:spacing w:after="0"/>
            </w:pPr>
            <w:r>
              <w:rPr>
                <w:b/>
                <w:color w:val="1F4E79"/>
                <w:sz w:val="17"/>
              </w:rPr>
              <w:t>n test</w:t>
            </w:r>
          </w:p>
        </w:tc>
        <w:tc>
          <w:tcPr>
            <w:tcW w:w="115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4471A9D9" w14:textId="77777777" w:rsidR="005235B2" w:rsidRDefault="00000000">
            <w:pPr>
              <w:spacing w:after="0"/>
            </w:pPr>
            <w:r>
              <w:rPr>
                <w:b/>
                <w:color w:val="1F4E79"/>
                <w:sz w:val="17"/>
              </w:rPr>
              <w:t>positivos</w:t>
            </w:r>
          </w:p>
        </w:tc>
      </w:tr>
      <w:tr w:rsidR="005235B2" w14:paraId="27075D46" w14:textId="77777777">
        <w:trPr>
          <w:jc w:val="center"/>
        </w:trPr>
        <w:tc>
          <w:tcPr>
            <w:tcW w:w="2448" w:type="dxa"/>
            <w:tcBorders>
              <w:top w:val="single" w:sz="4" w:space="0" w:color="BFBFBF"/>
              <w:left w:val="single" w:sz="4" w:space="0" w:color="BFBFBF"/>
              <w:bottom w:val="single" w:sz="4" w:space="0" w:color="BFBFBF"/>
              <w:right w:val="single" w:sz="4" w:space="0" w:color="BFBFBF"/>
            </w:tcBorders>
            <w:vAlign w:val="center"/>
          </w:tcPr>
          <w:p w14:paraId="76251D4E" w14:textId="77777777" w:rsidR="005235B2" w:rsidRDefault="00000000">
            <w:pPr>
              <w:spacing w:after="0"/>
            </w:pPr>
            <w:r>
              <w:rPr>
                <w:sz w:val="17"/>
              </w:rPr>
              <w:t>Stunting</w:t>
            </w:r>
          </w:p>
        </w:tc>
        <w:tc>
          <w:tcPr>
            <w:tcW w:w="1296" w:type="dxa"/>
            <w:tcBorders>
              <w:top w:val="single" w:sz="4" w:space="0" w:color="BFBFBF"/>
              <w:left w:val="single" w:sz="4" w:space="0" w:color="BFBFBF"/>
              <w:bottom w:val="single" w:sz="4" w:space="0" w:color="BFBFBF"/>
              <w:right w:val="single" w:sz="4" w:space="0" w:color="BFBFBF"/>
            </w:tcBorders>
            <w:vAlign w:val="center"/>
          </w:tcPr>
          <w:p w14:paraId="08E23FD6" w14:textId="77777777" w:rsidR="005235B2" w:rsidRDefault="00000000">
            <w:pPr>
              <w:spacing w:after="0"/>
            </w:pPr>
            <w:r>
              <w:rPr>
                <w:sz w:val="17"/>
              </w:rPr>
              <w:t>0,923</w:t>
            </w:r>
          </w:p>
        </w:tc>
        <w:tc>
          <w:tcPr>
            <w:tcW w:w="1152" w:type="dxa"/>
            <w:tcBorders>
              <w:top w:val="single" w:sz="4" w:space="0" w:color="BFBFBF"/>
              <w:left w:val="single" w:sz="4" w:space="0" w:color="BFBFBF"/>
              <w:bottom w:val="single" w:sz="4" w:space="0" w:color="BFBFBF"/>
              <w:right w:val="single" w:sz="4" w:space="0" w:color="BFBFBF"/>
            </w:tcBorders>
            <w:vAlign w:val="center"/>
          </w:tcPr>
          <w:p w14:paraId="6AB7AA04" w14:textId="77777777" w:rsidR="005235B2" w:rsidRDefault="00000000">
            <w:pPr>
              <w:spacing w:after="0"/>
            </w:pPr>
            <w:r>
              <w:rPr>
                <w:sz w:val="17"/>
              </w:rPr>
              <w:t>0,818</w:t>
            </w:r>
          </w:p>
        </w:tc>
        <w:tc>
          <w:tcPr>
            <w:tcW w:w="1152" w:type="dxa"/>
            <w:tcBorders>
              <w:top w:val="single" w:sz="4" w:space="0" w:color="BFBFBF"/>
              <w:left w:val="single" w:sz="4" w:space="0" w:color="BFBFBF"/>
              <w:bottom w:val="single" w:sz="4" w:space="0" w:color="BFBFBF"/>
              <w:right w:val="single" w:sz="4" w:space="0" w:color="BFBFBF"/>
            </w:tcBorders>
            <w:vAlign w:val="center"/>
          </w:tcPr>
          <w:p w14:paraId="23023AEA" w14:textId="77777777" w:rsidR="005235B2" w:rsidRDefault="00000000">
            <w:pPr>
              <w:spacing w:after="0"/>
            </w:pPr>
            <w:r>
              <w:rPr>
                <w:sz w:val="17"/>
              </w:rPr>
              <w:t>0,848</w:t>
            </w:r>
          </w:p>
        </w:tc>
        <w:tc>
          <w:tcPr>
            <w:tcW w:w="1152" w:type="dxa"/>
            <w:tcBorders>
              <w:top w:val="single" w:sz="4" w:space="0" w:color="BFBFBF"/>
              <w:left w:val="single" w:sz="4" w:space="0" w:color="BFBFBF"/>
              <w:bottom w:val="single" w:sz="4" w:space="0" w:color="BFBFBF"/>
              <w:right w:val="single" w:sz="4" w:space="0" w:color="BFBFBF"/>
            </w:tcBorders>
            <w:vAlign w:val="center"/>
          </w:tcPr>
          <w:p w14:paraId="279AE638" w14:textId="77777777" w:rsidR="005235B2" w:rsidRDefault="00000000">
            <w:pPr>
              <w:spacing w:after="0"/>
            </w:pPr>
            <w:r>
              <w:rPr>
                <w:sz w:val="17"/>
              </w:rPr>
              <w:t>6.191</w:t>
            </w:r>
          </w:p>
        </w:tc>
        <w:tc>
          <w:tcPr>
            <w:tcW w:w="1152" w:type="dxa"/>
            <w:tcBorders>
              <w:top w:val="single" w:sz="4" w:space="0" w:color="BFBFBF"/>
              <w:left w:val="single" w:sz="4" w:space="0" w:color="BFBFBF"/>
              <w:bottom w:val="single" w:sz="4" w:space="0" w:color="BFBFBF"/>
              <w:right w:val="single" w:sz="4" w:space="0" w:color="BFBFBF"/>
            </w:tcBorders>
            <w:vAlign w:val="center"/>
          </w:tcPr>
          <w:p w14:paraId="7C7EC98F" w14:textId="77777777" w:rsidR="005235B2" w:rsidRDefault="00000000">
            <w:pPr>
              <w:spacing w:after="0"/>
            </w:pPr>
            <w:r>
              <w:rPr>
                <w:sz w:val="17"/>
              </w:rPr>
              <w:t>1.525</w:t>
            </w:r>
          </w:p>
        </w:tc>
      </w:tr>
      <w:tr w:rsidR="005235B2" w14:paraId="09C92B38" w14:textId="77777777">
        <w:trPr>
          <w:jc w:val="center"/>
        </w:trPr>
        <w:tc>
          <w:tcPr>
            <w:tcW w:w="2448" w:type="dxa"/>
            <w:tcBorders>
              <w:top w:val="single" w:sz="4" w:space="0" w:color="BFBFBF"/>
              <w:left w:val="single" w:sz="4" w:space="0" w:color="BFBFBF"/>
              <w:bottom w:val="single" w:sz="4" w:space="0" w:color="BFBFBF"/>
              <w:right w:val="single" w:sz="4" w:space="0" w:color="BFBFBF"/>
            </w:tcBorders>
            <w:vAlign w:val="center"/>
          </w:tcPr>
          <w:p w14:paraId="609216AD" w14:textId="77777777" w:rsidR="005235B2" w:rsidRDefault="00000000">
            <w:pPr>
              <w:spacing w:after="0"/>
            </w:pPr>
            <w:r>
              <w:rPr>
                <w:sz w:val="17"/>
              </w:rPr>
              <w:t>Bajo peso</w:t>
            </w:r>
          </w:p>
        </w:tc>
        <w:tc>
          <w:tcPr>
            <w:tcW w:w="1296" w:type="dxa"/>
            <w:tcBorders>
              <w:top w:val="single" w:sz="4" w:space="0" w:color="BFBFBF"/>
              <w:left w:val="single" w:sz="4" w:space="0" w:color="BFBFBF"/>
              <w:bottom w:val="single" w:sz="4" w:space="0" w:color="BFBFBF"/>
              <w:right w:val="single" w:sz="4" w:space="0" w:color="BFBFBF"/>
            </w:tcBorders>
            <w:vAlign w:val="center"/>
          </w:tcPr>
          <w:p w14:paraId="5F7CD94A" w14:textId="77777777" w:rsidR="005235B2" w:rsidRDefault="00000000">
            <w:pPr>
              <w:spacing w:after="0"/>
            </w:pPr>
            <w:r>
              <w:rPr>
                <w:sz w:val="17"/>
              </w:rPr>
              <w:t>0,959</w:t>
            </w:r>
          </w:p>
        </w:tc>
        <w:tc>
          <w:tcPr>
            <w:tcW w:w="1152" w:type="dxa"/>
            <w:tcBorders>
              <w:top w:val="single" w:sz="4" w:space="0" w:color="BFBFBF"/>
              <w:left w:val="single" w:sz="4" w:space="0" w:color="BFBFBF"/>
              <w:bottom w:val="single" w:sz="4" w:space="0" w:color="BFBFBF"/>
              <w:right w:val="single" w:sz="4" w:space="0" w:color="BFBFBF"/>
            </w:tcBorders>
            <w:vAlign w:val="center"/>
          </w:tcPr>
          <w:p w14:paraId="53A8E20B" w14:textId="77777777" w:rsidR="005235B2" w:rsidRDefault="00000000">
            <w:pPr>
              <w:spacing w:after="0"/>
            </w:pPr>
            <w:r>
              <w:rPr>
                <w:sz w:val="17"/>
              </w:rPr>
              <w:t>0,834</w:t>
            </w:r>
          </w:p>
        </w:tc>
        <w:tc>
          <w:tcPr>
            <w:tcW w:w="1152" w:type="dxa"/>
            <w:tcBorders>
              <w:top w:val="single" w:sz="4" w:space="0" w:color="BFBFBF"/>
              <w:left w:val="single" w:sz="4" w:space="0" w:color="BFBFBF"/>
              <w:bottom w:val="single" w:sz="4" w:space="0" w:color="BFBFBF"/>
              <w:right w:val="single" w:sz="4" w:space="0" w:color="BFBFBF"/>
            </w:tcBorders>
            <w:vAlign w:val="center"/>
          </w:tcPr>
          <w:p w14:paraId="10F4AAFF" w14:textId="77777777" w:rsidR="005235B2" w:rsidRDefault="00000000">
            <w:pPr>
              <w:spacing w:after="0"/>
            </w:pPr>
            <w:r>
              <w:rPr>
                <w:sz w:val="17"/>
              </w:rPr>
              <w:t>0,939</w:t>
            </w:r>
          </w:p>
        </w:tc>
        <w:tc>
          <w:tcPr>
            <w:tcW w:w="1152" w:type="dxa"/>
            <w:tcBorders>
              <w:top w:val="single" w:sz="4" w:space="0" w:color="BFBFBF"/>
              <w:left w:val="single" w:sz="4" w:space="0" w:color="BFBFBF"/>
              <w:bottom w:val="single" w:sz="4" w:space="0" w:color="BFBFBF"/>
              <w:right w:val="single" w:sz="4" w:space="0" w:color="BFBFBF"/>
            </w:tcBorders>
            <w:vAlign w:val="center"/>
          </w:tcPr>
          <w:p w14:paraId="1550BACD" w14:textId="77777777" w:rsidR="005235B2" w:rsidRDefault="00000000">
            <w:pPr>
              <w:spacing w:after="0"/>
            </w:pPr>
            <w:r>
              <w:rPr>
                <w:sz w:val="17"/>
              </w:rPr>
              <w:t>5.951</w:t>
            </w:r>
          </w:p>
        </w:tc>
        <w:tc>
          <w:tcPr>
            <w:tcW w:w="1152" w:type="dxa"/>
            <w:tcBorders>
              <w:top w:val="single" w:sz="4" w:space="0" w:color="BFBFBF"/>
              <w:left w:val="single" w:sz="4" w:space="0" w:color="BFBFBF"/>
              <w:bottom w:val="single" w:sz="4" w:space="0" w:color="BFBFBF"/>
              <w:right w:val="single" w:sz="4" w:space="0" w:color="BFBFBF"/>
            </w:tcBorders>
            <w:vAlign w:val="center"/>
          </w:tcPr>
          <w:p w14:paraId="551B0CDC" w14:textId="77777777" w:rsidR="005235B2" w:rsidRDefault="00000000">
            <w:pPr>
              <w:spacing w:after="0"/>
            </w:pPr>
            <w:r>
              <w:rPr>
                <w:sz w:val="17"/>
              </w:rPr>
              <w:t>700</w:t>
            </w:r>
          </w:p>
        </w:tc>
      </w:tr>
      <w:tr w:rsidR="005235B2" w14:paraId="60FB2404" w14:textId="77777777">
        <w:trPr>
          <w:jc w:val="center"/>
        </w:trPr>
        <w:tc>
          <w:tcPr>
            <w:tcW w:w="2448" w:type="dxa"/>
            <w:tcBorders>
              <w:top w:val="single" w:sz="4" w:space="0" w:color="BFBFBF"/>
              <w:left w:val="single" w:sz="4" w:space="0" w:color="BFBFBF"/>
              <w:bottom w:val="single" w:sz="4" w:space="0" w:color="BFBFBF"/>
              <w:right w:val="single" w:sz="4" w:space="0" w:color="BFBFBF"/>
            </w:tcBorders>
            <w:vAlign w:val="center"/>
          </w:tcPr>
          <w:p w14:paraId="058BA7EA" w14:textId="77777777" w:rsidR="005235B2" w:rsidRDefault="00000000">
            <w:pPr>
              <w:spacing w:after="0"/>
            </w:pPr>
            <w:r>
              <w:rPr>
                <w:sz w:val="17"/>
              </w:rPr>
              <w:t>Wasting</w:t>
            </w:r>
          </w:p>
        </w:tc>
        <w:tc>
          <w:tcPr>
            <w:tcW w:w="1296" w:type="dxa"/>
            <w:tcBorders>
              <w:top w:val="single" w:sz="4" w:space="0" w:color="BFBFBF"/>
              <w:left w:val="single" w:sz="4" w:space="0" w:color="BFBFBF"/>
              <w:bottom w:val="single" w:sz="4" w:space="0" w:color="BFBFBF"/>
              <w:right w:val="single" w:sz="4" w:space="0" w:color="BFBFBF"/>
            </w:tcBorders>
            <w:vAlign w:val="center"/>
          </w:tcPr>
          <w:p w14:paraId="59B561B2" w14:textId="77777777" w:rsidR="005235B2" w:rsidRDefault="00000000">
            <w:pPr>
              <w:spacing w:after="0"/>
            </w:pPr>
            <w:r>
              <w:rPr>
                <w:sz w:val="17"/>
              </w:rPr>
              <w:t>0,911</w:t>
            </w:r>
          </w:p>
        </w:tc>
        <w:tc>
          <w:tcPr>
            <w:tcW w:w="1152" w:type="dxa"/>
            <w:tcBorders>
              <w:top w:val="single" w:sz="4" w:space="0" w:color="BFBFBF"/>
              <w:left w:val="single" w:sz="4" w:space="0" w:color="BFBFBF"/>
              <w:bottom w:val="single" w:sz="4" w:space="0" w:color="BFBFBF"/>
              <w:right w:val="single" w:sz="4" w:space="0" w:color="BFBFBF"/>
            </w:tcBorders>
            <w:vAlign w:val="center"/>
          </w:tcPr>
          <w:p w14:paraId="1E71D184" w14:textId="77777777" w:rsidR="005235B2" w:rsidRDefault="00000000">
            <w:pPr>
              <w:spacing w:after="0"/>
            </w:pPr>
            <w:r>
              <w:rPr>
                <w:sz w:val="17"/>
              </w:rPr>
              <w:t>0,702</w:t>
            </w:r>
          </w:p>
        </w:tc>
        <w:tc>
          <w:tcPr>
            <w:tcW w:w="1152" w:type="dxa"/>
            <w:tcBorders>
              <w:top w:val="single" w:sz="4" w:space="0" w:color="BFBFBF"/>
              <w:left w:val="single" w:sz="4" w:space="0" w:color="BFBFBF"/>
              <w:bottom w:val="single" w:sz="4" w:space="0" w:color="BFBFBF"/>
              <w:right w:val="single" w:sz="4" w:space="0" w:color="BFBFBF"/>
            </w:tcBorders>
            <w:vAlign w:val="center"/>
          </w:tcPr>
          <w:p w14:paraId="0F7F855B" w14:textId="77777777" w:rsidR="005235B2" w:rsidRDefault="00000000">
            <w:pPr>
              <w:spacing w:after="0"/>
            </w:pPr>
            <w:r>
              <w:rPr>
                <w:sz w:val="17"/>
              </w:rPr>
              <w:t>0,941</w:t>
            </w:r>
          </w:p>
        </w:tc>
        <w:tc>
          <w:tcPr>
            <w:tcW w:w="1152" w:type="dxa"/>
            <w:tcBorders>
              <w:top w:val="single" w:sz="4" w:space="0" w:color="BFBFBF"/>
              <w:left w:val="single" w:sz="4" w:space="0" w:color="BFBFBF"/>
              <w:bottom w:val="single" w:sz="4" w:space="0" w:color="BFBFBF"/>
              <w:right w:val="single" w:sz="4" w:space="0" w:color="BFBFBF"/>
            </w:tcBorders>
            <w:vAlign w:val="center"/>
          </w:tcPr>
          <w:p w14:paraId="2A2BA3B7" w14:textId="77777777" w:rsidR="005235B2" w:rsidRDefault="00000000">
            <w:pPr>
              <w:spacing w:after="0"/>
            </w:pPr>
            <w:r>
              <w:rPr>
                <w:sz w:val="17"/>
              </w:rPr>
              <w:t>5.950</w:t>
            </w:r>
          </w:p>
        </w:tc>
        <w:tc>
          <w:tcPr>
            <w:tcW w:w="1152" w:type="dxa"/>
            <w:tcBorders>
              <w:top w:val="single" w:sz="4" w:space="0" w:color="BFBFBF"/>
              <w:left w:val="single" w:sz="4" w:space="0" w:color="BFBFBF"/>
              <w:bottom w:val="single" w:sz="4" w:space="0" w:color="BFBFBF"/>
              <w:right w:val="single" w:sz="4" w:space="0" w:color="BFBFBF"/>
            </w:tcBorders>
            <w:vAlign w:val="center"/>
          </w:tcPr>
          <w:p w14:paraId="67346B09" w14:textId="77777777" w:rsidR="005235B2" w:rsidRDefault="00000000">
            <w:pPr>
              <w:spacing w:after="0"/>
            </w:pPr>
            <w:r>
              <w:rPr>
                <w:sz w:val="17"/>
              </w:rPr>
              <w:t>265</w:t>
            </w:r>
          </w:p>
        </w:tc>
      </w:tr>
    </w:tbl>
    <w:p w14:paraId="1DA18EF0" w14:textId="77777777" w:rsidR="005235B2" w:rsidRPr="001966D3" w:rsidRDefault="00000000">
      <w:pPr>
        <w:jc w:val="center"/>
        <w:rPr>
          <w:lang w:val="es-CO"/>
        </w:rPr>
      </w:pPr>
      <w:r w:rsidRPr="001966D3">
        <w:rPr>
          <w:i/>
          <w:color w:val="595959"/>
          <w:sz w:val="16"/>
          <w:lang w:val="es-CO"/>
        </w:rPr>
        <w:t>Tabla 3. Resultados en el conjunto de prueba usando la información disponible a los 9 meses EC.</w:t>
      </w:r>
    </w:p>
    <w:p w14:paraId="59F54CBA" w14:textId="77777777" w:rsidR="005235B2" w:rsidRDefault="00000000">
      <w:pPr>
        <w:jc w:val="center"/>
      </w:pPr>
      <w:r>
        <w:rPr>
          <w:noProof/>
        </w:rPr>
        <w:drawing>
          <wp:inline distT="0" distB="0" distL="0" distR="0" wp14:anchorId="2FFAFF8E" wp14:editId="4B2AC76C">
            <wp:extent cx="5029200" cy="3992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ado_Malnutricion-final_cell18_out00.png"/>
                    <pic:cNvPicPr/>
                  </pic:nvPicPr>
                  <pic:blipFill>
                    <a:blip r:embed="rId10"/>
                    <a:stretch>
                      <a:fillRect/>
                    </a:stretch>
                  </pic:blipFill>
                  <pic:spPr>
                    <a:xfrm>
                      <a:off x="0" y="0"/>
                      <a:ext cx="5029200" cy="3992906"/>
                    </a:xfrm>
                    <a:prstGeom prst="rect">
                      <a:avLst/>
                    </a:prstGeom>
                  </pic:spPr>
                </pic:pic>
              </a:graphicData>
            </a:graphic>
          </wp:inline>
        </w:drawing>
      </w:r>
    </w:p>
    <w:p w14:paraId="328D569C" w14:textId="77777777" w:rsidR="005235B2" w:rsidRPr="001966D3" w:rsidRDefault="00000000">
      <w:pPr>
        <w:jc w:val="center"/>
        <w:rPr>
          <w:lang w:val="es-CO"/>
        </w:rPr>
      </w:pPr>
      <w:r w:rsidRPr="001966D3">
        <w:rPr>
          <w:i/>
          <w:color w:val="595959"/>
          <w:sz w:val="16"/>
          <w:lang w:val="es-CO"/>
        </w:rPr>
        <w:t>Figura 3. Variables que más ayudan a explicar la predicción de talla baja a los 12 meses.</w:t>
      </w:r>
    </w:p>
    <w:p w14:paraId="73406CBF" w14:textId="77777777" w:rsidR="005235B2" w:rsidRPr="001966D3" w:rsidRDefault="00000000">
      <w:pPr>
        <w:jc w:val="both"/>
        <w:rPr>
          <w:lang w:val="es-CO"/>
        </w:rPr>
      </w:pPr>
      <w:r w:rsidRPr="001966D3">
        <w:rPr>
          <w:lang w:val="es-CO"/>
        </w:rPr>
        <w:t>La revisión de variables importantes ayuda a entender qué está aprendiendo el modelo. Para talla baja, los factores más fuertes son mediciones recientes de crecimiento: talla a los 9 meses, talla a los 6 meses, peso a los 9 meses y velocidad de crecimiento entre 6 y 9 meses. Esto sugiere que el seguimiento del crecimiento lineal es clave para anticipar el estado nutricional a los 12 meses.</w:t>
      </w:r>
    </w:p>
    <w:tbl>
      <w:tblPr>
        <w:tblW w:w="0" w:type="auto"/>
        <w:jc w:val="center"/>
        <w:tblLook w:val="04A0" w:firstRow="1" w:lastRow="0" w:firstColumn="1" w:lastColumn="0" w:noHBand="0" w:noVBand="1"/>
      </w:tblPr>
      <w:tblGrid>
        <w:gridCol w:w="2592"/>
        <w:gridCol w:w="5040"/>
        <w:gridCol w:w="1008"/>
      </w:tblGrid>
      <w:tr w:rsidR="005235B2" w14:paraId="1FF5BB9C"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0998BF92" w14:textId="77777777" w:rsidR="005235B2" w:rsidRDefault="00000000">
            <w:pPr>
              <w:spacing w:after="0"/>
            </w:pPr>
            <w:r>
              <w:rPr>
                <w:b/>
                <w:color w:val="1F4E79"/>
                <w:sz w:val="17"/>
              </w:rPr>
              <w:t>Variable</w:t>
            </w:r>
          </w:p>
        </w:tc>
        <w:tc>
          <w:tcPr>
            <w:tcW w:w="504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43F9F1F8" w14:textId="77777777" w:rsidR="005235B2" w:rsidRDefault="00000000">
            <w:pPr>
              <w:spacing w:after="0"/>
            </w:pPr>
            <w:r>
              <w:rPr>
                <w:b/>
                <w:color w:val="1F4E79"/>
                <w:sz w:val="17"/>
              </w:rPr>
              <w:t>Lectura clínica</w:t>
            </w:r>
          </w:p>
        </w:tc>
        <w:tc>
          <w:tcPr>
            <w:tcW w:w="100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66C49E31" w14:textId="77777777" w:rsidR="005235B2" w:rsidRDefault="00000000">
            <w:pPr>
              <w:spacing w:after="0"/>
            </w:pPr>
            <w:r>
              <w:rPr>
                <w:b/>
                <w:color w:val="1F4E79"/>
                <w:sz w:val="17"/>
              </w:rPr>
              <w:t>SHAP</w:t>
            </w:r>
          </w:p>
        </w:tc>
      </w:tr>
      <w:tr w:rsidR="005235B2" w14:paraId="1BEBE8B5"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312B022D" w14:textId="77777777" w:rsidR="005235B2" w:rsidRDefault="00000000">
            <w:pPr>
              <w:spacing w:after="0"/>
            </w:pPr>
            <w:r>
              <w:rPr>
                <w:sz w:val="17"/>
              </w:rPr>
              <w:t>zscoretalla9</w:t>
            </w:r>
          </w:p>
        </w:tc>
        <w:tc>
          <w:tcPr>
            <w:tcW w:w="5040" w:type="dxa"/>
            <w:tcBorders>
              <w:top w:val="single" w:sz="4" w:space="0" w:color="BFBFBF"/>
              <w:left w:val="single" w:sz="4" w:space="0" w:color="BFBFBF"/>
              <w:bottom w:val="single" w:sz="4" w:space="0" w:color="BFBFBF"/>
              <w:right w:val="single" w:sz="4" w:space="0" w:color="BFBFBF"/>
            </w:tcBorders>
            <w:vAlign w:val="center"/>
          </w:tcPr>
          <w:p w14:paraId="59FF3C28" w14:textId="77777777" w:rsidR="005235B2" w:rsidRPr="001966D3" w:rsidRDefault="00000000">
            <w:pPr>
              <w:spacing w:after="0"/>
              <w:rPr>
                <w:lang w:val="es-CO"/>
              </w:rPr>
            </w:pPr>
            <w:r w:rsidRPr="001966D3">
              <w:rPr>
                <w:sz w:val="17"/>
                <w:lang w:val="es-CO"/>
              </w:rPr>
              <w:t>Talla para la edad a los 9 meses EC</w:t>
            </w:r>
          </w:p>
        </w:tc>
        <w:tc>
          <w:tcPr>
            <w:tcW w:w="1008" w:type="dxa"/>
            <w:tcBorders>
              <w:top w:val="single" w:sz="4" w:space="0" w:color="BFBFBF"/>
              <w:left w:val="single" w:sz="4" w:space="0" w:color="BFBFBF"/>
              <w:bottom w:val="single" w:sz="4" w:space="0" w:color="BFBFBF"/>
              <w:right w:val="single" w:sz="4" w:space="0" w:color="BFBFBF"/>
            </w:tcBorders>
            <w:vAlign w:val="center"/>
          </w:tcPr>
          <w:p w14:paraId="2FB3B322" w14:textId="77777777" w:rsidR="005235B2" w:rsidRDefault="00000000">
            <w:pPr>
              <w:spacing w:after="0"/>
            </w:pPr>
            <w:r>
              <w:rPr>
                <w:sz w:val="17"/>
              </w:rPr>
              <w:t>1,324</w:t>
            </w:r>
          </w:p>
        </w:tc>
      </w:tr>
      <w:tr w:rsidR="005235B2" w14:paraId="01A46187"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444B3AED" w14:textId="77777777" w:rsidR="005235B2" w:rsidRDefault="00000000">
            <w:pPr>
              <w:spacing w:after="0"/>
            </w:pPr>
            <w:r>
              <w:rPr>
                <w:sz w:val="17"/>
              </w:rPr>
              <w:t>zscoretalla6</w:t>
            </w:r>
          </w:p>
        </w:tc>
        <w:tc>
          <w:tcPr>
            <w:tcW w:w="5040" w:type="dxa"/>
            <w:tcBorders>
              <w:top w:val="single" w:sz="4" w:space="0" w:color="BFBFBF"/>
              <w:left w:val="single" w:sz="4" w:space="0" w:color="BFBFBF"/>
              <w:bottom w:val="single" w:sz="4" w:space="0" w:color="BFBFBF"/>
              <w:right w:val="single" w:sz="4" w:space="0" w:color="BFBFBF"/>
            </w:tcBorders>
            <w:vAlign w:val="center"/>
          </w:tcPr>
          <w:p w14:paraId="15206167" w14:textId="77777777" w:rsidR="005235B2" w:rsidRPr="001966D3" w:rsidRDefault="00000000">
            <w:pPr>
              <w:spacing w:after="0"/>
              <w:rPr>
                <w:lang w:val="es-CO"/>
              </w:rPr>
            </w:pPr>
            <w:r w:rsidRPr="001966D3">
              <w:rPr>
                <w:sz w:val="17"/>
                <w:lang w:val="es-CO"/>
              </w:rPr>
              <w:t>Talla para la edad a los 6 meses EC</w:t>
            </w:r>
          </w:p>
        </w:tc>
        <w:tc>
          <w:tcPr>
            <w:tcW w:w="1008" w:type="dxa"/>
            <w:tcBorders>
              <w:top w:val="single" w:sz="4" w:space="0" w:color="BFBFBF"/>
              <w:left w:val="single" w:sz="4" w:space="0" w:color="BFBFBF"/>
              <w:bottom w:val="single" w:sz="4" w:space="0" w:color="BFBFBF"/>
              <w:right w:val="single" w:sz="4" w:space="0" w:color="BFBFBF"/>
            </w:tcBorders>
            <w:vAlign w:val="center"/>
          </w:tcPr>
          <w:p w14:paraId="164574F4" w14:textId="77777777" w:rsidR="005235B2" w:rsidRDefault="00000000">
            <w:pPr>
              <w:spacing w:after="0"/>
            </w:pPr>
            <w:r>
              <w:rPr>
                <w:sz w:val="17"/>
              </w:rPr>
              <w:t>0,695</w:t>
            </w:r>
          </w:p>
        </w:tc>
      </w:tr>
      <w:tr w:rsidR="005235B2" w14:paraId="3AA094D4"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1A3E23F4" w14:textId="77777777" w:rsidR="005235B2" w:rsidRDefault="00000000">
            <w:pPr>
              <w:spacing w:after="0"/>
            </w:pPr>
            <w:r>
              <w:rPr>
                <w:sz w:val="17"/>
              </w:rPr>
              <w:t>zscorepeso9</w:t>
            </w:r>
          </w:p>
        </w:tc>
        <w:tc>
          <w:tcPr>
            <w:tcW w:w="5040" w:type="dxa"/>
            <w:tcBorders>
              <w:top w:val="single" w:sz="4" w:space="0" w:color="BFBFBF"/>
              <w:left w:val="single" w:sz="4" w:space="0" w:color="BFBFBF"/>
              <w:bottom w:val="single" w:sz="4" w:space="0" w:color="BFBFBF"/>
              <w:right w:val="single" w:sz="4" w:space="0" w:color="BFBFBF"/>
            </w:tcBorders>
            <w:vAlign w:val="center"/>
          </w:tcPr>
          <w:p w14:paraId="5CF60C0D" w14:textId="77777777" w:rsidR="005235B2" w:rsidRPr="001966D3" w:rsidRDefault="00000000">
            <w:pPr>
              <w:spacing w:after="0"/>
              <w:rPr>
                <w:lang w:val="es-CO"/>
              </w:rPr>
            </w:pPr>
            <w:r w:rsidRPr="001966D3">
              <w:rPr>
                <w:sz w:val="17"/>
                <w:lang w:val="es-CO"/>
              </w:rPr>
              <w:t>Peso para la edad a los 9 meses EC</w:t>
            </w:r>
          </w:p>
        </w:tc>
        <w:tc>
          <w:tcPr>
            <w:tcW w:w="1008" w:type="dxa"/>
            <w:tcBorders>
              <w:top w:val="single" w:sz="4" w:space="0" w:color="BFBFBF"/>
              <w:left w:val="single" w:sz="4" w:space="0" w:color="BFBFBF"/>
              <w:bottom w:val="single" w:sz="4" w:space="0" w:color="BFBFBF"/>
              <w:right w:val="single" w:sz="4" w:space="0" w:color="BFBFBF"/>
            </w:tcBorders>
            <w:vAlign w:val="center"/>
          </w:tcPr>
          <w:p w14:paraId="66392DD8" w14:textId="77777777" w:rsidR="005235B2" w:rsidRDefault="00000000">
            <w:pPr>
              <w:spacing w:after="0"/>
            </w:pPr>
            <w:r>
              <w:rPr>
                <w:sz w:val="17"/>
              </w:rPr>
              <w:t>0,153</w:t>
            </w:r>
          </w:p>
        </w:tc>
      </w:tr>
      <w:tr w:rsidR="005235B2" w14:paraId="08C9438A"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3D7A6F4B" w14:textId="77777777" w:rsidR="005235B2" w:rsidRDefault="00000000">
            <w:pPr>
              <w:spacing w:after="0"/>
            </w:pPr>
            <w:r>
              <w:rPr>
                <w:sz w:val="17"/>
              </w:rPr>
              <w:t>velocidad9_6mesesOMS</w:t>
            </w:r>
          </w:p>
        </w:tc>
        <w:tc>
          <w:tcPr>
            <w:tcW w:w="5040" w:type="dxa"/>
            <w:tcBorders>
              <w:top w:val="single" w:sz="4" w:space="0" w:color="BFBFBF"/>
              <w:left w:val="single" w:sz="4" w:space="0" w:color="BFBFBF"/>
              <w:bottom w:val="single" w:sz="4" w:space="0" w:color="BFBFBF"/>
              <w:right w:val="single" w:sz="4" w:space="0" w:color="BFBFBF"/>
            </w:tcBorders>
            <w:vAlign w:val="center"/>
          </w:tcPr>
          <w:p w14:paraId="1D0C67C4" w14:textId="77777777" w:rsidR="005235B2" w:rsidRPr="001966D3" w:rsidRDefault="00000000">
            <w:pPr>
              <w:spacing w:after="0"/>
              <w:rPr>
                <w:lang w:val="es-CO"/>
              </w:rPr>
            </w:pPr>
            <w:r w:rsidRPr="001966D3">
              <w:rPr>
                <w:sz w:val="17"/>
                <w:lang w:val="es-CO"/>
              </w:rPr>
              <w:t>Velocidad de crecimiento 6-9 meses EC</w:t>
            </w:r>
          </w:p>
        </w:tc>
        <w:tc>
          <w:tcPr>
            <w:tcW w:w="1008" w:type="dxa"/>
            <w:tcBorders>
              <w:top w:val="single" w:sz="4" w:space="0" w:color="BFBFBF"/>
              <w:left w:val="single" w:sz="4" w:space="0" w:color="BFBFBF"/>
              <w:bottom w:val="single" w:sz="4" w:space="0" w:color="BFBFBF"/>
              <w:right w:val="single" w:sz="4" w:space="0" w:color="BFBFBF"/>
            </w:tcBorders>
            <w:vAlign w:val="center"/>
          </w:tcPr>
          <w:p w14:paraId="7FF583AB" w14:textId="77777777" w:rsidR="005235B2" w:rsidRDefault="00000000">
            <w:pPr>
              <w:spacing w:after="0"/>
            </w:pPr>
            <w:r>
              <w:rPr>
                <w:sz w:val="17"/>
              </w:rPr>
              <w:t>0,112</w:t>
            </w:r>
          </w:p>
        </w:tc>
      </w:tr>
      <w:tr w:rsidR="005235B2" w14:paraId="5CBEA003"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2C30C7E5" w14:textId="77777777" w:rsidR="005235B2" w:rsidRDefault="00000000">
            <w:pPr>
              <w:spacing w:after="0"/>
            </w:pPr>
            <w:r>
              <w:rPr>
                <w:sz w:val="17"/>
              </w:rPr>
              <w:t>zscoretalla9cat</w:t>
            </w:r>
          </w:p>
        </w:tc>
        <w:tc>
          <w:tcPr>
            <w:tcW w:w="5040" w:type="dxa"/>
            <w:tcBorders>
              <w:top w:val="single" w:sz="4" w:space="0" w:color="BFBFBF"/>
              <w:left w:val="single" w:sz="4" w:space="0" w:color="BFBFBF"/>
              <w:bottom w:val="single" w:sz="4" w:space="0" w:color="BFBFBF"/>
              <w:right w:val="single" w:sz="4" w:space="0" w:color="BFBFBF"/>
            </w:tcBorders>
            <w:vAlign w:val="center"/>
          </w:tcPr>
          <w:p w14:paraId="66716FF6" w14:textId="77777777" w:rsidR="005235B2" w:rsidRPr="001966D3" w:rsidRDefault="00000000">
            <w:pPr>
              <w:spacing w:after="0"/>
              <w:rPr>
                <w:lang w:val="es-CO"/>
              </w:rPr>
            </w:pPr>
            <w:r w:rsidRPr="001966D3">
              <w:rPr>
                <w:sz w:val="17"/>
                <w:lang w:val="es-CO"/>
              </w:rPr>
              <w:t>Categoría clínica del z-score de talla a 9 meses</w:t>
            </w:r>
          </w:p>
        </w:tc>
        <w:tc>
          <w:tcPr>
            <w:tcW w:w="1008" w:type="dxa"/>
            <w:tcBorders>
              <w:top w:val="single" w:sz="4" w:space="0" w:color="BFBFBF"/>
              <w:left w:val="single" w:sz="4" w:space="0" w:color="BFBFBF"/>
              <w:bottom w:val="single" w:sz="4" w:space="0" w:color="BFBFBF"/>
              <w:right w:val="single" w:sz="4" w:space="0" w:color="BFBFBF"/>
            </w:tcBorders>
            <w:vAlign w:val="center"/>
          </w:tcPr>
          <w:p w14:paraId="28E10D0E" w14:textId="77777777" w:rsidR="005235B2" w:rsidRDefault="00000000">
            <w:pPr>
              <w:spacing w:after="0"/>
            </w:pPr>
            <w:r>
              <w:rPr>
                <w:sz w:val="17"/>
              </w:rPr>
              <w:t>0,093</w:t>
            </w:r>
          </w:p>
        </w:tc>
      </w:tr>
    </w:tbl>
    <w:p w14:paraId="180D6956" w14:textId="77777777" w:rsidR="005235B2" w:rsidRPr="001966D3" w:rsidRDefault="00000000">
      <w:pPr>
        <w:jc w:val="center"/>
        <w:rPr>
          <w:lang w:val="es-CO"/>
        </w:rPr>
      </w:pPr>
      <w:r w:rsidRPr="001966D3">
        <w:rPr>
          <w:i/>
          <w:color w:val="595959"/>
          <w:sz w:val="16"/>
          <w:lang w:val="es-CO"/>
        </w:rPr>
        <w:t>Tabla 4. Variables con mayor peso explicativo para la predicción de talla baja.</w:t>
      </w:r>
    </w:p>
    <w:p w14:paraId="558EBE57" w14:textId="77777777" w:rsidR="005235B2" w:rsidRPr="001966D3" w:rsidRDefault="00000000">
      <w:pPr>
        <w:pStyle w:val="Ttulo1"/>
        <w:spacing w:before="120" w:after="40"/>
        <w:rPr>
          <w:lang w:val="es-CO"/>
        </w:rPr>
      </w:pPr>
      <w:r w:rsidRPr="001966D3">
        <w:rPr>
          <w:lang w:val="es-CO"/>
        </w:rPr>
        <w:t>5. Análisis de los resultados obtenidos y próximos pasos</w:t>
      </w:r>
    </w:p>
    <w:p w14:paraId="6028EEFD" w14:textId="77777777" w:rsidR="005235B2" w:rsidRPr="001966D3" w:rsidRDefault="00000000">
      <w:pPr>
        <w:jc w:val="both"/>
        <w:rPr>
          <w:lang w:val="es-CO"/>
        </w:rPr>
      </w:pPr>
      <w:r w:rsidRPr="001966D3">
        <w:rPr>
          <w:lang w:val="es-CO"/>
        </w:rPr>
        <w:t>En conjunto, los resultados apoyan la idea central del proyecto: el riesgo de malnutrición a los 12 meses se va construyendo a lo largo del seguimiento y no depende de un solo dato aislado. El modelo puede aportar alertas tempranas desde las primeras fases, aunque con menor precisión, y puede entregar estimaciones más confiables cuando ya existen mediciones de crecimiento de 3, 6 y 9 meses.</w:t>
      </w:r>
    </w:p>
    <w:p w14:paraId="1D654285" w14:textId="77777777" w:rsidR="005235B2" w:rsidRPr="001966D3" w:rsidRDefault="00000000">
      <w:pPr>
        <w:jc w:val="both"/>
        <w:rPr>
          <w:lang w:val="es-CO"/>
        </w:rPr>
      </w:pPr>
      <w:r w:rsidRPr="001966D3">
        <w:rPr>
          <w:lang w:val="es-CO"/>
        </w:rPr>
        <w:t>La principal lectura clínica es que la ventana entre 6 y 9 meses de edad corregida parece especialmente importante. Si un niño muestra baja talla para la edad o desaceleración del crecimiento en ese periodo, el modelo lo identifica como una señal relevante de riesgo posterior. Esto puede ayudar a priorizar intervenciones nutricionales antes de llegar al control de 12 meses.</w:t>
      </w:r>
    </w:p>
    <w:p w14:paraId="50B59D4A" w14:textId="77777777" w:rsidR="005235B2" w:rsidRPr="001966D3" w:rsidRDefault="00000000">
      <w:pPr>
        <w:jc w:val="both"/>
        <w:rPr>
          <w:lang w:val="es-CO"/>
        </w:rPr>
      </w:pPr>
      <w:r w:rsidRPr="001966D3">
        <w:rPr>
          <w:lang w:val="es-CO"/>
        </w:rPr>
        <w:t>Sin embargo, el avance también muestra límites que deben tenerse en cuenta. El mejor desempeño aparece cerca del desenlace final, por lo que aún es necesario fortalecer la utilidad de las fases más tempranas. Además, los datos faltantes pueden estar relacionados con abandono del seguimiento, dificultades de acceso o cambios en la forma de registrar información. Estos factores pueden influir en el modelo y deben discutirse con el equipo clínico.</w:t>
      </w:r>
    </w:p>
    <w:p w14:paraId="626009D4" w14:textId="77777777" w:rsidR="005235B2" w:rsidRPr="001966D3" w:rsidRDefault="00000000">
      <w:pPr>
        <w:jc w:val="both"/>
        <w:rPr>
          <w:lang w:val="es-CO"/>
        </w:rPr>
      </w:pPr>
      <w:r w:rsidRPr="001966D3">
        <w:rPr>
          <w:lang w:val="es-CO"/>
        </w:rPr>
        <w:t>Otro punto importante es que no todos los errores tienen el mismo costo. En salud, dejar de detectar a un niño en riesgo puede ser más grave que generar una alerta adicional. Por eso, los umbrales de clasificación no deben definirse solo con criterios matemáticos, sino con apoyo de neonatólogos y nutricionistas del PMCI.</w:t>
      </w:r>
    </w:p>
    <w:p w14:paraId="19660414" w14:textId="77777777" w:rsidR="005235B2" w:rsidRPr="001966D3" w:rsidRDefault="00000000">
      <w:pPr>
        <w:jc w:val="both"/>
        <w:rPr>
          <w:lang w:val="es-CO"/>
        </w:rPr>
      </w:pPr>
      <w:r w:rsidRPr="001966D3">
        <w:rPr>
          <w:lang w:val="es-CO"/>
        </w:rPr>
        <w:lastRenderedPageBreak/>
        <w:t>El análisis por cohortes también es relevante. La prevalencia de talla baja bajó de 27,1% en 2007-2012 a 19,5% en 2018-2022. Esta diferencia puede reflejar mejoras del programa, cambios en la población atendida o cambios en el registro. Antes de usar el modelo en una herramienta clínica, conviene validar que funcione bien en distintos periodos y sedes.</w:t>
      </w:r>
    </w:p>
    <w:p w14:paraId="79B7229E" w14:textId="77777777" w:rsidR="005235B2" w:rsidRPr="001966D3" w:rsidRDefault="00000000">
      <w:pPr>
        <w:pStyle w:val="Listaconvietas"/>
        <w:spacing w:after="30"/>
        <w:rPr>
          <w:lang w:val="es-CO"/>
        </w:rPr>
      </w:pPr>
      <w:r w:rsidRPr="001966D3">
        <w:rPr>
          <w:lang w:val="es-CO"/>
        </w:rPr>
        <w:t>Revisar con neonatólogos si la definición de los grupos nutricionales refleja adecuadamente la práctica clínica.</w:t>
      </w:r>
    </w:p>
    <w:p w14:paraId="01B7FFD0" w14:textId="77777777" w:rsidR="005235B2" w:rsidRPr="001966D3" w:rsidRDefault="00000000">
      <w:pPr>
        <w:pStyle w:val="Listaconvietas"/>
        <w:spacing w:after="30"/>
        <w:rPr>
          <w:lang w:val="es-CO"/>
        </w:rPr>
      </w:pPr>
      <w:r w:rsidRPr="001966D3">
        <w:rPr>
          <w:lang w:val="es-CO"/>
        </w:rPr>
        <w:t>Definir umbrales de alerta según el uso esperado: tamizaje temprano, priorización de seguimiento o apoyo a intervención nutricional.</w:t>
      </w:r>
    </w:p>
    <w:p w14:paraId="0ADD7E25" w14:textId="77777777" w:rsidR="005235B2" w:rsidRPr="001966D3" w:rsidRDefault="00000000">
      <w:pPr>
        <w:pStyle w:val="Listaconvietas"/>
        <w:spacing w:after="30"/>
        <w:rPr>
          <w:lang w:val="es-CO"/>
        </w:rPr>
      </w:pPr>
      <w:r w:rsidRPr="001966D3">
        <w:rPr>
          <w:lang w:val="es-CO"/>
        </w:rPr>
        <w:t>Comprobar que las probabilidades del modelo sean confiables y no solo sirvan para ordenar pacientes por riesgo.</w:t>
      </w:r>
    </w:p>
    <w:p w14:paraId="6E3D1208" w14:textId="77777777" w:rsidR="005235B2" w:rsidRPr="001966D3" w:rsidRDefault="00000000">
      <w:pPr>
        <w:pStyle w:val="Listaconvietas"/>
        <w:spacing w:after="30"/>
        <w:rPr>
          <w:lang w:val="es-CO"/>
        </w:rPr>
      </w:pPr>
      <w:r w:rsidRPr="001966D3">
        <w:rPr>
          <w:lang w:val="es-CO"/>
        </w:rPr>
        <w:t>Evaluar con más detalle si el modelo se comporta igual en diferentes periodos de atención.</w:t>
      </w:r>
    </w:p>
    <w:p w14:paraId="37E99D68" w14:textId="77777777" w:rsidR="005235B2" w:rsidRPr="001966D3" w:rsidRDefault="00000000">
      <w:pPr>
        <w:pStyle w:val="Listaconvietas"/>
        <w:spacing w:after="30"/>
        <w:rPr>
          <w:lang w:val="es-CO"/>
        </w:rPr>
      </w:pPr>
      <w:r w:rsidRPr="001966D3">
        <w:rPr>
          <w:lang w:val="es-CO"/>
        </w:rPr>
        <w:t>Construir un tablero sencillo que muestre el riesgo del paciente y las razones principales de la alerta.</w:t>
      </w:r>
    </w:p>
    <w:p w14:paraId="184867B0" w14:textId="77777777" w:rsidR="005235B2" w:rsidRPr="001966D3" w:rsidRDefault="00000000">
      <w:pPr>
        <w:pStyle w:val="Listaconvietas"/>
        <w:spacing w:after="30"/>
        <w:rPr>
          <w:lang w:val="es-CO"/>
        </w:rPr>
      </w:pPr>
      <w:r w:rsidRPr="001966D3">
        <w:rPr>
          <w:lang w:val="es-CO"/>
        </w:rPr>
        <w:t>Probar uno o dos casos de uso con equipos clínicos para recoger retroalimentación sobre utilidad, claridad y posibles riesgos.</w:t>
      </w:r>
    </w:p>
    <w:p w14:paraId="2CBE9AAA" w14:textId="77777777" w:rsidR="005235B2" w:rsidRPr="001966D3" w:rsidRDefault="00000000">
      <w:pPr>
        <w:pStyle w:val="Ttulo1"/>
        <w:spacing w:before="120" w:after="40"/>
        <w:rPr>
          <w:lang w:val="es-CO"/>
        </w:rPr>
      </w:pPr>
      <w:r w:rsidRPr="001966D3">
        <w:rPr>
          <w:lang w:val="es-CO"/>
        </w:rPr>
        <w:t>Referencias</w:t>
      </w:r>
    </w:p>
    <w:p w14:paraId="2740296D" w14:textId="47B3E3AD" w:rsidR="005235B2" w:rsidRDefault="00000000">
      <w:pPr>
        <w:spacing w:after="40"/>
        <w:ind w:left="360" w:hanging="360"/>
      </w:pPr>
      <w:r w:rsidRPr="001966D3">
        <w:rPr>
          <w:sz w:val="17"/>
          <w:lang w:val="es-CO"/>
        </w:rPr>
        <w:t xml:space="preserve">Bhutta, Z. A., Das, J. K., Rizvi, A., et al. </w:t>
      </w:r>
      <w:r>
        <w:rPr>
          <w:sz w:val="17"/>
        </w:rPr>
        <w:t>(2017). Evidence-based interventions for improvement of maternal and child nutrition: what can be done and at what cost? The Lancet, 389(10064), 452-477.</w:t>
      </w:r>
      <w:r w:rsidR="001966D3">
        <w:rPr>
          <w:sz w:val="17"/>
        </w:rPr>
        <w:t xml:space="preserve"> </w:t>
      </w:r>
      <w:r w:rsidR="001966D3" w:rsidRPr="001966D3">
        <w:rPr>
          <w:sz w:val="17"/>
        </w:rPr>
        <w:t>https://pubmed.ncbi.nlm.nih.gov/23746776/</w:t>
      </w:r>
    </w:p>
    <w:p w14:paraId="638200E1" w14:textId="7AC32F54" w:rsidR="005235B2" w:rsidRPr="001966D3" w:rsidRDefault="00000000">
      <w:pPr>
        <w:spacing w:after="40"/>
        <w:ind w:left="360" w:hanging="360"/>
        <w:rPr>
          <w:lang w:val="es-CO"/>
        </w:rPr>
      </w:pPr>
      <w:r w:rsidRPr="001966D3">
        <w:rPr>
          <w:sz w:val="17"/>
          <w:lang w:val="es-CO"/>
        </w:rPr>
        <w:t xml:space="preserve">Charpak, N., Ruiz, J. G., Zupan, J., et al. </w:t>
      </w:r>
      <w:r>
        <w:rPr>
          <w:sz w:val="17"/>
        </w:rPr>
        <w:t xml:space="preserve">(2005). Kangaroo mother care: 25 years after. </w:t>
      </w:r>
      <w:r w:rsidRPr="001966D3">
        <w:rPr>
          <w:sz w:val="17"/>
          <w:lang w:val="es-CO"/>
        </w:rPr>
        <w:t xml:space="preserve">Acta Paediatrica, 94(5), 514-522. </w:t>
      </w:r>
      <w:r w:rsidR="001966D3" w:rsidRPr="001966D3">
        <w:rPr>
          <w:sz w:val="17"/>
          <w:lang w:val="es-CO"/>
        </w:rPr>
        <w:t>https://pubmed.ncbi.nlm.nih.gov/16188735/</w:t>
      </w:r>
    </w:p>
    <w:p w14:paraId="0D68A01E" w14:textId="77057C84" w:rsidR="005235B2" w:rsidRPr="001966D3" w:rsidRDefault="00000000">
      <w:pPr>
        <w:spacing w:after="40"/>
        <w:ind w:left="360" w:hanging="360"/>
        <w:rPr>
          <w:lang w:val="es-CO"/>
        </w:rPr>
      </w:pPr>
      <w:r w:rsidRPr="001966D3">
        <w:rPr>
          <w:sz w:val="17"/>
          <w:lang w:val="es-CO"/>
        </w:rPr>
        <w:t xml:space="preserve">Charpak, N., Tessier, R., Ruiz, J. G., et al. </w:t>
      </w:r>
      <w:r>
        <w:rPr>
          <w:sz w:val="17"/>
        </w:rPr>
        <w:t xml:space="preserve">(2017). Twenty-year follow-up of kangaroo mother care versus traditional care. </w:t>
      </w:r>
      <w:r w:rsidRPr="001966D3">
        <w:rPr>
          <w:sz w:val="17"/>
          <w:lang w:val="es-CO"/>
        </w:rPr>
        <w:t xml:space="preserve">Pediatrics, 139(1), e20162063. </w:t>
      </w:r>
      <w:r w:rsidR="00F95259" w:rsidRPr="00F95259">
        <w:rPr>
          <w:sz w:val="17"/>
          <w:lang w:val="es-CO"/>
        </w:rPr>
        <w:t>https://pubmed.ncbi.nlm.nih.gov/27965377/</w:t>
      </w:r>
    </w:p>
    <w:p w14:paraId="01D3535A" w14:textId="5AEC24A4" w:rsidR="005235B2" w:rsidRDefault="00000000">
      <w:pPr>
        <w:spacing w:after="40"/>
        <w:ind w:left="360" w:hanging="360"/>
      </w:pPr>
      <w:r w:rsidRPr="001966D3">
        <w:rPr>
          <w:sz w:val="17"/>
          <w:lang w:val="es-CO"/>
        </w:rPr>
        <w:t xml:space="preserve">Charpak, N., &amp; Montealegre-Pomar, A. (2023). </w:t>
      </w:r>
      <w:r>
        <w:rPr>
          <w:sz w:val="17"/>
        </w:rPr>
        <w:t>Follow-up of Kangaroo Mother Care programmes in the last 28 years: results from a cohort of 57,154 low-birth-weight infants in Colombia. BMJ Global Health, 8(5).</w:t>
      </w:r>
      <w:r w:rsidR="00F95259">
        <w:rPr>
          <w:sz w:val="17"/>
        </w:rPr>
        <w:t xml:space="preserve"> </w:t>
      </w:r>
      <w:r w:rsidR="00F95259" w:rsidRPr="00F95259">
        <w:rPr>
          <w:sz w:val="17"/>
        </w:rPr>
        <w:t>https://pubmed.ncbi.nlm.nih.gov/37208122/</w:t>
      </w:r>
    </w:p>
    <w:p w14:paraId="23315CDE" w14:textId="21537F23" w:rsidR="005235B2" w:rsidRPr="001966D3" w:rsidRDefault="00000000">
      <w:pPr>
        <w:spacing w:after="40"/>
        <w:ind w:left="360" w:hanging="360"/>
        <w:rPr>
          <w:lang w:val="es-CO"/>
        </w:rPr>
      </w:pPr>
      <w:r>
        <w:rPr>
          <w:sz w:val="17"/>
        </w:rPr>
        <w:t xml:space="preserve">Fenton, T. R., &amp; Kim, J. H. (2013). A systematic review and meta-analysis to revise the Fenton growth chart for preterm infants. </w:t>
      </w:r>
      <w:r w:rsidRPr="001966D3">
        <w:rPr>
          <w:sz w:val="17"/>
          <w:lang w:val="es-CO"/>
        </w:rPr>
        <w:t xml:space="preserve">BMC Pediatrics, 13, 59. </w:t>
      </w:r>
      <w:r w:rsidR="00F95259" w:rsidRPr="00F95259">
        <w:rPr>
          <w:sz w:val="17"/>
          <w:lang w:val="es-CO"/>
        </w:rPr>
        <w:t>https://pubmed.ncbi.nlm.nih.gov/23601190/</w:t>
      </w:r>
    </w:p>
    <w:p w14:paraId="37C47AD5" w14:textId="77777777" w:rsidR="005235B2" w:rsidRDefault="00000000">
      <w:pPr>
        <w:spacing w:after="40"/>
        <w:ind w:left="360" w:hanging="360"/>
      </w:pPr>
      <w:r w:rsidRPr="001966D3">
        <w:rPr>
          <w:sz w:val="17"/>
          <w:lang w:val="es-CO"/>
        </w:rPr>
        <w:t xml:space="preserve">Fundación Canguro. (2026). Propuesta de proyecto: identificación de factores de riesgo de malnutrición en niños prematuros evaluados a 12 meses de edad corregida. </w:t>
      </w:r>
      <w:r>
        <w:rPr>
          <w:sz w:val="17"/>
        </w:rPr>
        <w:t>Documento interno del proyecto.</w:t>
      </w:r>
    </w:p>
    <w:p w14:paraId="07A9011E" w14:textId="42821331" w:rsidR="005235B2" w:rsidRDefault="00000000">
      <w:pPr>
        <w:spacing w:after="40"/>
        <w:ind w:left="360" w:hanging="360"/>
      </w:pPr>
      <w:r>
        <w:rPr>
          <w:sz w:val="17"/>
        </w:rPr>
        <w:t>World Health Organization. (2006). WHO Child Growth Standards: length/height-for-age, weight-for-age, weight-for-length, weight-for-height and body mass index-for-age: methods and development. WHO.</w:t>
      </w:r>
      <w:r w:rsidR="00F95259">
        <w:rPr>
          <w:sz w:val="17"/>
        </w:rPr>
        <w:t xml:space="preserve"> </w:t>
      </w:r>
      <w:r w:rsidR="00F95259" w:rsidRPr="00F95259">
        <w:rPr>
          <w:sz w:val="17"/>
        </w:rPr>
        <w:t>https://www.who.int/publications/i/item/924154693X</w:t>
      </w:r>
    </w:p>
    <w:p w14:paraId="799C972A" w14:textId="7A92A5CA" w:rsidR="005235B2" w:rsidRDefault="00000000">
      <w:pPr>
        <w:spacing w:after="40"/>
        <w:ind w:left="360" w:hanging="360"/>
      </w:pPr>
      <w:r>
        <w:rPr>
          <w:sz w:val="17"/>
        </w:rPr>
        <w:t xml:space="preserve">Yang, Q., et al. (2023). Reporting and risk of bias of prediction models based on machine learning in preterm birth: a systematic review. </w:t>
      </w:r>
      <w:r w:rsidR="00F95259" w:rsidRPr="00F95259">
        <w:rPr>
          <w:sz w:val="17"/>
        </w:rPr>
        <w:t>https://pubmed.ncbi.nlm.nih.gov/36397723/</w:t>
      </w:r>
    </w:p>
    <w:sectPr w:rsidR="005235B2" w:rsidSect="00034616">
      <w:footerReference w:type="default" r:id="rId11"/>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A9151" w14:textId="77777777" w:rsidR="00F24FBA" w:rsidRDefault="00F24FBA">
      <w:pPr>
        <w:spacing w:after="0"/>
      </w:pPr>
      <w:r>
        <w:separator/>
      </w:r>
    </w:p>
  </w:endnote>
  <w:endnote w:type="continuationSeparator" w:id="0">
    <w:p w14:paraId="47115266" w14:textId="77777777" w:rsidR="00F24FBA" w:rsidRDefault="00F24F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3AC9" w14:textId="77777777" w:rsidR="005235B2" w:rsidRPr="001966D3" w:rsidRDefault="00000000">
    <w:pPr>
      <w:pStyle w:val="Piedepgina"/>
      <w:jc w:val="center"/>
      <w:rPr>
        <w:lang w:val="es-CO"/>
      </w:rPr>
    </w:pPr>
    <w:r w:rsidRPr="001966D3">
      <w:rPr>
        <w:color w:val="7F7F7F"/>
        <w:sz w:val="16"/>
        <w:lang w:val="es-CO"/>
      </w:rPr>
      <w:t>Informe de avance - PMCI / Fundación Canguro - Versión en lenguaje claro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D79E" w14:textId="77777777" w:rsidR="00F24FBA" w:rsidRDefault="00F24FBA">
      <w:pPr>
        <w:spacing w:after="0"/>
      </w:pPr>
      <w:r>
        <w:separator/>
      </w:r>
    </w:p>
  </w:footnote>
  <w:footnote w:type="continuationSeparator" w:id="0">
    <w:p w14:paraId="29DEBB33" w14:textId="77777777" w:rsidR="00F24FBA" w:rsidRDefault="00F24F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2679432">
    <w:abstractNumId w:val="8"/>
  </w:num>
  <w:num w:numId="2" w16cid:durableId="1119298334">
    <w:abstractNumId w:val="6"/>
  </w:num>
  <w:num w:numId="3" w16cid:durableId="627050120">
    <w:abstractNumId w:val="5"/>
  </w:num>
  <w:num w:numId="4" w16cid:durableId="1294674511">
    <w:abstractNumId w:val="4"/>
  </w:num>
  <w:num w:numId="5" w16cid:durableId="14700697">
    <w:abstractNumId w:val="7"/>
  </w:num>
  <w:num w:numId="6" w16cid:durableId="36860122">
    <w:abstractNumId w:val="3"/>
  </w:num>
  <w:num w:numId="7" w16cid:durableId="119618144">
    <w:abstractNumId w:val="2"/>
  </w:num>
  <w:num w:numId="8" w16cid:durableId="2103603415">
    <w:abstractNumId w:val="1"/>
  </w:num>
  <w:num w:numId="9" w16cid:durableId="31688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6D3"/>
    <w:rsid w:val="0029639D"/>
    <w:rsid w:val="00326F90"/>
    <w:rsid w:val="00342C75"/>
    <w:rsid w:val="005235B2"/>
    <w:rsid w:val="00AA1D8D"/>
    <w:rsid w:val="00B47730"/>
    <w:rsid w:val="00CB0664"/>
    <w:rsid w:val="00F24FBA"/>
    <w:rsid w:val="00F95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B4DF9"/>
  <w14:defaultImageDpi w14:val="300"/>
  <w15:docId w15:val="{B82D5129-DC79-4E96-9840-F254AA4F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966D3"/>
    <w:rPr>
      <w:color w:val="0000FF" w:themeColor="hyperlink"/>
      <w:u w:val="single"/>
    </w:rPr>
  </w:style>
  <w:style w:type="character" w:styleId="Mencinsinresolver">
    <w:name w:val="Unresolved Mention"/>
    <w:basedOn w:val="Fuentedeprrafopredeter"/>
    <w:uiPriority w:val="99"/>
    <w:semiHidden/>
    <w:unhideWhenUsed/>
    <w:rsid w:val="00196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2088</Words>
  <Characters>11485</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leison fabian mejia garcia</cp:lastModifiedBy>
  <cp:revision>2</cp:revision>
  <dcterms:created xsi:type="dcterms:W3CDTF">2013-12-23T23:15:00Z</dcterms:created>
  <dcterms:modified xsi:type="dcterms:W3CDTF">2026-04-19T20:13:00Z</dcterms:modified>
  <cp:category/>
</cp:coreProperties>
</file>