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Apêndice I - Obtenção e Preparação de Dados</w:t>
      </w:r>
    </w:p>
    <w:p>
      <w:pPr>
        <w:pStyle w:val="Author"/>
      </w:pPr>
      <w:r>
        <w:t xml:space="preserve">Fabiano A. Lima</w:t>
      </w:r>
    </w:p>
    <w:bookmarkStart w:id="20" w:name="introdução"/>
    <w:p>
      <w:pPr>
        <w:pStyle w:val="Ttulo1"/>
      </w:pPr>
      <w:r>
        <w:t xml:space="preserve">Introdução</w:t>
      </w:r>
    </w:p>
    <w:p>
      <w:pPr>
        <w:pStyle w:val="FirstParagraph"/>
      </w:pPr>
      <w:r>
        <w:t xml:space="preserve">O presente documento registra os passos tomados para obter os dados referentes as auditorias realizadas pelo Denasus e estruturá-los afim de obter um conjunto de dados que permita a implementação de análises quantitativas.</w:t>
      </w:r>
    </w:p>
    <w:p>
      <w:pPr>
        <w:pStyle w:val="Corpodetexto"/>
      </w:pPr>
      <w:r>
        <w:t xml:space="preserve">O foco principal está nos metadados das auditorias e de suas respectivas constatações e recomendações.</w:t>
      </w:r>
    </w:p>
    <w:bookmarkEnd w:id="20"/>
    <w:bookmarkStart w:id="21" w:name="obtenção-dos-relatórios"/>
    <w:p>
      <w:pPr>
        <w:pStyle w:val="Ttulo1"/>
      </w:pPr>
      <w:r>
        <w:t xml:space="preserve">Obtenção dos Relatórios</w:t>
      </w:r>
    </w:p>
    <w:p>
      <w:pPr>
        <w:pStyle w:val="FirstParagraph"/>
      </w:pPr>
      <w:r>
        <w:t xml:space="preserve">Inicialmente, foi realizada a consulta dos relatórios publicados no site [https://consultaauditoria.saude.gov.br/visao/pages/principal.html] no período entre 01/01/2023 e 31/07/2025, selecionando o órgão</w:t>
      </w:r>
      <w:r>
        <w:t xml:space="preserve"> </w:t>
      </w:r>
      <w:r>
        <w:rPr>
          <w:b/>
          <w:bCs/>
        </w:rPr>
        <w:t xml:space="preserve">MS/SGEP/Departamento Nacional de Auditoria do Sus</w:t>
      </w:r>
      <w:r>
        <w:t xml:space="preserve"> </w:t>
      </w:r>
      <w:r>
        <w:t xml:space="preserve">e o tipo de atividade</w:t>
      </w:r>
      <w:r>
        <w:t xml:space="preserve"> </w:t>
      </w:r>
      <w:r>
        <w:rPr>
          <w:b/>
          <w:bCs/>
        </w:rPr>
        <w:t xml:space="preserve">Auditoria</w:t>
      </w:r>
      <w:r>
        <w:t xml:space="preserve">. Os dados dessa consulta foram salvos em uma planilha cuja amostra dos dados pode ser conferida abaixo.</w:t>
      </w:r>
    </w:p>
    <w:p>
      <w:pPr>
        <w:pStyle w:val="TableCaption"/>
      </w:pPr>
      <w:r>
        <w:t xml:space="preserve">Amostra da planilha com dados de relatórios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mostra da planilha com dados de relatórios"/>
      </w:tblPr>
      <w:tblGrid>
        <w:gridCol w:w="678"/>
        <w:gridCol w:w="5770"/>
        <w:gridCol w:w="147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Encerramento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SECRET. MUNICIPAL DE SAUDE DE 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SAUDE DE 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2023-02-24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SAUDE DE CATANDUVA - FMS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Saúde de Monte Alegre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2023-11-16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SAUDE DE CATANDUVA - FMS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SAUDE DE PALMAS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2023-05-17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SMSBES DE ITAGUAI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2023-04-13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SAUDE DE MARILIA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2023-06-28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2023-04-10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MUNICIPAL DE SAUDE DE AMPARO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2023-12-20</w:t>
            </w:r>
          </w:p>
        </w:tc>
      </w:tr>
    </w:tbl>
    <w:p>
      <w:pPr>
        <w:pStyle w:val="Corpodetexto"/>
      </w:pPr>
      <w:r>
        <w:t xml:space="preserve">Nos dados acima, onde foram ocultados os campos</w:t>
      </w:r>
      <w:r>
        <w:t xml:space="preserve"> </w:t>
      </w:r>
      <w:r>
        <w:t xml:space="preserve">“Órgão”</w:t>
      </w:r>
      <w:r>
        <w:t xml:space="preserve"> </w:t>
      </w:r>
      <w:r>
        <w:t xml:space="preserve">e</w:t>
      </w:r>
      <w:r>
        <w:t xml:space="preserve"> </w:t>
      </w:r>
      <w:r>
        <w:t xml:space="preserve">“Atividade”</w:t>
      </w:r>
      <w:r>
        <w:t xml:space="preserve"> </w:t>
      </w:r>
      <w:r>
        <w:t xml:space="preserve">por limitação de espaço, vê-se que as as auditorias são identificadas pelo número da atividade. Dessa forma, usando essa informação, usou-se o script abaixo com a extensão UI.Vision para realizar o download dos relatórios.</w:t>
      </w:r>
    </w:p>
    <w:p>
      <w:pPr>
        <w:pStyle w:val="SourceCode"/>
      </w:pP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"Name": "download_relatorios",</w:t>
      </w:r>
      <w:r>
        <w:br/>
      </w:r>
      <w:r>
        <w:rPr>
          <w:rStyle w:val="VerbatimChar"/>
        </w:rPr>
        <w:t xml:space="preserve">  "CreationDate": "2025-9-17",</w:t>
      </w:r>
      <w:r>
        <w:br/>
      </w:r>
      <w:r>
        <w:rPr>
          <w:rStyle w:val="VerbatimChar"/>
        </w:rPr>
        <w:t xml:space="preserve">  "Commands":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"store",</w:t>
      </w:r>
      <w:r>
        <w:br/>
      </w:r>
      <w:r>
        <w:rPr>
          <w:rStyle w:val="VerbatimChar"/>
        </w:rPr>
        <w:t xml:space="preserve">      "Target": "19762|19763|19764|19765|19766|19768|19769|19770|19771|19772|19773|19774|19775|19776|19777|19778|19779|19780|19781|19783|19784|19785|19787|19788|19790|19791|19792",</w:t>
      </w:r>
      <w:r>
        <w:br/>
      </w:r>
      <w:r>
        <w:rPr>
          <w:rStyle w:val="VerbatimChar"/>
        </w:rPr>
        <w:t xml:space="preserve">      "Value": "lista_concatenada",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"executeScript",</w:t>
      </w:r>
      <w:r>
        <w:br/>
      </w:r>
      <w:r>
        <w:rPr>
          <w:rStyle w:val="VerbatimChar"/>
        </w:rPr>
        <w:t xml:space="preserve">      "Target": "return ${lista_concatenada}.split('|')",</w:t>
      </w:r>
      <w:r>
        <w:br/>
      </w:r>
      <w:r>
        <w:rPr>
          <w:rStyle w:val="VerbatimChar"/>
        </w:rPr>
        <w:t xml:space="preserve">      "Value": "itens",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"forEach",</w:t>
      </w:r>
      <w:r>
        <w:br/>
      </w:r>
      <w:r>
        <w:rPr>
          <w:rStyle w:val="VerbatimChar"/>
        </w:rPr>
        <w:t xml:space="preserve">      "Target": "itens",</w:t>
      </w:r>
      <w:r>
        <w:br/>
      </w:r>
      <w:r>
        <w:rPr>
          <w:rStyle w:val="VerbatimChar"/>
        </w:rPr>
        <w:t xml:space="preserve">      "Value": "item",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"waitForElementPresent",</w:t>
      </w:r>
      <w:r>
        <w:br/>
      </w:r>
      <w:r>
        <w:rPr>
          <w:rStyle w:val="VerbatimChar"/>
        </w:rPr>
        <w:t xml:space="preserve">      "Target": "css=input[name=\"campoNumero\"]",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"type",</w:t>
      </w:r>
      <w:r>
        <w:br/>
      </w:r>
      <w:r>
        <w:rPr>
          <w:rStyle w:val="VerbatimChar"/>
        </w:rPr>
        <w:t xml:space="preserve">      "Target": "css=input[name=\"campoNumero\"]",</w:t>
      </w:r>
      <w:r>
        <w:br/>
      </w:r>
      <w:r>
        <w:rPr>
          <w:rStyle w:val="VerbatimChar"/>
        </w:rPr>
        <w:t xml:space="preserve">      "Value": "${item}",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"click",</w:t>
      </w:r>
      <w:r>
        <w:br/>
      </w:r>
      <w:r>
        <w:rPr>
          <w:rStyle w:val="VerbatimChar"/>
        </w:rPr>
        <w:t xml:space="preserve">      "Target": "css=input[type=\"submit\"]",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"waitForElementPresent",</w:t>
      </w:r>
      <w:r>
        <w:br/>
      </w:r>
      <w:r>
        <w:rPr>
          <w:rStyle w:val="VerbatimChar"/>
        </w:rPr>
        <w:t xml:space="preserve">      "Target": "xpath=//td/span[contains(text(),\"${item}\")]",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"click",</w:t>
      </w:r>
      <w:r>
        <w:br/>
      </w:r>
      <w:r>
        <w:rPr>
          <w:rStyle w:val="VerbatimChar"/>
        </w:rPr>
        <w:t xml:space="preserve">      "Target": "xpath=//a[contains(text(), \"Relatório\")]",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"waitForPageToLoad",</w:t>
      </w:r>
      <w:r>
        <w:br/>
      </w:r>
      <w:r>
        <w:rPr>
          <w:rStyle w:val="VerbatimChar"/>
        </w:rPr>
        <w:t xml:space="preserve">      "Target": "",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"comment",</w:t>
      </w:r>
      <w:r>
        <w:br/>
      </w:r>
      <w:r>
        <w:rPr>
          <w:rStyle w:val="VerbatimChar"/>
        </w:rPr>
        <w:t xml:space="preserve">      "Target": "waitForElementPresent // xpath=//td/a[contains(@href, \"linkDownload\")]",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"storeXpathCount",</w:t>
      </w:r>
      <w:r>
        <w:br/>
      </w:r>
      <w:r>
        <w:rPr>
          <w:rStyle w:val="VerbatimChar"/>
        </w:rPr>
        <w:t xml:space="preserve">      "Target": "xpath=//td/a[contains(@href, \"linkDownload\")]",</w:t>
      </w:r>
      <w:r>
        <w:br/>
      </w:r>
      <w:r>
        <w:rPr>
          <w:rStyle w:val="VerbatimChar"/>
        </w:rPr>
        <w:t xml:space="preserve">      "Value": "str_qtd_relatorios",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"executeScript",</w:t>
      </w:r>
      <w:r>
        <w:br/>
      </w:r>
      <w:r>
        <w:rPr>
          <w:rStyle w:val="VerbatimChar"/>
        </w:rPr>
        <w:t xml:space="preserve">      "Target": "return parseInt(${str_qtd_relatorios})",</w:t>
      </w:r>
      <w:r>
        <w:br/>
      </w:r>
      <w:r>
        <w:rPr>
          <w:rStyle w:val="VerbatimChar"/>
        </w:rPr>
        <w:t xml:space="preserve">      "Value": "qtd_relatorios",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"times",</w:t>
      </w:r>
      <w:r>
        <w:br/>
      </w:r>
      <w:r>
        <w:rPr>
          <w:rStyle w:val="VerbatimChar"/>
        </w:rPr>
        <w:t xml:space="preserve">      "Target": "${qtd_relatorios}",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"onDownload",</w:t>
      </w:r>
      <w:r>
        <w:br/>
      </w:r>
      <w:r>
        <w:rPr>
          <w:rStyle w:val="VerbatimChar"/>
        </w:rPr>
        <w:t xml:space="preserve">      "Target": "${item}_${!times}.pdf",</w:t>
      </w:r>
      <w:r>
        <w:br/>
      </w:r>
      <w:r>
        <w:rPr>
          <w:rStyle w:val="VerbatimChar"/>
        </w:rPr>
        <w:t xml:space="preserve">      "Value": "true",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"click",</w:t>
      </w:r>
      <w:r>
        <w:br/>
      </w:r>
      <w:r>
        <w:rPr>
          <w:rStyle w:val="VerbatimChar"/>
        </w:rPr>
        <w:t xml:space="preserve">      "Target": "xpath=(//td/a[contains(@href, \"linkDownload\")])[${!times}]",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"end",</w:t>
      </w:r>
      <w:r>
        <w:br/>
      </w:r>
      <w:r>
        <w:rPr>
          <w:rStyle w:val="VerbatimChar"/>
        </w:rPr>
        <w:t xml:space="preserve">      "Target": "",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"click",</w:t>
      </w:r>
      <w:r>
        <w:br/>
      </w:r>
      <w:r>
        <w:rPr>
          <w:rStyle w:val="VerbatimChar"/>
        </w:rPr>
        <w:t xml:space="preserve">      "Target": "xpath=//input[@name=\"voltar\"]",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"waitForPageToLoad",</w:t>
      </w:r>
      <w:r>
        <w:br/>
      </w:r>
      <w:r>
        <w:rPr>
          <w:rStyle w:val="VerbatimChar"/>
        </w:rPr>
        <w:t xml:space="preserve">      "Target": "",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"verifyElementNotPresent",</w:t>
      </w:r>
      <w:r>
        <w:br/>
      </w:r>
      <w:r>
        <w:rPr>
          <w:rStyle w:val="VerbatimChar"/>
        </w:rPr>
        <w:t xml:space="preserve">      "Target": "xpath=//span[contains(text(), \"Erro inesperado\")]",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"if",</w:t>
      </w:r>
      <w:r>
        <w:br/>
      </w:r>
      <w:r>
        <w:rPr>
          <w:rStyle w:val="VerbatimChar"/>
        </w:rPr>
        <w:t xml:space="preserve">      "Target": "${!statusOK} == false",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"click",</w:t>
      </w:r>
      <w:r>
        <w:br/>
      </w:r>
      <w:r>
        <w:rPr>
          <w:rStyle w:val="VerbatimChar"/>
        </w:rPr>
        <w:t xml:space="preserve">      "Target": "xpath=//a[contains(text(), \"Inicial\")]",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"waitForPageToLoad",</w:t>
      </w:r>
      <w:r>
        <w:br/>
      </w:r>
      <w:r>
        <w:rPr>
          <w:rStyle w:val="VerbatimChar"/>
        </w:rPr>
        <w:t xml:space="preserve">      "Target": "",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"end",</w:t>
      </w:r>
      <w:r>
        <w:br/>
      </w:r>
      <w:r>
        <w:rPr>
          <w:rStyle w:val="VerbatimChar"/>
        </w:rPr>
        <w:t xml:space="preserve">      "Target": "",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"Command": "end",</w:t>
      </w:r>
      <w:r>
        <w:br/>
      </w:r>
      <w:r>
        <w:rPr>
          <w:rStyle w:val="VerbatimChar"/>
        </w:rPr>
        <w:t xml:space="preserve">      "Target": "",</w:t>
      </w:r>
      <w:r>
        <w:br/>
      </w:r>
      <w:r>
        <w:rPr>
          <w:rStyle w:val="VerbatimChar"/>
        </w:rPr>
        <w:t xml:space="preserve">      "Value": "",</w:t>
      </w:r>
      <w:r>
        <w:br/>
      </w:r>
      <w:r>
        <w:rPr>
          <w:rStyle w:val="VerbatimChar"/>
        </w:rPr>
        <w:t xml:space="preserve">      "Description": ""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 </w:t>
      </w:r>
    </w:p>
    <w:p>
      <w:pPr>
        <w:pStyle w:val="FirstParagraph"/>
      </w:pPr>
      <w:r>
        <w:t xml:space="preserve">O processo gerou 399 arquivos. Ressalta-se que há auditorias que tem mais de um relatório registrado.</w:t>
      </w:r>
    </w:p>
    <w:bookmarkEnd w:id="21"/>
    <w:bookmarkStart w:id="22" w:name="extração-de-texto"/>
    <w:p>
      <w:pPr>
        <w:pStyle w:val="Ttulo1"/>
      </w:pPr>
      <w:r>
        <w:t xml:space="preserve">Extração de Texto</w:t>
      </w:r>
    </w:p>
    <w:p>
      <w:pPr>
        <w:pStyle w:val="FirstParagraph"/>
      </w:pPr>
      <w:r>
        <w:t xml:space="preserve">Com os arquivos baixados, usou-se o pacote</w:t>
      </w:r>
      <w:r>
        <w:t xml:space="preserve"> </w:t>
      </w:r>
      <w:r>
        <w:rPr>
          <w:i/>
          <w:iCs/>
        </w:rPr>
        <w:t xml:space="preserve">pdftools</w:t>
      </w:r>
      <w:r>
        <w:t xml:space="preserve"> </w:t>
      </w:r>
      <w:r>
        <w:t xml:space="preserve">(OOMS, 2025)</w:t>
      </w:r>
      <w:r>
        <w:t xml:space="preserve"> </w:t>
      </w:r>
      <w:r>
        <w:t xml:space="preserve">para extrair o texto desses arquivos e consolidá-los em uma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t xml:space="preserve">único, com um registro por linha extraída e com as seguintes informações de controle:</w:t>
      </w:r>
    </w:p>
    <w:p>
      <w:pPr>
        <w:pStyle w:val="Compact"/>
        <w:numPr>
          <w:ilvl w:val="0"/>
          <w:numId w:val="1001"/>
        </w:numPr>
      </w:pPr>
      <w:r>
        <w:t xml:space="preserve">Nome do arquivo,</w:t>
      </w:r>
    </w:p>
    <w:p>
      <w:pPr>
        <w:pStyle w:val="Compact"/>
        <w:numPr>
          <w:ilvl w:val="0"/>
          <w:numId w:val="1001"/>
        </w:numPr>
      </w:pPr>
      <w:r>
        <w:t xml:space="preserve">Número da página,</w:t>
      </w:r>
    </w:p>
    <w:p>
      <w:pPr>
        <w:pStyle w:val="Compact"/>
        <w:numPr>
          <w:ilvl w:val="0"/>
          <w:numId w:val="1001"/>
        </w:numPr>
      </w:pPr>
      <w:r>
        <w:t xml:space="preserve">Número da linha na página,</w:t>
      </w:r>
    </w:p>
    <w:p>
      <w:pPr>
        <w:pStyle w:val="Compact"/>
        <w:numPr>
          <w:ilvl w:val="0"/>
          <w:numId w:val="1001"/>
        </w:numPr>
      </w:pPr>
      <w:r>
        <w:t xml:space="preserve">Número da linha geral,</w:t>
      </w:r>
    </w:p>
    <w:p>
      <w:pPr>
        <w:pStyle w:val="Compact"/>
        <w:numPr>
          <w:ilvl w:val="0"/>
          <w:numId w:val="1001"/>
        </w:numPr>
      </w:pPr>
      <w:r>
        <w:t xml:space="preserve">Linha original (linha de texto na forma como extraída do arquivo)</w:t>
      </w:r>
    </w:p>
    <w:p>
      <w:pPr>
        <w:pStyle w:val="Compact"/>
        <w:numPr>
          <w:ilvl w:val="0"/>
          <w:numId w:val="1001"/>
        </w:numPr>
      </w:pPr>
      <w:r>
        <w:t xml:space="preserve">Linha (linha de texto com espaços duplicados retirados e sem espaços no começo e no final)</w:t>
      </w:r>
    </w:p>
    <w:p>
      <w:pPr>
        <w:pStyle w:val="SourceCode"/>
      </w:pPr>
      <w:r>
        <w:rPr>
          <w:rStyle w:val="NormalTok"/>
        </w:rPr>
        <w:t xml:space="preserve">converte_pdf_dataframe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(nome_do_arquivo)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"Convertendo arquivo {nome_do_arquivo}"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texto_pdf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pdftools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pdf_text</w:t>
      </w:r>
      <w:r>
        <w:rPr>
          <w:rStyle w:val="NormalTok"/>
        </w:rPr>
        <w:t xml:space="preserve">(nome_do_arquivo)</w:t>
      </w:r>
      <w:r>
        <w:br/>
      </w:r>
      <w:r>
        <w:br/>
      </w:r>
      <w:r>
        <w:rPr>
          <w:rStyle w:val="NormalTok"/>
        </w:rPr>
        <w:t xml:space="preserve">    total_paginas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(texto_pdf)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(nome_do_arquivo),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total_paginas,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pagina_original =</w:t>
      </w:r>
      <w:r>
        <w:rPr>
          <w:rStyle w:val="NormalTok"/>
        </w:rPr>
        <w:t xml:space="preserve"> texto_pdf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separate_longer_delim</w:t>
      </w:r>
      <w:r>
        <w:rPr>
          <w:rStyle w:val="NormalTok"/>
        </w:rPr>
        <w:t xml:space="preserve">(pagina_original,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Original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pagina_original,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pagina_original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{2,}"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.keep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"unused"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Página"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 Geral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total_paginas)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 Fim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lista_arquivos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(converte_pdf_dataframe)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"./Dados Gerados/textos_relatorios.rds"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Amostra da tabela com textos consolidados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mostra da tabela com textos consolidado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Ln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Ln Geral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DADOS BÁSICOS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Finalidade: Verificar se a SMS possui contro…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adequadamente a Cadeia de Frio.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Responsável: SMSPC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CPF/CNPJ:</w:t>
            </w:r>
            <w:r>
              <w:t xml:space="preserve"> </w:t>
            </w:r>
            <w:r>
              <w:rPr>
                <w:b/>
                <w:bCs/>
              </w:rPr>
              <w:t xml:space="preserve">.629.840/-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Munícipio/UF: POÇOS DE CALDAS-MG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Fase(s):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01/07/2024 12/07/2024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</w:tbl>
    <w:p>
      <w:pPr>
        <w:pStyle w:val="Corpodetexto"/>
      </w:pPr>
      <w:r>
        <w:t xml:space="preserve">Escolheu-se o arquivo 19764_1.pdf como exemplo para elaborar hipóteses sobre a estrutura básica dos arquivos. Dessa forma, o processo de obtenção de dados estruturados das auditorias e constatações se dará de forma interativa, elaborando hipóteses sobre a estrutura dos documentos, verificando as hipóteses, construindo passos para a obtenção de dados a partir das hipóteses verificadas.</w:t>
      </w:r>
    </w:p>
    <w:bookmarkEnd w:id="22"/>
    <w:bookmarkStart w:id="23" w:name="estrutura-básica-cabeçalhos-e-rodapés"/>
    <w:p>
      <w:pPr>
        <w:pStyle w:val="Ttulo1"/>
      </w:pPr>
      <w:r>
        <w:t xml:space="preserve">Estrutura Básica, Cabeçalhos e Rodapés</w:t>
      </w:r>
    </w:p>
    <w:p>
      <w:pPr>
        <w:pStyle w:val="FirstParagraph"/>
      </w:pPr>
      <w:r>
        <w:t xml:space="preserve">A partir da análise da primeira página do documento de exemplo (listada abaixo), pode-se extrair alguns dados essenciais, a começar pelo número da auditoria, unidade e município.</w:t>
      </w:r>
    </w:p>
    <w:p>
      <w:pPr>
        <w:pStyle w:val="SourceCode"/>
      </w:pPr>
      <w:r>
        <w:rPr>
          <w:rStyle w:val="NormalTok"/>
        </w:rPr>
        <w:t xml:space="preserve">mostra_pagina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\(arquivo, pagina)</w:t>
      </w:r>
      <w:r>
        <w:br/>
      </w:r>
      <w:r>
        <w:rPr>
          <w:rStyle w:val="NormalTok"/>
        </w:rPr>
        <w:t xml:space="preserve">    textos_relatorios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arquivo)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pagina)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Linha)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str_trunc</w:t>
      </w:r>
      <w:r>
        <w:rPr>
          <w:rStyle w:val="NormalTok"/>
        </w:rPr>
        <w:t xml:space="preserve">(Linha,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ellipsis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mostra_pagina</w:t>
      </w:r>
      <w:r>
        <w:rPr>
          <w:rStyle w:val="NormalTok"/>
        </w:rPr>
        <w:t xml:space="preserve">(arquivo_teste,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Amostra página 1 relatório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mostra página 1 relatório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nº 19764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Unidade: SECRETARIA MUNICIPAL DE SAUDE DE POCOS DE CALDAS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Munícipio: POÇOS DE CALDAS/MG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Já na página 2, tem-se o sumário do relatório.</w:t>
      </w:r>
    </w:p>
    <w:p>
      <w:pPr>
        <w:pStyle w:val="TableCaption"/>
      </w:pPr>
      <w:r>
        <w:t xml:space="preserve">Amostra página 2 relatório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mostra página 2 relatório"/>
      </w:tblPr>
      <w:tblGrid>
        <w:gridCol w:w="856"/>
        <w:gridCol w:w="706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Sumário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DADOS BÁSICOS 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INTRODUÇÃO 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METODOLOGIA 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CONSTATAÇÕES 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Tópico: PROGRAMA NACIONAL DE IMUNIZAÇÃO 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- CONCLUSÃO 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- ANEXOS 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em: 27/11/2024 - 23:13:23 Página 2 de 25 Fonte: Sisaud/SUS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Nota-se que a partir do sumário já vê-se tanto um cabeçalho que parece ser padronizado quanto um rodapé com a data de geração dos arquivos, a numeração das páginas e com o número da auditoria. O sumário está delimitado por duas linhas em branco.</w:t>
      </w:r>
    </w:p>
    <w:p>
      <w:pPr>
        <w:pStyle w:val="SourceCode"/>
      </w:pPr>
      <w:r>
        <w:rPr>
          <w:rStyle w:val="NormalTok"/>
        </w:rPr>
        <w:t xml:space="preserve">detecta_sumario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\(df)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Sumário?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(Linha)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Linha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"Sumário"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(Linha)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textos_sumarios_detectados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detecta_sumario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Sumário?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Arquivos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(Arquivo),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)</w:t>
      </w:r>
    </w:p>
    <w:p>
      <w:pPr>
        <w:pStyle w:val="TableCaption"/>
      </w:pPr>
      <w:r>
        <w:t xml:space="preserve">Quantidade de arquivos com sumário detectado por página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ntidade de arquivos com sumário detectado por págin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Página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Arquivos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</w:tr>
    </w:tbl>
    <w:p>
      <w:pPr>
        <w:pStyle w:val="Corpodetexto"/>
      </w:pPr>
      <w:r>
        <w:t xml:space="preserve">Na tabela acima, vê-se que a página</w:t>
      </w:r>
      <w:r>
        <w:t xml:space="preserve"> </w:t>
      </w:r>
      <w:r>
        <w:t xml:space="preserve">“Sumário”</w:t>
      </w:r>
      <w:r>
        <w:t xml:space="preserve"> </w:t>
      </w:r>
      <w:r>
        <w:t xml:space="preserve">ocorreu em 398 arquivos, e sempre na página 2. Ocorre que temos 399, ou seja, em um relatório parece que não há um sumário que siga esse padrão.</w:t>
      </w:r>
    </w:p>
    <w:p>
      <w:pPr>
        <w:pStyle w:val="Corpodetexto"/>
      </w:pPr>
      <w:r>
        <w:t xml:space="preserve">O código abaixo verifica de que arquivo se trata.</w:t>
      </w:r>
    </w:p>
    <w:p>
      <w:pPr>
        <w:pStyle w:val="SourceCode"/>
      </w:pPr>
      <w:r>
        <w:rPr>
          <w:rStyle w:val="NormalTok"/>
        </w:rPr>
        <w:t xml:space="preserve">arquivo_sem_sumario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detecta_sumario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Página Sumário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Sumário?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Página Sumário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Página Sumário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Página Sumário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chuck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"Arquivo"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pluck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mostra_pagina</w:t>
      </w:r>
      <w:r>
        <w:rPr>
          <w:rStyle w:val="NormalTok"/>
        </w:rPr>
        <w:t xml:space="preserve">(arquivo_sem_sumario,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Página 1 arquivo sem sumário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ágina 1 arquivo sem sumário"/>
      </w:tblPr>
      <w:tblGrid>
        <w:gridCol w:w="802"/>
        <w:gridCol w:w="711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DADOS BÁSICOS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Finalidade: Verificar se a SMS possui controles internos capazes de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Responsável: SECRETARIA MUNICIPAL DE SAÚDE DE LAURO DE FREIT…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CPF/CNPJ: 13.927.819/0001-40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Munícipio/UF: LAURO DE FREITAS-BA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Fase(s):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29/07/2024 30/07/2024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- In loco 20/08/2024 21/08/2024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26/08/2024 02/09/2024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do Prestador: Plena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Demandante: Componente Federal do SNA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Forma: Direta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Objeto: .Fora de bloco|Rede de Frio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Abrangência: Janeiro/2022 a Junho/2024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Protocolo: 25000.109921/2024-43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INTRODUÇÃO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atividade de auditoria visa atender à demanda do Plano Anual de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de Saúde– DenaSUS/MS, realizada na Secretaria Municipal de Saúd…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 de instrumento de trabalho padronizado que visa verificar o Proc…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PNI no Município.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Programa Nacional de Imunizações - PNI tem como missão reduzir a mo…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fortalecimento de ações integradas de vigilância em saúde para promoç…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vigente desde 1973, normatizado pela Lei nº 6.259, de 30/10/…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características marcantes do programa é sua abordagem inclusiva,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Rede de Frio é um sistema amplo, inclui estrutura técnico-administr…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e financiamento que visa à manutenção adequada da Cadeia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desempenha papel primordial para garantir que os imunobiológicos seja…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processo logístico da Rede de Frio para conservação dos imunobiol…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recebimento, armazenamento, distribuição e transporte, de forma op…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características originais. A estrutura de distribuição é apoiada na 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adequado e a distribuição tempestiva das vacinas e demais imunobiológ…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Município de Lauro de Freitas/BA alçou à categoria de município em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do Litoral Norte da Bahia, divisa com a capital do Estado, Sal…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 aos municípios de Camaçari, Entre Rios, Jandaíra, Conde e Mata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demográfica (número de habitantes pela área territorial) é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km²) quase a mesma da Capital Salvador com 3.486,49 habitantes por Km…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ocupando a 416ª colocação dentre os 417 municípios (Apêndice I).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Central Municipal de Rede de Frio (CMRF) integra fisicamente a Cent…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Secretário, o Conselho Municipal de Saúde, a Regulação, a Ouvidori…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própria com gerador elétrico, e recebeu recursos para aquisição de eq…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em: 20/12/2024 - 10:59:00 Página 1 de 30 Fonte: Sisaud/SUS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homologada e encerrada em: 20/12/2024 por Sidney Richardson…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A tabela acima mostra que o arquivo 19783_1.pdf de fato já começa na página da seção</w:t>
      </w:r>
      <w:r>
        <w:t xml:space="preserve"> </w:t>
      </w:r>
      <w:r>
        <w:t xml:space="preserve">“I - DADOS BÁSICOS”</w:t>
      </w:r>
      <w:r>
        <w:t xml:space="preserve">, que parece ser uma seção padronizada de todos os relatórios. Inclusive, no seu rodapé, vê-se que essa é a página 1. Nota-se ainda que a seção de</w:t>
      </w:r>
      <w:r>
        <w:t xml:space="preserve"> </w:t>
      </w:r>
      <w:r>
        <w:t xml:space="preserve">“I - DADOS BÁSICOS”</w:t>
      </w:r>
      <w:r>
        <w:t xml:space="preserve"> </w:t>
      </w:r>
      <w:r>
        <w:t xml:space="preserve">contém o município e a entidade responsável. Já o número da auditoria, só aparece no rodapé.</w:t>
      </w:r>
    </w:p>
    <w:p>
      <w:pPr>
        <w:pStyle w:val="Corpodetexto"/>
      </w:pPr>
      <w:r>
        <w:t xml:space="preserve">Dessa forma, em somente um documento não há sumário e em todos os demais documentos o sumário ocorre na página 2. Assim, pode-se deduzir seguramente que somente o documento 19783_1.pdf não tem capa.</w:t>
      </w:r>
    </w:p>
    <w:p>
      <w:pPr>
        <w:pStyle w:val="SourceCode"/>
      </w:pPr>
      <w:r>
        <w:rPr>
          <w:rStyle w:val="NormalTok"/>
        </w:rPr>
        <w:t xml:space="preserve">textos_relatorios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Página Dados Básicos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(Linha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- DADOS BÁSICOS"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Página Dados Básicos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Página Dados Básicos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Arquivos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(Arquivo),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Página Dados Básicos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Página ocorrência seção DADOS BÁSICOS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ágina ocorrência seção DADOS BÁSIC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Max Página Dados Básicos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Arquivos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Corpodetexto"/>
      </w:pPr>
      <w:r>
        <w:t xml:space="preserve">Conforme vê-se na tabela acima, a seção</w:t>
      </w:r>
      <w:r>
        <w:t xml:space="preserve"> </w:t>
      </w:r>
      <w:r>
        <w:t xml:space="preserve">“I - DADOS BÁSICOS”</w:t>
      </w:r>
      <w:r>
        <w:t xml:space="preserve"> </w:t>
      </w:r>
      <w:r>
        <w:t xml:space="preserve">ocorre em todos os arquivos e sempre na página 3, à exceção do arquivo sem sumário, caso onde ocorre na página 1.</w:t>
      </w:r>
    </w:p>
    <w:p>
      <w:pPr>
        <w:pStyle w:val="Corpodetexto"/>
      </w:pPr>
      <w:r>
        <w:t xml:space="preserve">Em relação ao sumário, caso se mostre consistente entre os arquivos, pode-se retirar dali a data de geração do arquivo, que é útil para fins de reprodutibilidade (partindo da hipótese em que esses arquivos podem ser corrigidos e regerados em uma data posterior) bem como o número da auditoria, necessário para validar que o nome do arquivo está consistente com seu conteúdo, além da paginação lógica, que poderá servir para validar que não faltam páginas nos arquivos.</w:t>
      </w:r>
    </w:p>
    <w:p>
      <w:pPr>
        <w:pStyle w:val="SourceCode"/>
      </w:pPr>
      <w:r>
        <w:rPr>
          <w:rStyle w:val="NormalTok"/>
        </w:rPr>
        <w:t xml:space="preserve">regex_dados_rodape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"^Gerado em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: ([0-9/]{10})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- ([0-9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:]{8}) P.gina 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d{1,}) de 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d{1,}).*"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detecta_rodape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\(df)</w:t>
      </w:r>
      <w:r>
        <w:br/>
      </w:r>
      <w:r>
        <w:rPr>
          <w:rStyle w:val="NormalTok"/>
        </w:rPr>
        <w:t xml:space="preserve">   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(Linha, regex_dados_rodape),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Início Rodapé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dados_rodape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detecta_rodape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Início Rodapé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(Arquivo, Linha)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separate_wider_regex</w:t>
      </w:r>
      <w:r>
        <w:rPr>
          <w:rStyle w:val="NormalTok"/>
        </w:rPr>
        <w:t xml:space="preserve">(Linha, </w:t>
      </w:r>
      <w:r>
        <w:rPr>
          <w:rStyle w:val="AttributeTok"/>
        </w:rPr>
        <w:t xml:space="preserve">patterns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".*?"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"[0-9/]{10}"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Hora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:]{8}"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P.gina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 Lógica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d{1,}"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de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Total Páginas Lógicas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d{1,}"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Hora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(Hora),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 Lógica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 Lógica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 Lógicas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Total Páginas Lógicas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arquivos_paginas_inconsistentes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Arquivo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arquivo_sem_sumario)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dados_rodape,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"Arquivo"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 Página"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Página Lógica"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 Lógicas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arquivos_inconsistentes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dados_rodape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 Lógicas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"Arquivo"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 Lógicas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paginas_sem_rodape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detecta_rodape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Linha Rodapé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Início Rodapé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Linha Rodapé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Arquivo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arquivo_sem_sumario))</w:t>
      </w:r>
    </w:p>
    <w:p>
      <w:pPr>
        <w:pStyle w:val="FirstParagraph"/>
      </w:pPr>
      <w:r>
        <w:t xml:space="preserve">No código acima, o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rPr>
          <w:rStyle w:val="VerbatimChar"/>
        </w:rPr>
        <w:t xml:space="preserve">paginas_sem_rodape</w:t>
      </w:r>
      <w:r>
        <w:t xml:space="preserve"> </w:t>
      </w:r>
      <w:r>
        <w:t xml:space="preserve">tem 0 linhas, ou seja, não há páginas sem rodapé e o rodapé em todas as páginas segue o mesmo padrão.</w:t>
      </w:r>
    </w:p>
    <w:p>
      <w:pPr>
        <w:pStyle w:val="Corpodetexto"/>
      </w:pPr>
      <w:r>
        <w:t xml:space="preserve">No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rPr>
          <w:rStyle w:val="VerbatimChar"/>
        </w:rPr>
        <w:t xml:space="preserve">arquivos_paginas_inconsistentes</w:t>
      </w:r>
      <w:r>
        <w:t xml:space="preserve"> </w:t>
      </w:r>
      <w:r>
        <w:t xml:space="preserve">são guardadas as páginas inconsistentes entre a página física do pdf e a página constante na numeração. Tal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t xml:space="preserve">tem também 0 linhas.</w:t>
      </w:r>
    </w:p>
    <w:p>
      <w:pPr>
        <w:pStyle w:val="Corpodetexto"/>
      </w:pPr>
      <w:r>
        <w:t xml:space="preserve">Por fim, no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rPr>
          <w:rStyle w:val="VerbatimChar"/>
        </w:rPr>
        <w:t xml:space="preserve">arquivos_inconsistentes</w:t>
      </w:r>
      <w:r>
        <w:t xml:space="preserve"> </w:t>
      </w:r>
      <w:r>
        <w:t xml:space="preserve">são guardados arquivos cujo número da quantidade de páginas extraído do rodapé é diferente do número de páginas do pdf. Esse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t xml:space="preserve">contém os seguintes dados:</w:t>
      </w:r>
    </w:p>
    <w:p>
      <w:pPr>
        <w:pStyle w:val="TableCaption"/>
      </w:pPr>
      <w:r>
        <w:t xml:space="preserve">Arquivos inconsistentes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quivos inconsistent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Qtd Páginas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Qtd Páginas Lógicas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19610_1.pdf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19614_1.pdf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19683_1.pdf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19882_1.pdf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</w:tbl>
    <w:p>
      <w:pPr>
        <w:pStyle w:val="Corpodetexto"/>
      </w:pPr>
      <w:r>
        <w:t xml:space="preserve">Abaixo, tem-se a última página do arquivo 19610_1.pdf.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2"/>
        <w:gridCol w:w="70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XIX - TABELAS-OFÍCIO Nº 03/2024-IOM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em: 28/11/2024 - 15:47:32 Página 181 de 182 Fonte: Sisaud/SUS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Ao abrir o arquivo pdf diretamente, vemos que a extração está correta e realmente o arquivo não contém a última página.</w:t>
      </w:r>
    </w:p>
    <w:p>
      <w:pPr>
        <w:pStyle w:val="Corpodetexto"/>
      </w:pPr>
      <w:r>
        <w:t xml:space="preserve">Agora, o arquivo 19614_1.pdf.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707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IX - PROPOSTAS DE EMPRESAS PARA A COTAÇÃO DE PREÇOS 06/2022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em: 29/11/2024 - 08:49:12 Página 89 de 90 Fonte: Sisaud/SUS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Tem-se a mesma situação do arquivo anterior. Enfim, fica claro que o problema está nos arquivos.</w:t>
      </w:r>
    </w:p>
    <w:p>
      <w:pPr>
        <w:pStyle w:val="Corpodetexto"/>
      </w:pPr>
      <w:r>
        <w:t xml:space="preserve">Dessa forma, pode-se proceder à primeira transformação nos dados, extraindo o numero da auditoria a partir da capa e, no caso do arquivo sem capa, a partir do nome (que já se confirmou que é igual ao número constante no rodapé). Como os outros dados constantes na capa existem também na seção de</w:t>
      </w:r>
      <w:r>
        <w:t xml:space="preserve"> </w:t>
      </w:r>
      <w:r>
        <w:t xml:space="preserve">“DADOS BÁSICOS”</w:t>
      </w:r>
      <w:r>
        <w:t xml:space="preserve">, pode-se descartar as duas primeiras páginas (capa e sumário) de todos os arquivos (exceto do arquivo sem sumário), e pode-se agregar a</w:t>
      </w:r>
      <w:r>
        <w:t xml:space="preserve"> </w:t>
      </w:r>
      <w:r>
        <w:rPr>
          <w:rStyle w:val="VerbatimChar"/>
        </w:rPr>
        <w:t xml:space="preserve">Data de Geração</w:t>
      </w:r>
      <w:r>
        <w:t xml:space="preserve">, retirada dos rodapés, no</w:t>
      </w:r>
      <w:r>
        <w:t xml:space="preserve"> </w:t>
      </w:r>
      <w:r>
        <w:rPr>
          <w:i/>
          <w:iCs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rel_com_num_auditoria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textos_relatorios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"^Auditoria n. 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d{3,10}).*$"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 (Nome)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d{1,})_"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(Arquivo)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rel_num_inconsistente_nome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rel_com_num_auditoria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 (Nome)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 (Nome)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rel_sem_sumario_rodape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rel_com_num_auditoria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detecta_rodape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Arquivo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arquivo_sem_sumario)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Início Rodapé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Rodapé?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dados_rodape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(Arquivo, Data)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Data Geração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"Arquivo"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 (Nome)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"unused"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No passo anterior, no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rPr>
          <w:rStyle w:val="VerbatimChar"/>
        </w:rPr>
        <w:t xml:space="preserve">rel_num_inconsistente_nome</w:t>
      </w:r>
      <w:r>
        <w:t xml:space="preserve"> </w:t>
      </w:r>
      <w:r>
        <w:t xml:space="preserve">tem-se os registros cujo número da auditoria detectado da capa difere do número detectado do nome. Tal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tem 0 registros.</w:t>
      </w:r>
    </w:p>
    <w:bookmarkEnd w:id="23"/>
    <w:bookmarkStart w:id="24" w:name="validação-completude-arquivos"/>
    <w:p>
      <w:pPr>
        <w:pStyle w:val="Ttulo1"/>
      </w:pPr>
      <w:r>
        <w:t xml:space="preserve">Validação Completude Arquivos</w:t>
      </w:r>
    </w:p>
    <w:p>
      <w:pPr>
        <w:pStyle w:val="FirstParagraph"/>
      </w:pPr>
      <w:r>
        <w:t xml:space="preserve">Agora que se tem os números das auditorias, pode-se validar tal número em relação à planilha usada como referência para baixar os arquivos.</w:t>
      </w:r>
    </w:p>
    <w:p>
      <w:pPr>
        <w:pStyle w:val="SourceCode"/>
      </w:pPr>
      <w:r>
        <w:rPr>
          <w:rStyle w:val="NormalTok"/>
        </w:rPr>
        <w:t xml:space="preserve">qtd_relatorios_faltantes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lista_relatorios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rel_sem_sumario_rodape,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"Nº"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"No. Auditoria"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qtd_relatorios_sobrando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rel_sem_sumario_rodape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lista_relatorios,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"No. Auditoria"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"Nº"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Tem-se 0 relatórios faltando e 0 relatórios sobrando. Os dados estão completos.</w:t>
      </w:r>
    </w:p>
    <w:bookmarkEnd w:id="24"/>
    <w:bookmarkStart w:id="25" w:name="limpeza"/>
    <w:p>
      <w:pPr>
        <w:pStyle w:val="Ttulo1"/>
      </w:pPr>
      <w:r>
        <w:t xml:space="preserve">Limpeza</w:t>
      </w:r>
    </w:p>
    <w:p>
      <w:pPr>
        <w:pStyle w:val="FirstParagraph"/>
      </w:pPr>
      <w:r>
        <w:t xml:space="preserve">Abaixo, tem-se o texto extraído da 4ª página do arquivo 19764_1.pdf para usar como exemplo.</w:t>
      </w:r>
    </w:p>
    <w:p>
      <w:pPr>
        <w:pStyle w:val="TableCaption"/>
      </w:pPr>
      <w:r>
        <w:t xml:space="preserve">4ª Página do Arquivo de Referência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4ª Página do Arquivo de Referência"/>
      </w:tblPr>
      <w:tblGrid>
        <w:gridCol w:w="802"/>
        <w:gridCol w:w="711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estrutura e o funcionamento do Conselho garantem autonomia administ…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dotação orçamentária, autonomia financeira e organização da secretari…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Não Escopo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Nesta auditoria foi estipulado que não seria escopo deste trabalho os…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de outros programas de saúde não relacionados à Rede de Fri…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unidades de saúde não vinculadas diretamente à CMRF.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de políticas e regulamentações não relacionadas à gestão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 Visão Geral do Objeto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o intuito de seguir um padrão de controle na Cadeia de Frio, foi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Nacional de Imunização. Esse instrumento elenca as medidas necessária…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Frio, mesmo em regiões remotas.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Manual de Rede de Frio do PNI, elaborado pela Secretaria de Vigilân…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práticas ao longo da cadeia de frio por meio de diversas diretrizes 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Armazenamento Adequado: Estabelece as condições ideais de armazenam…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diferentes tipos de imunobiológicos.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Transporte Seguro: Define as práticas seguras para o transporte de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percurso.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Monitoramento Contínuo: Recomenda a utilização de sistemas de monit…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garantir o controle constante ao longo da cadeia.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Manutenção Preventiva: Orienta sobre a importância da manutenção pr…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câmaras refrigeradas, freezers e outros dispositivos.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Treinamento de Profissionais: Inclui diretrizes de treinamento para…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compreendam e sigam as práticas recomendadas.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Procedimentos em Caso de Emergência: Define procedimentos a serem 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resposta rápida para evitar perdas.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Registra-se que, de acordo com informações fornecidas pela área técni…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Frio do PNI está em processo de atualização, com previsão de conclusã…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publicada no ano de 2017.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A Rede de Frio do Programa Nacional de Imunizações - PNI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Programa Nacional de Imunizações tem o objetivo de promover a garan…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população, para isso conta com uma Rede Nacional constituída por uma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de Frio, conforme definições a seguir: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Rede de Frio: É um sistema amplo, inclui estrutura técnico-adminis…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e financiamento que visa à manutenção adequada da Cadeia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Estados, Distrito Federal e Municípios, e tem como propósito principa…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especialmente imunobiológicos, ao longo de sua cadeia de distribuição.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Cadeia de Frio: É o processo logístico da Rede de Frio para conser…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incluindo as etapas de recebimento, armazenamento, distribuição e tra…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suas características originais.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O Processo Logístico na Rede de Frio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controle da temperatura dos imunobiológicos é fator fundamental, da…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ideais dos insumos, da mesma forma os equipamentos utilizados, o acon…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imunobiológicos transportados devem ser separados por tipo, de aco…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temperatura ao longo do percurso. Independente da vi…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Conforme vê-se, é possível detectar um texto que se parece com um cabeçalho até a linha 3.</w:t>
      </w:r>
    </w:p>
    <w:p>
      <w:pPr>
        <w:pStyle w:val="Corpodetexto"/>
      </w:pPr>
      <w:r>
        <w:t xml:space="preserve">Abaixo, verifica-se todas as três primeiras linhas de todas as páginas de todos os relatórios para verificar se o cabeçalho é padronizado.</w:t>
      </w:r>
    </w:p>
    <w:p>
      <w:pPr>
        <w:pStyle w:val="SourceCode"/>
      </w:pPr>
      <w:r>
        <w:rPr>
          <w:rStyle w:val="NormalTok"/>
        </w:rPr>
        <w:t xml:space="preserve">rel_sem_sumario_rodape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Contagem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Linha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Contagem de Ocorrências de Linhas de Cabeçalho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agem de Ocorrências de Linhas de Cabeçalho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- Sistema Nacional de Auditoria do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MS/SGEP/Departamento Nacional de Auditoria do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Complementar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</w:tr>
    </w:tbl>
    <w:p>
      <w:pPr>
        <w:pStyle w:val="Corpodetexto"/>
      </w:pPr>
      <w:r>
        <w:t xml:space="preserve">Conforme mostrado acima, as três primeiras linhas são realmente um cabeçalho em todos os documentos. Assim pode-se finalizar o processo de limpeza retirando os cabeçalhos, linhas órfãs e linhas que não contém nenhum character alfanumérico. Adicionalmente, foram excluídas as colunas de</w:t>
      </w:r>
      <w:r>
        <w:t xml:space="preserve"> </w:t>
      </w:r>
      <w:r>
        <w:rPr>
          <w:rStyle w:val="VerbatimChar"/>
        </w:rPr>
        <w:t xml:space="preserve">Qtd Páginas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# Linha Fim Página</w:t>
      </w:r>
      <w:r>
        <w:t xml:space="preserve"> </w:t>
      </w:r>
      <w:r>
        <w:t xml:space="preserve">que não serão mais necessárias.</w:t>
      </w:r>
    </w:p>
    <w:p>
      <w:pPr>
        <w:pStyle w:val="SourceCode"/>
      </w:pPr>
      <w:r>
        <w:rPr>
          <w:rStyle w:val="NormalTok"/>
        </w:rPr>
        <w:t xml:space="preserve">rel_texto_limpo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rel_sem_sumario_rodape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(Linha, </w:t>
      </w:r>
      <w:r>
        <w:rPr>
          <w:rStyle w:val="StringTok"/>
        </w:rPr>
        <w:t xml:space="preserve">"[[:alnum:]]"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Páginas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 Fim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</w:p>
    <w:bookmarkEnd w:id="25"/>
    <w:bookmarkStart w:id="26" w:name="seções"/>
    <w:p>
      <w:pPr>
        <w:pStyle w:val="Ttulo1"/>
      </w:pPr>
      <w:r>
        <w:t xml:space="preserve">Seções</w:t>
      </w:r>
    </w:p>
    <w:p>
      <w:pPr>
        <w:pStyle w:val="FirstParagraph"/>
      </w:pPr>
      <w:r>
        <w:t xml:space="preserve">Como o presente trabalho tem especial interesse nos metadados das auditorias e nas constatações e recomendações nela presentes, é preciso investigar as diversas seções que compõe um relatório. Conforme já vimos, seções seguem um padrão de numeração de algarismo romanos com um traço (</w:t>
      </w:r>
      <w:r>
        <w:rPr>
          <w:rStyle w:val="VerbatimChar"/>
        </w:rPr>
        <w:t xml:space="preserve">-</w:t>
      </w:r>
      <w:r>
        <w:t xml:space="preserve">) separando a numeração do título.</w:t>
      </w:r>
    </w:p>
    <w:p>
      <w:pPr>
        <w:pStyle w:val="Corpodetexto"/>
      </w:pPr>
      <w:r>
        <w:t xml:space="preserve">A hipótese é que essas seções são razoavelmente padronizadas mas suas numerações podem variar de documento para documento. Assim, filtra-se as linhas que aderem ao padrão esperado de uma seção, separa-se a parte da numeração do título, e conta-se a quantidade de repetições dos títulos. Se esses títulos se repetirem em quantidades similares às quantidades dos documentos, podemos assumir que é seguro identificar as seções dessa forma.</w:t>
      </w:r>
    </w:p>
    <w:p>
      <w:pPr>
        <w:pStyle w:val="SourceCode"/>
      </w:pPr>
      <w:r>
        <w:rPr>
          <w:rStyle w:val="NormalTok"/>
        </w:rPr>
        <w:t xml:space="preserve">letras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"[a-záàâãçéêíóôõú]"</w:t>
      </w:r>
      <w:r>
        <w:br/>
      </w:r>
      <w:r>
        <w:rPr>
          <w:rStyle w:val="NormalTok"/>
        </w:rPr>
        <w:t xml:space="preserve">letras_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(letras,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LETRAS_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(letras_)</w:t>
      </w:r>
      <w:r>
        <w:br/>
      </w:r>
      <w:r>
        <w:br/>
      </w:r>
      <w:r>
        <w:rPr>
          <w:rStyle w:val="NormalTok"/>
        </w:rPr>
        <w:t xml:space="preserve">regex_secoes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"^[IVX]{{1,4}}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- {LETRAS_}{{5,50}}"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secoes_possiveis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rel_texto_limpo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regex_secoes))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"Numeração"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"Seção"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too_many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too_few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cols_remove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"Numeração"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"Seção"</w:t>
      </w:r>
      <w:r>
        <w:rPr>
          <w:rStyle w:val="NormalTok"/>
        </w:rPr>
        <w:t xml:space="preserve">), str_trim))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secoes_candidatas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secoes_possiveis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Numerações Possíveis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str_flatten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Numeração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secoes_candidatas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Amostra de seções com diferentes numerações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mostra de seções com diferentes numerações"/>
      </w:tblPr>
      <w:tblGrid>
        <w:gridCol w:w="4163"/>
        <w:gridCol w:w="1218"/>
        <w:gridCol w:w="2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Ocorrências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Numerações Possíveis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IV, III,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V, VI,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VII, II, VI, VIII, V,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PROPOSIÇÃO DA DEVOLUÇÃO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VI, VII,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CONCLUSÃO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DA DENÚNCIA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AÇÕES ANALÍTICAS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AÇÕES OPERATIVAS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ESCOPO E NÃO ESCOPO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CRONOGRAMA DE TRABALHO DA FASE OPERATIVA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CONSIDERAÇÕES DA FASE OPERACIONAL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</w:tr>
    </w:tbl>
    <w:p>
      <w:pPr>
        <w:pStyle w:val="Corpodetexto"/>
      </w:pPr>
      <w:r>
        <w:t xml:space="preserve">Conforme vê-se acima, a hipótese parece estar correta e detecta-se claramente que até para o título</w:t>
      </w:r>
      <w:r>
        <w:t xml:space="preserve"> </w:t>
      </w:r>
      <w:r>
        <w:t xml:space="preserve">“PROPOSIÇÃO DA DEVOLUÇÃO”</w:t>
      </w:r>
      <w:r>
        <w:t xml:space="preserve"> </w:t>
      </w:r>
      <w:r>
        <w:t xml:space="preserve">tem-se um numero grande de ocorrências. Vê-se também que a quantidade de ocorrências cai para somente 9 no título</w:t>
      </w:r>
      <w:r>
        <w:t xml:space="preserve"> </w:t>
      </w:r>
      <w:r>
        <w:t xml:space="preserve">“DA CONCLUSÃO”</w:t>
      </w:r>
      <w:r>
        <w:t xml:space="preserve">, o que leva a crer que não se trata de uma seção padronizada.</w:t>
      </w:r>
    </w:p>
    <w:p>
      <w:pPr>
        <w:pStyle w:val="Corpodetexto"/>
      </w:pPr>
      <w:r>
        <w:t xml:space="preserve">Considerando a hipótese em análise como confirmada, pode-se gerar a seguinte lista de seções possíveis:</w:t>
      </w:r>
    </w:p>
    <w:p>
      <w:pPr>
        <w:pStyle w:val="SourceCode"/>
      </w:pPr>
      <w:r>
        <w:rPr>
          <w:rStyle w:val="NormalTok"/>
        </w:rPr>
        <w:t xml:space="preserve">secoes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secoes_possiveis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semi_join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secoes_candidatas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"Seção"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(secoes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(\(secao)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"</w:t>
      </w:r>
      <w:r>
        <w:rPr>
          <w:rStyle w:val="NormalTok"/>
        </w:rPr>
        <w:t xml:space="preserve">, secao,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2"/>
        </w:numPr>
      </w:pPr>
      <w:r>
        <w:t xml:space="preserve">DADOS BÁSICOS</w:t>
      </w:r>
    </w:p>
    <w:p>
      <w:pPr>
        <w:pStyle w:val="Compact"/>
        <w:numPr>
          <w:ilvl w:val="0"/>
          <w:numId w:val="1002"/>
        </w:numPr>
      </w:pPr>
      <w:r>
        <w:t xml:space="preserve">INTRODUÇÃO</w:t>
      </w:r>
    </w:p>
    <w:p>
      <w:pPr>
        <w:pStyle w:val="Compact"/>
        <w:numPr>
          <w:ilvl w:val="0"/>
          <w:numId w:val="1002"/>
        </w:numPr>
      </w:pPr>
      <w:r>
        <w:t xml:space="preserve">METODOLOGIA</w:t>
      </w:r>
    </w:p>
    <w:p>
      <w:pPr>
        <w:pStyle w:val="Compact"/>
        <w:numPr>
          <w:ilvl w:val="0"/>
          <w:numId w:val="1002"/>
        </w:numPr>
      </w:pPr>
      <w:r>
        <w:t xml:space="preserve">CONSTATAÇÕES</w:t>
      </w:r>
    </w:p>
    <w:p>
      <w:pPr>
        <w:pStyle w:val="Compact"/>
        <w:numPr>
          <w:ilvl w:val="0"/>
          <w:numId w:val="1002"/>
        </w:numPr>
      </w:pPr>
      <w:r>
        <w:t xml:space="preserve">CONCLUSÃO</w:t>
      </w:r>
    </w:p>
    <w:p>
      <w:pPr>
        <w:pStyle w:val="Compact"/>
        <w:numPr>
          <w:ilvl w:val="0"/>
          <w:numId w:val="1002"/>
        </w:numPr>
      </w:pPr>
      <w:r>
        <w:t xml:space="preserve">PROPOSIÇÃO DA DEVOLUÇÃO</w:t>
      </w:r>
    </w:p>
    <w:p>
      <w:pPr>
        <w:pStyle w:val="Compact"/>
        <w:numPr>
          <w:ilvl w:val="0"/>
          <w:numId w:val="1002"/>
        </w:numPr>
      </w:pPr>
      <w:r>
        <w:t xml:space="preserve">ANEXOS</w:t>
      </w:r>
    </w:p>
    <w:p>
      <w:pPr>
        <w:pStyle w:val="FirstParagraph"/>
      </w:pPr>
      <w:r>
        <w:t xml:space="preserve">Abaixo, usamos essa lista de seções para marcar todas as linhas. Adicionalmente, como a delimitação da seção é essencial para identificação dos dados, numera-se as ocorrências de todas as seções para cada arquivo de forma que, se alguma seção se repetir, isso não afete a tabulação das informações. Por fim, as linhas que representam o início de cada seção poderão ser retiradas após essa junção.</w:t>
      </w:r>
    </w:p>
    <w:p>
      <w:pPr>
        <w:pStyle w:val="SourceCode"/>
      </w:pPr>
      <w:r>
        <w:rPr>
          <w:rStyle w:val="NormalTok"/>
        </w:rPr>
        <w:t xml:space="preserve">rel_com_secoes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rel_texto_limpo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(secoes,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Início Seção?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(Arquivo)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(Seção, </w:t>
      </w:r>
      <w:r>
        <w:rPr>
          <w:rStyle w:val="AttributeTok"/>
        </w:rPr>
        <w:t xml:space="preserve">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Início Seção?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Início Seção?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qtd_linhas_sem_secao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rel_com_secoes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O código acima gerou um</w:t>
      </w:r>
      <w:r>
        <w:t xml:space="preserve"> </w:t>
      </w:r>
      <w:r>
        <w:rPr>
          <w:i/>
          <w:iCs/>
        </w:rPr>
        <w:t xml:space="preserve">dataframe</w:t>
      </w:r>
      <w:r>
        <w:t xml:space="preserve"> </w:t>
      </w:r>
      <w:r>
        <w:t xml:space="preserve">onde 0 estão sem sem uma seção associada.</w:t>
      </w:r>
    </w:p>
    <w:bookmarkEnd w:id="26"/>
    <w:bookmarkStart w:id="29" w:name="tabulação-de-dados"/>
    <w:p>
      <w:pPr>
        <w:pStyle w:val="Ttulo1"/>
      </w:pPr>
      <w:r>
        <w:t xml:space="preserve">Tabulação de Dados</w:t>
      </w:r>
    </w:p>
    <w:bookmarkStart w:id="27" w:name="rótulos-de-campos"/>
    <w:p>
      <w:pPr>
        <w:pStyle w:val="Ttulo2"/>
      </w:pPr>
      <w:r>
        <w:t xml:space="preserve">Rótulos de Campos</w:t>
      </w:r>
    </w:p>
    <w:p>
      <w:pPr>
        <w:pStyle w:val="FirstParagraph"/>
      </w:pPr>
      <w:r>
        <w:t xml:space="preserve">Abaixo tem-se o texto extraído da seção</w:t>
      </w:r>
      <w:r>
        <w:t xml:space="preserve"> </w:t>
      </w:r>
      <w:r>
        <w:t xml:space="preserve">“DADOS BÁSICOS”</w:t>
      </w:r>
      <w:r>
        <w:t xml:space="preserve"> </w:t>
      </w:r>
      <w:r>
        <w:t xml:space="preserve">do arquivo</w:t>
      </w:r>
      <w:r>
        <w:t xml:space="preserve"> </w:t>
      </w:r>
      <w:r>
        <w:rPr>
          <w:rStyle w:val="VerbatimChar"/>
        </w:rPr>
        <w:t xml:space="preserve">19796_1.pdf</w:t>
      </w:r>
      <w:r>
        <w:t xml:space="preserve"> </w:t>
      </w:r>
      <w:r>
        <w:t xml:space="preserve">guiar o processo de identificação de dados.</w:t>
      </w:r>
    </w:p>
    <w:p>
      <w:pPr>
        <w:pStyle w:val="TableCaption"/>
      </w:pPr>
      <w:r>
        <w:t xml:space="preserve">Página Contendo Seção</w:t>
      </w:r>
      <w:r>
        <w:t xml:space="preserve"> </w:t>
      </w:r>
      <w:r>
        <w:t xml:space="preserve">‘Dados Básicos’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ágina Contendo Seção ‘Dados Básicos’"/>
      </w:tblPr>
      <w:tblGrid>
        <w:gridCol w:w="802"/>
        <w:gridCol w:w="711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Finalidade: Verificar regulação do acesso/ref/contra referência p/ ex…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cirurg.revascularização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Responsável: SMSJP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CPF/CNPJ:</w:t>
            </w:r>
            <w:r>
              <w:t xml:space="preserve"> </w:t>
            </w:r>
            <w:r>
              <w:rPr>
                <w:b/>
                <w:bCs/>
              </w:rPr>
              <w:t xml:space="preserve">.806.754/-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Munícipio/UF: JOÃO PESSOA-PB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Fase(s):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09/07/2024 26/07/2024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- In loco 23/09/2024 27/09/2024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07/10/2024 25/10/2024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do Prestador: Plena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Demandante: Ministério Público Federal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Forma: Direta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Objeto: REGULAÇÃO DO ACESSO ÀS CONSULTAS E EXAMES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Abrangência: Janeiro 2019 a Agosto 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Protocolo: 25000.132815/2024-63</w:t>
            </w:r>
          </w:p>
        </w:tc>
      </w:tr>
    </w:tbl>
    <w:p>
      <w:pPr>
        <w:pStyle w:val="Corpodetexto"/>
      </w:pPr>
      <w:r>
        <w:t xml:space="preserve">E abaixo, uma amostra da seção</w:t>
      </w:r>
      <w:r>
        <w:t xml:space="preserve"> </w:t>
      </w:r>
      <w:r>
        <w:t xml:space="preserve">“CONSTATAÇÕES”</w:t>
      </w:r>
      <w:r>
        <w:t xml:space="preserve"> </w:t>
      </w:r>
      <w:r>
        <w:t xml:space="preserve">do mesmo arquivo, porém mostrando as linhas originais (sem cortar os espaços antes e depois).</w:t>
      </w:r>
    </w:p>
    <w:p>
      <w:pPr>
        <w:pStyle w:val="TableCaption"/>
      </w:pPr>
      <w:r>
        <w:t xml:space="preserve">Página Contendo Seção</w:t>
      </w:r>
      <w:r>
        <w:t xml:space="preserve"> </w:t>
      </w:r>
      <w:r>
        <w:t xml:space="preserve">‘CONSTATAÇÕES’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ágina Contendo Seção ‘CONSTATAÇÕES’"/>
      </w:tblPr>
      <w:tblGrid>
        <w:gridCol w:w="802"/>
        <w:gridCol w:w="711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Grupo: Regulação Constatação Nº: 693598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Subgrupo: Controle e Avaliação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Item: Rotinas de Trabalho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Constatação: A Secretaria Municipal de Saúde de João Pessoa/PB não ut…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regulação dos pacientes portadores de Diabetes Mellitus e Doença…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primária, para outros pontos de atenção.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Evidência: Em visita a Unidade Básica de Saúde (UBS) Cruz das Armas 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sem a devida atualização cadastral, em desacordo com o Art.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28/09/2017, a saber: O cadastramento e a manutenção dos dados cadastr…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estabelecimento de saúde, através de seus responsáveis técnicos ou re…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a visita, a profissional médica, Dra. I. L. T., informou que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 portadores de Diabetes Mellitus e Doença vascular periféric…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digital) dos instrumentos de regulação, em desacordo com o §3º do Art…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28/09/2017 (Cabe aos Municípios: II- Viabilizar o processo de regulaç…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capacitação, ordenação de fluxo, aplicação de protocolos e informatiz…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análise do prontuário do paciente G.R.S. (CNS 704207747143988), am…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17/10/2022, verificou-se: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falta de anamnese do paciente no período anterior e imediatamente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 nº 2056, de 20/09/2013 (Art. 50 - A realização da anamnese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em atendimento ambulatorial e nos consultórios);</w:t>
            </w:r>
          </w:p>
        </w:tc>
      </w:tr>
    </w:tbl>
    <w:p>
      <w:pPr>
        <w:pStyle w:val="Corpodetexto"/>
      </w:pPr>
      <w:r>
        <w:t xml:space="preserve">Os relatórios de auditoria parecem ser gerados via sistema automatizado de forma que os dados seguem um padrão. Dessa forma, pode-se executar alguns passos para descobrir as possibilidades de obtenção de dados estruturados a partir da detecção de determinados padrões.</w:t>
      </w:r>
    </w:p>
    <w:p>
      <w:pPr>
        <w:pStyle w:val="Corpodetexto"/>
      </w:pPr>
      <w:r>
        <w:t xml:space="preserve">Conforme já visto acima, alguns campos dos relatórios seguem o padrão</w:t>
      </w:r>
      <w:r>
        <w:t xml:space="preserve"> </w:t>
      </w:r>
      <w:r>
        <w:rPr>
          <w:rStyle w:val="VerbatimChar"/>
        </w:rPr>
        <w:t xml:space="preserve">&lt;Rótulo&gt;: &lt;Conteúdo&gt;</w:t>
      </w:r>
      <w:r>
        <w:t xml:space="preserve">. Dessa forma, aventa-se a seguinte hipótese: Dividindo-se as linhas que tem o caractere dois-pontos (</w:t>
      </w:r>
      <w:r>
        <w:rPr>
          <w:rStyle w:val="VerbatimChar"/>
        </w:rPr>
        <w:t xml:space="preserve">:</w:t>
      </w:r>
      <w:r>
        <w:t xml:space="preserve">) em duas partes, a primeira parte conterá os rótulos candidatos. Mesmo que tal procedimento gere falsos positivos, se esse padrão estiver correto, os rótulos padronizados vão aparecer em quantidades aproximadamente iguais ou superiores à quantidade de documentos.</w:t>
      </w:r>
    </w:p>
    <w:p>
      <w:pPr>
        <w:pStyle w:val="Corpodetexto"/>
      </w:pPr>
      <w:r>
        <w:t xml:space="preserve">Como o corpus objeto desse trabalho já encontra-se delimitado por seções, e dado que a parte que interessa está nos metadados das auditorias, que estão na seção</w:t>
      </w:r>
      <w:r>
        <w:t xml:space="preserve"> </w:t>
      </w:r>
      <w:r>
        <w:t xml:space="preserve">“DADOS BÁSICOS”</w:t>
      </w:r>
      <w:r>
        <w:t xml:space="preserve"> </w:t>
      </w:r>
      <w:r>
        <w:t xml:space="preserve">e nas constatações e recomendações, que estão na seção</w:t>
      </w:r>
      <w:r>
        <w:t xml:space="preserve"> </w:t>
      </w:r>
      <w:r>
        <w:t xml:space="preserve">“CONSTATAÇÕES”</w:t>
      </w:r>
      <w:r>
        <w:t xml:space="preserve">, pode-se delimitar o escopo de validação da hipótese somente a tais seções.</w:t>
      </w:r>
    </w:p>
    <w:p>
      <w:pPr>
        <w:pStyle w:val="Corpodetexto"/>
      </w:pPr>
      <w:r>
        <w:t xml:space="preserve">Abaixo, tem-se os rótulos candidatos com maiores ocorrências em suas respectivas seções filtrando somente os que tem mais de 150 ocorrências.</w:t>
      </w:r>
    </w:p>
    <w:p>
      <w:pPr>
        <w:pStyle w:val="SourceCode"/>
      </w:pPr>
      <w:r>
        <w:br/>
      </w:r>
      <w:r>
        <w:rPr>
          <w:rStyle w:val="NormalTok"/>
        </w:rPr>
        <w:t xml:space="preserve">secoes_interesse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 BÁSICOS"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"CONSTATAÇÕES"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rotulos_candidatos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rel_com_secoes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secoes_interesse)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Original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"[A-Z]"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"Rótulo"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too_few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"align_end"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too_many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"Rótulo"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), str_trim))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rotulos_candidatos_rankeados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rotulos_candidatos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Posição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rotulos_candidatos_rankeados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Amostra de rótulos com maior número de ocorrências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mostra de rótulos com maior número de ocorrência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Ocorrências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Acatamento da 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da 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Responsável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CPF/CNPJ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Munícipio/UF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Abrangência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Protocolo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Corpodetexto"/>
      </w:pPr>
      <w:r>
        <w:t xml:space="preserve">A tabela acima possui um conjunto de rótulos que é suficiente para a continuação do presente trabalho.</w:t>
      </w:r>
    </w:p>
    <w:bookmarkEnd w:id="27"/>
    <w:bookmarkStart w:id="28" w:name="marcadores"/>
    <w:p>
      <w:pPr>
        <w:pStyle w:val="Ttulo2"/>
      </w:pPr>
      <w:r>
        <w:t xml:space="preserve">Marcadores</w:t>
      </w:r>
    </w:p>
    <w:p>
      <w:pPr>
        <w:pStyle w:val="FirstParagraph"/>
      </w:pPr>
      <w:r>
        <w:t xml:space="preserve">Outra situação observada é a da existência de rótulos não seguem o padrão explorado na seção anterior. É o que se observa na linha 7 do exemplo da seção anterior, onde tem-se o texto</w:t>
      </w:r>
      <w:r>
        <w:t xml:space="preserve"> </w:t>
      </w:r>
      <w:r>
        <w:rPr>
          <w:rStyle w:val="VerbatimChar"/>
        </w:rPr>
        <w:t xml:space="preserve">Tipo da Fase Data Início Data Término</w:t>
      </w:r>
      <w:r>
        <w:t xml:space="preserve">.</w:t>
      </w:r>
    </w:p>
    <w:p>
      <w:pPr>
        <w:pStyle w:val="Corpodetexto"/>
      </w:pPr>
      <w:r>
        <w:t xml:space="preserve">Esse é um rótulo que denota cabeçalhos de uma informação tabulada dentro do relatório.</w:t>
      </w:r>
    </w:p>
    <w:p>
      <w:pPr>
        <w:pStyle w:val="Corpodetexto"/>
      </w:pPr>
      <w:r>
        <w:t xml:space="preserve">Assim, aventa-se a hipótese de que esse tipo de cabeçalho, se for padronizado, também ocorrerá multiplas vezes. Assim, usa-se técnica semelhante à usada na seção anterior para validar a hipótese.</w:t>
      </w:r>
    </w:p>
    <w:p>
      <w:pPr>
        <w:pStyle w:val="SourceCode"/>
      </w:pPr>
      <w:r>
        <w:rPr>
          <w:rStyle w:val="NormalTok"/>
        </w:rPr>
        <w:t xml:space="preserve">marcadores_candidatos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rel_com_secoes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secoes_interesse)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marcadores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marcadores_candidatos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(Linha, </w:t>
      </w:r>
      <w:r>
        <w:rPr>
          <w:rStyle w:val="StringTok"/>
        </w:rPr>
        <w:t xml:space="preserve">"S[E/]"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Marcador =</w:t>
      </w:r>
      <w:r>
        <w:rPr>
          <w:rStyle w:val="NormalTok"/>
        </w:rPr>
        <w:t xml:space="preserve"> Linha)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Ocorrências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marcadores_candidatos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Ocorrências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Destinatários da Recomendação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CPF/CNPJ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Responsável(eis)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SEST</w:t>
            </w:r>
            <w:r>
              <w:t xml:space="preserve"> </w:t>
            </w:r>
            <w:r>
              <w:rPr>
                <w:b/>
                <w:bCs/>
              </w:rPr>
              <w:t xml:space="preserve">.053.117/-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 M- SESI</w:t>
            </w:r>
            <w:r>
              <w:t xml:space="preserve"> </w:t>
            </w:r>
            <w:r>
              <w:rPr>
                <w:b/>
                <w:bCs/>
              </w:rPr>
              <w:t xml:space="preserve">.394.544/-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</w:tbl>
    <w:p>
      <w:pPr>
        <w:pStyle w:val="Corpodetexto"/>
      </w:pPr>
      <w:r>
        <w:t xml:space="preserve">Da lista acima, dois rótulos são claramente falso-positivos. Assim, elege-se os 4 primeiros rótulos da tabela acima como rótulos padronizados.</w:t>
      </w:r>
    </w:p>
    <w:bookmarkEnd w:id="28"/>
    <w:bookmarkEnd w:id="29"/>
    <w:bookmarkStart w:id="30" w:name="estruturação-dos-dados"/>
    <w:p>
      <w:pPr>
        <w:pStyle w:val="Ttulo1"/>
      </w:pPr>
      <w:r>
        <w:t xml:space="preserve">Estruturação dos Dados</w:t>
      </w:r>
    </w:p>
    <w:p>
      <w:pPr>
        <w:pStyle w:val="FirstParagraph"/>
      </w:pPr>
      <w:r>
        <w:t xml:space="preserve">De posse dos rótulos, procede-se à associação dos mesmos às linhas dos textos dos relatórios de forma que, quando houver correspondência, tem-se uma linha que se trata de um rótulo ou um marcador.</w:t>
      </w:r>
    </w:p>
    <w:p>
      <w:pPr>
        <w:pStyle w:val="Corpodetexto"/>
      </w:pPr>
      <w:r>
        <w:t xml:space="preserve">Como na seção anterior usou-se o nome</w:t>
      </w:r>
      <w:r>
        <w:t xml:space="preserve"> </w:t>
      </w:r>
      <w:r>
        <w:t xml:space="preserve">“Marcador”</w:t>
      </w:r>
      <w:r>
        <w:t xml:space="preserve">, deve-se consolidar essa informação numa única coluna</w:t>
      </w:r>
      <w:r>
        <w:t xml:space="preserve"> </w:t>
      </w:r>
      <w:r>
        <w:rPr>
          <w:rStyle w:val="VerbatimChar"/>
        </w:rPr>
        <w:t xml:space="preserve">Rótulo</w:t>
      </w:r>
      <w:r>
        <w:t xml:space="preserve">. Adicionalmente, deve-se criar um campo para numerar a ocorrência de cada rótulo em cada seção em cada documento.</w:t>
      </w:r>
    </w:p>
    <w:p>
      <w:pPr>
        <w:pStyle w:val="Corpodetexto"/>
      </w:pPr>
      <w:r>
        <w:t xml:space="preserve">Obs: Para certificar de que o rótulo é de fato um rótulo, pode-se testar se a linha original começa com um caractere maiúsculo. Se não for o caso, trata-se de falso positivo pois se trata de um texto encontrado dentro de um texto descritivo, como o de uma constatação ou justificativa e etc.</w:t>
      </w:r>
    </w:p>
    <w:p>
      <w:pPr>
        <w:pStyle w:val="SourceCode"/>
      </w:pPr>
      <w:r>
        <w:rPr>
          <w:rStyle w:val="NormalTok"/>
        </w:rPr>
        <w:t xml:space="preserve">rel_com_secoes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secoes_interesse)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"Rótulo Candidato"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too_few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"align_end"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too_many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cols_remove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"Rótulo Candidato"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), str_trim))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 Candidato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Original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"[A-Z]"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 Candidato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 Candidato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marcadores,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rotulos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 Candidato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"Seção"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"Rótulo Candidato"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 Candidato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Marcador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Original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"./Dados Gerados/rel_com_secoes_rotulos.rds"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Amostra de linhas sem números com maior número de ocorrências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mostra de linhas sem números com maior número de ocorrências"/>
      </w:tblPr>
      <w:tblGrid>
        <w:gridCol w:w="3420"/>
        <w:gridCol w:w="3690"/>
        <w:gridCol w:w="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Rótulo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 regular utilização de recur…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veículos pela SMS.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Entidade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MSCF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CPF/CNPJ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.475.879/-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Munícipio/UF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FRIO-RJ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01/08/2022 18/08/2022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- In loco 07/08/2023 11/08/2023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14/08/2023 01/09/2023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Corpodetexto"/>
      </w:pPr>
      <w:r>
        <w:t xml:space="preserve">Conforme vê-se acima, o processo gerou uma tabela onde as linhas estão devidamente associadas às suas seções e rótulos.</w:t>
      </w:r>
    </w:p>
    <w:p>
      <w:pPr>
        <w:pStyle w:val="Corpodetexto"/>
      </w:pPr>
      <w:r>
        <w:t xml:space="preserve">Agora passa-se para a parte de estruturar os dados com base nessas marcações. No caso dos rótulos com separador dois-pontos (</w:t>
      </w:r>
      <w:r>
        <w:rPr>
          <w:rStyle w:val="VerbatimChar"/>
        </w:rPr>
        <w:t xml:space="preserve">:</w:t>
      </w:r>
      <w:r>
        <w:t xml:space="preserve">), a princípio, já tem-se o valor de cada rótulo, visto que se trata da parte que vem após o separador. Entretanto, há casos em que o valor transcede o limite da linha, como é o caso valor para o rótulo</w:t>
      </w:r>
      <w:r>
        <w:t xml:space="preserve"> </w:t>
      </w:r>
      <w:r>
        <w:t xml:space="preserve">“Finalidade”</w:t>
      </w:r>
      <w:r>
        <w:t xml:space="preserve">, presente na tabela acima.</w:t>
      </w:r>
    </w:p>
    <w:p>
      <w:pPr>
        <w:pStyle w:val="Corpodetexto"/>
      </w:pPr>
      <w:r>
        <w:t xml:space="preserve">Para consolidar o valor de campos como esse, basta concatenar todas as linhas associadas com cada ocorrência de cada rótulo.</w:t>
      </w:r>
    </w:p>
    <w:p>
      <w:pPr>
        <w:pStyle w:val="Corpodetexto"/>
      </w:pPr>
      <w:r>
        <w:t xml:space="preserve">No código abaixo realiza-se tal operação e apresenta-se um exemplo das informações rotuladas para o arquivo 19764_1.pdf.</w:t>
      </w:r>
    </w:p>
    <w:p>
      <w:pPr>
        <w:pStyle w:val="SourceCode"/>
      </w:pPr>
      <w:r>
        <w:rPr>
          <w:rStyle w:val="NormalTok"/>
        </w:rPr>
        <w:t xml:space="preserve">rel_com_secoes_rotulos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str_flatten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(Conteúdo),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str_flatten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 Geral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Inicial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 Geral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Final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Linha Geral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Final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Inicial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Data Geração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Rótulo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"./Dados Gerados/conteudo_estruturado.rds"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Amostra tabela com dados estruturados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mostra tabela com dados estruturados"/>
      </w:tblPr>
      <w:tblGrid>
        <w:gridCol w:w="1662"/>
        <w:gridCol w:w="6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se a SMS possui controles internos capazes de assegurar adequadamente a Cadeia de Frio.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Entidade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CPF/CNPJ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.629.840/-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Munícipio/UF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POÇOS DE CALDAS-MG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da Fase Data Início Data Término Analítica 01/07/2024 12/07/2024 Execução - In loco 26/08/2024 30/08/2024 Relatório 02/09/2024 20/09/2024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Federal do SNA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.Fora de bloco|Rede de Frio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Abrangência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Janeiro/2022 a Junho/2024.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Nº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25000.102655/2024-28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NACIONAL DE IMUNIZAÇÃO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Vigilância em Saúde Constatação Nº: 691723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Vigilância Epidemiológica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Documentação/Registros</w:t>
            </w:r>
          </w:p>
        </w:tc>
      </w:tr>
    </w:tbl>
    <w:bookmarkEnd w:id="30"/>
    <w:bookmarkStart w:id="31" w:name="checagem-do-processo-de-rotulação"/>
    <w:p>
      <w:pPr>
        <w:pStyle w:val="Ttulo1"/>
      </w:pPr>
      <w:r>
        <w:t xml:space="preserve">Checagem do Processo de Rotulação</w:t>
      </w:r>
    </w:p>
    <w:p>
      <w:pPr>
        <w:pStyle w:val="FirstParagraph"/>
      </w:pPr>
      <w:r>
        <w:t xml:space="preserve">Para avaliar os rótulos, a questão principal é verificar se houve algum tipo de</w:t>
      </w:r>
      <w:r>
        <w:t xml:space="preserve"> </w:t>
      </w:r>
      <w:r>
        <w:t xml:space="preserve">“vazamento”</w:t>
      </w:r>
      <w:r>
        <w:t xml:space="preserve">, ou seja, se o algoritmo falhou em delimitar as linhas de um determinado rótulo, incluindo indevidamente informações que não fazem parte do conteúdo que deveria ser a ele atribuído. Para tanto, pode-se avaliar a distribuição da variável que representa a quantidades de linhas usadas em cada rótulo. Abaixo, vê-se uma visão geral dos rótulos que, pelo menos em um relatório, englobou</w:t>
      </w:r>
      <w:r>
        <w:t xml:space="preserve"> </w:t>
      </w:r>
      <w:r>
        <w:rPr>
          <w:b/>
          <w:bCs/>
        </w:rPr>
        <w:t xml:space="preserve">mais de uma linha</w:t>
      </w:r>
      <w:r>
        <w:t xml:space="preserve"> </w:t>
      </w:r>
      <w:r>
        <w:t xml:space="preserve">juntamente com as seguintes métricas calculadas em cima da lista ordenada de ocorrência de variáveis e quantidade de linhas utilizadas.</w:t>
      </w:r>
    </w:p>
    <w:p>
      <w:pPr>
        <w:pStyle w:val="Compact"/>
        <w:numPr>
          <w:ilvl w:val="0"/>
          <w:numId w:val="1003"/>
        </w:numPr>
      </w:pPr>
      <w:r>
        <w:t xml:space="preserve">Min: quantidade mínima de linhas que esse rótulo usou</w:t>
      </w:r>
    </w:p>
    <w:p>
      <w:pPr>
        <w:pStyle w:val="Compact"/>
        <w:numPr>
          <w:ilvl w:val="0"/>
          <w:numId w:val="1003"/>
        </w:numPr>
      </w:pPr>
      <w:r>
        <w:t xml:space="preserve">P.25: quantidade de linhas usadas em 25% das ocorrências</w:t>
      </w:r>
    </w:p>
    <w:p>
      <w:pPr>
        <w:pStyle w:val="Compact"/>
        <w:numPr>
          <w:ilvl w:val="0"/>
          <w:numId w:val="1003"/>
        </w:numPr>
      </w:pPr>
      <w:r>
        <w:t xml:space="preserve">Mediana: mediana da quantidade de linhas usadas</w:t>
      </w:r>
    </w:p>
    <w:p>
      <w:pPr>
        <w:pStyle w:val="Compact"/>
        <w:numPr>
          <w:ilvl w:val="0"/>
          <w:numId w:val="1003"/>
        </w:numPr>
      </w:pPr>
      <w:r>
        <w:t xml:space="preserve">P.75: quantidade de linhas usadas em 75% das ocorrências</w:t>
      </w:r>
    </w:p>
    <w:p>
      <w:pPr>
        <w:pStyle w:val="Compact"/>
        <w:numPr>
          <w:ilvl w:val="0"/>
          <w:numId w:val="1003"/>
        </w:numPr>
      </w:pPr>
      <w:r>
        <w:t xml:space="preserve">P.99: quantidade de linhas usadas em 99% das ocorrências</w:t>
      </w:r>
    </w:p>
    <w:p>
      <w:pPr>
        <w:pStyle w:val="Compact"/>
        <w:numPr>
          <w:ilvl w:val="0"/>
          <w:numId w:val="1003"/>
        </w:numPr>
      </w:pPr>
      <w:r>
        <w:t xml:space="preserve">Max: quantidade máxima de linhas detectada</w:t>
      </w:r>
    </w:p>
    <w:p>
      <w:pPr>
        <w:pStyle w:val="SourceCode"/>
      </w:pPr>
      <w:r>
        <w:rPr>
          <w:rStyle w:val="NormalTok"/>
        </w:rPr>
        <w:t xml:space="preserve">metricas_avaliacao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Ordem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Inicial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P.75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P.99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num_rotulos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(metricas_avaliacao )</w:t>
      </w:r>
      <w:r>
        <w:br/>
      </w:r>
      <w:r>
        <w:br/>
      </w:r>
      <w:r>
        <w:rPr>
          <w:rStyle w:val="NormalTok"/>
        </w:rPr>
        <w:t xml:space="preserve">rotulos_multilinhas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metricas_avaliacao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(Ordem)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Ordem) </w:t>
      </w:r>
      <w:r>
        <w:br/>
      </w:r>
      <w:r>
        <w:br/>
      </w:r>
      <w:r>
        <w:rPr>
          <w:rStyle w:val="NormalTok"/>
        </w:rPr>
        <w:t xml:space="preserve">rotulos_multilinhas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Métricas para Validação de Conteúdos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étricas para Validação de Conteúdo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 da 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da 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CPF/CNPJ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da Fase Data Início Data Término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Destinatários da Recomendação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Responsável(eis)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Acatamento da 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Corpodetexto"/>
      </w:pPr>
      <w:r>
        <w:t xml:space="preserve">Ao todo, estão sendo usados 26. Desses, 13 foram resultado de consolidação de duas ou mais linhas em pelo menus um relatório.</w:t>
      </w:r>
    </w:p>
    <w:p>
      <w:pPr>
        <w:pStyle w:val="Corpodetexto"/>
      </w:pPr>
      <w:r>
        <w:t xml:space="preserve">Nota-se, por exemplo, que nos rótulos</w:t>
      </w:r>
      <w:r>
        <w:t xml:space="preserve"> </w:t>
      </w:r>
      <w:r>
        <w:t xml:space="preserve">“Justificativa”</w:t>
      </w:r>
      <w:r>
        <w:t xml:space="preserve"> </w:t>
      </w:r>
      <w:r>
        <w:t xml:space="preserve">e</w:t>
      </w:r>
      <w:r>
        <w:t xml:space="preserve"> </w:t>
      </w:r>
      <w:r>
        <w:t xml:space="preserve">“Análise Justificativa”</w:t>
      </w:r>
      <w:r>
        <w:t xml:space="preserve"> </w:t>
      </w:r>
      <w:r>
        <w:t xml:space="preserve">75% dos documentos tem 15 e 10 linhas ou menos respectivamente, e que 99% dos documentos tem 101 e 64 linhas respectivamente.</w:t>
      </w:r>
    </w:p>
    <w:p>
      <w:pPr>
        <w:pStyle w:val="Corpodetexto"/>
      </w:pPr>
      <w:r>
        <w:t xml:space="preserve">O valor parece bastante razoável, principalmente em se tratando de justificativa quanto sua respectiva análise.</w:t>
      </w:r>
    </w:p>
    <w:p>
      <w:pPr>
        <w:pStyle w:val="Corpodetexto"/>
      </w:pPr>
      <w:r>
        <w:t xml:space="preserve">Ao analisar o caso extermo para esses dois rótulos pode-se validar se o conteúdo foi corretamente detectado.</w:t>
      </w:r>
    </w:p>
    <w:p>
      <w:pPr>
        <w:pStyle w:val="Corpodetexto"/>
      </w:pPr>
      <w:r>
        <w:t xml:space="preserve">Abaixo, detalhes de onde ocorreu o caso para o campo</w:t>
      </w:r>
      <w:r>
        <w:t xml:space="preserve"> </w:t>
      </w:r>
      <w:r>
        <w:t xml:space="preserve">“Justificativa”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obtem_caso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(rotulo, qtd_linhas, fim_secao){</w:t>
      </w:r>
      <w:r>
        <w:br/>
      </w:r>
      <w:r>
        <w:rPr>
          <w:rStyle w:val="NormalTok"/>
        </w:rPr>
        <w:t xml:space="preserve">    conteudo_estruturado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rotulo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Qtd Linhas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qtd_linhas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str_ends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fim_secao))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Inicial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Linha Final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Página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pluck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caso_justificativa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obtem_caso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"Justificativa"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"CONSTATAÇÕES"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(caso_justificativa)</w:t>
      </w:r>
      <w:r>
        <w:br/>
      </w:r>
      <w:r>
        <w:rPr>
          <w:rStyle w:val="CommentTok"/>
        </w:rPr>
        <w:t xml:space="preserve">#&gt; List of 4</w:t>
      </w:r>
      <w:r>
        <w:br/>
      </w:r>
      <w:r>
        <w:rPr>
          <w:rStyle w:val="CommentTok"/>
        </w:rPr>
        <w:t xml:space="preserve">#&gt;  $ Arquivo      : chr "19514_1.pdf"</w:t>
      </w:r>
      <w:r>
        <w:br/>
      </w:r>
      <w:r>
        <w:rPr>
          <w:rStyle w:val="CommentTok"/>
        </w:rPr>
        <w:t xml:space="preserve">#&gt;  $ Linha Inicial: int 645</w:t>
      </w:r>
      <w:r>
        <w:br/>
      </w:r>
      <w:r>
        <w:rPr>
          <w:rStyle w:val="CommentTok"/>
        </w:rPr>
        <w:t xml:space="preserve">#&gt;  $ Linha Final  : int 933</w:t>
      </w:r>
      <w:r>
        <w:br/>
      </w:r>
      <w:r>
        <w:rPr>
          <w:rStyle w:val="CommentTok"/>
        </w:rPr>
        <w:t xml:space="preserve">#&gt;  $ # Página     : int 12</w:t>
      </w:r>
    </w:p>
    <w:p>
      <w:pPr>
        <w:pStyle w:val="FirstParagraph"/>
      </w:pPr>
      <w:r>
        <w:t xml:space="preserve">Abaixo, tem-se o texto encontrado nesse arquivo e nessas linhas.</w:t>
      </w:r>
    </w:p>
    <w:p>
      <w:pPr>
        <w:pStyle w:val="TableCaption"/>
      </w:pPr>
      <w:r>
        <w:t xml:space="preserve">Casos Justificativa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asos Justificativa"/>
      </w:tblPr>
      <w:tblGrid>
        <w:gridCol w:w="802"/>
        <w:gridCol w:w="711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Justificativa: JUSTIFICATIVA APRESENTADA POR M. C. M. S. G., SECRETÁR…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OFÍCIO N.º 263/2024SMS, DE 16/5/2024. A JUSTIFICATIVA REFERE-SE AS CO…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685243 e 682565: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’’Nas Constatações referenciadas, a Auditoria aborda possíveis inserç…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Ambulatorial do Sistema Único de Saúde - SIA/SUS pela Secr…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assim, se tornar, de modo indevida, elegível ao recebimento indevido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caso em questão, e com uma destacada diferença, é importante ressa…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consciente ação de praticar quaisquer atos ilícitos que porventura pu…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os recursos aplicados não tem e não tiveram o fim de obter prove…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entidade que não fosse os atendimentos das necessidades dos dem…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Regional de Caxias, deveria em tese atender a 7 munícipios. Sucede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estruturado da Mesorregião do Leste Maranhense, composto de 44 municí…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atração, principalmente na questão saúde, ocasionando muita das ve…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Associado a esse problema de enorme demanda, é importante frisar, o 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detectou o seguinte: litteris ’’Falta de acompanhamento, controle e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informados nos Sistemas de Informação Ambulatorial (SAI/SUS), pelo Se…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Municipal de Saúde de Caxias.’’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que foi habilitado na Gestão Plena do Sistema Municipal de Saúd…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e avaliação dos prestadores de serviços de saúde (públicos 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 ao Setor de Controle e Avaliação a responsabilidade pelo cadastr…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processamento da produção ambulatorial, garantindo a alimentação do b…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 para operacionalização das atividades e autorização de 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ambulatoriais.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importante lembrar que quando um município é habilitado na Gestão 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assistência à saúde prestada aos seus munícipes, desde as ações básic…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complexidade, que na sua maioria são oferecidos pela rede complementa…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Diante desse cenário, a programação física e orçamentária da rede de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do Setor de Controle e Avaliação, o que não ocorreu.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 destacar que, a gestão financeira do Sistema Único de Saúde (SUS…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que devem ser seguidas por cada um dos Entes da Federação. Den…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necessidades de se conhecer os fluxos estabelecidos dos recursos f…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vinculações devem ser seguidas. Para tanto, compreender os principais…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legislação que rege o processo de financiamento do SUS é papel fundam…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necessidades públicas e ao melhor atendimento da população. Nesse âmb…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final do ano de 2017 pelo Ministério da Saúde alterou a forma de 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antigos blocos de financiamento de custeio do SUS.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Portaria nº 3.992, de 28 de dezembro de 2017, alterou a Portaria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2017, que trata das normas sobre o financiamento e a transferência do…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saúde do Sistema Único de Saúde. A Portaria de Consolidação nº 6 havi…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Portaria 204/2007, o financiamento e as transferências dos recursos…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de financiamento ou blocos financeiros. Para a recepção dos re…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Nacional de Saúde, abria para cada bloco uma conta bancária e,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financeira para cada um dos projetos aprovados com plano de aplicação…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Nesse diapasão podemos creditar que o recebimento e a aplicação dos 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Nacional de Saúde ao Fundo Municipal de Saúde, foram aplicados de for…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desorganização administrativa e financeira existente no setor, sem, 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públicos.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Finalmente, usando a expressão em Latim,</w:t>
            </w:r>
            <w:r>
              <w:t xml:space="preserve"> </w:t>
            </w:r>
            <w:r>
              <w:t xml:space="preserve">‘’pretium lluminationes’</w:t>
            </w:r>
            <w:r>
              <w:t xml:space="preserve">’, q…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UNIÃO deve responder pelos PROGRAMAS E PROJETOS PACTUADOS tendo em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estabelecida para cuidar da saúde, prevista no ARTIGO 23, INCISO II,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70, PARÁGRAFO ÚNICO, E ARTIGO 74, INCISO I, DA CONSTITUIÇÃO FE…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federativa suportada pela arquitetura legal do cofinanciamento dos PR…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 interpretação. A PACTUAÇÃO COMO PONTO CENTRAL PARA AUTORIZAR A F…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ENTES PARTICIPANTES, DOS RECURSOS CONTABILIZADOS NO FUNDO.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Lei Orgânica do SUS - Lei n° 8.080, de 19 de setembro de 1990 - que…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e recuperação da saúde, a organização e o funcionamento dos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providências. Referida lei prevê, em seu artigo 35, os critérios para…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União. Além disso, o dispositivo legal estabelece que os repasses ser…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programas e projetos e serão depositados em conta especial, em cada 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12. Serão criadas comissões intersetoriais de âmbito nacional, 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integradas pelos Ministérios e órgãos competentes e por entidades rep…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comissões intersetoriais terão a finalidade de articular políticas 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envolva áreas não compreendidas no âmbito do Sistema Único de Saúde (…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33. Os recursos financeiros do Sistema Único de Saúde (SUS) serã…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sua atuação, e movimentados sob fiscalização dos respectivos Conse…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financeiros, originários do Orçamento da Seguridade Social,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fontes, serão administrados pelo Ministério da Saúde, através do Fund…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4º O Ministério da Saúde acompanhará, através de seu sistema de audit…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dos recursos repassados a Estados e Municípios. Constatada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recursos, caberá ao Ministério da Saúde aplicar as medidas previstas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34. As autoridades responsáveis pela distribuição da receita efe…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Fundo Nacional de Saúde (FNS), observado o critério do parágrafo ú…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correspondentes às dotações consignadas no Orçamento da Seguridade So…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executados no âmbito do Sistema Único de Saúde (SUS).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35. Para o estabelecimento de valores a serem transferidos a Est…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combinação dos seguintes critérios, segundo análise técnica de progra…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epidemiológico da população a ser coberta; III - característic…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desempenho técnico, econômico e financeiro no período anterior;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orçamentos estaduais e municipais; VI - previsão do plano quinquenal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atendimento a serviços prestados para outras esferas de governo. § 1º…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 será distribuída segundo o quociente de sua divisão pelo 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procedimento prévio. (Revogado pela Lei Complementar nº 141,…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Estados e Municípios sujeitos a notório processo de migração…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serão ponderados por outros indicadores de crescimento populacional,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Além disso, existe a Lei n° 8.142, de 28 de dezembro de 1990, que tam…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subnacionais recebam recursos do Fundo Nacional de Saúde. Vejamos: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4° Para receberem os recursos, de que trata o art. 3° desta lei,…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com: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Fundo de Saúde;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Conselho de Saúde, com composição paritária de acordo com o Decr…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plano de saúde;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relatórios de gestão que permitam o controle de que trata o § 4°…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- contrapartida de recursos para a saúde no respectivo orçamento;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- Comissão de elaboração do Plano de Carreira, Cargos e Salários (…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implantação. Parágrafo único. O não atendimento pelos Municípios, ou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estabelecidos neste artigo, implicará em que os recursos 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pelos Estados ou pela União.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Decreto n° 1.232, de 30 de agosto de 1994, que dispõe sobre as cond…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do Fundo Nacional de Saúde para os fundos de saúde estaduais…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apresentação pelo ente subnacional de um plano de saúde, que nada 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interfederativa que visa a nortear a atuação de todos os entes gestor…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Lei Complementar n° 141, de 2012, também prevê que a fiscalização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auditoria de SUS pelos órgãos de controle interno de cada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cumprimento da mesma lei. Vejamos: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27. Quando os órgãos de controle interno do ente beneficiário,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detectarem que os recursos previstos no inciso II do § 3º do art. 198…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e serviços diversos dos previstos no art. 3o desta Lei Compleme…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originalmente pactuado, darão ciência ao Tribunal de Contas e ao Mini…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recurso, com vistas: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à adoção das providências legais, no sentido de determinar a imed…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Saúde do ente da Federação beneficiário, devidamente atualizados por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visando ao cumprimento do objetivo do repasse;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à responsabilização nas esferas competentes.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37. Os órgãos fiscalizadores examinarão, prioritariamente, na pr…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56 da Lei Complementar nº 101, de 4 de maio de 2000, o cumprimen…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nesta Lei Complementar.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38. O Poder Legislativo, diretamente ou com o auxílio dos Tribun…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órgão de controle interno e do Conselho de Saúde de cada ente da Fede…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Complementar, fiscalizará o cumprimento das normas desta Lei Compleme…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à elaboração e execução do Plano de Saúde Plurianual;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ao cumprimento das metas para a saúde estabelecidas na lei de di…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à aplicação dos recursos mínimos em ações e serviços públicos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às transferências dos recursos aos Fundos de Saúde;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- à aplicação dos recursos vinculados ao SUS;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- à destinação dos recursos obtidos com a alienação de ativos adqu…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40. Os Poderes Executivos da União, dos Estados, do Distrito Fed…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respectivos Tribunais de Contas, informações sobre o cumprimento dest…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 as ações de controle e fiscalização. Parágrafo único. Const…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Poder Executivo e os obtidos pelos Tribunais de Contas em seus 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Executivo e à direção local do SUS, para que sejam adotadas as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previstas em lei.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Além disso, o Decreto n° 7.827, de 16 de outubro de 2012, estabelece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eventual descumprimento da Lei Complementar n° 141, de 2012: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23. Verificado o descumprimento das disposições da Lei Complemen…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detectada a aplicação de recursos federais em objeto diverso do origi…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comunicará a irregularidade: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ao órgão de auditoria do SUS;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à direção local do SUS;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ao responsável pela administração orçamentária e financeira do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aos órgãos de controle interno e externo do ente federativo;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- ao Conselho de Saúde; 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- ao Ministério Público.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1º A comunicação a que se refere o caput somente será encaminhada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com atribuição para o caso após o esgotamento da via administ…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prejuízo do exercício autônomo das competências e atribuições pre…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2º A atuação dos destinatários da comunicação de que trata o caput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recursos irregularmente aplicados ao Fundo de Saúde do ente feder…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do repasse, nos termos do inciso I do caput do art. 27 da Le…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nº 9.380, de 2018)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3º Para os fins do disposto no § 2º , em caso de aplicação de recur…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Constituição em ações e serviços diversos dos previstos no art. 3º da…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diverso do originalmente pactuado, a devolução será efetivada com rec…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4º Na hipótese de, durante a cobrança administrativa, que faz parte…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 o §1º , ficar evidenciado que o ente federativo beneficiário 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repassdeverá ser feita a devolução dos recursos irregularmente aplica…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federativo que repassou os recursos. (Incluído pelo Decreto nº 9.380,…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Portaria n° 2.587, de 25 de setembro de 2020, que dispõe sobre os 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transferência de recursos federais na modalidade fundo a fundo no âmb…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 que compete aos setores finalísticos do Ministério da Saúde…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2º Compete aos setores finalísticos do Ministério da Saúde, resp…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saúde: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a análise e aprovação de mérito referente à política de saúde a 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federais;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a apuração e controle de limites e parâmetros relativos aos valo…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 beneficiário, inclusive por meio de sistemas informatizados espe…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o estabelecimento e acompanhamento de critérios para efetivação…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federais a fundos de saúde de Estados, Municípios e Distrito Federal,…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suspensão de transferências, quando cabível; 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o monitoramento, regulação, controle e avaliação das ações e ser…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federais, inclusive proceder à análise dos Relatórios de Ges…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 o aprimoramento das políticas de saúde e a tomada de decisõ…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1148 da Portaria de Consolidação nº 6/GM/MS, de 28 de setembro de 201…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Portanto, exige-se do ente subnacional interessado no recebimento do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habilitação junto ao Ministério da Saúde. Tal exigência é prevista…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2020, da seguinte maneira: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 II DOS PROCEDIMENTOS PARA A OPERACIONALIZAÇÃO DAS TRANSFERÊN…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FEDERAIS NA MODALIDADE FUNDO A FUNDO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3º As transferências de recursos federais aos Estados, Distrito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será precedida de: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- publicação de portaria ministerial de habilitação dos entes benef…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 - inclusão das informações de pagamento no Sistema de Gerenciament…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SISPROFNS; 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instrução e encaminhamento de processo administrativo de pagame…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Anexo da referida Portaria estabelece, ainda, os requisitos formais…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Dentre os requisitos estão a consignação das normas a serem observada…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transferência fundo a fundo. Vejamos: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FORMAIS PARA A OPERACIONALIZAÇÃO DAS TRANSFERÊNCIAS DE REC…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MODALIDADE FUNDO A FUNDO PORTARIA DE HABILITAÇÃO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O preâmbulo da portaria deve conter referência aos seguintes norm…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Art. 35 da Lei nº 8.080, de 19 de setembro de 1990, que estabelece…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programas e projetos para o estabelecimento de valores;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Arts. 3º e 4º da Lei nº 8.142, de 28 de dezembro de 1990, que dete…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Estados, Municípios e Distrito Federal e as condições para que os 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Lei Complementar nº 141, de 13 de janeiro de 2012, que estabeleceu…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transferências da saúde e as normas de fiscalização, avaliação e cont…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governo, especialmente o disposto no parágrafo único de seu art. 22,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ao funcionamento do Fundo e do Conselho de Saúde no âmbito do ente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Decreto nº 1.232, de 30 de agosto 1994, que dispõe sobre as condiç…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do Fundo Nacional de Saúde para os fundos de saúde estaduais…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nº 7.507, de 27 de junho 2011, que dispõe sobre a movimentaçã…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e) Portaria de Consolidação nº 6/GM/MS, de 28 de setembro de 2017, qu…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financiamento e a transferência dos recursos federais para as ações…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f) Atos normativos que regulamentam a execução de emendas parlamentar…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g) Os atos legais que regulamentam o programa e a rede prioritária, 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h) Número Único de Protocolo (NUP) do Sistema Eletrônico de Informaçõ…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correspondente ao processo administrativo com as informações técnicas…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mesmo sentido caminha a Portaria de Consolidação n° 6, de 28 de se…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normas sobre o financiamento e a transferência dos recursos federais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de Saúde. Referida norma prevê que os recursos que compõem cada…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ações e serviços públicos de saúde relacionados ao próprio bloco.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Dessa maneira, verifica-se que a legislação atinente ao SUS prevê a 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a fundo pela União devam ser precedidas da realização de pactua…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habilitação do ente subnacional a uma determinada ação de saúde. Port…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recíproco entre a União e o ente federado que pactua para o desenvolv…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devidamente amparado pela competência comum prevista no artigo 2…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Portanto, na medida em que existe uma pactuação feita pela União e 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acerca do objeto e da execução da referida pactuação.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Nesse ponto, os repasses fundos a fundo pelos entes federados, não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financeiras estanques, em que a execução das despesas só pode ser vis…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espelhar a verdadeira integração entre os entes federados no proj…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esses aspectos reforçam a necessidade de que todas as instituiç…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e monitoramento do SUS superem a abordagem burocrática, foc…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finanças públicas, e avance em abordagens focadas nos resul…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SUS, que, ressalta-se, são relacionadas ao modelo de gestão participa…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compreender que não existem finalidades exclusivas do Ministério da 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 é apenas uma parte do grande empreendimento social que é o SUS.…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objetivos e finalidades sejam comuns e indivisíveis, conforme pact…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falar em separação dos recursos.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Finalmente, tem-se observado que a Douta Auditoria tem se reportado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 a questão não pode ser analisada somente por esse viés, por uma q…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desses recursos? Eles não despencam do universo.’’</w:t>
            </w:r>
          </w:p>
        </w:tc>
      </w:tr>
    </w:tbl>
    <w:p>
      <w:pPr>
        <w:pStyle w:val="Corpodetexto"/>
      </w:pPr>
      <w:r>
        <w:t xml:space="preserve">Conforme se vê, o texto foi corretamente atribuído a seu rótulo. Passa-se agora para o caso extremo para o rótulo</w:t>
      </w:r>
      <w:r>
        <w:t xml:space="preserve"> </w:t>
      </w:r>
      <w:r>
        <w:t xml:space="preserve">“Análise da Justificativa”</w:t>
      </w:r>
      <w:r>
        <w:t xml:space="preserve">.</w:t>
      </w:r>
    </w:p>
    <w:p>
      <w:pPr>
        <w:pStyle w:val="Corpodetexto"/>
      </w:pPr>
      <w:r>
        <w:t xml:space="preserve">Abaixo, os dados de onde o caso ocorreu.</w:t>
      </w:r>
    </w:p>
    <w:p>
      <w:pPr>
        <w:pStyle w:val="SourceCode"/>
      </w:pPr>
      <w:r>
        <w:rPr>
          <w:rStyle w:val="NormalTok"/>
        </w:rPr>
        <w:t xml:space="preserve">caso_analise_justificativa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obtem_caso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"Análise da Justificativa"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"CONSTATAÇÕES"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(caso_analise_justificativa)</w:t>
      </w:r>
      <w:r>
        <w:br/>
      </w:r>
      <w:r>
        <w:rPr>
          <w:rStyle w:val="CommentTok"/>
        </w:rPr>
        <w:t xml:space="preserve">#&gt; List of 4</w:t>
      </w:r>
      <w:r>
        <w:br/>
      </w:r>
      <w:r>
        <w:rPr>
          <w:rStyle w:val="CommentTok"/>
        </w:rPr>
        <w:t xml:space="preserve">#&gt;  $ Arquivo      : chr "19484_1.pdf"</w:t>
      </w:r>
      <w:r>
        <w:br/>
      </w:r>
      <w:r>
        <w:rPr>
          <w:rStyle w:val="CommentTok"/>
        </w:rPr>
        <w:t xml:space="preserve">#&gt;  $ Linha Inicial: int 2569</w:t>
      </w:r>
      <w:r>
        <w:br/>
      </w:r>
      <w:r>
        <w:rPr>
          <w:rStyle w:val="CommentTok"/>
        </w:rPr>
        <w:t xml:space="preserve">#&gt;  $ Linha Final  : int 2799</w:t>
      </w:r>
      <w:r>
        <w:br/>
      </w:r>
      <w:r>
        <w:rPr>
          <w:rStyle w:val="CommentTok"/>
        </w:rPr>
        <w:t xml:space="preserve">#&gt;  $ # Página     : int 42</w:t>
      </w:r>
    </w:p>
    <w:p>
      <w:pPr>
        <w:pStyle w:val="FirstParagraph"/>
      </w:pPr>
      <w:r>
        <w:t xml:space="preserve">Abaixo, tem-se o texto encontrado nesse arquivo e nessas linhas.</w:t>
      </w:r>
    </w:p>
    <w:p>
      <w:pPr>
        <w:pStyle w:val="TableCaption"/>
      </w:pPr>
      <w:r>
        <w:t xml:space="preserve">Caso Extremo Análise Justificativa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aso Extremo Análise Justificativa"/>
      </w:tblPr>
      <w:tblGrid>
        <w:gridCol w:w="802"/>
        <w:gridCol w:w="711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da Justificativa: A justificativa apresentada pela SMS de Bom…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evidenciada na constatação, conforme apresentado em sua próp…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 de fiscalização, tal situação, prevista na cláusula décima terc…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Convênio n° 001/2017, não substitui as obrigações descritas nas cláus…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que estabelecem os critérios de “APURAÇÃO DOS SERVIÇOS PRESTADO…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PAGAMENTO, DA PRESTAÇÃO DE CONTAS E DA APLICAÇÃO DO REPASSE FINANCEIR…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 DE CONTROLE”, respectivamente, uma vez que não foi possív…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documental da apuração dos serviços prestados, da forma de pagamento,…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do repasse financeiro, assim como a efetiva atuação da Comi…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enquadramentos encontram reforço na Portaria GM/MS de Consolidação n.…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III, art. 28, § 3°: “O não cumprimento pelo hospital das metas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discriminadas no Documento Descritivo implicará na suspensão parcial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financeiros pelo gestor local. (Origem: PRT MS/GM 3410/2013, Art. 28,…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considerou a validação dos instrumentos apresentados em car…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contendo informações sobre aspectos qualitativos da organização hospi…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pertinência, quando comparadas com as metas estabelecidas contratualm…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demonstrou um alcance percentual de resultados nos anos de 2017, 2018…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24%, respectivamente, cujos efeitos recaem no volume de pagamentos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 acerca das metas qualitativas contidas nos respectivos Document…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impactando os valores a serem objeto de proposição de devolução, cujo…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específica reduzindo o valor para R$ 5.411.324,29 (cinco milhões, qua…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reais e vinte e nove centavos). Não obstante, ainda que esteja…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atenuantes, tais instrumentos não foram capazes de elidir integralmen…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constatação, sendo mantida assim sua não conformidade.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justificativa do ex-Secretário Municipal de Saúde de Bom Jesus do 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acatada, conforme afirmado em resposta, cita a exiguidade do prazo pa…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além de apresentar cópia de documento do tipo Declaração, informando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atendeu a regular e satisfatória demanda da gestão municipal, assinad…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Coordenação de Controle e Avaliação, Regulação e Auditoria em perí…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SMS de Bom Jesus do Itabapoana/RJ. Acrescentando que a função de g…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de fiscalização. Ademais, independentemente do documento de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do gestor municipal são estabelecidas na Portaria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setembro de 2017, ANEXO XXIV, CAPÍTULO I, art. 5º, inciso IX -“gestão…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comandar um sistema de saúde municipal,(…), exercendo as funções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negociação, planejamento, acompanhamento, controle, avaliação e audit…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formulação de políticas/planejamento, financiamento, coordenação,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sistema/redes e dos prestadores públicos ou privados e prestação dire…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MS/GM 3390/2013, Art. 5º, IX), assim como no Anexo XXVI, CAPÍTULO I,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…exercer, em seu âmbito administrativo, as seguintes atividades: (O…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“executar a regulação, o controle, a avaliação e a auditoria da prest…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MS/GM 1559/2008, Art. 10, I), II -“definir, monitorar e avaliar a apl…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 MS/GM 1559/2008, Art. 10, II), III -“elaborar estratégias para 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(Origem: PRT MS/GM 1559/2008, Art. 10, III), (…) V -“capacitar de f…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e avaliação; e (Origem: PRT MS/GM 1559/2008, Art. 10, V)“,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1990, TÍTULO II, CAPÍTULO IV, Seção II, art. 18. “À direção munici…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organizar, controlar e avaliar as ações e os serviços de saúde e geri…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III - participar da execução, controle e avaliação das ações re…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trabalho; (…) XI - controlar e fiscalizar os procedimentos dos serv…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informações apresentadas em caráter de justificativas não foram capaz…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constatação, sendo mantida assim sua não conformidade. No entanto, 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dos instrumentos apresentados em caráter de resposta a essa…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Jesus do Itabapoana/RJ, contendo informações sobre aspectos qualitati…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proporção de sua pertinência, quando comparadas com as metas estabele…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apresentado demonstrou um alcance percentual de resultados nos anos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20%, 22% e 24%, respectivamente, cujos efeitos recaem no volume de pa…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efetivamente pagos acerca das metas qualitativas contidas nos respect…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Diante da ausência de manifestação pelo Sr. P. R. T. B. ex- Secretári…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Itabapoana/RJ, permanece a condição de não conformidade diante dos cr…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 auditoria considerou a validação dos instrumentos apresenta…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constatação, pela SMS de Bom Jesus do Itabapoana/RJ, contendo informa…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organização hospitalar, na proporção de sua pertinência, quando co…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contratualmente. O conteúdo apresentado demonstrou um alcance percent…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2017, 2018 e 2019, na ordem de 20%, 22% e 24%, respectivamente, cujos…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devidos, sobre aqueles efetivamente pagos acerca das metas…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respectivos Documentos Descritivos.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justificativa da ex-Secretária Municipal de Saúde de Bom Jesus do 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será acatada, como explicado em resposta, cita a responsabilidade e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Nacional de Auditoria dos pagamentos realizados, tais informa…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evidenciada na constatação, sendo mantida assim sua não conf…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considerou a validação dos instrumentos apresentados em car…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 SMS de Bom Jesus do Itabapoana/RJ, contendo informações sobre 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hospitalar, na proporção de sua pertinência, quando comparadas com 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contratualmente. O conteúdo apresentado demonstrou um alcance percent…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2017, 2018 e 2019, na ordem de 20%, 22% e 24%, respectivamente, cujos…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devidos, sobre aqueles efetivamente pagos acerca das metas…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respectivos Documentos Descritivos.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justificativa do ex-Secretário Municipal de Saúde de Bom Jesus do 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acatada, como explicado em resposta, cita a responsabilidade e avalia…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Nacional de Auditoria dos pagamentos realizados, tais informa…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evidenciada na constatação, sendo mantida assim sua não conf…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considerou a validação dos instrumentos apresentados em car…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 SMS de Bom Jesus do Itabapoana/RJ, contendo informações sobre 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hospitalar, na proporção de sua pertinência, quando comparadas com 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contratualmente. O conteúdo apresentado demonstrou um alcance percent…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2017, 2018 e 2019, na ordem de 20%, 22% e 24%, respectivamente, cujos…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devidos, sobre aqueles efetivamente pagos acerca das metas…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respectivos Documentos Descritivos.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Diante da ausência de manifestação pela Srª. L. A. N. A. ex- Secretár…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Itabapoana/RJ, permanece a condição de não conformidade diante dos cr…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 auditoria considerou a validação dos instrumentos apresenta…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constatação, pela SMS de Bom Jesus do Itabapoana/RJ, contendo informa…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organização hospitalar, na proporção de sua pertinência, quando co…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contratualmente. O conteúdo apresentado demonstrou um alcance percent…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2017, 2018 e 2019, na ordem de 20%, 22% e 24%, respectivamente, cujos…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devidos, sobre aqueles efetivamente pagos acerca das metas…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respectivos Documentos Descritivos.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justificativa do auditado Hospital São Vicente de Paulo não será ac…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 apresentada, de que o DENASUS praticara uma mudança no escopo…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contratualização, é justo esclarecer de que é por meio do instituto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estabelecem a “formalização da relação entre gestores de saúde e hosp…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estabelecimento de compromissos entre as partes, promovendo a qualifi…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hospitalar… e as seguintes diretrizes”: (Origem: PRT MS/GM 3390/201…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 - adequação das ações e serviços contratualizadas às necessidades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CIR, quando houver; (Origem: PRT MS/GM 3390/2013, Art. 30, I)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- estabelecimento de valores e formas de repasse dos recursos fin…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metas qualiquantitativas; (Origem: PRT MS/GM 3390/20…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- aprimoramento dos processos de avaliação, controle e regulação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 MS/GM 3390/2013, Art. 30, IV)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- efetivação do controle social e garantia de transparência”. (Orig…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Dessa forma, não há o que acrescentar quanto à legitimidade da verifi…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subquestões (folhas 4 e 5) apresentadas no relatório de auditoria em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decorrentes dessa verificação.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manifestação do auditado prossegue, direcionando argumentações acer…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instituição na Rede de Atenção à Saúde (RAS) local e regional, bem co…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exitoso desempenho, fatos e situações de que a equipe de auditor…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efetivo reconhecimento quando da fase operativa. No entanto, ao enver…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aos responsáveis apontados no relatório, especificamente da nã…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responsabilização do ente público Município de Bom Jesus do Itabapoan…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públicas da área em discussão, a Secretaria Municipal de Sa…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proferida pelo TCU que versa sobre Tomadas de Contas Especiais - TCE,…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tal instituto é um processo administrativo devidamente formalizad…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por ocorrência de dano à administração pública feder…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quantificação do dano, identificação dos responsáveis e obter o respe…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IN/TCU 71/2012), que constitui medida de exceção, portanto a Administ…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administrativas para elidir a irregularidade ensejadora da TCE ou obt…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formalizar a instauração do processo. Por derradeiro, quanto à TCE me…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apreciação do processo de TCE, no âmbito da União, constitui competên…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70, parágrafo único, c/c art. 71, ambos da Constituição Federal.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obstante, ao reler o relatório, o auditado pode claramente observ…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o mesmo fora apontado como responsável, trazem em seu bojo pess…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públicas nos períodos identificados nos fatos geradores do dano, na 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argumentação, em igualdade de responsabilidade. Nessa trilha de equív…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voga como desvio, em detrimento de seu real enquadramento, o dano ao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argumentativa de que houve benefícios à população e que por isso, em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repor tais recursos, isso recairia ao ente da federação, fato que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 do evento.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conseguinte, continua o auditado em suas argumentações, reitera 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sobre os fatos e danos apurados, ao citado municípi…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despesas que tiveram em seus trâmites internos, a participação das ár…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 que “as liquidações das despesas foram efetuadas pelos setor…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municipal do Sistema Nacional de Auditoria, com amplos pod…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chancelam o repasse dos recursos pactuados”. No que comete novo equív…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áreas técnicas que compõem a estrutura municipal, não há efetiva ou p…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apresente vínculo com o SNA. A despeito desse equívoco, é justo admit…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compreensível, tendo em vista que a estrutura municipal apresenta na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Controle, Avaliação e Auditoria, cujas atividades de fato não estã…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SNA, embora atuem nos processos internos da secretaria em tela.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documentos, em forma de fotocópia, apresentados com o fito de dar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corroboram o fato constatado e devidamente evidenciado no rel…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efetuados com recursos federais não cumpriram com os critérios contra…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 anteriormente mencionados, Termo de Convênio n.º 01/2017…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Aditivos.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caráter complementar, o auditado apresenta extratos das manifestaç…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“Declaração”</w:t>
            </w:r>
            <w:r>
              <w:t xml:space="preserve"> </w:t>
            </w:r>
            <w:r>
              <w:t xml:space="preserve">nos quais dois ex-coordenadores responsáveis pela chefia…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E AVALIAÇÃO, REGULAÇÃO E AUDITORIA DA SECRETARIA MUNICIPAL D…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 expressam que o HSVP atendera “de forma regul…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 direcionada pela gestão municipal, bem como garantiu o acesso…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papel de prestador de serviço contratualizado, nos requisitos ass…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seguida admitir “…metas estipuladas possuem uma natureza quase q…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conhecimento de que os fatos trazidos no relatório de achados dessa 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documental de forma clara e objetiva.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epílogo, o auditado ratifica, ao mencionar a ausência da Comissão…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Contratualização, a irregularidade dos pagamentos realizados sem o de…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analítico da mesma.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Acrescenta, resgatando o teor das denúncias que subsidiaram a demanda…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própria equipe verificara que as mesmas não se mostraram efetivas, di…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apresenta fatos novos que elidam as não conformidades referentes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devido amparo documental, objetivamente apresentadas no relatório de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auditado.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fim, se faz necessário esclarecer que cabe à equipe de auditoria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clara e objetiva às partes interessadas e autoridades competent…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cabendo à mesma, juízo de valor sobre o referido rito, uma vez que a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 de seus órgãos competentes, essa prerrogativa.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justificativa do HSVP, não será acatada, conforme afirmado em respo…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fundamentação adequada específica para constatação em tela. Porta…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capazes de elidir a situação evidenciada na constatação, sendo mantid…</w:t>
            </w:r>
          </w:p>
        </w:tc>
      </w:tr>
    </w:tbl>
    <w:p>
      <w:pPr>
        <w:pStyle w:val="Corpodetexto"/>
      </w:pPr>
      <w:r>
        <w:t xml:space="preserve">Conforme se vê, trata-se de uma longa análise de justificativa que foi corretamente detectada pelo processo de tratamento de dados.</w:t>
      </w:r>
    </w:p>
    <w:p>
      <w:pPr>
        <w:pStyle w:val="Corpodetexto"/>
      </w:pPr>
      <w:r>
        <w:t xml:space="preserve">Todos os rótulos que em algum caso foram compostos por valores de múltiplas linhas tem uma descrição que dá a entender que poderia ser esse o caso, seja por parecer um texto corrido, ou seja por parecer conter vários itens, como é o caso de</w:t>
      </w:r>
      <w:r>
        <w:t xml:space="preserve"> </w:t>
      </w:r>
      <w:r>
        <w:t xml:space="preserve">“Responsável(eis)”</w:t>
      </w:r>
      <w:r>
        <w:t xml:space="preserve">.</w:t>
      </w:r>
    </w:p>
    <w:p>
      <w:pPr>
        <w:pStyle w:val="Corpodetexto"/>
      </w:pPr>
      <w:r>
        <w:t xml:space="preserve">A exceção seria o rótulo</w:t>
      </w:r>
      <w:r>
        <w:t xml:space="preserve"> </w:t>
      </w:r>
      <w:r>
        <w:t xml:space="preserve">“Nome CPF/CNPJ”</w:t>
      </w:r>
      <w:r>
        <w:t xml:space="preserve">. Entretanto, vê-se que ele sempre ocupa pelo menos duas linhas. De qualquer forma, pode-se checar o conteúdo desse campo no caso extremo.</w:t>
      </w:r>
    </w:p>
    <w:p>
      <w:pPr>
        <w:pStyle w:val="Corpodetexto"/>
      </w:pPr>
      <w:r>
        <w:t xml:space="preserve">Abaixo, informações sobre sua ocorrência.</w:t>
      </w:r>
    </w:p>
    <w:p>
      <w:pPr>
        <w:pStyle w:val="SourceCode"/>
      </w:pPr>
      <w:r>
        <w:rPr>
          <w:rStyle w:val="VerbatimChar"/>
        </w:rPr>
        <w:t xml:space="preserve">#&gt; List of 4</w:t>
      </w:r>
      <w:r>
        <w:br/>
      </w:r>
      <w:r>
        <w:rPr>
          <w:rStyle w:val="VerbatimChar"/>
        </w:rPr>
        <w:t xml:space="preserve">#&gt;  $ Arquivo      : chr "19537_2.pdf"</w:t>
      </w:r>
      <w:r>
        <w:br/>
      </w:r>
      <w:r>
        <w:rPr>
          <w:rStyle w:val="VerbatimChar"/>
        </w:rPr>
        <w:t xml:space="preserve">#&gt;  $ Linha Inicial: int 1595</w:t>
      </w:r>
      <w:r>
        <w:br/>
      </w:r>
      <w:r>
        <w:rPr>
          <w:rStyle w:val="VerbatimChar"/>
        </w:rPr>
        <w:t xml:space="preserve">#&gt;  $ Linha Final  : int 1631</w:t>
      </w:r>
      <w:r>
        <w:br/>
      </w:r>
      <w:r>
        <w:rPr>
          <w:rStyle w:val="VerbatimChar"/>
        </w:rPr>
        <w:t xml:space="preserve">#&gt;  $ # Página     : int 27</w:t>
      </w:r>
    </w:p>
    <w:p>
      <w:pPr>
        <w:pStyle w:val="FirstParagraph"/>
      </w:pPr>
      <w:r>
        <w:t xml:space="preserve">Conforme mostrado na tabela abaixo, o valor atribuído ao rótulo está correto.</w:t>
      </w:r>
    </w:p>
    <w:p>
      <w:pPr>
        <w:pStyle w:val="TableCaption"/>
      </w:pPr>
      <w:r>
        <w:t xml:space="preserve">Caso Extremo Nome CPF/CNPJ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so Extremo Nome CPF/CNPJ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CPF/CNPJ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 *</w:t>
            </w:r>
            <w:r>
              <w:rPr>
                <w:b/>
                <w:bCs/>
              </w:rPr>
              <w:t xml:space="preserve">.835.887-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AAF *</w:t>
            </w:r>
            <w:r>
              <w:rPr>
                <w:b/>
                <w:bCs/>
              </w:rPr>
              <w:t xml:space="preserve">.044.457-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CVRR *</w:t>
            </w:r>
            <w:r>
              <w:rPr>
                <w:b/>
                <w:bCs/>
              </w:rPr>
              <w:t xml:space="preserve">.851.417-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CMDL</w:t>
            </w:r>
            <w:r>
              <w:t xml:space="preserve"> </w:t>
            </w:r>
            <w:r>
              <w:rPr>
                <w:b/>
                <w:bCs/>
              </w:rPr>
              <w:t xml:space="preserve">.609.465/-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 *</w:t>
            </w:r>
            <w:r>
              <w:rPr>
                <w:b/>
                <w:bCs/>
              </w:rPr>
              <w:t xml:space="preserve">.268.327-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rPr>
                <w:b/>
                <w:bCs/>
              </w:rPr>
              <w:t xml:space="preserve">.155.707-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DPGJ *</w:t>
            </w:r>
            <w:r>
              <w:rPr>
                <w:b/>
                <w:bCs/>
              </w:rPr>
              <w:t xml:space="preserve">.104.897-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*</w:t>
            </w:r>
            <w:r>
              <w:rPr>
                <w:b/>
                <w:bCs/>
              </w:rPr>
              <w:t xml:space="preserve">.177.267-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FCL *</w:t>
            </w:r>
            <w:r>
              <w:rPr>
                <w:b/>
                <w:bCs/>
              </w:rPr>
              <w:t xml:space="preserve">.893.307-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 *</w:t>
            </w:r>
            <w:r>
              <w:rPr>
                <w:b/>
                <w:bCs/>
              </w:rPr>
              <w:t xml:space="preserve">.370.167-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IWSS *</w:t>
            </w:r>
            <w:r>
              <w:rPr>
                <w:b/>
                <w:bCs/>
              </w:rPr>
              <w:t xml:space="preserve">.692.337-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 *</w:t>
            </w:r>
            <w:r>
              <w:rPr>
                <w:b/>
                <w:bCs/>
              </w:rPr>
              <w:t xml:space="preserve">.050.797-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JQV *</w:t>
            </w:r>
            <w:r>
              <w:rPr>
                <w:b/>
                <w:bCs/>
              </w:rPr>
              <w:t xml:space="preserve">.418.967-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KCM *</w:t>
            </w:r>
            <w:r>
              <w:rPr>
                <w:b/>
                <w:bCs/>
              </w:rPr>
              <w:t xml:space="preserve">.511.047-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KSO *</w:t>
            </w:r>
            <w:r>
              <w:rPr>
                <w:b/>
                <w:bCs/>
              </w:rPr>
              <w:t xml:space="preserve">.170.207-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LHVF *</w:t>
            </w:r>
            <w:r>
              <w:rPr>
                <w:b/>
                <w:bCs/>
              </w:rPr>
              <w:t xml:space="preserve">.467.537-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MCFS *</w:t>
            </w:r>
            <w:r>
              <w:rPr>
                <w:b/>
                <w:bCs/>
              </w:rPr>
              <w:t xml:space="preserve">.370.557-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 *</w:t>
            </w:r>
            <w:r>
              <w:rPr>
                <w:b/>
                <w:bCs/>
              </w:rPr>
              <w:t xml:space="preserve">.653.787-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*</w:t>
            </w:r>
            <w:r>
              <w:rPr>
                <w:b/>
                <w:bCs/>
              </w:rPr>
              <w:t xml:space="preserve">.968.737-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*</w:t>
            </w:r>
            <w:r>
              <w:rPr>
                <w:b/>
                <w:bCs/>
              </w:rPr>
              <w:t xml:space="preserve">.875.077-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 SA *</w:t>
            </w:r>
            <w:r>
              <w:rPr>
                <w:b/>
                <w:bCs/>
              </w:rPr>
              <w:t xml:space="preserve">.987.947-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 S *</w:t>
            </w:r>
            <w:r>
              <w:rPr>
                <w:b/>
                <w:bCs/>
              </w:rPr>
              <w:t xml:space="preserve">.426.607-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SCC *</w:t>
            </w:r>
            <w:r>
              <w:rPr>
                <w:b/>
                <w:bCs/>
              </w:rPr>
              <w:t xml:space="preserve">.020.607-</w:t>
            </w:r>
          </w:p>
        </w:tc>
      </w:tr>
    </w:tbl>
    <w:bookmarkEnd w:id="31"/>
    <w:bookmarkStart w:id="32" w:name="identificação-das-constatações"/>
    <w:p>
      <w:pPr>
        <w:pStyle w:val="Ttulo1"/>
      </w:pPr>
      <w:r>
        <w:t xml:space="preserve">Identificação das Constatações</w:t>
      </w:r>
    </w:p>
    <w:p>
      <w:pPr>
        <w:pStyle w:val="FirstParagraph"/>
      </w:pPr>
      <w:r>
        <w:t xml:space="preserve">Por fim, nota-se que as constatações tem vários rótulos, tais como Grupo, Subgrupo, Constatação, Evidência etc. Assim, torna-se necessário diferenciar o conjunto de rótulos de cada constatação. Abaixo, tem-se os rótulos de uma constatação na forma como aparecem no</w:t>
      </w:r>
      <w:r>
        <w:t xml:space="preserve"> </w:t>
      </w:r>
      <w:r>
        <w:rPr>
          <w:i/>
          <w:iCs/>
        </w:rPr>
        <w:t xml:space="preserve">dataframe</w:t>
      </w:r>
      <w:r>
        <w:t xml:space="preserve">:</w:t>
      </w:r>
    </w:p>
    <w:p>
      <w:pPr>
        <w:pStyle w:val="TableCaption"/>
      </w:pPr>
      <w:r>
        <w:t xml:space="preserve">Amostra Seção Constatações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mostra Seção Constataçõ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Linha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da 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Acatamento da Justificativa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Destinatários da Recomendação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CPF/CNPJ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19764_1.pdf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</w:t>
            </w:r>
          </w:p>
        </w:tc>
      </w:tr>
    </w:tbl>
    <w:p>
      <w:pPr>
        <w:pStyle w:val="Corpodetexto"/>
      </w:pPr>
      <w:r>
        <w:t xml:space="preserve">Tem-se os seguintes rótulos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rótulo</w:t>
      </w:r>
      <w:r>
        <w:t xml:space="preserve"> </w:t>
      </w:r>
      <w:r>
        <w:t xml:space="preserve">“Constatação”</w:t>
      </w:r>
      <w:r>
        <w:t xml:space="preserve">: Tópico, Grupo, Subgrupo e Item. Assim, toda primeira ocorrência de Rótulo Tópico poderia ser usada para marcar o início de uma nova constatação. Pode-se validar tal hipótese avaliando se esses rótulos aparecem na mesma quantidade de vezes no nosso</w:t>
      </w:r>
      <w:r>
        <w:t xml:space="preserve"> </w:t>
      </w:r>
      <w:r>
        <w:rPr>
          <w:i/>
          <w:iCs/>
        </w:rPr>
        <w:t xml:space="preserve">corpus</w:t>
      </w:r>
      <w:r>
        <w:t xml:space="preserve">.</w:t>
      </w:r>
    </w:p>
    <w:p>
      <w:pPr>
        <w:pStyle w:val="TableCaption"/>
      </w:pPr>
      <w:r>
        <w:t xml:space="preserve">Número de Ocorrências Rótulos Constatação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úmero de Ocorrências Rótulos Constatação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</w:tr>
    </w:tbl>
    <w:p>
      <w:pPr>
        <w:pStyle w:val="Corpodetexto"/>
      </w:pPr>
      <w:r>
        <w:t xml:space="preserve">Conforme mostrado acima, o rótulo tópico aparece menos vezes. Mas os rótulos Grupo, Subgrupo, Item e Constatação aparecem na mesma quantidade. Assim, pode-se usar o Grupo quando não precedido do Tópico ou o Tópico para demarcar o início uma constatação. Para testar essa hipótese pode-se averiguar a condição de existência de rótulo</w:t>
      </w:r>
      <w:r>
        <w:t xml:space="preserve"> </w:t>
      </w:r>
      <w:r>
        <w:t xml:space="preserve">“Tópico”</w:t>
      </w:r>
      <w:r>
        <w:t xml:space="preserve"> </w:t>
      </w:r>
      <w:r>
        <w:t xml:space="preserve">que não seja sucedida por</w:t>
      </w:r>
      <w:r>
        <w:t xml:space="preserve"> </w:t>
      </w:r>
      <w:r>
        <w:t xml:space="preserve">“Grupo”</w:t>
      </w:r>
      <w:r>
        <w:t xml:space="preserve">, pois tal situação impediria o uso da solução aventada.</w:t>
      </w:r>
    </w:p>
    <w:p>
      <w:pPr>
        <w:pStyle w:val="Corpodetexto"/>
      </w:pPr>
      <w:r>
        <w:t xml:space="preserve">Adicionalmente, vê-se que a mesma linha que contém o rótulo</w:t>
      </w:r>
      <w:r>
        <w:t xml:space="preserve"> </w:t>
      </w:r>
      <w:r>
        <w:t xml:space="preserve">“Grupo”</w:t>
      </w:r>
      <w:r>
        <w:t xml:space="preserve">, contém também o número original da constatação. Assim, pode-se avaliar a hipótese de tal ocorrência ser uma regra e, sem sendo, extrair tal informação para o campo</w:t>
      </w:r>
      <w:r>
        <w:t xml:space="preserve"> </w:t>
      </w:r>
      <w:r>
        <w:rPr>
          <w:rStyle w:val="VerbatimChar"/>
        </w:rPr>
        <w:t xml:space="preserve"># Constatação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qtd_topicos_nao_sucedidos_grupo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"Tópico"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qtd_rotulos_grupo_sem_constatacao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"Constata..o 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write_rds(conteudo_estruturado, "./Dados Gerados/conteudo_estruturado.rds")</w:t>
      </w:r>
      <w:r>
        <w:br/>
      </w:r>
      <w:r>
        <w:br/>
      </w:r>
      <w:r>
        <w:rPr>
          <w:rStyle w:val="NormalTok"/>
        </w:rPr>
        <w:t xml:space="preserve">conteudo_estruturado_const_delim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"Tópico"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(Arquivo,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Recomendação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"Recomendação"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Recomendação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Recomendação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 hipótese do</w:t>
      </w:r>
      <w:r>
        <w:t xml:space="preserve"> </w:t>
      </w:r>
      <w:r>
        <w:t xml:space="preserve">“Tópico”</w:t>
      </w:r>
      <w:r>
        <w:t xml:space="preserve"> </w:t>
      </w:r>
      <w:r>
        <w:t xml:space="preserve">ser sempre sucedido por</w:t>
      </w:r>
      <w:r>
        <w:t xml:space="preserve"> </w:t>
      </w:r>
      <w:r>
        <w:t xml:space="preserve">“Grupo”</w:t>
      </w:r>
      <w:r>
        <w:t xml:space="preserve"> </w:t>
      </w:r>
      <w:r>
        <w:t xml:space="preserve">é valida, pois o contrário disso retorna 0 registros, o que autoriza a demarcação do início de cada constatação bem como a vinculação dos demais dados da constatação. Além disso, verifica-se que em 0 casos não foi encontrado o número da constatação no conteúdo associado ao rótulo</w:t>
      </w:r>
      <w:r>
        <w:t xml:space="preserve"> </w:t>
      </w:r>
      <w:r>
        <w:t xml:space="preserve">“Grupo”</w:t>
      </w:r>
      <w:r>
        <w:t xml:space="preserve">. Assim optou-se por usar essa numeração para vincular os demais dados da constatação.</w:t>
      </w:r>
    </w:p>
    <w:bookmarkEnd w:id="32"/>
    <w:bookmarkStart w:id="33" w:name="conclusão"/>
    <w:p>
      <w:pPr>
        <w:pStyle w:val="Ttulo1"/>
      </w:pPr>
      <w:r>
        <w:t xml:space="preserve">Conclusão</w:t>
      </w:r>
    </w:p>
    <w:p>
      <w:pPr>
        <w:pStyle w:val="FirstParagraph"/>
      </w:pPr>
      <w:r>
        <w:t xml:space="preserve">Para facilitar o uso das informações criadas nesse trabalho, pode-se particionar os dados em três conjunto distintos: um para guardar dados das auditorias, um segundo para as constatações e, finalmente, um para recomendações.</w:t>
      </w:r>
    </w:p>
    <w:p>
      <w:pPr>
        <w:pStyle w:val="SourceCode"/>
      </w:pPr>
      <w:r>
        <w:rPr>
          <w:rStyle w:val="NormalTok"/>
        </w:rPr>
        <w:t xml:space="preserve">auditorias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conteudo_estruturado_const_delim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"DADOS BÁSICOS"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Data Geração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Data Geração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"Rótulo"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rotulos_recomendacao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conteudo_estruturado_const_delim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"CONSTATAÇÕES"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Recomendação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chuck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"Rótulo"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constatacoes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conteudo_estruturado_const_delim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"CONSTATAÇÕES"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rotulos_recomendacao))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Rótulo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Conteúdo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"Rótulo"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recomendacoes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conteudo_estruturado_const_delim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"CONSTATAÇÕES"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Recomendação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Arquivo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No. Auditoria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Constatação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# Recomendação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"Rótulo"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"Conteúdo"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(auditorias, </w:t>
      </w:r>
      <w:r>
        <w:rPr>
          <w:rStyle w:val="StringTok"/>
        </w:rPr>
        <w:t xml:space="preserve">"./Dados Gerados/auditorias.rds"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(constatacoes, </w:t>
      </w:r>
      <w:r>
        <w:rPr>
          <w:rStyle w:val="StringTok"/>
        </w:rPr>
        <w:t xml:space="preserve">"./Dados Gerados/constatacoes.rds"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(recomendacoes, </w:t>
      </w:r>
      <w:r>
        <w:rPr>
          <w:rStyle w:val="StringTok"/>
        </w:rPr>
        <w:t xml:space="preserve">"./Dados Gerados/recomendacoes.rds"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Abaixo, algumas estatísticas descritivas sobre os datasets.</w:t>
      </w:r>
    </w:p>
    <w:p>
      <w:pPr>
        <w:pStyle w:val="Compact"/>
        <w:numPr>
          <w:ilvl w:val="0"/>
          <w:numId w:val="1004"/>
        </w:numPr>
      </w:pPr>
      <w:r>
        <w:t xml:space="preserve">Total Arquivos: 399</w:t>
      </w:r>
    </w:p>
    <w:p>
      <w:pPr>
        <w:pStyle w:val="Compact"/>
        <w:numPr>
          <w:ilvl w:val="0"/>
          <w:numId w:val="1004"/>
        </w:numPr>
      </w:pPr>
      <w:r>
        <w:t xml:space="preserve">Total Auditorias: 349</w:t>
      </w:r>
    </w:p>
    <w:p>
      <w:pPr>
        <w:pStyle w:val="Compact"/>
        <w:numPr>
          <w:ilvl w:val="0"/>
          <w:numId w:val="1004"/>
        </w:numPr>
      </w:pPr>
      <w:r>
        <w:t xml:space="preserve">Total Unidades: 204</w:t>
      </w:r>
    </w:p>
    <w:p>
      <w:pPr>
        <w:pStyle w:val="Compact"/>
        <w:numPr>
          <w:ilvl w:val="0"/>
          <w:numId w:val="1004"/>
        </w:numPr>
      </w:pPr>
      <w:r>
        <w:t xml:space="preserve">Total Municípios: 234</w:t>
      </w:r>
    </w:p>
    <w:p>
      <w:pPr>
        <w:pStyle w:val="Compact"/>
        <w:numPr>
          <w:ilvl w:val="0"/>
          <w:numId w:val="1004"/>
        </w:numPr>
      </w:pPr>
      <w:r>
        <w:t xml:space="preserve">Total Constatações: 4.978</w:t>
      </w:r>
    </w:p>
    <w:p>
      <w:pPr>
        <w:pStyle w:val="Compact"/>
        <w:numPr>
          <w:ilvl w:val="0"/>
          <w:numId w:val="1004"/>
        </w:numPr>
      </w:pPr>
      <w:r>
        <w:t xml:space="preserve">Total Constatações com RecomendaçãoO: 3.383</w:t>
      </w:r>
    </w:p>
    <w:p>
      <w:pPr>
        <w:pStyle w:val="Compact"/>
        <w:numPr>
          <w:ilvl w:val="0"/>
          <w:numId w:val="1004"/>
        </w:numPr>
      </w:pPr>
      <w:r>
        <w:t xml:space="preserve">Total Recomendações: 4.289</w:t>
      </w:r>
    </w:p>
    <w:p>
      <w:r>
        <w:br w:type="page"/>
      </w:r>
    </w:p>
    <w:bookmarkEnd w:id="33"/>
    <w:bookmarkStart w:id="46" w:name="referências"/>
    <w:p>
      <w:pPr>
        <w:pStyle w:val="Ttulo1"/>
      </w:pPr>
      <w:r>
        <w:t xml:space="preserve">Referências</w:t>
      </w:r>
    </w:p>
    <w:bookmarkStart w:id="45" w:name="refs"/>
    <w:bookmarkStart w:id="36" w:name="ref-tibble"/>
    <w:p>
      <w:pPr>
        <w:pStyle w:val="Bibliografia"/>
      </w:pPr>
      <w:r>
        <w:t xml:space="preserve">MÜLLER, Kirill; WICKHAM, Hadley.</w:t>
      </w:r>
      <w:r>
        <w:t xml:space="preserve"> </w:t>
      </w:r>
      <w:r>
        <w:rPr>
          <w:b/>
          <w:bCs/>
        </w:rPr>
        <w:t xml:space="preserve">tibble: Simple Data Frames</w:t>
      </w:r>
      <w:r>
        <w:t xml:space="preserve">. [</w:t>
      </w:r>
      <w:r>
        <w:rPr>
          <w:i/>
          <w:iCs/>
        </w:rPr>
        <w:t xml:space="preserve">S. l.</w:t>
      </w:r>
      <w:r>
        <w:t xml:space="preserve">:</w:t>
      </w:r>
      <w:r>
        <w:t xml:space="preserve"> </w:t>
      </w:r>
      <w:r>
        <w:rPr>
          <w:i/>
          <w:iCs/>
        </w:rPr>
        <w:t xml:space="preserve">s. n.</w:t>
      </w:r>
      <w:r>
        <w:t xml:space="preserve">], 2025. R package version 3.3.0. DOI</w:t>
      </w:r>
      <w:r>
        <w:t xml:space="preserve"> </w:t>
      </w:r>
      <w:hyperlink r:id="rId34">
        <w:r>
          <w:rPr>
            <w:rStyle w:val="Hyperlink"/>
          </w:rPr>
          <w:t xml:space="preserve">10.32614/CRAN.package.tibble</w:t>
        </w:r>
      </w:hyperlink>
      <w:r>
        <w:t xml:space="preserve">. Disponível em:</w:t>
      </w:r>
      <w:r>
        <w:t xml:space="preserve"> </w:t>
      </w:r>
      <w:hyperlink r:id="rId35">
        <w:r>
          <w:rPr>
            <w:rStyle w:val="Hyperlink"/>
          </w:rPr>
          <w:t xml:space="preserve">https://CRAN.R-project.org/package=tibble</w:t>
        </w:r>
      </w:hyperlink>
      <w:r>
        <w:t xml:space="preserve">.</w:t>
      </w:r>
    </w:p>
    <w:bookmarkEnd w:id="36"/>
    <w:bookmarkStart w:id="39" w:name="ref-pdftools"/>
    <w:p>
      <w:pPr>
        <w:pStyle w:val="Bibliografia"/>
      </w:pPr>
      <w:r>
        <w:t xml:space="preserve">OOMS, Jeroen.</w:t>
      </w:r>
      <w:r>
        <w:t xml:space="preserve"> </w:t>
      </w:r>
      <w:r>
        <w:rPr>
          <w:b/>
          <w:bCs/>
        </w:rPr>
        <w:t xml:space="preserve">pdftools: Text Extraction, Rendering and Converting of PDF Documents</w:t>
      </w:r>
      <w:r>
        <w:t xml:space="preserve">. [</w:t>
      </w:r>
      <w:r>
        <w:rPr>
          <w:i/>
          <w:iCs/>
        </w:rPr>
        <w:t xml:space="preserve">S. l.</w:t>
      </w:r>
      <w:r>
        <w:t xml:space="preserve">:</w:t>
      </w:r>
      <w:r>
        <w:t xml:space="preserve"> </w:t>
      </w:r>
      <w:r>
        <w:rPr>
          <w:i/>
          <w:iCs/>
        </w:rPr>
        <w:t xml:space="preserve">s. n.</w:t>
      </w:r>
      <w:r>
        <w:t xml:space="preserve">], 2025. R package version 3.6.0. DOI</w:t>
      </w:r>
      <w:r>
        <w:t xml:space="preserve"> </w:t>
      </w:r>
      <w:hyperlink r:id="rId37">
        <w:r>
          <w:rPr>
            <w:rStyle w:val="Hyperlink"/>
          </w:rPr>
          <w:t xml:space="preserve">10.32614/CRAN.package.pdftools</w:t>
        </w:r>
      </w:hyperlink>
      <w:r>
        <w:t xml:space="preserve">. Disponível em:</w:t>
      </w:r>
      <w:r>
        <w:t xml:space="preserve"> </w:t>
      </w:r>
      <w:hyperlink r:id="rId38">
        <w:r>
          <w:rPr>
            <w:rStyle w:val="Hyperlink"/>
          </w:rPr>
          <w:t xml:space="preserve">https://CRAN.R-project.org/package=pdftools</w:t>
        </w:r>
      </w:hyperlink>
      <w:r>
        <w:t xml:space="preserve">.</w:t>
      </w:r>
    </w:p>
    <w:bookmarkEnd w:id="39"/>
    <w:bookmarkStart w:id="41" w:name="ref-tidyverse"/>
    <w:p>
      <w:pPr>
        <w:pStyle w:val="Bibliografia"/>
      </w:pPr>
      <w:r>
        <w:t xml:space="preserve">WICKHAM, Hadley et al. Welcome to the</w:t>
      </w:r>
      <w:r>
        <w:t xml:space="preserve"> </w:t>
      </w:r>
      <w:r>
        <w:t xml:space="preserve">tidyverse</w:t>
      </w:r>
      <w:r>
        <w:t xml:space="preserve">.</w:t>
      </w:r>
      <w:r>
        <w:t xml:space="preserve"> </w:t>
      </w:r>
      <w:r>
        <w:rPr>
          <w:b/>
          <w:bCs/>
        </w:rPr>
        <w:t xml:space="preserve">Journal of Open Source Software</w:t>
      </w:r>
      <w:r>
        <w:t xml:space="preserve">, [</w:t>
      </w:r>
      <w:r>
        <w:rPr>
          <w:i/>
          <w:iCs/>
        </w:rPr>
        <w:t xml:space="preserve">s. l.</w:t>
      </w:r>
      <w:r>
        <w:t xml:space="preserve">], v. 4, n. 43, p. 1686, 2019. DOI</w:t>
      </w:r>
      <w:r>
        <w:t xml:space="preserve"> </w:t>
      </w:r>
      <w:hyperlink r:id="rId40">
        <w:r>
          <w:rPr>
            <w:rStyle w:val="Hyperlink"/>
          </w:rPr>
          <w:t xml:space="preserve">10.21105/joss.01686</w:t>
        </w:r>
      </w:hyperlink>
      <w:r>
        <w:t xml:space="preserve">.</w:t>
      </w:r>
    </w:p>
    <w:bookmarkEnd w:id="41"/>
    <w:bookmarkStart w:id="44" w:name="ref-readxl"/>
    <w:p>
      <w:pPr>
        <w:pStyle w:val="Bibliografia"/>
      </w:pPr>
      <w:r>
        <w:t xml:space="preserve">WICKHAM, Hadley; BRYAN, Jennifer.</w:t>
      </w:r>
      <w:r>
        <w:t xml:space="preserve"> </w:t>
      </w:r>
      <w:r>
        <w:rPr>
          <w:b/>
          <w:bCs/>
        </w:rPr>
        <w:t xml:space="preserve">readxl: Read Excel Files</w:t>
      </w:r>
      <w:r>
        <w:t xml:space="preserve">. [</w:t>
      </w:r>
      <w:r>
        <w:rPr>
          <w:i/>
          <w:iCs/>
        </w:rPr>
        <w:t xml:space="preserve">S. l.</w:t>
      </w:r>
      <w:r>
        <w:t xml:space="preserve">:</w:t>
      </w:r>
      <w:r>
        <w:t xml:space="preserve"> </w:t>
      </w:r>
      <w:r>
        <w:rPr>
          <w:i/>
          <w:iCs/>
        </w:rPr>
        <w:t xml:space="preserve">s. n.</w:t>
      </w:r>
      <w:r>
        <w:t xml:space="preserve">], 2025. R package version 1.4.5. DOI</w:t>
      </w:r>
      <w:r>
        <w:t xml:space="preserve"> </w:t>
      </w:r>
      <w:hyperlink r:id="rId42">
        <w:r>
          <w:rPr>
            <w:rStyle w:val="Hyperlink"/>
          </w:rPr>
          <w:t xml:space="preserve">10.32614/CRAN.package.readxl</w:t>
        </w:r>
      </w:hyperlink>
      <w:r>
        <w:t xml:space="preserve">. Disponível em:</w:t>
      </w:r>
      <w:r>
        <w:t xml:space="preserve"> </w:t>
      </w:r>
      <w:hyperlink r:id="rId43">
        <w:r>
          <w:rPr>
            <w:rStyle w:val="Hyperlink"/>
          </w:rPr>
          <w:t xml:space="preserve">https://CRAN.R-project.org/package=readxl</w:t>
        </w:r>
      </w:hyperlink>
      <w:r>
        <w:t xml:space="preserve">.</w:t>
      </w:r>
    </w:p>
    <w:bookmarkEnd w:id="44"/>
    <w:bookmarkEnd w:id="45"/>
    <w:bookmarkEnd w:id="46"/>
    <w:sectPr w:rsidR="00186AD4">
      <w:footnotePr>
        <w:numRestart w:val="eachSect"/>
      </w:footnotePr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0A4AE6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1817195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6AD4"/>
    <w:rsid w:val="00186AD4"/>
    <w:rsid w:val="004F38F9"/>
    <w:rsid w:val="009129B2"/>
    <w:rsid w:val="00A21709"/>
    <w:rsid w:val="00AA533A"/>
    <w:rsid w:val="00F92B3A"/>
    <w:rsid w:val="00FD5A2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rsid w:val="00A21709"/>
    <w:pPr>
      <w:spacing w:after="36" w:before="36"/>
    </w:pPr>
    <w:rPr>
      <w:sz w:val="20"/>
    </w:r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tulo" w:type="paragraph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styleId="Data" w:type="paragraph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sid w:val="00A21709"/>
    <w:rPr>
      <w:rFonts w:ascii="Consolas" w:hAnsi="Consolas"/>
      <w:sz w:val="20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CRAN.R-project.org/package=pdftools" TargetMode="External" /><Relationship Type="http://schemas.openxmlformats.org/officeDocument/2006/relationships/hyperlink" Id="rId43" Target="https://CRAN.R-project.org/package=readxl" TargetMode="External" /><Relationship Type="http://schemas.openxmlformats.org/officeDocument/2006/relationships/hyperlink" Id="rId35" Target="https://CRAN.R-project.org/package=tibble" TargetMode="External" /><Relationship Type="http://schemas.openxmlformats.org/officeDocument/2006/relationships/hyperlink" Id="rId40" Target="https://doi.org/10.21105/joss.01686" TargetMode="External" /><Relationship Type="http://schemas.openxmlformats.org/officeDocument/2006/relationships/hyperlink" Id="rId37" Target="https://doi.org/10.32614/CRAN.package.pdftools" TargetMode="External" /><Relationship Type="http://schemas.openxmlformats.org/officeDocument/2006/relationships/hyperlink" Id="rId42" Target="https://doi.org/10.32614/CRAN.package.readxl" TargetMode="External" /><Relationship Type="http://schemas.openxmlformats.org/officeDocument/2006/relationships/hyperlink" Id="rId34" Target="https://doi.org/10.32614/CRAN.package.tib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CRAN.R-project.org/package=pdftools" TargetMode="External" /><Relationship Type="http://schemas.openxmlformats.org/officeDocument/2006/relationships/hyperlink" Id="rId43" Target="https://CRAN.R-project.org/package=readxl" TargetMode="External" /><Relationship Type="http://schemas.openxmlformats.org/officeDocument/2006/relationships/hyperlink" Id="rId35" Target="https://CRAN.R-project.org/package=tibble" TargetMode="External" /><Relationship Type="http://schemas.openxmlformats.org/officeDocument/2006/relationships/hyperlink" Id="rId40" Target="https://doi.org/10.21105/joss.01686" TargetMode="External" /><Relationship Type="http://schemas.openxmlformats.org/officeDocument/2006/relationships/hyperlink" Id="rId37" Target="https://doi.org/10.32614/CRAN.package.pdftools" TargetMode="External" /><Relationship Type="http://schemas.openxmlformats.org/officeDocument/2006/relationships/hyperlink" Id="rId42" Target="https://doi.org/10.32614/CRAN.package.readxl" TargetMode="External" /><Relationship Type="http://schemas.openxmlformats.org/officeDocument/2006/relationships/hyperlink" Id="rId34" Target="https://doi.org/10.32614/CRAN.package.tib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I - Obtenção e Preparação de Dados</dc:title>
  <dc:creator>Fabiano A. Lima</dc:creator>
  <dc:language>pt-BR</dc:language>
  <cp:keywords/>
  <dcterms:created xsi:type="dcterms:W3CDTF">2025-09-23T13:56:36Z</dcterms:created>
  <dcterms:modified xsi:type="dcterms:W3CDTF">2025-09-23T13:56:36Z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./Quarto/referencias.bibtex</vt:lpwstr>
  </property>
  <property fmtid="{D5CDD505-2E9C-101B-9397-08002B2CF9AE}" pid="5" name="by-author">
    <vt:lpwstr/>
  </property>
  <property fmtid="{D5CDD505-2E9C-101B-9397-08002B2CF9AE}" pid="6" name="csl">
    <vt:lpwstr>./Quarto/abnt-nbr-6023-2018-citacao-autor-data.csl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ocite">
    <vt:lpwstr>@readxl, @tidyverse, @tibble</vt:lpwstr>
  </property>
  <property fmtid="{D5CDD505-2E9C-101B-9397-08002B2CF9AE}" pid="14" name="toc-title">
    <vt:lpwstr>Índice</vt:lpwstr>
  </property>
</Properties>
</file>