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2"/>
        <w:pBdr/>
        <w:spacing/>
        <w:ind/>
        <w:rPr/>
      </w:pPr>
      <w:r>
        <w:t xml:space="preserve">Tabelas Adicionais</w:t>
      </w:r>
      <w:r/>
    </w:p>
    <w:p>
      <w:pPr>
        <w:pStyle w:val="687"/>
        <w:pBdr/>
        <w:spacing/>
        <w:ind/>
        <w:rPr/>
      </w:pPr>
      <w:r/>
      <w:bookmarkStart w:id="22" w:name="resultados-por-grupo"/>
      <w:r>
        <w:t xml:space="preserve">Resultados por Grupo</w:t>
      </w:r>
      <w:r/>
    </w:p>
    <w:tbl>
      <w:tblPr>
        <w:jc w:val="center"/>
        <w:tblW w:w="0" w:type="auto"/>
        <w:tblCellMar>
          <w:left w:w="60" w:type="dxa"/>
          <w:top w:w="0" w:type="dxa"/>
          <w:right w:w="60" w:type="dxa"/>
          <w:bottom w:w="0" w:type="dxa"/>
        </w:tblCellMar>
        <w:tblBorders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Borders>
              <w:top w:val="single" w:color="d3d3d3" w:sz="16" w:space="0"/>
              <w:left w:val="single" w:color="d3d3d3" w:sz="4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Grupo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Recomendações Foco Causa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Recomendações Totais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% Foco Causa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Peso Relativo do Grupo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Vigilância em Saúde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120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139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86,33%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3,24%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Programas Estratégicos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205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242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84,71%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5,64%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Atenção Primária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210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253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83,00%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5,90%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Regulação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109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138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78,99%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3,22%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Controles Internos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300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391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76,73%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9,12%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* Outros (menos de 100 recomendações)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170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231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73,59%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5,39%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Regionalização, Planejamento e Programação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77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105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73,33%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2,45%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Atenção Básica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277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390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71,03%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9,09%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Recursos Financeiros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371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689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53,85%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16,06%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Assistência Média e Alta Complexidade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790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1.514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52,18%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35,30%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Programa Farmácia Popular do Brasil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42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197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21,32%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4,59%</w:t>
            </w:r>
            <w:r/>
          </w:p>
        </w:tc>
      </w:tr>
    </w:tbl>
    <w:p>
      <w:pPr>
        <w:pStyle w:val="700"/>
        <w:pBdr/>
        <w:spacing/>
        <w:ind/>
        <w:rPr/>
      </w:pPr>
      <w:r>
        <w:t xml:space="preserve">Esses grupos são atributos da constatação à qual a recomendação está vinculada. Os dois grupos com maior número de recomen</w:t>
      </w:r>
      <w:r>
        <w:t xml:space="preserve">dações (Recursos Financeiros e Assistência Média e Alta Complexidade) giraram em torno de 53% de recomendações com foco na causa, enquanto que os outros grupos, à exceção do grupo Programa Farmácia Popular do Brasil, ficaram consistentemente acima dos 70%.</w:t>
      </w:r>
      <w:r/>
    </w:p>
    <w:p>
      <w:pPr>
        <w:pStyle w:val="688"/>
        <w:pBdr/>
        <w:spacing/>
        <w:ind/>
        <w:rPr/>
      </w:pPr>
      <w:r/>
      <w:bookmarkStart w:id="20" w:name="resultados-por-ano"/>
      <w:r>
        <w:t xml:space="preserve">Resultados por Ano</w:t>
      </w:r>
      <w:r/>
    </w:p>
    <w:tbl>
      <w:tblPr>
        <w:jc w:val="center"/>
        <w:tblW w:w="0" w:type="auto"/>
        <w:tblCellMar>
          <w:left w:w="60" w:type="dxa"/>
          <w:top w:w="0" w:type="dxa"/>
          <w:right w:w="60" w:type="dxa"/>
          <w:bottom w:w="0" w:type="dxa"/>
        </w:tblCellMar>
        <w:tblBorders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Borders>
              <w:top w:val="single" w:color="d3d3d3" w:sz="16" w:space="0"/>
              <w:left w:val="single" w:color="d3d3d3" w:sz="4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Ano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Recomendações Foco Causa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Recomendações Totais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% Foco Causa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Peso Relativo do Ano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2023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400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925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43,24%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21,57%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2024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1.790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2.595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68,98%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60,50%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2025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481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769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62,55%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17,93%</w:t>
            </w:r>
            <w:r/>
          </w:p>
        </w:tc>
      </w:tr>
    </w:tbl>
    <w:p>
      <w:pPr>
        <w:pStyle w:val="700"/>
        <w:pBdr/>
        <w:spacing/>
        <w:ind/>
        <w:rPr/>
      </w:pPr>
      <w:r>
        <w:t xml:space="preserve">Vê-se que o ano de 2023 foi o que registrou o menor índice de recomendações com foco na causa. Isso pode ser reflexo de um amadurecimento institucional.</w:t>
      </w:r>
      <w:bookmarkEnd w:id="20"/>
      <w:r/>
    </w:p>
    <w:p>
      <w:pPr>
        <w:pStyle w:val="688"/>
        <w:pBdr/>
        <w:spacing/>
        <w:ind/>
        <w:rPr/>
      </w:pPr>
      <w:r/>
      <w:bookmarkStart w:id="21" w:name="resultados-por-demandante"/>
      <w:r>
        <w:t xml:space="preserve">Resultados por Demandante</w:t>
      </w:r>
      <w:r/>
    </w:p>
    <w:tbl>
      <w:tblPr>
        <w:jc w:val="center"/>
        <w:tblW w:w="0" w:type="auto"/>
        <w:tblCellMar>
          <w:left w:w="60" w:type="dxa"/>
          <w:top w:w="0" w:type="dxa"/>
          <w:right w:w="60" w:type="dxa"/>
          <w:bottom w:w="0" w:type="dxa"/>
        </w:tblCellMar>
        <w:tblBorders/>
        <w:tblLook w:val="0000" w:firstRow="0" w:lastRow="0" w:firstColumn="0" w:lastColumn="0" w:noHBand="0" w:noVBand="0"/>
      </w:tblPr>
      <w:tblGrid>
        <w:gridCol w:w="1134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Borders>
              <w:top w:val="single" w:color="d3d3d3" w:sz="16" w:space="0"/>
              <w:left w:val="single" w:color="d3d3d3" w:sz="4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Demandante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Recomendações Foco Causa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Recomendações Totais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% Foco Causa</w:t>
            </w:r>
            <w:r/>
          </w:p>
        </w:tc>
        <w:tc>
          <w:tcPr>
            <w:tcBorders>
              <w:top w:val="single" w:color="d3d3d3" w:sz="16" w:space="0"/>
              <w:bottom w:val="single" w:color="d3d3d3" w:sz="16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Peso Relativo do Demandante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* Outros (menos de 100 recomendações)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129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228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56,58%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5,32%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Componente Federal do SNA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1.956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2.910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67,22%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67,85%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Judiciário - determinação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41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134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30,60%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3,12%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MS/SAES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42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162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25,93%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3,78%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MS/SVS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78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100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78,00%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2,33%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Ministério Público Federal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358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628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57,01%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14,64%</w:t>
            </w:r>
            <w:r/>
          </w:p>
        </w:tc>
      </w:tr>
      <w:tr>
        <w:trPr>
          <w:cantSplit/>
        </w:trPr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left"/>
              <w:rPr/>
            </w:pPr>
            <w:r>
              <w:rPr>
                <w:rFonts w:ascii="Calibri" w:hAnsi="Calibri"/>
                <w:sz w:val="20"/>
              </w:rPr>
              <w:t xml:space="preserve">Policia Federal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67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127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52,76%</w:t>
            </w:r>
            <w:r/>
          </w:p>
        </w:tc>
        <w:tc>
          <w:tcPr>
            <w:tcBorders>
              <w:top w:val="single" w:color="d3d3d3" w:sz="4" w:space="0"/>
              <w:left w:val="single" w:color="d3d3d3" w:sz="4" w:space="0"/>
              <w:bottom w:val="single" w:color="d3d3d3" w:sz="4" w:space="0"/>
              <w:right w:val="single" w:color="d3d3d3" w:sz="4" w:space="0"/>
            </w:tcBorders>
          </w:tcPr>
          <w:p>
            <w:pPr>
              <w:keepNext w:val="true"/>
              <w:pBdr/>
              <w:spacing w:after="60" w:before="0"/>
              <w:ind/>
              <w:jc w:val="right"/>
              <w:rPr/>
            </w:pPr>
            <w:r>
              <w:rPr>
                <w:rFonts w:ascii="Calibri" w:hAnsi="Calibri"/>
                <w:sz w:val="20"/>
              </w:rPr>
              <w:t xml:space="preserve">2,96%</w:t>
            </w:r>
            <w:r/>
          </w:p>
        </w:tc>
      </w:tr>
    </w:tbl>
    <w:p>
      <w:pPr>
        <w:pStyle w:val="700"/>
        <w:pBdr/>
        <w:spacing/>
        <w:ind/>
        <w:rPr/>
      </w:pPr>
      <w:r>
        <w:t xml:space="preserve">Interessante essa diferença bruta entre SAES e SVS. Entretanto, ambas tem um peso relativo muito pequeno.</w:t>
      </w:r>
      <w:bookmarkEnd w:id="21"/>
      <w:bookmarkEnd w:id="22"/>
      <w:r/>
    </w:p>
    <w:sectPr>
      <w:footnotePr>
        <w:numRestart w:val="eachSect"/>
      </w:footnotePr>
      <w:endnotePr/>
      <w:type w:val="nextPage"/>
      <w:pgSz w:h="15840" w:orient="portrait" w:w="12240"/>
      <w:pgMar w:top="1417" w:right="1701" w:bottom="1417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nsolas">
    <w:panose1 w:val="020B0606020202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D2DE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96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6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6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6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6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6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6"/>
    <w:link w:val="69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6"/>
    <w:link w:val="69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6"/>
    <w:link w:val="6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6"/>
    <w:link w:val="7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96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6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6"/>
    <w:link w:val="178"/>
    <w:uiPriority w:val="99"/>
    <w:pPr>
      <w:pBdr/>
      <w:spacing/>
      <w:ind/>
    </w:pPr>
  </w:style>
  <w:style w:type="character" w:styleId="182">
    <w:name w:val="Footnote Text Char"/>
    <w:basedOn w:val="696"/>
    <w:link w:val="72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9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96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6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</w:style>
  <w:style w:type="paragraph" w:styleId="687">
    <w:name w:val="Heading 1"/>
    <w:basedOn w:val="686"/>
    <w:next w:val="699"/>
    <w:link w:val="7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88">
    <w:name w:val="Heading 2"/>
    <w:basedOn w:val="686"/>
    <w:next w:val="699"/>
    <w:link w:val="71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89">
    <w:name w:val="Heading 3"/>
    <w:basedOn w:val="686"/>
    <w:next w:val="699"/>
    <w:link w:val="71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90">
    <w:name w:val="Heading 4"/>
    <w:basedOn w:val="686"/>
    <w:next w:val="699"/>
    <w:link w:val="71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91">
    <w:name w:val="Heading 5"/>
    <w:basedOn w:val="686"/>
    <w:next w:val="699"/>
    <w:link w:val="71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92">
    <w:name w:val="Heading 6"/>
    <w:basedOn w:val="686"/>
    <w:next w:val="699"/>
    <w:link w:val="716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93">
    <w:name w:val="Heading 7"/>
    <w:basedOn w:val="686"/>
    <w:next w:val="699"/>
    <w:link w:val="717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94">
    <w:name w:val="Heading 8"/>
    <w:basedOn w:val="686"/>
    <w:next w:val="699"/>
    <w:link w:val="718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95">
    <w:name w:val="Heading 9"/>
    <w:basedOn w:val="686"/>
    <w:next w:val="699"/>
    <w:link w:val="719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96" w:default="1">
    <w:name w:val="Default Paragraph Font"/>
    <w:uiPriority w:val="1"/>
    <w:semiHidden/>
    <w:unhideWhenUsed/>
    <w:pPr>
      <w:pBdr/>
      <w:spacing/>
      <w:ind/>
    </w:pPr>
  </w:style>
  <w:style w:type="table" w:styleId="6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8" w:default="1">
    <w:name w:val="No List"/>
    <w:uiPriority w:val="99"/>
    <w:semiHidden/>
    <w:unhideWhenUsed/>
    <w:pPr>
      <w:pBdr/>
      <w:spacing/>
      <w:ind/>
    </w:pPr>
  </w:style>
  <w:style w:type="paragraph" w:styleId="699">
    <w:name w:val="Body Text"/>
    <w:basedOn w:val="686"/>
    <w:qFormat/>
    <w:pPr>
      <w:pBdr/>
      <w:spacing w:after="180" w:before="180"/>
      <w:ind/>
    </w:pPr>
  </w:style>
  <w:style w:type="paragraph" w:styleId="700" w:customStyle="1">
    <w:name w:val="First Paragraph"/>
    <w:basedOn w:val="699"/>
    <w:next w:val="699"/>
    <w:qFormat/>
    <w:pPr>
      <w:pBdr/>
      <w:spacing/>
      <w:ind/>
    </w:pPr>
  </w:style>
  <w:style w:type="paragraph" w:styleId="701" w:customStyle="1">
    <w:name w:val="Compact"/>
    <w:basedOn w:val="699"/>
    <w:qFormat/>
    <w:pPr>
      <w:pBdr/>
      <w:spacing w:after="36" w:before="36"/>
      <w:ind/>
    </w:pPr>
    <w:rPr>
      <w:sz w:val="20"/>
    </w:rPr>
  </w:style>
  <w:style w:type="paragraph" w:styleId="702">
    <w:name w:val="Title"/>
    <w:basedOn w:val="686"/>
    <w:next w:val="699"/>
    <w:link w:val="703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03" w:customStyle="1">
    <w:name w:val="Título Char"/>
    <w:basedOn w:val="696"/>
    <w:link w:val="702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04">
    <w:name w:val="Subtitle"/>
    <w:basedOn w:val="702"/>
    <w:next w:val="699"/>
    <w:link w:val="705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05" w:customStyle="1">
    <w:name w:val="Subtítulo Char"/>
    <w:basedOn w:val="696"/>
    <w:link w:val="70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6" w:customStyle="1">
    <w:name w:val="Author"/>
    <w:basedOn w:val="702"/>
    <w:next w:val="69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7">
    <w:name w:val="Date"/>
    <w:basedOn w:val="702"/>
    <w:next w:val="699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08" w:customStyle="1">
    <w:name w:val="Abstract Title"/>
    <w:basedOn w:val="686"/>
    <w:next w:val="709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09" w:customStyle="1">
    <w:name w:val="Abstract"/>
    <w:basedOn w:val="686"/>
    <w:next w:val="69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0">
    <w:name w:val="Bibliography"/>
    <w:basedOn w:val="686"/>
    <w:qFormat/>
    <w:pPr>
      <w:pBdr/>
      <w:spacing/>
      <w:ind/>
    </w:pPr>
  </w:style>
  <w:style w:type="character" w:styleId="711" w:customStyle="1">
    <w:name w:val="Título 1 Char"/>
    <w:basedOn w:val="696"/>
    <w:link w:val="687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12" w:customStyle="1">
    <w:name w:val="Título 2 Char"/>
    <w:basedOn w:val="696"/>
    <w:link w:val="68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13" w:customStyle="1">
    <w:name w:val="Título 3 Char"/>
    <w:basedOn w:val="696"/>
    <w:link w:val="68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14" w:customStyle="1">
    <w:name w:val="Título 4 Char"/>
    <w:basedOn w:val="696"/>
    <w:link w:val="690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15" w:customStyle="1">
    <w:name w:val="Título 5 Char"/>
    <w:basedOn w:val="696"/>
    <w:link w:val="691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16" w:customStyle="1">
    <w:name w:val="Título 6 Char"/>
    <w:basedOn w:val="696"/>
    <w:link w:val="69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17" w:customStyle="1">
    <w:name w:val="Título 7 Char"/>
    <w:basedOn w:val="696"/>
    <w:link w:val="69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18" w:customStyle="1">
    <w:name w:val="Título 8 Char"/>
    <w:basedOn w:val="696"/>
    <w:link w:val="69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19" w:customStyle="1">
    <w:name w:val="Título 9 Char"/>
    <w:basedOn w:val="696"/>
    <w:link w:val="69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20">
    <w:name w:val="Block Text"/>
    <w:basedOn w:val="699"/>
    <w:next w:val="699"/>
    <w:uiPriority w:val="9"/>
    <w:unhideWhenUsed/>
    <w:qFormat/>
    <w:pPr>
      <w:pBdr/>
      <w:spacing w:after="100" w:before="100"/>
      <w:ind w:right="480" w:left="480"/>
    </w:pPr>
  </w:style>
  <w:style w:type="paragraph" w:styleId="721">
    <w:name w:val="footnote text"/>
    <w:basedOn w:val="686"/>
    <w:uiPriority w:val="9"/>
    <w:unhideWhenUsed/>
    <w:qFormat/>
    <w:pPr>
      <w:pBdr/>
      <w:spacing/>
      <w:ind/>
    </w:pPr>
  </w:style>
  <w:style w:type="paragraph" w:styleId="722" w:customStyle="1">
    <w:name w:val="Footnote Block Text"/>
    <w:basedOn w:val="721"/>
    <w:next w:val="721"/>
    <w:uiPriority w:val="9"/>
    <w:unhideWhenUsed/>
    <w:qFormat/>
    <w:pPr>
      <w:pBdr/>
      <w:spacing w:after="100" w:before="100"/>
      <w:ind w:right="480" w:left="480"/>
    </w:pPr>
  </w:style>
  <w:style w:type="table" w:styleId="723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rPr>
        <w:jc w:val="left"/>
      </w:tr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24" w:customStyle="1">
    <w:name w:val="Definition Term"/>
    <w:basedOn w:val="686"/>
    <w:next w:val="725"/>
    <w:pPr>
      <w:keepNext w:val="true"/>
      <w:keepLines w:val="true"/>
      <w:pBdr/>
      <w:spacing w:after="0"/>
      <w:ind/>
    </w:pPr>
    <w:rPr>
      <w:b/>
    </w:rPr>
  </w:style>
  <w:style w:type="paragraph" w:styleId="725" w:customStyle="1">
    <w:name w:val="Definition"/>
    <w:basedOn w:val="686"/>
    <w:pPr>
      <w:pBdr/>
      <w:spacing/>
      <w:ind/>
    </w:pPr>
  </w:style>
  <w:style w:type="paragraph" w:styleId="726">
    <w:name w:val="Caption"/>
    <w:basedOn w:val="686"/>
    <w:link w:val="731"/>
    <w:pPr>
      <w:pBdr/>
      <w:spacing w:after="120"/>
      <w:ind/>
    </w:pPr>
    <w:rPr>
      <w:i/>
    </w:rPr>
  </w:style>
  <w:style w:type="paragraph" w:styleId="727" w:customStyle="1">
    <w:name w:val="Table Caption"/>
    <w:basedOn w:val="726"/>
    <w:pPr>
      <w:keepNext w:val="true"/>
      <w:pBdr/>
      <w:spacing/>
      <w:ind/>
    </w:pPr>
  </w:style>
  <w:style w:type="paragraph" w:styleId="728" w:customStyle="1">
    <w:name w:val="Image Caption"/>
    <w:basedOn w:val="726"/>
    <w:pPr>
      <w:pBdr/>
      <w:spacing/>
      <w:ind/>
    </w:pPr>
  </w:style>
  <w:style w:type="paragraph" w:styleId="729" w:customStyle="1">
    <w:name w:val="Figure"/>
    <w:basedOn w:val="686"/>
    <w:pPr>
      <w:pBdr/>
      <w:spacing/>
      <w:ind/>
    </w:pPr>
  </w:style>
  <w:style w:type="paragraph" w:styleId="730" w:customStyle="1">
    <w:name w:val="Captioned Figure"/>
    <w:basedOn w:val="729"/>
    <w:pPr>
      <w:keepNext w:val="true"/>
      <w:pBdr/>
      <w:spacing/>
      <w:ind/>
    </w:pPr>
  </w:style>
  <w:style w:type="character" w:styleId="731" w:customStyle="1">
    <w:name w:val="Legenda Char"/>
    <w:basedOn w:val="696"/>
    <w:link w:val="726"/>
    <w:pPr>
      <w:pBdr/>
      <w:spacing/>
      <w:ind/>
    </w:pPr>
  </w:style>
  <w:style w:type="character" w:styleId="732" w:customStyle="1">
    <w:name w:val="Verbatim Char"/>
    <w:basedOn w:val="731"/>
    <w:pPr>
      <w:pBdr/>
      <w:spacing/>
      <w:ind/>
    </w:pPr>
    <w:rPr>
      <w:rFonts w:ascii="Consolas" w:hAnsi="Consolas"/>
      <w:sz w:val="20"/>
    </w:rPr>
  </w:style>
  <w:style w:type="character" w:styleId="733" w:customStyle="1">
    <w:name w:val="Section Number"/>
    <w:basedOn w:val="731"/>
    <w:pPr>
      <w:pBdr/>
      <w:spacing/>
      <w:ind/>
    </w:pPr>
  </w:style>
  <w:style w:type="character" w:styleId="734">
    <w:name w:val="footnote reference"/>
    <w:basedOn w:val="731"/>
    <w:pPr>
      <w:pBdr/>
      <w:spacing/>
      <w:ind/>
    </w:pPr>
    <w:rPr>
      <w:vertAlign w:val="superscript"/>
    </w:rPr>
  </w:style>
  <w:style w:type="character" w:styleId="735">
    <w:name w:val="Hyperlink"/>
    <w:basedOn w:val="731"/>
    <w:pPr>
      <w:pBdr/>
      <w:spacing/>
      <w:ind/>
    </w:pPr>
    <w:rPr>
      <w:color w:val="156082" w:themeColor="accent1"/>
    </w:rPr>
  </w:style>
  <w:style w:type="paragraph" w:styleId="736">
    <w:name w:val="TOC Heading"/>
    <w:basedOn w:val="687"/>
    <w:next w:val="699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737" w:customStyle="1">
    <w:name w:val="Source Code"/>
    <w:basedOn w:val="686"/>
    <w:link w:val="732"/>
    <w:pPr>
      <w:pBdr/>
      <w:shd w:val="clear" w:color="auto" w:fill="f1f3f5"/>
      <w:spacing/>
      <w:ind/>
    </w:pPr>
  </w:style>
  <w:style w:type="character" w:styleId="738" w:customStyle="1">
    <w:name w:val="KeywordTok"/>
    <w:basedOn w:val="732"/>
    <w:pPr>
      <w:pBdr/>
      <w:spacing/>
      <w:ind/>
    </w:pPr>
    <w:rPr>
      <w:b/>
      <w:color w:val="003b4f"/>
      <w:shd w:val="clear" w:color="auto" w:fill="f1f3f5"/>
    </w:rPr>
  </w:style>
  <w:style w:type="character" w:styleId="739" w:customStyle="1">
    <w:name w:val="DataType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40" w:customStyle="1">
    <w:name w:val="DecVal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41" w:customStyle="1">
    <w:name w:val="BaseN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42" w:customStyle="1">
    <w:name w:val="Float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43" w:customStyle="1">
    <w:name w:val="ConstantTok"/>
    <w:basedOn w:val="732"/>
    <w:pPr>
      <w:pBdr/>
      <w:spacing/>
      <w:ind/>
    </w:pPr>
    <w:rPr>
      <w:color w:val="8f5902"/>
      <w:shd w:val="clear" w:color="auto" w:fill="f1f3f5"/>
    </w:rPr>
  </w:style>
  <w:style w:type="character" w:styleId="744" w:customStyle="1">
    <w:name w:val="CharTok"/>
    <w:basedOn w:val="732"/>
    <w:pPr>
      <w:pBdr/>
      <w:spacing/>
      <w:ind/>
    </w:pPr>
    <w:rPr>
      <w:color w:val="20794d"/>
      <w:shd w:val="clear" w:color="auto" w:fill="f1f3f5"/>
    </w:rPr>
  </w:style>
  <w:style w:type="character" w:styleId="745" w:customStyle="1">
    <w:name w:val="SpecialCharTok"/>
    <w:basedOn w:val="732"/>
    <w:pPr>
      <w:pBdr/>
      <w:spacing/>
      <w:ind/>
    </w:pPr>
    <w:rPr>
      <w:color w:val="5e5e5e"/>
      <w:shd w:val="clear" w:color="auto" w:fill="f1f3f5"/>
    </w:rPr>
  </w:style>
  <w:style w:type="character" w:styleId="746" w:customStyle="1">
    <w:name w:val="StringTok"/>
    <w:basedOn w:val="732"/>
    <w:pPr>
      <w:pBdr/>
      <w:spacing/>
      <w:ind/>
    </w:pPr>
    <w:rPr>
      <w:color w:val="20794d"/>
      <w:shd w:val="clear" w:color="auto" w:fill="f1f3f5"/>
    </w:rPr>
  </w:style>
  <w:style w:type="character" w:styleId="747" w:customStyle="1">
    <w:name w:val="VerbatimStringTok"/>
    <w:basedOn w:val="732"/>
    <w:pPr>
      <w:pBdr/>
      <w:spacing/>
      <w:ind/>
    </w:pPr>
    <w:rPr>
      <w:color w:val="20794d"/>
      <w:shd w:val="clear" w:color="auto" w:fill="f1f3f5"/>
    </w:rPr>
  </w:style>
  <w:style w:type="character" w:styleId="748" w:customStyle="1">
    <w:name w:val="SpecialStringTok"/>
    <w:basedOn w:val="732"/>
    <w:pPr>
      <w:pBdr/>
      <w:spacing/>
      <w:ind/>
    </w:pPr>
    <w:rPr>
      <w:color w:val="20794d"/>
      <w:shd w:val="clear" w:color="auto" w:fill="f1f3f5"/>
    </w:rPr>
  </w:style>
  <w:style w:type="character" w:styleId="749" w:customStyle="1">
    <w:name w:val="ImportTok"/>
    <w:basedOn w:val="732"/>
    <w:pPr>
      <w:pBdr/>
      <w:spacing/>
      <w:ind/>
    </w:pPr>
    <w:rPr>
      <w:color w:val="00769e"/>
      <w:shd w:val="clear" w:color="auto" w:fill="f1f3f5"/>
    </w:rPr>
  </w:style>
  <w:style w:type="character" w:styleId="750" w:customStyle="1">
    <w:name w:val="CommentTok"/>
    <w:basedOn w:val="732"/>
    <w:pPr>
      <w:pBdr/>
      <w:spacing/>
      <w:ind/>
    </w:pPr>
    <w:rPr>
      <w:color w:val="5e5e5e"/>
      <w:shd w:val="clear" w:color="auto" w:fill="f1f3f5"/>
    </w:rPr>
  </w:style>
  <w:style w:type="character" w:styleId="751" w:customStyle="1">
    <w:name w:val="DocumentationTok"/>
    <w:basedOn w:val="732"/>
    <w:pPr>
      <w:pBdr/>
      <w:spacing/>
      <w:ind/>
    </w:pPr>
    <w:rPr>
      <w:i/>
      <w:color w:val="5e5e5e"/>
      <w:shd w:val="clear" w:color="auto" w:fill="f1f3f5"/>
    </w:rPr>
  </w:style>
  <w:style w:type="character" w:styleId="752" w:customStyle="1">
    <w:name w:val="AnnotationTok"/>
    <w:basedOn w:val="732"/>
    <w:pPr>
      <w:pBdr/>
      <w:spacing/>
      <w:ind/>
    </w:pPr>
    <w:rPr>
      <w:color w:val="5e5e5e"/>
      <w:shd w:val="clear" w:color="auto" w:fill="f1f3f5"/>
    </w:rPr>
  </w:style>
  <w:style w:type="character" w:styleId="753" w:customStyle="1">
    <w:name w:val="CommentVarTok"/>
    <w:basedOn w:val="732"/>
    <w:pPr>
      <w:pBdr/>
      <w:spacing/>
      <w:ind/>
    </w:pPr>
    <w:rPr>
      <w:i/>
      <w:color w:val="5e5e5e"/>
      <w:shd w:val="clear" w:color="auto" w:fill="f1f3f5"/>
    </w:rPr>
  </w:style>
  <w:style w:type="character" w:styleId="754" w:customStyle="1">
    <w:name w:val="OtherTok"/>
    <w:basedOn w:val="732"/>
    <w:pPr>
      <w:pBdr/>
      <w:spacing/>
      <w:ind/>
    </w:pPr>
    <w:rPr>
      <w:color w:val="003b4f"/>
      <w:shd w:val="clear" w:color="auto" w:fill="f1f3f5"/>
    </w:rPr>
  </w:style>
  <w:style w:type="character" w:styleId="755" w:customStyle="1">
    <w:name w:val="FunctionTok"/>
    <w:basedOn w:val="732"/>
    <w:pPr>
      <w:pBdr/>
      <w:spacing/>
      <w:ind/>
    </w:pPr>
    <w:rPr>
      <w:color w:val="4758ab"/>
      <w:shd w:val="clear" w:color="auto" w:fill="f1f3f5"/>
    </w:rPr>
  </w:style>
  <w:style w:type="character" w:styleId="756" w:customStyle="1">
    <w:name w:val="VariableTok"/>
    <w:basedOn w:val="732"/>
    <w:pPr>
      <w:pBdr/>
      <w:spacing/>
      <w:ind/>
    </w:pPr>
    <w:rPr>
      <w:color w:val="111111"/>
      <w:shd w:val="clear" w:color="auto" w:fill="f1f3f5"/>
    </w:rPr>
  </w:style>
  <w:style w:type="character" w:styleId="757" w:customStyle="1">
    <w:name w:val="ControlFlowTok"/>
    <w:basedOn w:val="732"/>
    <w:pPr>
      <w:pBdr/>
      <w:spacing/>
      <w:ind/>
    </w:pPr>
    <w:rPr>
      <w:b/>
      <w:color w:val="003b4f"/>
      <w:shd w:val="clear" w:color="auto" w:fill="f1f3f5"/>
    </w:rPr>
  </w:style>
  <w:style w:type="character" w:styleId="758" w:customStyle="1">
    <w:name w:val="OperatorTok"/>
    <w:basedOn w:val="732"/>
    <w:pPr>
      <w:pBdr/>
      <w:spacing/>
      <w:ind/>
    </w:pPr>
    <w:rPr>
      <w:color w:val="5e5e5e"/>
      <w:shd w:val="clear" w:color="auto" w:fill="f1f3f5"/>
    </w:rPr>
  </w:style>
  <w:style w:type="character" w:styleId="759" w:customStyle="1">
    <w:name w:val="BuiltInTok"/>
    <w:basedOn w:val="732"/>
    <w:pPr>
      <w:pBdr/>
      <w:spacing/>
      <w:ind/>
    </w:pPr>
    <w:rPr>
      <w:color w:val="003b4f"/>
      <w:shd w:val="clear" w:color="auto" w:fill="f1f3f5"/>
    </w:rPr>
  </w:style>
  <w:style w:type="character" w:styleId="760" w:customStyle="1">
    <w:name w:val="ExtensionTok"/>
    <w:basedOn w:val="732"/>
    <w:pPr>
      <w:pBdr/>
      <w:spacing/>
      <w:ind/>
    </w:pPr>
    <w:rPr>
      <w:color w:val="003b4f"/>
      <w:shd w:val="clear" w:color="auto" w:fill="f1f3f5"/>
    </w:rPr>
  </w:style>
  <w:style w:type="character" w:styleId="761" w:customStyle="1">
    <w:name w:val="Preprocessor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62" w:customStyle="1">
    <w:name w:val="AttributeTok"/>
    <w:basedOn w:val="732"/>
    <w:pPr>
      <w:pBdr/>
      <w:spacing/>
      <w:ind/>
    </w:pPr>
    <w:rPr>
      <w:color w:val="657422"/>
      <w:shd w:val="clear" w:color="auto" w:fill="f1f3f5"/>
    </w:rPr>
  </w:style>
  <w:style w:type="character" w:styleId="763" w:customStyle="1">
    <w:name w:val="RegionMarkerTok"/>
    <w:basedOn w:val="732"/>
    <w:pPr>
      <w:pBdr/>
      <w:spacing/>
      <w:ind/>
    </w:pPr>
    <w:rPr>
      <w:color w:val="003b4f"/>
      <w:shd w:val="clear" w:color="auto" w:fill="f1f3f5"/>
    </w:rPr>
  </w:style>
  <w:style w:type="character" w:styleId="764" w:customStyle="1">
    <w:name w:val="InformationTok"/>
    <w:basedOn w:val="732"/>
    <w:pPr>
      <w:pBdr/>
      <w:spacing/>
      <w:ind/>
    </w:pPr>
    <w:rPr>
      <w:color w:val="5e5e5e"/>
      <w:shd w:val="clear" w:color="auto" w:fill="f1f3f5"/>
    </w:rPr>
  </w:style>
  <w:style w:type="character" w:styleId="765" w:customStyle="1">
    <w:name w:val="WarningTok"/>
    <w:basedOn w:val="732"/>
    <w:pPr>
      <w:pBdr/>
      <w:spacing/>
      <w:ind/>
    </w:pPr>
    <w:rPr>
      <w:i/>
      <w:color w:val="5e5e5e"/>
      <w:shd w:val="clear" w:color="auto" w:fill="f1f3f5"/>
    </w:rPr>
  </w:style>
  <w:style w:type="character" w:styleId="766" w:customStyle="1">
    <w:name w:val="Alert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67" w:customStyle="1">
    <w:name w:val="ErrorTok"/>
    <w:basedOn w:val="732"/>
    <w:pPr>
      <w:pBdr/>
      <w:spacing/>
      <w:ind/>
    </w:pPr>
    <w:rPr>
      <w:color w:val="ad0000"/>
      <w:shd w:val="clear" w:color="auto" w:fill="f1f3f5"/>
    </w:rPr>
  </w:style>
  <w:style w:type="character" w:styleId="768" w:customStyle="1">
    <w:name w:val="NormalTok"/>
    <w:basedOn w:val="732"/>
    <w:pPr>
      <w:pBdr/>
      <w:spacing/>
      <w:ind/>
    </w:pPr>
    <w:rPr>
      <w:color w:val="003b4f"/>
      <w:shd w:val="clear" w:color="auto" w:fill="f1f3f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Adicionais</dc:title>
  <dc:creator>Fabiano A. Lima</dc:creator>
  <cp:keywords/>
  <dc:language>pt-BR</dc:language>
  <cp:revision>1</cp:revision>
  <dcterms:created xsi:type="dcterms:W3CDTF">2026-01-09T15:27:52Z</dcterms:created>
  <dcterms:modified xsi:type="dcterms:W3CDTF">2026-07-31T01:34:11Z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knitr">
    <vt:lpwstr/>
  </property>
  <property fmtid="{D5CDD505-2E9C-101B-9397-08002B2CF9AE}" pid="10" name="labels">
    <vt:lpwstr/>
  </property>
  <property fmtid="{D5CDD505-2E9C-101B-9397-08002B2CF9AE}" pid="11" name="toc-title">
    <vt:lpwstr>Índice</vt:lpwstr>
  </property>
</Properties>
</file>