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Apêndice III - Recolhimento de Amostra</w:t>
      </w:r>
    </w:p>
    <w:p>
      <w:pPr>
        <w:pStyle w:val="Author"/>
      </w:pPr>
      <w:r>
        <w:t xml:space="preserve">Fabiano A. Lima</w:t>
      </w:r>
    </w:p>
    <w:bookmarkStart w:id="20" w:name="introdução"/>
    <w:p>
      <w:pPr>
        <w:pStyle w:val="Ttulo1"/>
      </w:pPr>
      <w:r>
        <w:t xml:space="preserve">Introdução</w:t>
      </w:r>
    </w:p>
    <w:p>
      <w:pPr>
        <w:pStyle w:val="FirstParagraph"/>
      </w:pPr>
      <w:r>
        <w:t xml:space="preserve">O presente apêndice registra os passos tomados para a escolha de um conjunto de recomendações para exemplificar o processo de classificação.</w:t>
      </w:r>
    </w:p>
    <w:p>
      <w:pPr>
        <w:pStyle w:val="SourceCode"/>
      </w:pP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NormalTok"/>
        </w:rPr>
        <w:t xml:space="preserve">dataset_final </w:t>
      </w:r>
      <w:r>
        <w:rPr>
          <w:rStyle w:val="OtherTok"/>
        </w:rPr>
        <w:t xml:space="preserve">&lt;-</w:t>
      </w:r>
      <w:r>
        <w:rPr>
          <w:rStyle w:val="NormalTok"/>
        </w:rPr>
        <w:t xml:space="preserve"> </w:t>
      </w:r>
      <w:r>
        <w:rPr>
          <w:rStyle w:val="FunctionTok"/>
        </w:rPr>
        <w:t xml:space="preserve">read_rds</w:t>
      </w:r>
      <w:r>
        <w:rPr>
          <w:rStyle w:val="NormalTok"/>
        </w:rPr>
        <w:t xml:space="preserve">(</w:t>
      </w:r>
      <w:r>
        <w:rPr>
          <w:rStyle w:val="StringTok"/>
        </w:rPr>
        <w:t xml:space="preserve">"./Dados Gerados/dataset_final.rds"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tringTok"/>
        </w:rPr>
        <w:t xml:space="preserve">`</w:t>
      </w:r>
      <w:r>
        <w:rPr>
          <w:rStyle w:val="AttributeTok"/>
        </w:rPr>
        <w:t xml:space="preserve">Categoria (Calculada)</w:t>
      </w:r>
      <w:r>
        <w:rPr>
          <w:rStyle w:val="StringTok"/>
        </w:rPr>
        <w:t xml:space="preserve">`</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w:t>
      </w:r>
      <w:r>
        <w:rPr>
          <w:rStyle w:val="StringTok"/>
        </w:rPr>
        <w:t xml:space="preserve">`</w:t>
      </w:r>
      <w:r>
        <w:rPr>
          <w:rStyle w:val="AttributeTok"/>
        </w:rPr>
        <w:t xml:space="preserve">Categoria (LLM)</w:t>
      </w:r>
      <w:r>
        <w:rPr>
          <w:rStyle w:val="StringTok"/>
        </w:rPr>
        <w:t xml:space="preserve">`</w:t>
      </w:r>
      <w:r>
        <w:rPr>
          <w:rStyle w:val="NormalTok"/>
        </w:rPr>
        <w:t xml:space="preserve">))</w:t>
      </w:r>
      <w:r>
        <w:br/>
      </w:r>
      <w:r>
        <w:br/>
      </w:r>
      <w:r>
        <w:rPr>
          <w:rStyle w:val="NormalTok"/>
        </w:rPr>
        <w:t xml:space="preserve">obtem_funcao_print </w:t>
      </w:r>
      <w:r>
        <w:rPr>
          <w:rStyle w:val="OtherTok"/>
        </w:rPr>
        <w:t xml:space="preserve">&lt;-</w:t>
      </w:r>
      <w:r>
        <w:rPr>
          <w:rStyle w:val="NormalTok"/>
        </w:rPr>
        <w:t xml:space="preserve"> </w:t>
      </w:r>
      <w:r>
        <w:rPr>
          <w:rStyle w:val="ControlFlowTok"/>
        </w:rPr>
        <w:t xml:space="preserve">function</w:t>
      </w:r>
      <w:r>
        <w:rPr>
          <w:rStyle w:val="NormalTok"/>
        </w:rPr>
        <w:t xml:space="preserve">(df){</w:t>
      </w:r>
      <w:r>
        <w:br/>
      </w:r>
      <w:r>
        <w:rPr>
          <w:rStyle w:val="NormalTok"/>
        </w:rPr>
        <w:t xml:space="preserve">    obtem_campo </w:t>
      </w:r>
      <w:r>
        <w:rPr>
          <w:rStyle w:val="OtherTok"/>
        </w:rPr>
        <w:t xml:space="preserve">&lt;-</w:t>
      </w:r>
      <w:r>
        <w:rPr>
          <w:rStyle w:val="NormalTok"/>
        </w:rPr>
        <w:t xml:space="preserve"> </w:t>
      </w:r>
      <w:r>
        <w:rPr>
          <w:rStyle w:val="ControlFlowTok"/>
        </w:rPr>
        <w:t xml:space="preserve">function</w:t>
      </w:r>
      <w:r>
        <w:rPr>
          <w:rStyle w:val="NormalTok"/>
        </w:rPr>
        <w:t xml:space="preserve">(indice, campo){</w:t>
      </w:r>
      <w:r>
        <w:br/>
      </w:r>
      <w:r>
        <w:rPr>
          <w:rStyle w:val="NormalTok"/>
        </w:rPr>
        <w:t xml:space="preserve">        df[indice, campo] </w:t>
      </w:r>
      <w:r>
        <w:rPr>
          <w:rStyle w:val="SpecialCharTok"/>
        </w:rPr>
        <w:t xml:space="preserve">|&gt;</w:t>
      </w:r>
      <w:r>
        <w:rPr>
          <w:rStyle w:val="NormalTok"/>
        </w:rPr>
        <w:t xml:space="preserve"> </w:t>
      </w:r>
      <w:r>
        <w:br/>
      </w:r>
      <w:r>
        <w:rPr>
          <w:rStyle w:val="NormalTok"/>
        </w:rPr>
        <w:t xml:space="preserve">        purrr</w:t>
      </w:r>
      <w:r>
        <w:rPr>
          <w:rStyle w:val="SpecialCharTok"/>
        </w:rPr>
        <w:t xml:space="preserve">::</w:t>
      </w:r>
      <w:r>
        <w:rPr>
          <w:rStyle w:val="FunctionTok"/>
        </w:rPr>
        <w:t xml:space="preserve">pluck</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function</w:t>
      </w:r>
      <w:r>
        <w:rPr>
          <w:rStyle w:val="NormalTok"/>
        </w:rPr>
        <w:t xml:space="preserve">(i){</w:t>
      </w:r>
      <w:r>
        <w:br/>
      </w:r>
      <w:r>
        <w:rPr>
          <w:rStyle w:val="NormalTok"/>
        </w:rPr>
        <w:t xml:space="preserve">        </w:t>
      </w:r>
      <w:r>
        <w:rPr>
          <w:rStyle w:val="FunctionTok"/>
        </w:rPr>
        <w:t xml:space="preserve">cat</w:t>
      </w:r>
      <w:r>
        <w:rPr>
          <w:rStyle w:val="NormalTok"/>
        </w:rPr>
        <w:t xml:space="preserve">(</w:t>
      </w:r>
      <w:r>
        <w:br/>
      </w:r>
      <w:r>
        <w:rPr>
          <w:rStyle w:val="NormalTok"/>
        </w:rPr>
        <w:t xml:space="preserve">            </w:t>
      </w:r>
      <w:r>
        <w:rPr>
          <w:rStyle w:val="StringTok"/>
        </w:rPr>
        <w:t xml:space="preserve">"## Auditoria "</w:t>
      </w:r>
      <w:r>
        <w:rPr>
          <w:rStyle w:val="NormalTok"/>
        </w:rPr>
        <w:t xml:space="preserve">, </w:t>
      </w:r>
      <w:r>
        <w:rPr>
          <w:rStyle w:val="FunctionTok"/>
        </w:rPr>
        <w:t xml:space="preserve">obtem_campo</w:t>
      </w:r>
      <w:r>
        <w:rPr>
          <w:rStyle w:val="NormalTok"/>
        </w:rPr>
        <w:t xml:space="preserve">(i, </w:t>
      </w:r>
      <w:r>
        <w:rPr>
          <w:rStyle w:val="StringTok"/>
        </w:rPr>
        <w:t xml:space="preserve">"No. Auditoria"</w:t>
      </w:r>
      <w:r>
        <w:rPr>
          <w:rStyle w:val="NormalTok"/>
        </w:rPr>
        <w:t xml:space="preserve">), </w:t>
      </w:r>
      <w:r>
        <w:br/>
      </w:r>
      <w:r>
        <w:rPr>
          <w:rStyle w:val="NormalTok"/>
        </w:rPr>
        <w:t xml:space="preserve">            </w:t>
      </w:r>
      <w:r>
        <w:rPr>
          <w:rStyle w:val="StringTok"/>
        </w:rPr>
        <w:t xml:space="preserve">", Constatação Nº "</w:t>
      </w:r>
      <w:r>
        <w:rPr>
          <w:rStyle w:val="NormalTok"/>
        </w:rPr>
        <w:t xml:space="preserve">, </w:t>
      </w:r>
      <w:r>
        <w:rPr>
          <w:rStyle w:val="FunctionTok"/>
        </w:rPr>
        <w:t xml:space="preserve">obtem_campo</w:t>
      </w:r>
      <w:r>
        <w:rPr>
          <w:rStyle w:val="NormalTok"/>
        </w:rPr>
        <w:t xml:space="preserve">(i, </w:t>
      </w:r>
      <w:r>
        <w:rPr>
          <w:rStyle w:val="StringTok"/>
        </w:rPr>
        <w:t xml:space="preserve">"# Constatação"</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StringTok"/>
        </w:rPr>
        <w:t xml:space="preserve">"**Finalidade**: "</w:t>
      </w:r>
      <w:r>
        <w:rPr>
          <w:rStyle w:val="NormalTok"/>
        </w:rPr>
        <w:t xml:space="preserve"> , </w:t>
      </w:r>
      <w:r>
        <w:rPr>
          <w:rStyle w:val="FunctionTok"/>
        </w:rPr>
        <w:t xml:space="preserve">obtem_campo</w:t>
      </w:r>
      <w:r>
        <w:rPr>
          <w:rStyle w:val="NormalTok"/>
        </w:rPr>
        <w:t xml:space="preserve">(i, </w:t>
      </w:r>
      <w:r>
        <w:rPr>
          <w:rStyle w:val="StringTok"/>
        </w:rPr>
        <w:t xml:space="preserve">"Finalidade"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StringTok"/>
        </w:rPr>
        <w:t xml:space="preserve">"**Constatação**: "</w:t>
      </w:r>
      <w:r>
        <w:rPr>
          <w:rStyle w:val="NormalTok"/>
        </w:rPr>
        <w:t xml:space="preserve">, </w:t>
      </w:r>
      <w:r>
        <w:rPr>
          <w:rStyle w:val="FunctionTok"/>
        </w:rPr>
        <w:t xml:space="preserve">obtem_campo</w:t>
      </w:r>
      <w:r>
        <w:rPr>
          <w:rStyle w:val="NormalTok"/>
        </w:rPr>
        <w:t xml:space="preserve">(i, </w:t>
      </w:r>
      <w:r>
        <w:rPr>
          <w:rStyle w:val="StringTok"/>
        </w:rPr>
        <w:t xml:space="preserve">"Constatação"</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StringTok"/>
        </w:rPr>
        <w:t xml:space="preserve">"**Recomendação**: "</w:t>
      </w:r>
      <w:r>
        <w:rPr>
          <w:rStyle w:val="NormalTok"/>
        </w:rPr>
        <w:t xml:space="preserve"> , </w:t>
      </w:r>
      <w:r>
        <w:rPr>
          <w:rStyle w:val="FunctionTok"/>
        </w:rPr>
        <w:t xml:space="preserve">obtem_campo</w:t>
      </w:r>
      <w:r>
        <w:rPr>
          <w:rStyle w:val="NormalTok"/>
        </w:rPr>
        <w:t xml:space="preserve">(i, </w:t>
      </w:r>
      <w:r>
        <w:rPr>
          <w:rStyle w:val="StringTok"/>
        </w:rPr>
        <w:t xml:space="preserve">"Recomendação"</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StringTok"/>
        </w:rPr>
        <w:t xml:space="preserve">"**Categoria via Codificação (Calculada): "</w:t>
      </w:r>
      <w:r>
        <w:rPr>
          <w:rStyle w:val="NormalTok"/>
        </w:rPr>
        <w:t xml:space="preserve"> , </w:t>
      </w:r>
      <w:r>
        <w:br/>
      </w:r>
      <w:r>
        <w:rPr>
          <w:rStyle w:val="NormalTok"/>
        </w:rPr>
        <w:t xml:space="preserve">            </w:t>
      </w:r>
      <w:r>
        <w:rPr>
          <w:rStyle w:val="FunctionTok"/>
        </w:rPr>
        <w:t xml:space="preserve">obtem_campo</w:t>
      </w:r>
      <w:r>
        <w:rPr>
          <w:rStyle w:val="NormalTok"/>
        </w:rPr>
        <w:t xml:space="preserve">(i, </w:t>
      </w:r>
      <w:r>
        <w:rPr>
          <w:rStyle w:val="StringTok"/>
        </w:rPr>
        <w:t xml:space="preserve">"Categoria (Calculada)"</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StringTok"/>
        </w:rPr>
        <w:t xml:space="preserve">"Análise Codificação: "</w:t>
      </w:r>
      <w:r>
        <w:rPr>
          <w:rStyle w:val="NormalTok"/>
        </w:rPr>
        <w:t xml:space="preserve"> , </w:t>
      </w:r>
      <w:r>
        <w:rPr>
          <w:rStyle w:val="FunctionTok"/>
        </w:rPr>
        <w:t xml:space="preserve">obtem_campo</w:t>
      </w:r>
      <w:r>
        <w:rPr>
          <w:rStyle w:val="NormalTok"/>
        </w:rPr>
        <w:t xml:space="preserve">(i, </w:t>
      </w:r>
      <w:r>
        <w:rPr>
          <w:rStyle w:val="StringTok"/>
        </w:rPr>
        <w:t xml:space="preserve">"Análise Codificação"</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StringTok"/>
        </w:rPr>
        <w:t xml:space="preserve">"- Causa Identificada: "</w:t>
      </w:r>
      <w:r>
        <w:rPr>
          <w:rStyle w:val="NormalTok"/>
        </w:rPr>
        <w:t xml:space="preserve"> , </w:t>
      </w:r>
      <w:r>
        <w:rPr>
          <w:rStyle w:val="FunctionTok"/>
        </w:rPr>
        <w:t xml:space="preserve">obtem_campo</w:t>
      </w:r>
      <w:r>
        <w:rPr>
          <w:rStyle w:val="NormalTok"/>
        </w:rPr>
        <w:t xml:space="preserve">(i, </w:t>
      </w:r>
      <w:r>
        <w:rPr>
          <w:rStyle w:val="StringTok"/>
        </w:rPr>
        <w:t xml:space="preserve">"Causa Identificada"</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 Causa Institucional: "</w:t>
      </w:r>
      <w:r>
        <w:rPr>
          <w:rStyle w:val="NormalTok"/>
        </w:rPr>
        <w:t xml:space="preserve"> , </w:t>
      </w:r>
      <w:r>
        <w:rPr>
          <w:rStyle w:val="FunctionTok"/>
        </w:rPr>
        <w:t xml:space="preserve">obtem_campo</w:t>
      </w:r>
      <w:r>
        <w:rPr>
          <w:rStyle w:val="NormalTok"/>
        </w:rPr>
        <w:t xml:space="preserve">(i, </w:t>
      </w:r>
      <w:r>
        <w:rPr>
          <w:rStyle w:val="StringTok"/>
        </w:rPr>
        <w:t xml:space="preserve">"Causa Institucional"</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 Solução Duradoura:"</w:t>
      </w:r>
      <w:r>
        <w:rPr>
          <w:rStyle w:val="NormalTok"/>
        </w:rPr>
        <w:t xml:space="preserve"> , </w:t>
      </w:r>
      <w:r>
        <w:rPr>
          <w:rStyle w:val="FunctionTok"/>
        </w:rPr>
        <w:t xml:space="preserve">obtem_campo</w:t>
      </w:r>
      <w:r>
        <w:rPr>
          <w:rStyle w:val="NormalTok"/>
        </w:rPr>
        <w:t xml:space="preserve">(i, </w:t>
      </w:r>
      <w:r>
        <w:rPr>
          <w:rStyle w:val="StringTok"/>
        </w:rPr>
        <w:t xml:space="preserve">"Solução Duradoura"</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StringTok"/>
        </w:rPr>
        <w:t xml:space="preserve">"**Categoria via Categorização Direta: "</w:t>
      </w:r>
      <w:r>
        <w:rPr>
          <w:rStyle w:val="NormalTok"/>
        </w:rPr>
        <w:t xml:space="preserve"> , </w:t>
      </w:r>
      <w:r>
        <w:br/>
      </w:r>
      <w:r>
        <w:rPr>
          <w:rStyle w:val="NormalTok"/>
        </w:rPr>
        <w:t xml:space="preserve">            </w:t>
      </w:r>
      <w:r>
        <w:rPr>
          <w:rStyle w:val="FunctionTok"/>
        </w:rPr>
        <w:t xml:space="preserve">obtem_campo</w:t>
      </w:r>
      <w:r>
        <w:rPr>
          <w:rStyle w:val="NormalTok"/>
        </w:rPr>
        <w:t xml:space="preserve">(i, </w:t>
      </w:r>
      <w:r>
        <w:rPr>
          <w:rStyle w:val="StringTok"/>
        </w:rPr>
        <w:t xml:space="preserve">"Categoria (LLM)"</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StringTok"/>
        </w:rPr>
        <w:t xml:space="preserve">"Análise: "</w:t>
      </w:r>
      <w:r>
        <w:rPr>
          <w:rStyle w:val="NormalTok"/>
        </w:rPr>
        <w:t xml:space="preserve"> , </w:t>
      </w:r>
      <w:r>
        <w:rPr>
          <w:rStyle w:val="FunctionTok"/>
        </w:rPr>
        <w:t xml:space="preserve">obtem_campo</w:t>
      </w:r>
      <w:r>
        <w:rPr>
          <w:rStyle w:val="NormalTok"/>
        </w:rPr>
        <w:t xml:space="preserve">(i, </w:t>
      </w:r>
      <w:r>
        <w:rPr>
          <w:rStyle w:val="StringTok"/>
        </w:rPr>
        <w:t xml:space="preserve">"Análise Categorização"</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w:t>
      </w:r>
      <w:r>
        <w:br/>
      </w:r>
      <w:r>
        <w:br/>
      </w:r>
      <w:r>
        <w:br/>
      </w:r>
      <w:r>
        <w:rPr>
          <w:rStyle w:val="NormalTok"/>
        </w:rPr>
        <w:t xml:space="preserve">exemplos </w:t>
      </w:r>
      <w:r>
        <w:rPr>
          <w:rStyle w:val="OtherTok"/>
        </w:rPr>
        <w:t xml:space="preserve">&lt;-</w:t>
      </w:r>
      <w:r>
        <w:rPr>
          <w:rStyle w:val="NormalTok"/>
        </w:rPr>
        <w:t xml:space="preserve"> dataset_final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Categoria (LLM)</w:t>
      </w:r>
      <w:r>
        <w:rPr>
          <w:rStyle w:val="StringTok"/>
        </w:rPr>
        <w:t xml:space="preserve">`</w:t>
      </w:r>
      <w:r>
        <w:rPr>
          <w:rStyle w:val="NormalTok"/>
        </w:rPr>
        <w:t xml:space="preserve">, </w:t>
      </w:r>
      <w:r>
        <w:rPr>
          <w:rStyle w:val="StringTok"/>
        </w:rPr>
        <w:t xml:space="preserve">`</w:t>
      </w:r>
      <w:r>
        <w:rPr>
          <w:rStyle w:val="AttributeTok"/>
        </w:rPr>
        <w:t xml:space="preserve">Categoria (Calculada)</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w:t>
      </w:r>
    </w:p>
    <w:bookmarkEnd w:id="20"/>
    <w:bookmarkStart w:id="26" w:name="X4dc3495d6af814a3700a21b962658115c5d1403"/>
    <w:p>
      <w:pPr>
        <w:pStyle w:val="Ttulo1"/>
      </w:pPr>
      <w:r>
        <w:t xml:space="preserve">Exemplos Recomendações com Foco na Causa e Análise Convergente</w:t>
      </w:r>
    </w:p>
    <w:bookmarkStart w:id="21" w:name="auditoria-19780-constatação-nº-692350"/>
    <w:p>
      <w:pPr>
        <w:pStyle w:val="Ttulo2"/>
      </w:pPr>
      <w:r>
        <w:t xml:space="preserve">Auditoria 19780, Constatação Nº 692350</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O processo de armazenamento e a gestão de estoque dos imunobiológicos na Central Municipal de Rede de Frio de Lagarto/SE não são realizados integralmente de acordo com os normativos vigentes e as orientações preconizadas pelo PNI.</w:t>
      </w:r>
    </w:p>
    <w:p>
      <w:pPr>
        <w:pStyle w:val="Corpodetexto"/>
      </w:pPr>
      <w:r>
        <w:rPr>
          <w:b/>
          <w:bCs/>
        </w:rPr>
        <w:t xml:space="preserve">Recomendação</w:t>
      </w:r>
      <w:r>
        <w:t xml:space="preserve">: Elaborar Mapa Ilustrativo com identificação do equipamento e indicação dos imunobiológicos armazenados por compartimento; manter os registros do monitoramento da temperatura dos imunobiológicos por, pelo menos, dois anos; realizar gestão de estoque sistematizada que contemple o controle do estoque inicial e final, entradas, saídas, lotes, validade e a relação das UBSs que receberam imunobiológicos, com a respectiva indicação dos lotes e validade; e garantir a aplicação do</w:t>
      </w:r>
      <w:r>
        <w:t xml:space="preserve"> </w:t>
      </w:r>
      <w:r>
        <w:t xml:space="preserve">“Sistema Primeiro a Entrar, Primeiro a Sair (PEPS)”</w:t>
      </w:r>
      <w:r>
        <w:t xml:space="preserve">, em conformidade com o recomendado no subitem 7.2 do Manual de Rede de Frio do PNI (5ª edição, 2017), na RDC ANVISA Nº 63, de 25/11/2011, Capítulo II, Seção VIII, Art. 51, e na RDC ANVISA Nº 430, de 08/10/2020, Capítulo II, Seção IV, Art. 43.</w:t>
      </w:r>
    </w:p>
    <w:p>
      <w:pPr>
        <w:pStyle w:val="Corpodetexto"/>
      </w:pPr>
      <w:r>
        <w:rPr>
          <w:b/>
          <w:bCs/>
        </w:rPr>
        <w:t xml:space="preserve">Categoria via Codificação (Calculada): foco-causa</w:t>
      </w:r>
    </w:p>
    <w:p>
      <w:pPr>
        <w:pStyle w:val="Corpodetexto"/>
      </w:pPr>
      <w:r>
        <w:t xml:space="preserve">Análise Codificação: A recomendação aborda múltiplas ações para corrigir falhas no processo de armazenamento e gestão de estoque de imunobiológicos, incluindo a elaboração de um mapa ilustrativo, manutenção de registros de temperatura, gestão sistematizada de estoque e aplicação do sistema PEPS. Ela identifica causas institucionais como a falta de procedimentos padronizados, controles sistemáticos e documentação adequada, que são fatores estruturais. As soluções propostas, como a implementação de sistemas de gestão e documentação, têm potencial para perdurar no tempo, promovendo mudanças duradouras nos processos organizacionais.</w:t>
      </w:r>
    </w:p>
    <w:p>
      <w:pPr>
        <w:pStyle w:val="Compact"/>
        <w:numPr>
          <w:ilvl w:val="0"/>
          <w:numId w:val="1001"/>
        </w:numPr>
      </w:pPr>
      <w:r>
        <w:t xml:space="preserve">Causa Identificada: sim</w:t>
      </w:r>
    </w:p>
    <w:p>
      <w:pPr>
        <w:pStyle w:val="Compact"/>
        <w:numPr>
          <w:ilvl w:val="0"/>
          <w:numId w:val="1001"/>
        </w:numPr>
      </w:pPr>
      <w:r>
        <w:t xml:space="preserve">Causa Institucional: sim</w:t>
      </w:r>
    </w:p>
    <w:p>
      <w:pPr>
        <w:pStyle w:val="Compact"/>
        <w:numPr>
          <w:ilvl w:val="0"/>
          <w:numId w:val="1001"/>
        </w:numPr>
      </w:pPr>
      <w:r>
        <w:t xml:space="preserve">Solução Duradoura:sim</w:t>
      </w:r>
    </w:p>
    <w:p>
      <w:pPr>
        <w:pStyle w:val="FirstParagraph"/>
      </w:pPr>
      <w:r>
        <w:rPr>
          <w:b/>
          <w:bCs/>
        </w:rPr>
        <w:t xml:space="preserve">Categoria via Categorização Direta: foco-causa</w:t>
      </w:r>
    </w:p>
    <w:p>
      <w:pPr>
        <w:pStyle w:val="Corpodetexto"/>
      </w:pPr>
      <w:r>
        <w:t xml:space="preserve">Análise: A recomendação identifica múltiplas causas institucionais que levaram à condição detectada, incluindo a ausência de documentação adequada (mapa ilustrativo), falhas no registro e monitoramento de dados, falta de sistematização na gestão de estoque e não aplicação de procedimentos operacionais padronizados (PEPS). Essas causas estão situadas no nível institucional, relacionadas à estrutura de processos, controles e conformidade normativa. As transformações propostas, como a implementação de sistemas de registro, monitoramento e gestão, possuem potencial para perdurar no tempo, promovendo mudanças estruturais na operação da cadeia de frio.</w:t>
      </w:r>
    </w:p>
    <w:bookmarkEnd w:id="21"/>
    <w:bookmarkStart w:id="22" w:name="auditoria-19657-constatação-nº-685723"/>
    <w:p>
      <w:pPr>
        <w:pStyle w:val="Ttulo2"/>
      </w:pPr>
      <w:r>
        <w:t xml:space="preserve">Auditoria 19657, Constatação Nº 685723</w:t>
      </w:r>
    </w:p>
    <w:p>
      <w:pPr>
        <w:pStyle w:val="FirstParagraph"/>
      </w:pPr>
      <w:r>
        <w:rPr>
          <w:b/>
          <w:bCs/>
        </w:rPr>
        <w:t xml:space="preserve">Finalidade</w:t>
      </w:r>
      <w:r>
        <w:t xml:space="preserve">: Auditoria no PREVINE - PAA/2024</w:t>
      </w:r>
    </w:p>
    <w:p>
      <w:pPr>
        <w:pStyle w:val="Corpodetexto"/>
      </w:pPr>
      <w:r>
        <w:rPr>
          <w:b/>
          <w:bCs/>
        </w:rPr>
        <w:t xml:space="preserve">Constatação</w:t>
      </w:r>
      <w:r>
        <w:t xml:space="preserve">: Os instrumentos de gestão (PMS, PAS e RAG) do município do Novo Airão/AM não contemplam as informações quantitativas e qualitativas referentes aos indicadores do Programa Previne Brasil.</w:t>
      </w:r>
    </w:p>
    <w:p>
      <w:pPr>
        <w:pStyle w:val="Corpodetexto"/>
      </w:pPr>
      <w:r>
        <w:rPr>
          <w:b/>
          <w:bCs/>
        </w:rPr>
        <w:t xml:space="preserve">Recomendação</w:t>
      </w:r>
      <w:r>
        <w:t xml:space="preserve">: Elaborar os instrumentos de planejamento e gestão do município, (PMS, PAS e RAG) considerando todos os critérios para detalhamento das ações e serviços da APS, assim como informar o montante dos recursos financeiros recebidos e a fonte dos recursos aplicados, conforme estabelecido nos Arts. 96, 97, 99 da Portaria de Consolidação GM/MS Nº 1/2017, combinado o art. 36, da Lei Complementar Nº 141/2012, de modo que os instrumentos de planejamento e gestão contenham informações quantitativas (recursos financeiros) e qualitativas (ações, metas e o impacto social dos resultados obtidos) referentes aos 7 (sete) indicadores de desempenho do Programa Previne Brasil.</w:t>
      </w:r>
    </w:p>
    <w:p>
      <w:pPr>
        <w:pStyle w:val="Corpodetexto"/>
      </w:pPr>
      <w:r>
        <w:rPr>
          <w:b/>
          <w:bCs/>
        </w:rPr>
        <w:t xml:space="preserve">Categoria via Codificação (Calculada): foco-causa</w:t>
      </w:r>
    </w:p>
    <w:p>
      <w:pPr>
        <w:pStyle w:val="Corpodetexto"/>
      </w:pPr>
      <w:r>
        <w:t xml:space="preserve">Análise Codificação: A recomendação propõe a elaboração dos instrumentos de planejamento e gestão (PMS, PAS e RAG) do município, incluindo informações quantitativas e qualitativas sobre os indicadores do Programa Previne Brasil, conforme normativas legais. Ela identifica a causa como a ausência dessas informações nos instrumentos, situada no nível institucional (estrutura de planejamento municipal), e a solução visa estabelecer um processo permanente de registro e monitoramento, com potencial para perdurar no tempo.</w:t>
      </w:r>
    </w:p>
    <w:p>
      <w:pPr>
        <w:pStyle w:val="Compact"/>
        <w:numPr>
          <w:ilvl w:val="0"/>
          <w:numId w:val="1002"/>
        </w:numPr>
      </w:pPr>
      <w:r>
        <w:t xml:space="preserve">Causa Identificada: sim</w:t>
      </w:r>
    </w:p>
    <w:p>
      <w:pPr>
        <w:pStyle w:val="Compact"/>
        <w:numPr>
          <w:ilvl w:val="0"/>
          <w:numId w:val="1002"/>
        </w:numPr>
      </w:pPr>
      <w:r>
        <w:t xml:space="preserve">Causa Institucional: sim</w:t>
      </w:r>
    </w:p>
    <w:p>
      <w:pPr>
        <w:pStyle w:val="Compact"/>
        <w:numPr>
          <w:ilvl w:val="0"/>
          <w:numId w:val="1002"/>
        </w:numPr>
      </w:pPr>
      <w:r>
        <w:t xml:space="preserve">Solução Duradoura:sim</w:t>
      </w:r>
    </w:p>
    <w:p>
      <w:pPr>
        <w:pStyle w:val="FirstParagraph"/>
      </w:pPr>
      <w:r>
        <w:rPr>
          <w:b/>
          <w:bCs/>
        </w:rPr>
        <w:t xml:space="preserve">Categoria via Categorização Direta: foco-causa</w:t>
      </w:r>
    </w:p>
    <w:p>
      <w:pPr>
        <w:pStyle w:val="Corpodetexto"/>
      </w:pPr>
      <w:r>
        <w:t xml:space="preserve">Análise: A recomendação identifica a causa (ausência de informações quantitativas e qualitativas nos instrumentos de gestão) que levou à condição detectada, situa-se no nível institucional (estrutura de planejamento e gestão municipal) e as transformações produzidas (implementação de instrumentos de gestão completos e padronizados) possuem potencial para perdurar no tempo, constituindo uma mudança estrutural.</w:t>
      </w:r>
    </w:p>
    <w:bookmarkEnd w:id="22"/>
    <w:bookmarkStart w:id="23" w:name="auditoria-19616-constatação-nº-676174"/>
    <w:p>
      <w:pPr>
        <w:pStyle w:val="Ttulo2"/>
      </w:pPr>
      <w:r>
        <w:t xml:space="preserve">Auditoria 19616, Constatação Nº 676174</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Ausência de demonstração da definição do valor de referência para as despesas estabelecidas no Plano de Trabalho do Convênio de 2022.</w:t>
      </w:r>
    </w:p>
    <w:p>
      <w:pPr>
        <w:pStyle w:val="Corpodetexto"/>
      </w:pPr>
      <w:r>
        <w:rPr>
          <w:b/>
          <w:bCs/>
        </w:rPr>
        <w:t xml:space="preserve">Recomendação</w:t>
      </w:r>
      <w:r>
        <w:t xml:space="preserve">: Adotar as providências no sentido de solicitar das proponentes, para os próximos convênios a serem celebrados, que os Planos de Trabalho apresentados detenham demonstrativo das pesquisas de preço no mercado para definição dos valores de referência das despesas estabelecidas, conforme apresentado em justificativa encaminha, observando o que dispõe os arts. 3º e 5º da IN SEGES /ME nº 65, de 07/07/2021, bem como o inciso XXXIV, do §1º, do art. 1º, e inciso V, art. 19 da Portaria InterministerialMP/MF/CGU nº 424/2016.</w:t>
      </w:r>
    </w:p>
    <w:p>
      <w:pPr>
        <w:pStyle w:val="Corpodetexto"/>
      </w:pPr>
      <w:r>
        <w:rPr>
          <w:b/>
          <w:bCs/>
        </w:rPr>
        <w:t xml:space="preserve">Categoria via Codificação (Calculada): foco-causa</w:t>
      </w:r>
    </w:p>
    <w:p>
      <w:pPr>
        <w:pStyle w:val="Corpodetexto"/>
      </w:pPr>
      <w:r>
        <w:t xml:space="preserve">Análise Codificação: A recomendação propõe que, para futuros convênios, os Planos de Trabalho incluam demonstrativos de pesquisas de preço para definir valores de referência, com base em normativas específicas. Ela identifica a causa como a ausência de procedimentos formais para comprovação de preços, situando-a no nível institucional (falta de exigência documental padronizada), e a solução (exigir demonstrativos) tem potencial para perdurar, pois estabelece um requisito permanente nos processos de celebração de convênios.</w:t>
      </w:r>
    </w:p>
    <w:p>
      <w:pPr>
        <w:pStyle w:val="Compact"/>
        <w:numPr>
          <w:ilvl w:val="0"/>
          <w:numId w:val="1003"/>
        </w:numPr>
      </w:pPr>
      <w:r>
        <w:t xml:space="preserve">Causa Identificada: sim</w:t>
      </w:r>
    </w:p>
    <w:p>
      <w:pPr>
        <w:pStyle w:val="Compact"/>
        <w:numPr>
          <w:ilvl w:val="0"/>
          <w:numId w:val="1003"/>
        </w:numPr>
      </w:pPr>
      <w:r>
        <w:t xml:space="preserve">Causa Institucional: sim</w:t>
      </w:r>
    </w:p>
    <w:p>
      <w:pPr>
        <w:pStyle w:val="Compact"/>
        <w:numPr>
          <w:ilvl w:val="0"/>
          <w:numId w:val="1003"/>
        </w:numPr>
      </w:pPr>
      <w:r>
        <w:t xml:space="preserve">Solução Duradoura:sim</w:t>
      </w:r>
    </w:p>
    <w:p>
      <w:pPr>
        <w:pStyle w:val="FirstParagraph"/>
      </w:pPr>
      <w:r>
        <w:rPr>
          <w:b/>
          <w:bCs/>
        </w:rPr>
        <w:t xml:space="preserve">Categoria via Categorização Direta: foco-causa</w:t>
      </w:r>
    </w:p>
    <w:p>
      <w:pPr>
        <w:pStyle w:val="Corpodetexto"/>
      </w:pPr>
      <w:r>
        <w:t xml:space="preserve">Análise: A recomendação identifica a causa da ausência de demonstração de valores de referência (falta de exigência formal nos processos futuros) e está situada no nível institucional, ao propor a implementação de um requisito permanente para todos os próximos convênios, com base em normativas legais. As transformações possuem potencial para perdurar no tempo, pois estabelecem um procedimento padrão que evitará a repetição do problema.</w:t>
      </w:r>
    </w:p>
    <w:bookmarkEnd w:id="23"/>
    <w:bookmarkStart w:id="24" w:name="auditoria-19762-constatação-nº-694339"/>
    <w:p>
      <w:pPr>
        <w:pStyle w:val="Ttulo2"/>
      </w:pPr>
      <w:r>
        <w:t xml:space="preserve">Auditoria 19762, Constatação Nº 694339</w:t>
      </w:r>
    </w:p>
    <w:p>
      <w:pPr>
        <w:pStyle w:val="FirstParagraph"/>
      </w:pPr>
      <w:r>
        <w:rPr>
          <w:b/>
          <w:bCs/>
        </w:rPr>
        <w:t xml:space="preserve">Finalidade</w:t>
      </w:r>
      <w:r>
        <w:t xml:space="preserve">: Verificar a regularidade na aquisição de insumos da grade de materiais químicos</w:t>
      </w:r>
    </w:p>
    <w:p>
      <w:pPr>
        <w:pStyle w:val="Corpodetexto"/>
      </w:pPr>
      <w:r>
        <w:rPr>
          <w:b/>
          <w:bCs/>
        </w:rPr>
        <w:t xml:space="preserve">Constatação</w:t>
      </w:r>
      <w:r>
        <w:t xml:space="preserve">: O HFSE não tem realizado prioritariamente licitações para a aquisição de insumos da grade de materiais químicos.</w:t>
      </w:r>
    </w:p>
    <w:p>
      <w:pPr>
        <w:pStyle w:val="Corpodetexto"/>
      </w:pPr>
      <w:r>
        <w:rPr>
          <w:b/>
          <w:bCs/>
        </w:rPr>
        <w:t xml:space="preserve">Recomendação</w:t>
      </w:r>
      <w:r>
        <w:t xml:space="preserve">: Planejar as futuras aquisições de materiais químicos priorizando a realização de pregão próprio, conforme Lei n.° 14.133, de 2021, em detrimento de adesões reiteradas, bem como considerar o processamento dessa por meio de sistema de registro de preços, conforme regulamentado pelo Decreto n.° 11.462, de 2023.</w:t>
      </w:r>
    </w:p>
    <w:p>
      <w:pPr>
        <w:pStyle w:val="Corpodetexto"/>
      </w:pPr>
      <w:r>
        <w:rPr>
          <w:b/>
          <w:bCs/>
        </w:rPr>
        <w:t xml:space="preserve">Categoria via Codificação (Calculada): foco-causa</w:t>
      </w:r>
    </w:p>
    <w:p>
      <w:pPr>
        <w:pStyle w:val="Corpodetexto"/>
      </w:pPr>
      <w:r>
        <w:t xml:space="preserve">Análise Codificação: A recomendação propõe que o HFSE planeje as futuras aquisições de materiais químicos priorizando pregão próprio e considerando sistema de registro de preços, em vez de adesões reiteradas. Isso aborda a causa da falta de planejamento e dependência de adesões, situando-a no nível institucional (processos de compras) e promovendo uma solução duradoura ao estabelecer mudanças estruturais nos procedimentos de aquisição.</w:t>
      </w:r>
    </w:p>
    <w:p>
      <w:pPr>
        <w:pStyle w:val="Compact"/>
        <w:numPr>
          <w:ilvl w:val="0"/>
          <w:numId w:val="1004"/>
        </w:numPr>
      </w:pPr>
      <w:r>
        <w:t xml:space="preserve">Causa Identificada: sim</w:t>
      </w:r>
    </w:p>
    <w:p>
      <w:pPr>
        <w:pStyle w:val="Compact"/>
        <w:numPr>
          <w:ilvl w:val="0"/>
          <w:numId w:val="1004"/>
        </w:numPr>
      </w:pPr>
      <w:r>
        <w:t xml:space="preserve">Causa Institucional: sim</w:t>
      </w:r>
    </w:p>
    <w:p>
      <w:pPr>
        <w:pStyle w:val="Compact"/>
        <w:numPr>
          <w:ilvl w:val="0"/>
          <w:numId w:val="1004"/>
        </w:numPr>
      </w:pPr>
      <w:r>
        <w:t xml:space="preserve">Solução Duradoura:sim</w:t>
      </w:r>
    </w:p>
    <w:p>
      <w:pPr>
        <w:pStyle w:val="FirstParagraph"/>
      </w:pPr>
      <w:r>
        <w:rPr>
          <w:b/>
          <w:bCs/>
        </w:rPr>
        <w:t xml:space="preserve">Categoria via Categorização Direta: foco-causa</w:t>
      </w:r>
    </w:p>
    <w:p>
      <w:pPr>
        <w:pStyle w:val="Corpodetexto"/>
      </w:pPr>
      <w:r>
        <w:t xml:space="preserve">Análise: A recomendação identifica a causa da condição detectada (falta de planejamento nas aquisições) e propõe mudanças institucionais (priorização de pregão próprio e uso de sistema de registro de preços) que, se implementadas, terão efeito duradouro, alterando processos organizacionais de forma estrutural.</w:t>
      </w:r>
    </w:p>
    <w:bookmarkEnd w:id="24"/>
    <w:bookmarkStart w:id="25" w:name="auditoria-19620-constatação-nº-685627"/>
    <w:p>
      <w:pPr>
        <w:pStyle w:val="Ttulo2"/>
      </w:pPr>
      <w:r>
        <w:t xml:space="preserve">Auditoria 19620, Constatação Nº 685627</w:t>
      </w:r>
    </w:p>
    <w:p>
      <w:pPr>
        <w:pStyle w:val="FirstParagraph"/>
      </w:pPr>
      <w:r>
        <w:rPr>
          <w:b/>
          <w:bCs/>
        </w:rPr>
        <w:t xml:space="preserve">Finalidade</w:t>
      </w:r>
      <w:r>
        <w:t xml:space="preserve">: Verificar regularidade recebimento, armazenamento, dispensação e utilização das OPME</w:t>
      </w:r>
    </w:p>
    <w:p>
      <w:pPr>
        <w:pStyle w:val="Corpodetexto"/>
      </w:pPr>
      <w:r>
        <w:rPr>
          <w:b/>
          <w:bCs/>
        </w:rPr>
        <w:t xml:space="preserve">Constatação</w:t>
      </w:r>
      <w:r>
        <w:t xml:space="preserve">: Os exames de imagem para controle da utilização das OPME cardiovasculares implantadas nos pacientes submetidos à intervenção cirúrgica no Hospital Federal dos Servidores do Estado (HFSE) não foram anexados em todos os prontuários analisados.</w:t>
      </w:r>
    </w:p>
    <w:p>
      <w:pPr>
        <w:pStyle w:val="Corpodetexto"/>
      </w:pPr>
      <w:r>
        <w:rPr>
          <w:b/>
          <w:bCs/>
        </w:rPr>
        <w:t xml:space="preserve">Recomendação</w:t>
      </w:r>
      <w:r>
        <w:t xml:space="preserve">: Implantar rotina de inserção dos exames imagem para controle da utilização das OPME implantadas nos pacientes submetidos à intervenção cirúrgica nos prontuários do HFSE, conforme o disposto no item 6.3 (CONTROLE DA OPME), do CAPÍTULO 6 (UTILIZAÇÃO, CONTROLE E RASTREABILIDADE), do Manual de Boas Práticas de Gestão das Órteses, Próteses e Materiais Especiais (OPME) - Ministério da Saúde, 2016 e no item 28.1 - Registro de Notas Fiscais no SISAIAH01 do Manual Técnico Operacional do Sistema de Informação Hospitalar (versão 2017). Assegurar que as informações de rastreabilidade estejam nos prontuários dos pacientes que utilizaram OPME de forma clara e segura conforme o disposto no item 6.4 (RASTREABILIDADE DA OPME), do Manual de Boas Práticas de Gestão das Órteses, Próteses e Materiais Especiais (OPME) - Ministério da Saúde, 2016. Estabelecer medidas que assegurem a implementação dos controles internos e da política de governança da administração conforme dispõem a Instrução Normativa Conjunta MP/CGU nº 01/2016 e o Decreto nº 9203/2017. Prestar toda informação necessária ao desempenho das atividades de controle, avaliação e auditoria, quando exigida, pelo Sistema Nacional de Auditoria do SUS, facilitando-lhes o acesso a documentos, conforme o art. 11, do Decreto n.º 1.651, de 28 de setembro de 1995.</w:t>
      </w:r>
    </w:p>
    <w:p>
      <w:pPr>
        <w:pStyle w:val="Corpodetexto"/>
      </w:pPr>
      <w:r>
        <w:rPr>
          <w:b/>
          <w:bCs/>
        </w:rPr>
        <w:t xml:space="preserve">Categoria via Codificação (Calculada): foco-causa</w:t>
      </w:r>
    </w:p>
    <w:p>
      <w:pPr>
        <w:pStyle w:val="Corpodetexto"/>
      </w:pPr>
      <w:r>
        <w:t xml:space="preserve">Análise Codificação: A recomendação propõe a implantação de rotinas formais para inserção de exames de imagem nos prontuários e estabelecimento de controles internos e política de governança, identificando causas institucionais como ausência de processos estruturados e controles adequados, com soluções que visam mudanças duradouras na organização.</w:t>
      </w:r>
    </w:p>
    <w:p>
      <w:pPr>
        <w:pStyle w:val="Compact"/>
        <w:numPr>
          <w:ilvl w:val="0"/>
          <w:numId w:val="1005"/>
        </w:numPr>
      </w:pPr>
      <w:r>
        <w:t xml:space="preserve">Causa Identificada: sim</w:t>
      </w:r>
    </w:p>
    <w:p>
      <w:pPr>
        <w:pStyle w:val="Compact"/>
        <w:numPr>
          <w:ilvl w:val="0"/>
          <w:numId w:val="1005"/>
        </w:numPr>
      </w:pPr>
      <w:r>
        <w:t xml:space="preserve">Causa Institucional: sim</w:t>
      </w:r>
    </w:p>
    <w:p>
      <w:pPr>
        <w:pStyle w:val="Compact"/>
        <w:numPr>
          <w:ilvl w:val="0"/>
          <w:numId w:val="1005"/>
        </w:numPr>
      </w:pPr>
      <w:r>
        <w:t xml:space="preserve">Solução Duradoura:sim</w:t>
      </w:r>
    </w:p>
    <w:p>
      <w:pPr>
        <w:pStyle w:val="FirstParagraph"/>
      </w:pPr>
      <w:r>
        <w:rPr>
          <w:b/>
          <w:bCs/>
        </w:rPr>
        <w:t xml:space="preserve">Categoria via Categorização Direta: foco-causa</w:t>
      </w:r>
    </w:p>
    <w:p>
      <w:pPr>
        <w:pStyle w:val="Corpodetexto"/>
      </w:pPr>
      <w:r>
        <w:t xml:space="preserve">Análise: A recomendação propõe a implantação de uma rotina formal para inserção de exames de imagem nos prontuários, estabelecimento de controles internos e política de governança, e garantia de acesso a informações para auditoria. Ela identifica a causa institucional da falha (ausência de rotinas e controles formais), situa-se no nível organizacional (implantação de processos e políticas), e as transformações propostas (rotinas estabelecidas, controles internos implementados) possuem potencial para perdurar no tempo, constituindo mudanças estruturais.</w:t>
      </w:r>
    </w:p>
    <w:bookmarkEnd w:id="25"/>
    <w:bookmarkEnd w:id="26"/>
    <w:bookmarkStart w:id="32" w:name="X689d3935c18315b4f24d3173805b8f0f8c764fb"/>
    <w:p>
      <w:pPr>
        <w:pStyle w:val="Ttulo1"/>
      </w:pPr>
      <w:r>
        <w:t xml:space="preserve">Exemplos Recomendações com Foco na Condição e Análise Convergente</w:t>
      </w:r>
    </w:p>
    <w:bookmarkStart w:id="27" w:name="auditoria-19475-constatação-nº-666158"/>
    <w:p>
      <w:pPr>
        <w:pStyle w:val="Ttulo2"/>
      </w:pPr>
      <w:r>
        <w:t xml:space="preserve">Auditoria 19475, Constatação Nº 666158</w:t>
      </w:r>
    </w:p>
    <w:p>
      <w:pPr>
        <w:pStyle w:val="FirstParagraph"/>
      </w:pPr>
      <w:r>
        <w:rPr>
          <w:b/>
          <w:bCs/>
        </w:rPr>
        <w:t xml:space="preserve">Finalidade</w:t>
      </w:r>
      <w:r>
        <w:t xml:space="preserve">: Verificar a regularidade da gestão e funcionamento do Serviço de Atendimento Móvel de Urgência 192.</w:t>
      </w:r>
    </w:p>
    <w:p>
      <w:pPr>
        <w:pStyle w:val="Corpodetexto"/>
      </w:pPr>
      <w:r>
        <w:rPr>
          <w:b/>
          <w:bCs/>
        </w:rPr>
        <w:t xml:space="preserve">Constatação</w:t>
      </w:r>
      <w:r>
        <w:t xml:space="preserve">: O SAMU 192 de Boa Vista não atende à padronização prevista no Manual de Identidade Visual relativo as Unidades Móveis.</w:t>
      </w:r>
    </w:p>
    <w:p>
      <w:pPr>
        <w:pStyle w:val="Corpodetexto"/>
      </w:pPr>
      <w:r>
        <w:rPr>
          <w:b/>
          <w:bCs/>
        </w:rPr>
        <w:t xml:space="preserve">Recomendação</w:t>
      </w:r>
      <w:r>
        <w:t xml:space="preserve">: Recomenda-se à SMSA de Boa Vista providenciar a adequação das Unidades Móveis, em observância ao disposto no Manual de Identidade Visual SAMU 192 e ao Grafismo e Layout das Ambulâncias Furgão.</w:t>
      </w:r>
    </w:p>
    <w:p>
      <w:pPr>
        <w:pStyle w:val="Corpodetexto"/>
      </w:pPr>
      <w:r>
        <w:rPr>
          <w:b/>
          <w:bCs/>
        </w:rPr>
        <w:t xml:space="preserve">Categoria via Codificação (Calculada): foco-condicao</w:t>
      </w:r>
    </w:p>
    <w:p>
      <w:pPr>
        <w:pStyle w:val="Corpodetexto"/>
      </w:pPr>
      <w:r>
        <w:t xml:space="preserve">Análise Codificação: A recomendação propõe a adequação das Unidades Móveis ao Manual de Identidade Visual do SAMU 192, visando corrigir a não conformidade identificada. No entanto, não aborda explicitamente as causas subjacentes que levaram à falta de padronização, como possíveis falhas nos processos de aquisição, manutenção ou fiscalização, nem garante que a solução perdurará no tempo sem medidas complementares.</w:t>
      </w:r>
    </w:p>
    <w:p>
      <w:pPr>
        <w:pStyle w:val="Compact"/>
        <w:numPr>
          <w:ilvl w:val="0"/>
          <w:numId w:val="1006"/>
        </w:numPr>
      </w:pPr>
      <w:r>
        <w:t xml:space="preserve">Causa Identificada: não</w:t>
      </w:r>
    </w:p>
    <w:p>
      <w:pPr>
        <w:pStyle w:val="Compact"/>
        <w:numPr>
          <w:ilvl w:val="0"/>
          <w:numId w:val="1006"/>
        </w:numPr>
      </w:pPr>
      <w:r>
        <w:t xml:space="preserve">Causa Institucional: não</w:t>
      </w:r>
    </w:p>
    <w:p>
      <w:pPr>
        <w:pStyle w:val="Compact"/>
        <w:numPr>
          <w:ilvl w:val="0"/>
          <w:numId w:val="1006"/>
        </w:numPr>
      </w:pPr>
      <w:r>
        <w:t xml:space="preserve">Solução Duradoura:não</w:t>
      </w:r>
    </w:p>
    <w:p>
      <w:pPr>
        <w:pStyle w:val="FirstParagraph"/>
      </w:pPr>
      <w:r>
        <w:rPr>
          <w:b/>
          <w:bCs/>
        </w:rPr>
        <w:t xml:space="preserve">Categoria via Categorização Direta: foco-condicao</w:t>
      </w:r>
    </w:p>
    <w:p>
      <w:pPr>
        <w:pStyle w:val="Corpodetexto"/>
      </w:pPr>
      <w:r>
        <w:t xml:space="preserve">Análise: A recomendação direciona-se à correção imediata da condição observada (inadequação das unidades móveis ao manual de identidade visual), sem identificar ou abordar as causas institucionais que levaram a essa condição, como falhas em processos de aquisição, fiscalização ou capacitação. A solução proposta é pontual e não assegura mudanças duradouras que previnam a recorrência do problema.</w:t>
      </w:r>
    </w:p>
    <w:bookmarkEnd w:id="27"/>
    <w:bookmarkStart w:id="28" w:name="auditoria-19744-constatação-nº-693188"/>
    <w:p>
      <w:pPr>
        <w:pStyle w:val="Ttulo2"/>
      </w:pPr>
      <w:r>
        <w:t xml:space="preserve">Auditoria 19744, Constatação Nº 693188</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O quantitativo de imunobiológicos recebidos na CMRF não atende à necessidade do município de Ji-Paraná.</w:t>
      </w:r>
    </w:p>
    <w:p>
      <w:pPr>
        <w:pStyle w:val="Corpodetexto"/>
      </w:pPr>
      <w:r>
        <w:rPr>
          <w:b/>
          <w:bCs/>
        </w:rPr>
        <w:t xml:space="preserve">Recomendação</w:t>
      </w:r>
      <w:r>
        <w:t xml:space="preserve">: Adequar e realizar o planejamento e gestão dos imunobiológicos afim de recebe o quantitativo suficiente de todos os imunobiológicos para atender a necessidade do município, conforme as orientações dispostas no subitem 8.10, pág. 103, do Manual de Rede Frio do PNI, 2017.</w:t>
      </w:r>
    </w:p>
    <w:p>
      <w:pPr>
        <w:pStyle w:val="Corpodetexto"/>
      </w:pPr>
      <w:r>
        <w:rPr>
          <w:b/>
          <w:bCs/>
        </w:rPr>
        <w:t xml:space="preserve">Categoria via Codificação (Calculada): foco-condicao</w:t>
      </w:r>
    </w:p>
    <w:p>
      <w:pPr>
        <w:pStyle w:val="Corpodetexto"/>
      </w:pPr>
      <w:r>
        <w:t xml:space="preserve">Análise Codificação: A recomendação propõe a adequação do planejamento e gestão dos imunobiológicos para garantir o quantitativo suficiente, visando corrigir a falha identificada na cadeia de frio. No entanto, não especifica claramente as causas institucionais subjacentes (como deficiências em processos de previsão de demanda, capacitação de pessoal ou sistemas de monitoramento), focando mais na condição imediata de inadequação do quantitativo. A solução, embora possa ter algum caráter duradouro se implementada, não é explicitamente estruturada para abordar causas profundas e perenes.</w:t>
      </w:r>
    </w:p>
    <w:p>
      <w:pPr>
        <w:pStyle w:val="Compact"/>
        <w:numPr>
          <w:ilvl w:val="0"/>
          <w:numId w:val="1007"/>
        </w:numPr>
      </w:pPr>
      <w:r>
        <w:t xml:space="preserve">Causa Identificada: não</w:t>
      </w:r>
    </w:p>
    <w:p>
      <w:pPr>
        <w:pStyle w:val="Compact"/>
        <w:numPr>
          <w:ilvl w:val="0"/>
          <w:numId w:val="1007"/>
        </w:numPr>
      </w:pPr>
      <w:r>
        <w:t xml:space="preserve">Causa Institucional: não</w:t>
      </w:r>
    </w:p>
    <w:p>
      <w:pPr>
        <w:pStyle w:val="Compact"/>
        <w:numPr>
          <w:ilvl w:val="0"/>
          <w:numId w:val="1007"/>
        </w:numPr>
      </w:pPr>
      <w:r>
        <w:t xml:space="preserve">Solução Duradoura:sim</w:t>
      </w:r>
    </w:p>
    <w:p>
      <w:pPr>
        <w:pStyle w:val="FirstParagraph"/>
      </w:pPr>
      <w:r>
        <w:rPr>
          <w:b/>
          <w:bCs/>
        </w:rPr>
        <w:t xml:space="preserve">Categoria via Categorização Direta: foco-condicao</w:t>
      </w:r>
    </w:p>
    <w:p>
      <w:pPr>
        <w:pStyle w:val="Corpodetexto"/>
      </w:pPr>
      <w:r>
        <w:t xml:space="preserve">Análise: A recomendação identifica a necessidade de adequar o planejamento e gestão dos imunobiológicos, o que sugere uma abordagem voltada à causa institucional (falhas no processo de planejamento) e não apenas à condição específica (quantitativo insuficiente). No entanto, a recomendação não explicita claramente as causas estruturais que levaram à falha no planejamento (ex.: ausência de protocolos, capacitação inadequada, deficiências na previsão de demanda). Além disso, as mudanças propostas (adequação do planejamento) possuem potencial para perdurar no tempo, mas a falta de especificidade sobre as causas impede que todos os critérios sejam atendidos de forma inequívoca.</w:t>
      </w:r>
    </w:p>
    <w:bookmarkEnd w:id="28"/>
    <w:bookmarkStart w:id="29" w:name="auditoria-18714-constatação-nº-671357"/>
    <w:p>
      <w:pPr>
        <w:pStyle w:val="Ttulo2"/>
      </w:pPr>
      <w:r>
        <w:t xml:space="preserve">Auditoria 18714, Constatação Nº 671357</w:t>
      </w:r>
    </w:p>
    <w:p>
      <w:pPr>
        <w:pStyle w:val="FirstParagraph"/>
      </w:pPr>
      <w:r>
        <w:rPr>
          <w:b/>
          <w:bCs/>
        </w:rPr>
        <w:t xml:space="preserve">Finalidade</w:t>
      </w:r>
      <w:r>
        <w:t xml:space="preserve">: Verificar a regular utilização de recursos da fonte n°117 na aquisição de veículos pela SMS.</w:t>
      </w:r>
    </w:p>
    <w:p>
      <w:pPr>
        <w:pStyle w:val="Corpodetexto"/>
      </w:pPr>
      <w:r>
        <w:rPr>
          <w:b/>
          <w:bCs/>
        </w:rPr>
        <w:t xml:space="preserve">Constatação</w:t>
      </w:r>
      <w:r>
        <w:t xml:space="preserve">: A Secretaria Municipal de Saúde de Cabo Frio/RJ realizou despesa por meio da nota de empenho nº 192/2018 com fonte de recursos federais - 117 - UBS, em Programa de Trabalho não correlato com Orçamento Geral da União que deu origem ao repasse.</w:t>
      </w:r>
    </w:p>
    <w:p>
      <w:pPr>
        <w:pStyle w:val="Corpodetexto"/>
      </w:pPr>
      <w:r>
        <w:rPr>
          <w:b/>
          <w:bCs/>
        </w:rPr>
        <w:t xml:space="preserve">Recomendação</w:t>
      </w:r>
      <w:r>
        <w:t xml:space="preserve">: A Secretaria Municipal de Saúde de Cabo Frio/RJ deve recompor o próprio Fundo Municipal de Saúde no valor de R$ 33.000,00 (trinta e três mil reais), atualizado monetariamente e com os acréscimos legais, no Grupo de Financiamento Atenção de Média e Alta Complexidade do Bloco de Manutenção das Ações e Serviços Públicos de Saúde, conforme indicativo na Planilha de Proposição de Devolução, parte integrante deste Relatório, em cumprimento ao art. 3º da Decisão Normativa TCU nº 57, de 05/05/2004.</w:t>
      </w:r>
    </w:p>
    <w:p>
      <w:pPr>
        <w:pStyle w:val="Corpodetexto"/>
      </w:pPr>
      <w:r>
        <w:rPr>
          <w:b/>
          <w:bCs/>
        </w:rPr>
        <w:t xml:space="preserve">Categoria via Codificação (Calculada): foco-condicao</w:t>
      </w:r>
    </w:p>
    <w:p>
      <w:pPr>
        <w:pStyle w:val="Corpodetexto"/>
      </w:pPr>
      <w:r>
        <w:t xml:space="preserve">Análise Codificação: A recomendação visa a devolução de recursos utilizados indevidamente, focando na correção da irregularidade financeira específica identificada, sem abordar as causas institucionais que permitiram a ocorrência do desvio orçamentário.</w:t>
      </w:r>
    </w:p>
    <w:p>
      <w:pPr>
        <w:pStyle w:val="Compact"/>
        <w:numPr>
          <w:ilvl w:val="0"/>
          <w:numId w:val="1008"/>
        </w:numPr>
      </w:pPr>
      <w:r>
        <w:t xml:space="preserve">Causa Identificada: não</w:t>
      </w:r>
    </w:p>
    <w:p>
      <w:pPr>
        <w:pStyle w:val="Compact"/>
        <w:numPr>
          <w:ilvl w:val="0"/>
          <w:numId w:val="1008"/>
        </w:numPr>
      </w:pPr>
      <w:r>
        <w:t xml:space="preserve">Causa Institucional: não</w:t>
      </w:r>
    </w:p>
    <w:p>
      <w:pPr>
        <w:pStyle w:val="Compact"/>
        <w:numPr>
          <w:ilvl w:val="0"/>
          <w:numId w:val="1008"/>
        </w:numPr>
      </w:pPr>
      <w:r>
        <w:t xml:space="preserve">Solução Duradoura:não</w:t>
      </w:r>
    </w:p>
    <w:p>
      <w:pPr>
        <w:pStyle w:val="FirstParagraph"/>
      </w:pPr>
      <w:r>
        <w:rPr>
          <w:b/>
          <w:bCs/>
        </w:rPr>
        <w:t xml:space="preserve">Categoria via Categorização Direta: foco-condicao</w:t>
      </w:r>
    </w:p>
    <w:p>
      <w:pPr>
        <w:pStyle w:val="Corpodetexto"/>
      </w:pPr>
      <w:r>
        <w:t xml:space="preserve">Análise: A recomendação propõe a recomposição financeira do Fundo Municipal de Saúde para corrigir a despesa irregular realizada com recursos federais, focando na restituição do valor desviado. Embora essencial para regularizar a situação financeira, ela não identifica as causas institucionais que permitiram a despesa em programa de trabalho não correlato (como falhas em controles internos, capacitação ou processos de fiscalização), nem promove mudanças estruturais para prevenir recorrências. As transformações são pontuais (correção do valor) e não garantem durabilidade, pois não abordam fatores subjacentes.</w:t>
      </w:r>
    </w:p>
    <w:bookmarkEnd w:id="29"/>
    <w:bookmarkStart w:id="30" w:name="auditoria-19790-constatação-nº-694452"/>
    <w:p>
      <w:pPr>
        <w:pStyle w:val="Ttulo2"/>
      </w:pPr>
      <w:r>
        <w:t xml:space="preserve">Auditoria 19790, Constatação Nº 694452</w:t>
      </w:r>
    </w:p>
    <w:p>
      <w:pPr>
        <w:pStyle w:val="FirstParagraph"/>
      </w:pPr>
      <w:r>
        <w:rPr>
          <w:b/>
          <w:bCs/>
        </w:rPr>
        <w:t xml:space="preserve">Finalidade</w:t>
      </w:r>
      <w:r>
        <w:t xml:space="preserve">: Avaliar se a Atenção Primária exerce as atribuições de coordenadora da Rede de At. Psicossocial-RAPS</w:t>
      </w:r>
    </w:p>
    <w:p>
      <w:pPr>
        <w:pStyle w:val="Corpodetexto"/>
      </w:pPr>
      <w:r>
        <w:rPr>
          <w:b/>
          <w:bCs/>
        </w:rPr>
        <w:t xml:space="preserve">Constatação</w:t>
      </w:r>
      <w:r>
        <w:t xml:space="preserve">: As UBSs visitadas não realizaram a continuidade do cuidado na saúde mental ou ação de redução de danos a grupos específicos de pacientes, nos anos de 2022 e 2023.</w:t>
      </w:r>
    </w:p>
    <w:p>
      <w:pPr>
        <w:pStyle w:val="Corpodetexto"/>
      </w:pPr>
      <w:r>
        <w:rPr>
          <w:b/>
          <w:bCs/>
        </w:rPr>
        <w:t xml:space="preserve">Recomendação</w:t>
      </w:r>
      <w:r>
        <w:t xml:space="preserve">: Assegurar que as equipes de Saúde da Família realizem a continuidade do cuidado ou ação de redução de danos para pacientes com alguma condição de saúde mental, bem como para grupos específicos, no âmbito da Atenção Primária à Saúde, a fim de cumprir o Inciso I, Art. 4º, do Anexo V - Rede de Atenção Psicossocial (RAPS), Portaria de Consolidação GM/MS n.º 3, de 28/9/2017.</w:t>
      </w:r>
    </w:p>
    <w:p>
      <w:pPr>
        <w:pStyle w:val="Corpodetexto"/>
      </w:pPr>
      <w:r>
        <w:rPr>
          <w:b/>
          <w:bCs/>
        </w:rPr>
        <w:t xml:space="preserve">Categoria via Codificação (Calculada): foco-condicao</w:t>
      </w:r>
    </w:p>
    <w:p>
      <w:pPr>
        <w:pStyle w:val="Corpodetexto"/>
      </w:pPr>
      <w:r>
        <w:t xml:space="preserve">Análise Codificação: A recomendação propõe que as equipes de Saúde da Família realizem a continuidade do cuidado ou ações de redução de danos para pacientes com condições de saúde mental, visando cumprir a normativa específica. No entanto, ela não identifica explicitamente as causas que levaram à não realização dessas ações (como falta de capacitação, recursos insuficientes ou falhas na gestão), focando-se na correção da condição observada (ausência de cuidado). A causa subjacente não é abordada em nível institucional (como mudanças em processos, políticas ou estruturas), e a solução sugerida (assegurar a realização das ações) não garante transformações duradouras, pois pode depender de esforços pontuais sem alterar fatores estruturais.</w:t>
      </w:r>
    </w:p>
    <w:p>
      <w:pPr>
        <w:pStyle w:val="Compact"/>
        <w:numPr>
          <w:ilvl w:val="0"/>
          <w:numId w:val="1009"/>
        </w:numPr>
      </w:pPr>
      <w:r>
        <w:t xml:space="preserve">Causa Identificada: não</w:t>
      </w:r>
    </w:p>
    <w:p>
      <w:pPr>
        <w:pStyle w:val="Compact"/>
        <w:numPr>
          <w:ilvl w:val="0"/>
          <w:numId w:val="1009"/>
        </w:numPr>
      </w:pPr>
      <w:r>
        <w:t xml:space="preserve">Causa Institucional: não</w:t>
      </w:r>
    </w:p>
    <w:p>
      <w:pPr>
        <w:pStyle w:val="Compact"/>
        <w:numPr>
          <w:ilvl w:val="0"/>
          <w:numId w:val="1009"/>
        </w:numPr>
      </w:pPr>
      <w:r>
        <w:t xml:space="preserve">Solução Duradoura:não</w:t>
      </w:r>
    </w:p>
    <w:p>
      <w:pPr>
        <w:pStyle w:val="FirstParagraph"/>
      </w:pPr>
      <w:r>
        <w:rPr>
          <w:b/>
          <w:bCs/>
        </w:rPr>
        <w:t xml:space="preserve">Categoria via Categorização Direta: foco-condicao</w:t>
      </w:r>
    </w:p>
    <w:p>
      <w:pPr>
        <w:pStyle w:val="Corpodetexto"/>
      </w:pPr>
      <w:r>
        <w:t xml:space="preserve">Análise: A recomendação identifica a necessidade de assegurar que as equipes realizem a continuidade do cuidado ou ação de redução de danos, mas não especifica as causas institucionais que levaram à não realização dessas ações (como falta de capacitação, recursos, protocolos ou supervisão). Ela foca na correção da condição observada (ausência de ações) sem abordar transformações estruturais que garantam a sustentabilidade da mudança. As respostas aos critérios são: não identifica a causa específica, não situa a causa no nível institucional de forma clara, e as transformações não têm garantia de perdurabilidade sem medidas institucionais mais profundas.</w:t>
      </w:r>
    </w:p>
    <w:bookmarkEnd w:id="30"/>
    <w:bookmarkStart w:id="31" w:name="auditoria-19439-constatação-nº-665660"/>
    <w:p>
      <w:pPr>
        <w:pStyle w:val="Ttulo2"/>
      </w:pPr>
      <w:r>
        <w:t xml:space="preserve">Auditoria 19439, Constatação Nº 665660</w:t>
      </w:r>
    </w:p>
    <w:p>
      <w:pPr>
        <w:pStyle w:val="FirstParagraph"/>
      </w:pPr>
      <w:r>
        <w:rPr>
          <w:b/>
          <w:bCs/>
        </w:rPr>
        <w:t xml:space="preserve">Finalidade</w:t>
      </w:r>
      <w:r>
        <w:t xml:space="preserve">: Apurar a regularidade da produção inserida nos sistemas do SUS com incremento nos tetos PAB e MAC</w:t>
      </w:r>
    </w:p>
    <w:p>
      <w:pPr>
        <w:pStyle w:val="Corpodetexto"/>
      </w:pPr>
      <w:r>
        <w:rPr>
          <w:b/>
          <w:bCs/>
        </w:rPr>
        <w:t xml:space="preserve">Constatação</w:t>
      </w:r>
      <w:r>
        <w:t xml:space="preserve">: A Secretaria Municipal de Saúde inseriu no Sistema de Informações Ambulatoriais para Hospital Municipal Dr. Zeca Moreira, CNES 2465655, sem comprovação da efetiva prestação do atendimento, os procedimentos de Consulta de profissionais de nível superior na Atenção Especializada (exceto médico), Código 03.01.01.004-8; Atendimento de Urgência em Atenção Especializada, Código 030106006-1; Atendimento Ortopédico com Imobilização Provisória, Código 03.01.06.010-0 e Atendimento de Urgência c/observação até 24 horas em Atenção Especializada, Código 03.01.06.002-9, no exercício de 2021, ocasionando devolução dos recursos recebidos a maior.</w:t>
      </w:r>
    </w:p>
    <w:p>
      <w:pPr>
        <w:pStyle w:val="Corpodetexto"/>
      </w:pPr>
      <w:r>
        <w:rPr>
          <w:b/>
          <w:bCs/>
        </w:rPr>
        <w:t xml:space="preserve">Recomendação</w:t>
      </w:r>
      <w:r>
        <w:t xml:space="preserve">: À Secretária Atenção Especializada à Saúde-SAES/MS para conhecimento da presente constatação e adoção dos procedimentos a seu cargo, conforme estabelecido no Art. 25, do Decreto nº 11.358, 01/01/2023, combinado com o inciso VIII do Art. 2º do Decreto nº 3.964, de 11/10/2001 e Portaria GM/MS nº885, de 04/05/2021, visando a elisão do dano e/ou impropriedade ocorrida com recursos de origem federal, indicado no Anexo - Proposição de Devolução deste Relatório Final.</w:t>
      </w:r>
    </w:p>
    <w:p>
      <w:pPr>
        <w:pStyle w:val="Corpodetexto"/>
      </w:pPr>
      <w:r>
        <w:rPr>
          <w:b/>
          <w:bCs/>
        </w:rPr>
        <w:t xml:space="preserve">Categoria via Codificação (Calculada): foco-condicao</w:t>
      </w:r>
    </w:p>
    <w:p>
      <w:pPr>
        <w:pStyle w:val="Corpodetexto"/>
      </w:pPr>
      <w:r>
        <w:t xml:space="preserve">Análise Codificação: A recomendação limita-se a informar a constatação e solicitar a adoção de procedimentos legais para devolução dos recursos, sem identificar as causas institucionais que permitiram a inserção irregular de procedimentos no sistema, como falhas nos controles internos, ausência de auditoria prévia ou deficiências na capacitação da equipe, focando apenas na correção pontual da condição observada.</w:t>
      </w:r>
    </w:p>
    <w:p>
      <w:pPr>
        <w:pStyle w:val="Compact"/>
        <w:numPr>
          <w:ilvl w:val="0"/>
          <w:numId w:val="1010"/>
        </w:numPr>
      </w:pPr>
      <w:r>
        <w:t xml:space="preserve">Causa Identificada: não</w:t>
      </w:r>
    </w:p>
    <w:p>
      <w:pPr>
        <w:pStyle w:val="Compact"/>
        <w:numPr>
          <w:ilvl w:val="0"/>
          <w:numId w:val="1010"/>
        </w:numPr>
      </w:pPr>
      <w:r>
        <w:t xml:space="preserve">Causa Institucional: não</w:t>
      </w:r>
    </w:p>
    <w:p>
      <w:pPr>
        <w:pStyle w:val="Compact"/>
        <w:numPr>
          <w:ilvl w:val="0"/>
          <w:numId w:val="1010"/>
        </w:numPr>
      </w:pPr>
      <w:r>
        <w:t xml:space="preserve">Solução Duradoura:não</w:t>
      </w:r>
    </w:p>
    <w:p>
      <w:pPr>
        <w:pStyle w:val="FirstParagraph"/>
      </w:pPr>
      <w:r>
        <w:rPr>
          <w:b/>
          <w:bCs/>
        </w:rPr>
        <w:t xml:space="preserve">Categoria via Categorização Direta: foco-condicao</w:t>
      </w:r>
    </w:p>
    <w:p>
      <w:pPr>
        <w:pStyle w:val="Corpodetexto"/>
      </w:pPr>
      <w:r>
        <w:t xml:space="preserve">Análise: A recomendação apenas encaminha a constatação para conhecimento da Secretaria de Atenção Especializada à Saúde e cita dispositivos legais genéricos, sem identificar as causas institucionais que permitiram a inserção irregular de procedimentos no sistema (como falhas nos processos de controle, ausência de mecanismos de verificação da prestação real dos serviços, ou deficiências na supervisão). A medida proposta é reativa, focada na devolução pontual dos recursos, sem indicar ações para prevenir a recorrência do problema. As transformações resultantes seriam temporárias, não garantindo mudanças estruturais duradouras.</w:t>
      </w:r>
    </w:p>
    <w:bookmarkEnd w:id="31"/>
    <w:bookmarkEnd w:id="32"/>
    <w:bookmarkStart w:id="38" w:name="X507f4281d58f2b02da83ec80d49563194074ee8"/>
    <w:p>
      <w:pPr>
        <w:pStyle w:val="Ttulo1"/>
      </w:pPr>
      <w:r>
        <w:t xml:space="preserve">Exemplos Recomendações Classificação Direta Foco Causa e Indireta Divergente</w:t>
      </w:r>
    </w:p>
    <w:bookmarkStart w:id="33" w:name="auditoria-19792-constatação-nº-695083"/>
    <w:p>
      <w:pPr>
        <w:pStyle w:val="Ttulo2"/>
      </w:pPr>
      <w:r>
        <w:t xml:space="preserve">Auditoria 19792, Constatação Nº 695083</w:t>
      </w:r>
    </w:p>
    <w:p>
      <w:pPr>
        <w:pStyle w:val="FirstParagraph"/>
      </w:pPr>
      <w:r>
        <w:rPr>
          <w:b/>
          <w:bCs/>
        </w:rPr>
        <w:t xml:space="preserve">Finalidade</w:t>
      </w:r>
      <w:r>
        <w:t xml:space="preserve">: Verificar se a SMS possui controles internos capazes de assegurar adequadamente a Cadeia de Frio.</w:t>
      </w:r>
    </w:p>
    <w:p>
      <w:pPr>
        <w:pStyle w:val="Corpodetexto"/>
      </w:pPr>
      <w:r>
        <w:rPr>
          <w:b/>
          <w:bCs/>
        </w:rPr>
        <w:t xml:space="preserve">Constatação</w:t>
      </w:r>
      <w:r>
        <w:t xml:space="preserve">: Os equipamentos disponíveis na CMRF de Arapongas/PR não são apropriados para o armazenamento dos imunobiológicos.</w:t>
      </w:r>
    </w:p>
    <w:p>
      <w:pPr>
        <w:pStyle w:val="Corpodetexto"/>
      </w:pPr>
      <w:r>
        <w:rPr>
          <w:b/>
          <w:bCs/>
        </w:rPr>
        <w:t xml:space="preserve">Recomendação</w:t>
      </w:r>
      <w:r>
        <w:t xml:space="preserve">: - Providenciar fonte alternativa (gerador) capaz de efetuar o suprimento imediato de energia, no caso de falhas da fonte primária, garantindo o suprimento emergencial de energia e viabilizando a continuidade do funcionamento dos equipamentos envolvidos na armazenagem de medicamentos termolábeis de maneira eficaz. Conforme preconizado nos itens 6.14.1 e 6.14.3 do Manual de Rede de Frio do PNI, 5ª edição/2017, arts. 17 e 41, seções III e VI, cap. I e II da Resolução - RDC N.º 63, de 25/11/2011, e arts. 79 e 80, Seção IX da RDC ANVISA n.º 430, de 8/10/2020. - Efetuar registros analíticos de todos os bens de caráter permanente, com indicação dos elementos necessários para a perfeita caracterização de cada um deles e dos agentes responsáveis pela sua guarda e administração, conforme art. 94, cap. III, título VIII, da Lei nº 4.320 de 17/3/1964. - Manter registro sintéticos dos bens móveis e imóveis na contabilidade, de acordo com o art. 95, cap. III, título VIII, da Lei nº 4.320 de 17/3/1964.</w:t>
      </w:r>
    </w:p>
    <w:p>
      <w:pPr>
        <w:pStyle w:val="Corpodetexto"/>
      </w:pPr>
      <w:r>
        <w:rPr>
          <w:b/>
          <w:bCs/>
        </w:rPr>
        <w:t xml:space="preserve">Categoria via Codificação (Calculada): foco-condicao</w:t>
      </w:r>
    </w:p>
    <w:p>
      <w:pPr>
        <w:pStyle w:val="Corpodetexto"/>
      </w:pPr>
      <w:r>
        <w:t xml:space="preserve">Análise Codificação: A recomendação aborda a falta de fonte alternativa de energia para equipamentos de armazenamento de imunobiológicos e questões de registro patrimonial, mas não identifica claramente as causas institucionais subjacentes que levaram a essas condições, focando mais na correção imediata dos problemas identificados.</w:t>
      </w:r>
    </w:p>
    <w:p>
      <w:pPr>
        <w:pStyle w:val="Compact"/>
        <w:numPr>
          <w:ilvl w:val="0"/>
          <w:numId w:val="1011"/>
        </w:numPr>
      </w:pPr>
      <w:r>
        <w:t xml:space="preserve">Causa Identificada: não</w:t>
      </w:r>
    </w:p>
    <w:p>
      <w:pPr>
        <w:pStyle w:val="Compact"/>
        <w:numPr>
          <w:ilvl w:val="0"/>
          <w:numId w:val="1011"/>
        </w:numPr>
      </w:pPr>
      <w:r>
        <w:t xml:space="preserve">Causa Institucional: não</w:t>
      </w:r>
    </w:p>
    <w:p>
      <w:pPr>
        <w:pStyle w:val="Compact"/>
        <w:numPr>
          <w:ilvl w:val="0"/>
          <w:numId w:val="1011"/>
        </w:numPr>
      </w:pPr>
      <w:r>
        <w:t xml:space="preserve">Solução Duradoura:sim</w:t>
      </w:r>
    </w:p>
    <w:p>
      <w:pPr>
        <w:pStyle w:val="FirstParagraph"/>
      </w:pPr>
      <w:r>
        <w:rPr>
          <w:b/>
          <w:bCs/>
        </w:rPr>
        <w:t xml:space="preserve">Categoria via Categorização Direta: foco-causa</w:t>
      </w:r>
    </w:p>
    <w:p>
      <w:pPr>
        <w:pStyle w:val="Corpodetexto"/>
      </w:pPr>
      <w:r>
        <w:t xml:space="preserve">Análise: A recomendação aborda a necessidade de garantir o fornecimento contínuo de energia para equipamentos de armazenamento de imunobiológicos através de gerador alternativo, o que identifica a causa da condição detectada (falta de equipamentos apropriados devido a interrupções de energia) no nível institucional (infraestrutura e procedimentos). As mudanças propostas, como a instalação de gerador e a implementação de registros contábeis permanentes, possuem potencial para perdurar no tempo, corrigindo a causa subjacente e não apenas a condição imediata.</w:t>
      </w:r>
    </w:p>
    <w:bookmarkEnd w:id="33"/>
    <w:bookmarkStart w:id="34" w:name="auditoria-19805-constatação-nº-694100"/>
    <w:p>
      <w:pPr>
        <w:pStyle w:val="Ttulo2"/>
      </w:pPr>
      <w:r>
        <w:t xml:space="preserve">Auditoria 19805, Constatação Nº 694100</w:t>
      </w:r>
    </w:p>
    <w:p>
      <w:pPr>
        <w:pStyle w:val="FirstParagraph"/>
      </w:pPr>
      <w:r>
        <w:rPr>
          <w:b/>
          <w:bCs/>
        </w:rPr>
        <w:t xml:space="preserve">Finalidade</w:t>
      </w:r>
      <w:r>
        <w:t xml:space="preserve">: Verificar se a At. Primária exerce as atribuições de coordenadora da Rede de Atenção Psicossocial</w:t>
      </w:r>
    </w:p>
    <w:p>
      <w:pPr>
        <w:pStyle w:val="Corpodetexto"/>
      </w:pPr>
      <w:r>
        <w:rPr>
          <w:b/>
          <w:bCs/>
        </w:rPr>
        <w:t xml:space="preserve">Constatação</w:t>
      </w:r>
      <w:r>
        <w:t xml:space="preserve">: As UBSs visitadas não realizam ações de redução de danos a grupos específicos de usuários.</w:t>
      </w:r>
    </w:p>
    <w:p>
      <w:pPr>
        <w:pStyle w:val="Corpodetexto"/>
      </w:pPr>
      <w:r>
        <w:rPr>
          <w:b/>
          <w:bCs/>
        </w:rPr>
        <w:t xml:space="preserve">Recomendação</w:t>
      </w:r>
      <w:r>
        <w:t xml:space="preserve">: À SMS, promover e implementar ações de redução de dano específicas voltadas para populações vulneráveis, como gestantes, idosos, crianças, adolescentes e pessoas em situação de rua de acordo com o apontado na Portaria de Consolidação nº 3/2017,Anexo V, Art. 4º, I, que estabelece a promoção de cuidados em saúde para esses segmentos.</w:t>
      </w:r>
    </w:p>
    <w:p>
      <w:pPr>
        <w:pStyle w:val="Corpodetexto"/>
      </w:pPr>
      <w:r>
        <w:rPr>
          <w:b/>
          <w:bCs/>
        </w:rPr>
        <w:t xml:space="preserve">Categoria via Codificação (Calculada): foco-condicao</w:t>
      </w:r>
    </w:p>
    <w:p>
      <w:pPr>
        <w:pStyle w:val="Corpodetexto"/>
      </w:pPr>
      <w:r>
        <w:t xml:space="preserve">Análise Codificação: A recomendação propõe a implementação de ações específicas de redução de danos para populações vulneráveis, conforme exigido pela normativa, mas não identifica explicitamente as causas subjacentes à ausência dessas ações, como falta de capacitação, recursos ou diretrizes institucionais. Embora a ação possa ser institucional, sua natureza é mais corretiva da condição atual do que voltada para transformações estruturais duradouras.</w:t>
      </w:r>
    </w:p>
    <w:p>
      <w:pPr>
        <w:pStyle w:val="Compact"/>
        <w:numPr>
          <w:ilvl w:val="0"/>
          <w:numId w:val="1012"/>
        </w:numPr>
      </w:pPr>
      <w:r>
        <w:t xml:space="preserve">Causa Identificada: não</w:t>
      </w:r>
    </w:p>
    <w:p>
      <w:pPr>
        <w:pStyle w:val="Compact"/>
        <w:numPr>
          <w:ilvl w:val="0"/>
          <w:numId w:val="1012"/>
        </w:numPr>
      </w:pPr>
      <w:r>
        <w:t xml:space="preserve">Causa Institucional: não</w:t>
      </w:r>
    </w:p>
    <w:p>
      <w:pPr>
        <w:pStyle w:val="Compact"/>
        <w:numPr>
          <w:ilvl w:val="0"/>
          <w:numId w:val="1012"/>
        </w:numPr>
      </w:pPr>
      <w:r>
        <w:t xml:space="preserve">Solução Duradoura:não</w:t>
      </w:r>
    </w:p>
    <w:p>
      <w:pPr>
        <w:pStyle w:val="FirstParagraph"/>
      </w:pPr>
      <w:r>
        <w:rPr>
          <w:b/>
          <w:bCs/>
        </w:rPr>
        <w:t xml:space="preserve">Categoria via Categorização Direta: foco-causa</w:t>
      </w:r>
    </w:p>
    <w:p>
      <w:pPr>
        <w:pStyle w:val="Corpodetexto"/>
      </w:pPr>
      <w:r>
        <w:t xml:space="preserve">Análise: A recomendação identifica a causa (ausência de ações de redução de danos específicas para populações vulneráveis) e está situada no nível institucional, ao propor que a SMS promova e implemente essas ações de forma estruturada, conforme diretriz normativa. As transformações produzidas, se implementadas, possuem potencial para perdurar no tempo, pois envolvem a criação de programas ou políticas contínuas voltadas a esses grupos, indo além da correção pontual de uma condição observada.</w:t>
      </w:r>
    </w:p>
    <w:bookmarkEnd w:id="34"/>
    <w:bookmarkStart w:id="35" w:name="auditoria-19679-constatação-nº-685257"/>
    <w:p>
      <w:pPr>
        <w:pStyle w:val="Ttulo2"/>
      </w:pPr>
      <w:r>
        <w:t xml:space="preserve">Auditoria 19679, Constatação Nº 685257</w:t>
      </w:r>
    </w:p>
    <w:p>
      <w:pPr>
        <w:pStyle w:val="FirstParagraph"/>
      </w:pPr>
      <w:r>
        <w:rPr>
          <w:b/>
          <w:bCs/>
        </w:rPr>
        <w:t xml:space="preserve">Finalidade</w:t>
      </w:r>
      <w:r>
        <w:t xml:space="preserve">: Realizar auditoria no Convênio 882492/2019 com a Associação Paulista Desenvolvimento da Medicina</w:t>
      </w:r>
    </w:p>
    <w:p>
      <w:pPr>
        <w:pStyle w:val="Corpodetexto"/>
      </w:pPr>
      <w:r>
        <w:rPr>
          <w:b/>
          <w:bCs/>
        </w:rPr>
        <w:t xml:space="preserve">Constatação</w:t>
      </w:r>
      <w:r>
        <w:t xml:space="preserve">: Irregularidade no processo de licitação nº 0122/2019 para locação de imóvel no município de Redenção/PA.</w:t>
      </w:r>
    </w:p>
    <w:p>
      <w:pPr>
        <w:pStyle w:val="Corpodetexto"/>
      </w:pPr>
      <w:r>
        <w:rPr>
          <w:b/>
          <w:bCs/>
        </w:rPr>
        <w:t xml:space="preserve">Recomendação</w:t>
      </w:r>
      <w:r>
        <w:t xml:space="preserve">: Adotar providências no sentido de orientar a convenente sobre a obrigatoriedade de realizar pesquisa direta com no mínimo 3 (três) fornecedores, mediante solicitação formal de cotação de preços para contratação de aluguel imóvel atendendo aos dispositivos expressos nos §1º e art. 45, Portaria Interministerial nº 424/2016 e inciso IV, §1, art. 23 da Lei 14.133/2021.</w:t>
      </w:r>
    </w:p>
    <w:p>
      <w:pPr>
        <w:pStyle w:val="Corpodetexto"/>
      </w:pPr>
      <w:r>
        <w:rPr>
          <w:b/>
          <w:bCs/>
        </w:rPr>
        <w:t xml:space="preserve">Categoria via Codificação (Calculada): foco-condicao</w:t>
      </w:r>
    </w:p>
    <w:p>
      <w:pPr>
        <w:pStyle w:val="Corpodetexto"/>
      </w:pPr>
      <w:r>
        <w:t xml:space="preserve">Análise Codificação: A recomendação visa corrigir uma irregularidade específica no processo de licitação, focando na exigência de pesquisa direta com no mínimo três fornecedores para contratação de aluguel de imóvel, conforme dispositivos legais. No entanto, a recomendação trata diretamente da condição observada (falta de pesquisa de preços) sem identificar claramente a causa subjacente que permitiu essa irregularidade, como falhas em procedimentos internos, falta de capacitação ou controle insuficiente. A solução proposta é corretiva e pontual, sem evidências de que promova mudanças institucionais duradouras.</w:t>
      </w:r>
    </w:p>
    <w:p>
      <w:pPr>
        <w:pStyle w:val="Compact"/>
        <w:numPr>
          <w:ilvl w:val="0"/>
          <w:numId w:val="1013"/>
        </w:numPr>
      </w:pPr>
      <w:r>
        <w:t xml:space="preserve">Causa Identificada: não</w:t>
      </w:r>
    </w:p>
    <w:p>
      <w:pPr>
        <w:pStyle w:val="Compact"/>
        <w:numPr>
          <w:ilvl w:val="0"/>
          <w:numId w:val="1013"/>
        </w:numPr>
      </w:pPr>
      <w:r>
        <w:t xml:space="preserve">Causa Institucional: não</w:t>
      </w:r>
    </w:p>
    <w:p>
      <w:pPr>
        <w:pStyle w:val="Compact"/>
        <w:numPr>
          <w:ilvl w:val="0"/>
          <w:numId w:val="1013"/>
        </w:numPr>
      </w:pPr>
      <w:r>
        <w:t xml:space="preserve">Solução Duradoura:não</w:t>
      </w:r>
    </w:p>
    <w:p>
      <w:pPr>
        <w:pStyle w:val="FirstParagraph"/>
      </w:pPr>
      <w:r>
        <w:rPr>
          <w:b/>
          <w:bCs/>
        </w:rPr>
        <w:t xml:space="preserve">Categoria via Categorização Direta: foco-causa</w:t>
      </w:r>
    </w:p>
    <w:p>
      <w:pPr>
        <w:pStyle w:val="Corpodetexto"/>
      </w:pPr>
      <w:r>
        <w:t xml:space="preserve">Análise: A recomendação identifica a causa da irregularidade (falta de orientação sobre procedimentos obrigatórios) e está situada no nível institucional (processos de contratação), com potencial para produzir transformações duradouras através da institucionalização de práticas de pesquisa de preços.</w:t>
      </w:r>
    </w:p>
    <w:bookmarkEnd w:id="35"/>
    <w:bookmarkStart w:id="36" w:name="auditoria-19797-constatação-nº-691573"/>
    <w:p>
      <w:pPr>
        <w:pStyle w:val="Ttulo2"/>
      </w:pPr>
      <w:r>
        <w:t xml:space="preserve">Auditoria 19797, Constatação Nº 691573</w:t>
      </w:r>
    </w:p>
    <w:p>
      <w:pPr>
        <w:pStyle w:val="FirstParagraph"/>
      </w:pPr>
      <w:r>
        <w:rPr>
          <w:b/>
          <w:bCs/>
        </w:rPr>
        <w:t xml:space="preserve">Finalidade</w:t>
      </w:r>
      <w:r>
        <w:t xml:space="preserve">: Verificar se a SEMSA possui controles internos capazes de assegurar adequadamente a Cadeia de Frio.</w:t>
      </w:r>
    </w:p>
    <w:p>
      <w:pPr>
        <w:pStyle w:val="Corpodetexto"/>
      </w:pPr>
      <w:r>
        <w:rPr>
          <w:b/>
          <w:bCs/>
        </w:rPr>
        <w:t xml:space="preserve">Constatação</w:t>
      </w:r>
      <w:r>
        <w:t xml:space="preserve">: A estrutura física da CMRF não atende aos requisitos mínimos para manutenção da cadeia de frio, conforme preconizado pelo Programa Nacional de Imunizações.</w:t>
      </w:r>
    </w:p>
    <w:p>
      <w:pPr>
        <w:pStyle w:val="Corpodetexto"/>
      </w:pPr>
      <w:r>
        <w:rPr>
          <w:b/>
          <w:bCs/>
        </w:rPr>
        <w:t xml:space="preserve">Recomendação</w:t>
      </w:r>
      <w:r>
        <w:t xml:space="preserve">: Providenciar adequações da estrutura física da CMRF, conforme parâmetros preconizdos nos Subitem 3.1.4, Item 3, pág. 20 e Item 8, pág. 88 a 116 do Manual de Rede Frio do PNI, 2017.</w:t>
      </w:r>
    </w:p>
    <w:p>
      <w:pPr>
        <w:pStyle w:val="Corpodetexto"/>
      </w:pPr>
      <w:r>
        <w:rPr>
          <w:b/>
          <w:bCs/>
        </w:rPr>
        <w:t xml:space="preserve">Categoria via Codificação (Calculada): foco-condicao</w:t>
      </w:r>
    </w:p>
    <w:p>
      <w:pPr>
        <w:pStyle w:val="Corpodetexto"/>
      </w:pPr>
      <w:r>
        <w:t xml:space="preserve">Análise Codificação: A recomendação propõe adequações na estrutura física da CMRF para atender aos parâmetros do Manual de Rede Frio do PNI, visando corrigir a condição observada de estrutura inadequada. No entanto, não identifica explicitamente as causas subjacentes que levaram à estrutura física inadequada (como falhas no planejamento, manutenção, fiscalização ou alocação de recursos), focando na correção da condição atual sem abordar causas institucionais que possam prevenir a recorrência do problema.</w:t>
      </w:r>
    </w:p>
    <w:p>
      <w:pPr>
        <w:pStyle w:val="Compact"/>
        <w:numPr>
          <w:ilvl w:val="0"/>
          <w:numId w:val="1014"/>
        </w:numPr>
      </w:pPr>
      <w:r>
        <w:t xml:space="preserve">Causa Identificada: não</w:t>
      </w:r>
    </w:p>
    <w:p>
      <w:pPr>
        <w:pStyle w:val="Compact"/>
        <w:numPr>
          <w:ilvl w:val="0"/>
          <w:numId w:val="1014"/>
        </w:numPr>
      </w:pPr>
      <w:r>
        <w:t xml:space="preserve">Causa Institucional: não</w:t>
      </w:r>
    </w:p>
    <w:p>
      <w:pPr>
        <w:pStyle w:val="Compact"/>
        <w:numPr>
          <w:ilvl w:val="0"/>
          <w:numId w:val="1014"/>
        </w:numPr>
      </w:pPr>
      <w:r>
        <w:t xml:space="preserve">Solução Duradoura:sim</w:t>
      </w:r>
    </w:p>
    <w:p>
      <w:pPr>
        <w:pStyle w:val="FirstParagraph"/>
      </w:pPr>
      <w:r>
        <w:rPr>
          <w:b/>
          <w:bCs/>
        </w:rPr>
        <w:t xml:space="preserve">Categoria via Categorização Direta: foco-causa</w:t>
      </w:r>
    </w:p>
    <w:p>
      <w:pPr>
        <w:pStyle w:val="Corpodetexto"/>
      </w:pPr>
      <w:r>
        <w:t xml:space="preserve">Análise: A recomendação identifica a necessidade de adequação da estrutura física da CMRF para atender aos requisitos mínimos do PNI, o que constitui uma causa institucional relacionada à infraestrutura. As transformações propostas, uma vez implementadas, possuem potencial para perdurar no tempo, pois envolvem adequações físicas permanentes que previnem a reincidência da condição observada.</w:t>
      </w:r>
    </w:p>
    <w:bookmarkEnd w:id="36"/>
    <w:bookmarkStart w:id="37" w:name="auditoria-19877-constatação-nº-703159"/>
    <w:p>
      <w:pPr>
        <w:pStyle w:val="Ttulo2"/>
      </w:pPr>
      <w:r>
        <w:t xml:space="preserve">Auditoria 19877, Constatação Nº 703159</w:t>
      </w:r>
    </w:p>
    <w:p>
      <w:pPr>
        <w:pStyle w:val="FirstParagraph"/>
      </w:pPr>
      <w:r>
        <w:rPr>
          <w:b/>
          <w:bCs/>
        </w:rPr>
        <w:t xml:space="preserve">Finalidade</w:t>
      </w:r>
      <w:r>
        <w:t xml:space="preserve">: Verificar a regularidade da produção nos sistemas de informação (SIA/SIH) em oncologia</w:t>
      </w:r>
    </w:p>
    <w:p>
      <w:pPr>
        <w:pStyle w:val="Corpodetexto"/>
      </w:pPr>
      <w:r>
        <w:rPr>
          <w:b/>
          <w:bCs/>
        </w:rPr>
        <w:t xml:space="preserve">Constatação</w:t>
      </w:r>
      <w:r>
        <w:t xml:space="preserve">: O HSJ realizou cobrança indevida do procedimento 03.04.08.002-0 - internação para quimioterapia de administração contínua.</w:t>
      </w:r>
    </w:p>
    <w:p>
      <w:pPr>
        <w:pStyle w:val="Corpodetexto"/>
      </w:pPr>
      <w:r>
        <w:rPr>
          <w:b/>
          <w:bCs/>
        </w:rPr>
        <w:t xml:space="preserve">Recomendação</w:t>
      </w:r>
      <w:r>
        <w:t xml:space="preserve">: - Estabelecer mecanismos eficazes de monitoramento, avaliação e fiscalização das Unidades de média e alta complexidade em oncologia, conforme o estabelecido no Inciso l, Artigo 15 da Lei nº 8080/ 1990. - Dar ciência aos responsáveis pela irregularidade apontada nesta constatação para ressarcimento junto ao FNS no valor de R$ 35.200,00 (trinta e cinco mil, duzentos reais), atualizado monetariamente e com os acréscimos legais adotados por esse ente federado, conforme indicativo do Anexo X -Planilha de Débito e no Capítulo Proposição da Devolução deste relatório, com base no item 9.3.3, do Acórdão TCU n.º 1072/2017, que prevê:</w:t>
      </w:r>
      <w:r>
        <w:t xml:space="preserve"> </w:t>
      </w:r>
      <w:r>
        <w:t xml:space="preserve">‘’tratando-se de débito decorrente de dano ao erário propriamente dito, cabe ao gestor responsável pela irregularidade a obrigação de devolver os recursos, visto que, nessas situações, não há evidências de que eles tenham sido aplicados em prol de alguma finalidade pública, devendo a recomposição ser feita ao Fundo Nacional de Saúde (FNS), em respeito ao disposto no art. 2º, inciso VII, do Decreto 3.964/2001 combinado com o art. 33, § 4º, da Lei 8.080/1990’</w:t>
      </w:r>
      <w:r>
        <w:t xml:space="preserve">‘; e o Acórdão TCU nº 2079/2023 -Segunda Câmara (itens 33.1.5 e 33.1.1.8), que diz:’</w:t>
      </w:r>
      <w:r>
        <w:t xml:space="preserve">‘Portanto, além dos gestores públicos ora responsabilizados, somente a entidade privada deve responder pelo prejuízo aos cofres do Fundo Nacional de Saúde decorrentes das cobranças e consequentes pagamentos indevidos’</w:t>
      </w:r>
      <w:r>
        <w:t xml:space="preserve">’.</w:t>
      </w:r>
    </w:p>
    <w:p>
      <w:pPr>
        <w:pStyle w:val="Corpodetexto"/>
      </w:pPr>
      <w:r>
        <w:rPr>
          <w:b/>
          <w:bCs/>
        </w:rPr>
        <w:t xml:space="preserve">Categoria via Codificação (Calculada): foco-condicao</w:t>
      </w:r>
    </w:p>
    <w:p>
      <w:pPr>
        <w:pStyle w:val="Corpodetexto"/>
      </w:pPr>
      <w:r>
        <w:t xml:space="preserve">Análise Codificação: A recomendação estabelece mecanismos de monitoramento, avaliação e fiscalização para prevenir futuras irregularidades, além de exigir o ressarcimento do valor indevido. No entanto, a parte central da recomendação sobre monitoramento é genérica e não especifica claramente a causa institucional que permitiu a cobrança indevida, como falhas em processos de controle interno ou capacitação. A solução de monitoramento tem potencial duradouro, mas a falta de foco em causas específicas limita sua efetividade estrutural.</w:t>
      </w:r>
    </w:p>
    <w:p>
      <w:pPr>
        <w:pStyle w:val="Compact"/>
        <w:numPr>
          <w:ilvl w:val="0"/>
          <w:numId w:val="1015"/>
        </w:numPr>
      </w:pPr>
      <w:r>
        <w:t xml:space="preserve">Causa Identificada: não</w:t>
      </w:r>
    </w:p>
    <w:p>
      <w:pPr>
        <w:pStyle w:val="Compact"/>
        <w:numPr>
          <w:ilvl w:val="0"/>
          <w:numId w:val="1015"/>
        </w:numPr>
      </w:pPr>
      <w:r>
        <w:t xml:space="preserve">Causa Institucional: não</w:t>
      </w:r>
    </w:p>
    <w:p>
      <w:pPr>
        <w:pStyle w:val="Compact"/>
        <w:numPr>
          <w:ilvl w:val="0"/>
          <w:numId w:val="1015"/>
        </w:numPr>
      </w:pPr>
      <w:r>
        <w:t xml:space="preserve">Solução Duradoura:sim</w:t>
      </w:r>
    </w:p>
    <w:p>
      <w:pPr>
        <w:pStyle w:val="FirstParagraph"/>
      </w:pPr>
      <w:r>
        <w:rPr>
          <w:b/>
          <w:bCs/>
        </w:rPr>
        <w:t xml:space="preserve">Categoria via Categorização Direta: foco-causa</w:t>
      </w:r>
    </w:p>
    <w:p>
      <w:pPr>
        <w:pStyle w:val="Corpodetexto"/>
      </w:pPr>
      <w:r>
        <w:t xml:space="preserve">Análise: A recomendação estabelece mecanismos de monitoramento, avaliação e fiscalização para prevenir futuras irregularidades, identificando a causa institucional (falta de controle) que levou à cobrança indevida. As transformações propostas (estrutura de monitoramento) têm potencial para perdurar no tempo, fortalecendo a governança. Embora inclua uma medida corretiva pontual (ressarcimento), o foco principal é na causa raiz.</w:t>
      </w:r>
    </w:p>
    <w:bookmarkEnd w:id="37"/>
    <w:bookmarkEnd w:id="38"/>
    <w:bookmarkStart w:id="44" w:name="X98f666e0240c27897f8db0ab758ec9f303a11fa"/>
    <w:p>
      <w:pPr>
        <w:pStyle w:val="Ttulo1"/>
      </w:pPr>
      <w:r>
        <w:t xml:space="preserve">Exemplos Recomendações Classificação Direta Foco Condição e Indireta Divergente</w:t>
      </w:r>
    </w:p>
    <w:bookmarkStart w:id="39" w:name="auditoria-19627-constatação-nº-685176"/>
    <w:p>
      <w:pPr>
        <w:pStyle w:val="Ttulo2"/>
      </w:pPr>
      <w:r>
        <w:t xml:space="preserve">Auditoria 19627, Constatação Nº 685176</w:t>
      </w:r>
    </w:p>
    <w:p>
      <w:pPr>
        <w:pStyle w:val="FirstParagraph"/>
      </w:pPr>
      <w:r>
        <w:rPr>
          <w:b/>
          <w:bCs/>
        </w:rPr>
        <w:t xml:space="preserve">Finalidade</w:t>
      </w:r>
      <w:r>
        <w:t xml:space="preserve">: Avaliar a execução dos convênios firmados com organizações sociais no âmbito da Saúde Indígena.</w:t>
      </w:r>
    </w:p>
    <w:p>
      <w:pPr>
        <w:pStyle w:val="Corpodetexto"/>
      </w:pPr>
      <w:r>
        <w:rPr>
          <w:b/>
          <w:bCs/>
        </w:rPr>
        <w:t xml:space="preserve">Constatação</w:t>
      </w:r>
      <w:r>
        <w:t xml:space="preserve">: Incompletude e inconsistências nas informações encontradas nos relatórios mensais de acompanhamento do Eixo Controle Social e os respectivos documentos de suporte.</w:t>
      </w:r>
    </w:p>
    <w:p>
      <w:pPr>
        <w:pStyle w:val="Corpodetexto"/>
      </w:pPr>
      <w:r>
        <w:rPr>
          <w:b/>
          <w:bCs/>
        </w:rPr>
        <w:t xml:space="preserve">Recomendação</w:t>
      </w:r>
      <w:r>
        <w:t xml:space="preserve">: À Sesai: Determinar às unidades de acompanhamento que: (i) elaborem relatórios mensais com base nas informações, mapas de produção, atas das reuniões e listas de presença enviados pelas unidades de acompanhamento do Dsei Litoral Sul, devendo ser inseridos no Transferegov até o dia 20 do mês subsequente ao mês acompanhado; (ii) e adotem medidas de natureza preventiva ou corretiva na hipótese do não cumprimento do disposto no objeto do convênio e/ou Plano de Trabalho, atendendo à Portaria de Consolidação Sesai/MS nº 1 /2020, especificamente os §§3º e 4º do art. 4º; inciso VI do art. 11; inciso V e parágrafo único do art. 12; e incisos I e II do art. 14.</w:t>
      </w:r>
    </w:p>
    <w:p>
      <w:pPr>
        <w:pStyle w:val="Corpodetexto"/>
      </w:pPr>
      <w:r>
        <w:rPr>
          <w:b/>
          <w:bCs/>
        </w:rPr>
        <w:t xml:space="preserve">Categoria via Codificação (Calculada): foco-causa</w:t>
      </w:r>
    </w:p>
    <w:p>
      <w:pPr>
        <w:pStyle w:val="Corpodetexto"/>
      </w:pPr>
      <w:r>
        <w:t xml:space="preserve">Análise Codificação: A recomendação visa corrigir incompletude e inconsistências em relatórios mensais de acompanhamento do Eixo Controle Social na Saúde Indígena, exigindo a elaboração adequada dos relatórios com base em documentos de suporte e a adoção de medidas preventivas ou corretivas em caso de descumprimento de normas, conforme portaria específica.</w:t>
      </w:r>
    </w:p>
    <w:p>
      <w:pPr>
        <w:pStyle w:val="Compact"/>
        <w:numPr>
          <w:ilvl w:val="0"/>
          <w:numId w:val="1016"/>
        </w:numPr>
      </w:pPr>
      <w:r>
        <w:t xml:space="preserve">Causa Identificada: sim</w:t>
      </w:r>
    </w:p>
    <w:p>
      <w:pPr>
        <w:pStyle w:val="Compact"/>
        <w:numPr>
          <w:ilvl w:val="0"/>
          <w:numId w:val="1016"/>
        </w:numPr>
      </w:pPr>
      <w:r>
        <w:t xml:space="preserve">Causa Institucional: sim</w:t>
      </w:r>
    </w:p>
    <w:p>
      <w:pPr>
        <w:pStyle w:val="Compact"/>
        <w:numPr>
          <w:ilvl w:val="0"/>
          <w:numId w:val="1016"/>
        </w:numPr>
      </w:pPr>
      <w:r>
        <w:t xml:space="preserve">Solução Duradoura:sim</w:t>
      </w:r>
    </w:p>
    <w:p>
      <w:pPr>
        <w:pStyle w:val="FirstParagraph"/>
      </w:pPr>
      <w:r>
        <w:rPr>
          <w:b/>
          <w:bCs/>
        </w:rPr>
        <w:t xml:space="preserve">Categoria via Categorização Direta: foco-condicao</w:t>
      </w:r>
    </w:p>
    <w:p>
      <w:pPr>
        <w:pStyle w:val="Corpodetexto"/>
      </w:pPr>
      <w:r>
        <w:t xml:space="preserve">Análise: A recomendação estabelece procedimentos para garantir a elaboração e inserção de relatórios mensais no sistema Transferegov dentro de prazos específicos, além de determinar a adoção de medidas preventivas ou corretivas em caso de descumprimento de obrigações contratuais. No entanto, não identifica explicitamente as causas estruturais que levam à incompletude e inconsistência das informações (como falta de capacitação, recursos inadequados ou falhas nos processos de coleta e validação de dados). As ações propostas focam na correção da condição observada (relatórios incompletos/inconsistentes) e no cumprimento de prazos, sem abordar transformações institucionais duradouras que previnam a recorrência do problema. Portanto, a recomendação não atende integralmente aos critérios de identificar a causa no nível institucional e gerar mudanças permanentes.</w:t>
      </w:r>
    </w:p>
    <w:bookmarkEnd w:id="39"/>
    <w:bookmarkStart w:id="40" w:name="auditoria-19727-constatação-nº-691752"/>
    <w:p>
      <w:pPr>
        <w:pStyle w:val="Ttulo2"/>
      </w:pPr>
      <w:r>
        <w:t xml:space="preserve">Auditoria 19727, Constatação Nº 691752</w:t>
      </w:r>
    </w:p>
    <w:p>
      <w:pPr>
        <w:pStyle w:val="FirstParagraph"/>
      </w:pPr>
      <w:r>
        <w:rPr>
          <w:b/>
          <w:bCs/>
        </w:rPr>
        <w:t xml:space="preserve">Finalidade</w:t>
      </w:r>
      <w:r>
        <w:t xml:space="preserve">: Avaliar a gestão e funcionamento do Serviço de Atendimento Móvel de Urgência - SAMU 192</w:t>
      </w:r>
    </w:p>
    <w:p>
      <w:pPr>
        <w:pStyle w:val="Corpodetexto"/>
      </w:pPr>
      <w:r>
        <w:rPr>
          <w:b/>
          <w:bCs/>
        </w:rPr>
        <w:t xml:space="preserve">Constatação</w:t>
      </w:r>
      <w:r>
        <w:t xml:space="preserve">: A Secretaria Municipal de Saúde de Campina Grande/PB não demonstrou que há controle acerca da regularidade no quantitativo dos profissionais atuantes no SAMU 192, em relação à contratação, carga horária, controle de frequência e atualização do SCNES.</w:t>
      </w:r>
    </w:p>
    <w:p>
      <w:pPr>
        <w:pStyle w:val="Corpodetexto"/>
      </w:pPr>
      <w:r>
        <w:rPr>
          <w:b/>
          <w:bCs/>
        </w:rPr>
        <w:t xml:space="preserve">Recomendação</w:t>
      </w:r>
      <w:r>
        <w:t xml:space="preserve">: Manter o controle dos profissionais que atuam no SAMU 192 de Campina Grande/PB, notadamente identificando esses profissionais pelos seus cargos, carga horária, local de atuação, controle de frequência, dentre outros aspectos que impactem em prejuízo de atuação das equipes do SAMU 192 em Campina Grande/PB; Dar cumprimento ao disposto no art. 364, capítulo IV da Portaria de Consolidação nº 01, de 28/09/2017 quanto à correta inserção, manutenção e atualização sistemática dos cadastros no SCNES.</w:t>
      </w:r>
    </w:p>
    <w:p>
      <w:pPr>
        <w:pStyle w:val="Corpodetexto"/>
      </w:pPr>
      <w:r>
        <w:rPr>
          <w:b/>
          <w:bCs/>
        </w:rPr>
        <w:t xml:space="preserve">Categoria via Codificação (Calculada): foco-causa</w:t>
      </w:r>
    </w:p>
    <w:p>
      <w:pPr>
        <w:pStyle w:val="Corpodetexto"/>
      </w:pPr>
      <w:r>
        <w:t xml:space="preserve">Análise Codificação: A recomendação visa estabelecer um sistema de controle permanente sobre os profissionais do SAMU 192, abordando tanto aspectos operacionais (cargos, carga horária, frequência) quanto a atualização obrigatória no SCNES, demonstrando preocupação com a causa institucional da falta de controle sistemático.</w:t>
      </w:r>
    </w:p>
    <w:p>
      <w:pPr>
        <w:pStyle w:val="Compact"/>
        <w:numPr>
          <w:ilvl w:val="0"/>
          <w:numId w:val="1017"/>
        </w:numPr>
      </w:pPr>
      <w:r>
        <w:t xml:space="preserve">Causa Identificada: sim</w:t>
      </w:r>
    </w:p>
    <w:p>
      <w:pPr>
        <w:pStyle w:val="Compact"/>
        <w:numPr>
          <w:ilvl w:val="0"/>
          <w:numId w:val="1017"/>
        </w:numPr>
      </w:pPr>
      <w:r>
        <w:t xml:space="preserve">Causa Institucional: sim</w:t>
      </w:r>
    </w:p>
    <w:p>
      <w:pPr>
        <w:pStyle w:val="Compact"/>
        <w:numPr>
          <w:ilvl w:val="0"/>
          <w:numId w:val="1017"/>
        </w:numPr>
      </w:pPr>
      <w:r>
        <w:t xml:space="preserve">Solução Duradoura:sim</w:t>
      </w:r>
    </w:p>
    <w:p>
      <w:pPr>
        <w:pStyle w:val="FirstParagraph"/>
      </w:pPr>
      <w:r>
        <w:rPr>
          <w:b/>
          <w:bCs/>
        </w:rPr>
        <w:t xml:space="preserve">Categoria via Categorização Direta: foco-condicao</w:t>
      </w:r>
    </w:p>
    <w:p>
      <w:pPr>
        <w:pStyle w:val="Corpodetexto"/>
      </w:pPr>
      <w:r>
        <w:t xml:space="preserve">Análise: A recomendação propõe a manutenção do controle dos profissionais do SAMU 192, incluindo identificação por cargos, carga horária, local de atuação e controle de frequência, bem como o cumprimento da Portaria de Consolidação nº 01/2017 para atualização do SCNES. No entanto, ela não identifica explicitamente as causas institucionais que levaram à falta de controle (ex.: ausência de procedimentos formais, deficiências na estrutura de governança, falta de capacitação ou sistemas inadequados). As ações sugeridas focam na correção da condição observada (falta de controle) sem abordar transformações estruturais que garantam a permanência das soluções. Assim, a recomendação atende parcialmente ao primeiro critério (identifica a condição, mas não a causa raiz), não atende ao segundo (a causa não está claramente no nível institucional) e não atende ao terceiro (as mudanças não têm garantia de perdurabilidade sem abordar as causas subjacentes).</w:t>
      </w:r>
    </w:p>
    <w:bookmarkEnd w:id="40"/>
    <w:bookmarkStart w:id="41" w:name="auditoria-19773-constatação-nº-692879"/>
    <w:p>
      <w:pPr>
        <w:pStyle w:val="Ttulo2"/>
      </w:pPr>
      <w:r>
        <w:t xml:space="preserve">Auditoria 19773, Constatação Nº 692879</w:t>
      </w:r>
    </w:p>
    <w:p>
      <w:pPr>
        <w:pStyle w:val="FirstParagraph"/>
      </w:pPr>
      <w:r>
        <w:rPr>
          <w:b/>
          <w:bCs/>
        </w:rPr>
        <w:t xml:space="preserve">Finalidade</w:t>
      </w:r>
      <w:r>
        <w:t xml:space="preserve">: Verificar se a SM possui controles internos capazes de assegurar adequadamente a Cadeia de Frio</w:t>
      </w:r>
    </w:p>
    <w:p>
      <w:pPr>
        <w:pStyle w:val="Corpodetexto"/>
      </w:pPr>
      <w:r>
        <w:rPr>
          <w:b/>
          <w:bCs/>
        </w:rPr>
        <w:t xml:space="preserve">Constatação</w:t>
      </w:r>
      <w:r>
        <w:t xml:space="preserve">: O Plano de Contingência da CMRF de Volta Redonda/RJ não contempla a totalidade das emergências que possam afetar a Cadeia de Frio.</w:t>
      </w:r>
    </w:p>
    <w:p>
      <w:pPr>
        <w:pStyle w:val="Corpodetexto"/>
      </w:pPr>
      <w:r>
        <w:rPr>
          <w:b/>
          <w:bCs/>
        </w:rPr>
        <w:t xml:space="preserve">Recomendação</w:t>
      </w:r>
      <w:r>
        <w:t xml:space="preserve">: Revisar o Plano de Contingência a fim de adequá-lo às possíveis intercorrências, conforme estabelecido no Art. 80, seção IX, da RDC n.º 430, de 08/10/2020; e no item 7.3, p.78, do Manual de Rede de Frio do Programa Nacional de Imunizações, 2017.</w:t>
      </w:r>
    </w:p>
    <w:p>
      <w:pPr>
        <w:pStyle w:val="Corpodetexto"/>
      </w:pPr>
      <w:r>
        <w:rPr>
          <w:b/>
          <w:bCs/>
        </w:rPr>
        <w:t xml:space="preserve">Categoria via Codificação (Calculada): foco-causa</w:t>
      </w:r>
    </w:p>
    <w:p>
      <w:pPr>
        <w:pStyle w:val="Corpodetexto"/>
      </w:pPr>
      <w:r>
        <w:t xml:space="preserve">Análise Codificação: A recomendação propõe a revisão do Plano de Contingência para contemplar a totalidade das emergências que possam afetar a Cadeia de Frio, com base em normativas específicas. Ela identifica a causa como a inadequação do plano atual em relação às possíveis intercorrências, situando-a no nível institucional (estrutura documental e de planejamento), e a solução (revisão e adequação do plano) possui potencial para perdurar no tempo, desde que o plano seja mantido atualizado.</w:t>
      </w:r>
    </w:p>
    <w:p>
      <w:pPr>
        <w:pStyle w:val="Compact"/>
        <w:numPr>
          <w:ilvl w:val="0"/>
          <w:numId w:val="1018"/>
        </w:numPr>
      </w:pPr>
      <w:r>
        <w:t xml:space="preserve">Causa Identificada: sim</w:t>
      </w:r>
    </w:p>
    <w:p>
      <w:pPr>
        <w:pStyle w:val="Compact"/>
        <w:numPr>
          <w:ilvl w:val="0"/>
          <w:numId w:val="1018"/>
        </w:numPr>
      </w:pPr>
      <w:r>
        <w:t xml:space="preserve">Causa Institucional: sim</w:t>
      </w:r>
    </w:p>
    <w:p>
      <w:pPr>
        <w:pStyle w:val="Compact"/>
        <w:numPr>
          <w:ilvl w:val="0"/>
          <w:numId w:val="1018"/>
        </w:numPr>
      </w:pPr>
      <w:r>
        <w:t xml:space="preserve">Solução Duradoura:sim</w:t>
      </w:r>
    </w:p>
    <w:p>
      <w:pPr>
        <w:pStyle w:val="FirstParagraph"/>
      </w:pPr>
      <w:r>
        <w:rPr>
          <w:b/>
          <w:bCs/>
        </w:rPr>
        <w:t xml:space="preserve">Categoria via Categorização Direta: foco-condicao</w:t>
      </w:r>
    </w:p>
    <w:p>
      <w:pPr>
        <w:pStyle w:val="Corpodetexto"/>
      </w:pPr>
      <w:r>
        <w:t xml:space="preserve">Análise: A recomendação propõe a revisão do Plano de Contingência para adequá-lo às possíveis intercorrências, conforme normativas específicas. No entanto, ela não identifica explicitamente a causa que levou à condição detectada (falta de contemplação da totalidade das emergências), nem situa a causa no nível institucional (como falhas em processos de elaboração, atualização ou capacitação). A ação sugerida é corretiva para a condição atual do plano, sem garantir que as transformações perdurem no tempo, pois uma revisão pontual não necessariamente previne futuras inadequações sem mudanças estruturais nos processos de gestão de contingências.</w:t>
      </w:r>
    </w:p>
    <w:bookmarkEnd w:id="41"/>
    <w:bookmarkStart w:id="42" w:name="auditoria-19538-constatação-nº-675893"/>
    <w:p>
      <w:pPr>
        <w:pStyle w:val="Ttulo2"/>
      </w:pPr>
      <w:r>
        <w:t xml:space="preserve">Auditoria 19538, Constatação Nº 675893</w:t>
      </w:r>
    </w:p>
    <w:p>
      <w:pPr>
        <w:pStyle w:val="FirstParagraph"/>
      </w:pPr>
      <w:r>
        <w:rPr>
          <w:b/>
          <w:bCs/>
        </w:rPr>
        <w:t xml:space="preserve">Finalidade</w:t>
      </w:r>
      <w:r>
        <w:t xml:space="preserve">: Avaliar a gestão da SMS quanto aos indicadores de desempenho do programa Previne Brasil.</w:t>
      </w:r>
    </w:p>
    <w:p>
      <w:pPr>
        <w:pStyle w:val="Corpodetexto"/>
      </w:pPr>
      <w:r>
        <w:rPr>
          <w:b/>
          <w:bCs/>
        </w:rPr>
        <w:t xml:space="preserve">Constatação</w:t>
      </w:r>
      <w:r>
        <w:t xml:space="preserve">: Os dados referentes ao exame de Sifilis e HIV em gestantes do indicador 2 apresentados no SISAB não são equivalentes aos registrados nos demais sistemas de registro dos procedimentos.</w:t>
      </w:r>
    </w:p>
    <w:p>
      <w:pPr>
        <w:pStyle w:val="Corpodetexto"/>
      </w:pPr>
      <w:r>
        <w:rPr>
          <w:b/>
          <w:bCs/>
        </w:rPr>
        <w:t xml:space="preserve">Recomendação</w:t>
      </w:r>
      <w:r>
        <w:t xml:space="preserve">: 1. Efetivar a informatização das UBS do município, viabilizando o uso do Prontuário Eletrônico nos ambientes de atendimento ao cidadão, garantindo o devido preenchimento das informações de saúde dos usuários da APS e o envio adequado de dados ao Ministério da Saúde, de acordo com o disposto na Nota Técnica nº 21/2019- CGIAP/DESF/SAPS/MS, que define o processo de informatização das unidades de Atenção Primária à Saúde; 2. Registrar no SISAB, por competência, os dados relacionados ao indicador nº 2, referentes à realização de exames para detecção de Sífilis e HIV nas gestantes, regularmente, até o 10º dia útil subsequente a cada competência, de acordo com o preconizado na Nota Técnica nº 14/2022-SAPS/MS.</w:t>
      </w:r>
    </w:p>
    <w:p>
      <w:pPr>
        <w:pStyle w:val="Corpodetexto"/>
      </w:pPr>
      <w:r>
        <w:rPr>
          <w:b/>
          <w:bCs/>
        </w:rPr>
        <w:t xml:space="preserve">Categoria via Codificação (Calculada): foco-causa</w:t>
      </w:r>
    </w:p>
    <w:p>
      <w:pPr>
        <w:pStyle w:val="Corpodetexto"/>
      </w:pPr>
      <w:r>
        <w:t xml:space="preserve">Análise Codificação: A recomendação propõe a informatização das UBS com uso de Prontuário Eletrônico para garantir preenchimento adequado e envio correto de dados, além do registro regular no SISAB, visando solucionar a divergência entre sistemas identificada na constatação.</w:t>
      </w:r>
    </w:p>
    <w:p>
      <w:pPr>
        <w:pStyle w:val="Compact"/>
        <w:numPr>
          <w:ilvl w:val="0"/>
          <w:numId w:val="1019"/>
        </w:numPr>
      </w:pPr>
      <w:r>
        <w:t xml:space="preserve">Causa Identificada: sim</w:t>
      </w:r>
    </w:p>
    <w:p>
      <w:pPr>
        <w:pStyle w:val="Compact"/>
        <w:numPr>
          <w:ilvl w:val="0"/>
          <w:numId w:val="1019"/>
        </w:numPr>
      </w:pPr>
      <w:r>
        <w:t xml:space="preserve">Causa Institucional: sim</w:t>
      </w:r>
    </w:p>
    <w:p>
      <w:pPr>
        <w:pStyle w:val="Compact"/>
        <w:numPr>
          <w:ilvl w:val="0"/>
          <w:numId w:val="1019"/>
        </w:numPr>
      </w:pPr>
      <w:r>
        <w:t xml:space="preserve">Solução Duradoura:sim</w:t>
      </w:r>
    </w:p>
    <w:p>
      <w:pPr>
        <w:pStyle w:val="FirstParagraph"/>
      </w:pPr>
      <w:r>
        <w:rPr>
          <w:b/>
          <w:bCs/>
        </w:rPr>
        <w:t xml:space="preserve">Categoria via Categorização Direta: foco-condicao</w:t>
      </w:r>
    </w:p>
    <w:p>
      <w:pPr>
        <w:pStyle w:val="Corpodetexto"/>
      </w:pPr>
      <w:r>
        <w:t xml:space="preserve">Análise: A recomendação aborda parcialmente a causa ao propor a informatização das UBS e o uso do Prontuário Eletrônico, o que pode mitigar inconsistências futuras, mas não identifica explicitamente a causa raiz da divergência de dados (ex.: falhas processuais, falta de treinamento). A causa não está claramente situada no nível institucional, focando mais em soluções técnicas. As transformações têm potencial de duração, mas a ênfase na correção imediata (registro regular no SISAB) sugere um foco predominante na condição observada.</w:t>
      </w:r>
    </w:p>
    <w:bookmarkEnd w:id="42"/>
    <w:bookmarkStart w:id="43" w:name="auditoria-19839-constatação-nº-701633"/>
    <w:p>
      <w:pPr>
        <w:pStyle w:val="Ttulo2"/>
      </w:pPr>
      <w:r>
        <w:t xml:space="preserve">Auditoria 19839, Constatação Nº 701633</w:t>
      </w:r>
    </w:p>
    <w:p>
      <w:pPr>
        <w:pStyle w:val="FirstParagraph"/>
      </w:pPr>
      <w:r>
        <w:rPr>
          <w:b/>
          <w:bCs/>
        </w:rPr>
        <w:t xml:space="preserve">Finalidade</w:t>
      </w:r>
      <w:r>
        <w:t xml:space="preserve">: Verificar a regularidade da produção inserida nos sistemas do SUS</w:t>
      </w:r>
    </w:p>
    <w:p>
      <w:pPr>
        <w:pStyle w:val="Corpodetexto"/>
      </w:pPr>
      <w:r>
        <w:rPr>
          <w:b/>
          <w:bCs/>
        </w:rPr>
        <w:t xml:space="preserve">Constatação</w:t>
      </w:r>
      <w:r>
        <w:t xml:space="preserve">: A Semus de Joselândia incorreu em irregularidade na inserção da produção ambulatorial de Consultas Médicas em Atenção Especializada no SIA-SUS no exercício de 2021.</w:t>
      </w:r>
    </w:p>
    <w:p>
      <w:pPr>
        <w:pStyle w:val="Corpodetexto"/>
      </w:pPr>
      <w:r>
        <w:rPr>
          <w:b/>
          <w:bCs/>
        </w:rPr>
        <w:t xml:space="preserve">Recomendação</w:t>
      </w:r>
      <w:r>
        <w:t xml:space="preserve">: -Adotar os procedimentos a seu cargo, conforme estabelecido no Decreto nº 11.798/2023 e no art. 3º da Portaria GM/MS n.º 885/2021, visando a elisão do dano e/ou impropriedade ocorrida com recursos de origem federal, indicado no Capítulo</w:t>
      </w:r>
      <w:r>
        <w:t xml:space="preserve"> </w:t>
      </w:r>
      <w:r>
        <w:t xml:space="preserve">“Proposição de Devolução”</w:t>
      </w:r>
      <w:r>
        <w:t xml:space="preserve"> </w:t>
      </w:r>
      <w:r>
        <w:t xml:space="preserve">deste relatório, assim como, prevenir a recorrência do fato apresentado.</w:t>
      </w:r>
    </w:p>
    <w:p>
      <w:pPr>
        <w:pStyle w:val="Corpodetexto"/>
      </w:pPr>
      <w:r>
        <w:rPr>
          <w:b/>
          <w:bCs/>
        </w:rPr>
        <w:t xml:space="preserve">Categoria via Codificação (Calculada): foco-causa</w:t>
      </w:r>
    </w:p>
    <w:p>
      <w:pPr>
        <w:pStyle w:val="Corpodetexto"/>
      </w:pPr>
      <w:r>
        <w:t xml:space="preserve">Análise Codificação: A recomendação aborda a necessidade de adoção de procedimentos estabelecidos em normas para corrigir irregularidade na inserção de produção ambulatorial e prevenir sua recorrência, indicando uma intenção de tratar a causa institucional por meio de conformidade normativa.</w:t>
      </w:r>
    </w:p>
    <w:p>
      <w:pPr>
        <w:pStyle w:val="Compact"/>
        <w:numPr>
          <w:ilvl w:val="0"/>
          <w:numId w:val="1020"/>
        </w:numPr>
      </w:pPr>
      <w:r>
        <w:t xml:space="preserve">Causa Identificada: sim</w:t>
      </w:r>
    </w:p>
    <w:p>
      <w:pPr>
        <w:pStyle w:val="Compact"/>
        <w:numPr>
          <w:ilvl w:val="0"/>
          <w:numId w:val="1020"/>
        </w:numPr>
      </w:pPr>
      <w:r>
        <w:t xml:space="preserve">Causa Institucional: sim</w:t>
      </w:r>
    </w:p>
    <w:p>
      <w:pPr>
        <w:pStyle w:val="Compact"/>
        <w:numPr>
          <w:ilvl w:val="0"/>
          <w:numId w:val="1020"/>
        </w:numPr>
      </w:pPr>
      <w:r>
        <w:t xml:space="preserve">Solução Duradoura:sim</w:t>
      </w:r>
    </w:p>
    <w:p>
      <w:pPr>
        <w:pStyle w:val="FirstParagraph"/>
      </w:pPr>
      <w:r>
        <w:rPr>
          <w:b/>
          <w:bCs/>
        </w:rPr>
        <w:t xml:space="preserve">Categoria via Categorização Direta: foco-condicao</w:t>
      </w:r>
    </w:p>
    <w:p>
      <w:pPr>
        <w:pStyle w:val="Corpodetexto"/>
      </w:pPr>
      <w:r>
        <w:t xml:space="preserve">Análise: A recomendação identifica a necessidade de prevenir a recorrência do fato, o que sugere um foco na causa, mas não especifica claramente as causas institucionais que levaram à irregularidade (ex: falta de treinamento, controles inadequados, falhas processuais). Ela se baseia principalmente na adoção de procedimentos legais existentes para corrigir a condição atual (devolução de recursos) e prevenir recorrência, sem detalhar transformações estruturais. As mudanças propostas podem perdurar se os procedimentos forem internalizados, mas a falta de especificidade sobre causas institucionais e a ênfase na correção imediata (devolução) indicam um foco predominante na condição.</w:t>
      </w:r>
    </w:p>
    <w:bookmarkEnd w:id="43"/>
    <w:bookmarkEnd w:id="44"/>
    <w:sectPr w:rsidR="00186AD4">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0A4AE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18171959"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6AD4"/>
    <w:rsid w:val="00186AD4"/>
    <w:rsid w:val="004F38F9"/>
    <w:rsid w:val="009129B2"/>
    <w:rsid w:val="00A21709"/>
    <w:rsid w:val="00AA533A"/>
    <w:rsid w:val="00F92B3A"/>
    <w:rsid w:val="00FD5A2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rsid w:val="00A21709"/>
    <w:pPr>
      <w:spacing w:after="36" w:before="36"/>
    </w:pPr>
    <w:rPr>
      <w:sz w:val="20"/>
    </w:r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sid w:val="00A21709"/>
    <w:rPr>
      <w:rFonts w:ascii="Consolas" w:hAnsi="Consolas"/>
      <w:sz w:val="20"/>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65</Words>
  <Characters>357</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Apêndice III - Recolhimento de Amostra</dc:title>
  <dc:creator>Fabiano A. Lima</dc:creator>
  <dc:language>pt-BR</dc:language>
  <cp:keywords/>
  <dcterms:created xsi:type="dcterms:W3CDTF">2025-10-02T15:31:43Z</dcterms:created>
  <dcterms:modified xsi:type="dcterms:W3CDTF">2025-10-02T15:31:43Z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./Quarto/referencias.bibtex</vt:lpwstr>
  </property>
  <property fmtid="{D5CDD505-2E9C-101B-9397-08002B2CF9AE}" pid="5" name="by-author">
    <vt:lpwstr/>
  </property>
  <property fmtid="{D5CDD505-2E9C-101B-9397-08002B2CF9AE}" pid="6" name="csl">
    <vt:lpwstr>./Quarto/abnt-nbr-6023-2018-citacao-autor-data.csl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toc-title">
    <vt:lpwstr>Índice</vt:lpwstr>
  </property>
</Properties>
</file>