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6.png" ContentType="image/png"/>
  <Override PartName="/word/media/rId60.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919"/>
      </w:pPr>
      <w:r>
        <w:t xml:space="preserve">Causa e Condição: o papel das recomendações do DENASUS na indução de mudanças institucionais no SUS</w:t>
      </w:r>
    </w:p>
    <w:sdt>
      <w:sdtPr>
        <w:docPartObj>
          <w:docPartGallery w:val="Table of Contents"/>
          <w:docPartUnique/>
        </w:docPartObj>
      </w:sdtPr>
      <w:sdtContent>
        <w:p>
          <w:pPr>
            <w:pStyle w:val="953"/>
          </w:pPr>
          <w:r>
            <w:t xml:space="preserve">Sumário</w:t>
          </w:r>
        </w:p>
        <w:p>
          <w:r>
            <w:fldChar w:fldCharType="begin" w:dirty="true"/>
            <w:instrText xml:space="preserve">TOC \o "1-3" \h \z \u</w:instrText>
            <w:fldChar w:fldCharType="separate"/>
            <w:fldChar w:fldCharType="end"/>
          </w:r>
        </w:p>
      </w:sdtContent>
    </w:sdt>
    <w:sdt>
      <w:sdtPr>
        <w:docPartObj>
          <w:docPartGallery w:val="List of Tables"/>
          <w:docPartUnique/>
        </w:docPartObj>
      </w:sdtPr>
      <w:sdtContent>
        <w:p>
          <w:pPr>
            <w:pStyle w:val="953"/>
          </w:pPr>
          <w:r>
            <w:t xml:space="preserve">Lista de Tabelas</w:t>
          </w:r>
        </w:p>
        <w:p>
          <w:r>
            <w:fldChar w:fldCharType="begin" w:dirty="true"/>
            <w:instrText xml:space="preserve">TOC \h \z \t "Table Caption" \c</w:instrText>
            <w:fldChar w:fldCharType="separate"/>
            <w:fldChar w:fldCharType="end"/>
          </w:r>
        </w:p>
      </w:sdtContent>
    </w:sdt>
    <w:p>
      <w:pPr>
        <w:pStyle w:val="917"/>
      </w:pPr>
      <w:r>
        <w:drawing>
          <wp:inline>
            <wp:extent cx="1234440" cy="1361345"/>
            <wp:effectExtent b="0" l="0" r="0" t="0"/>
            <wp:docPr descr="" title="" id="19" name="Picture"/>
            <a:graphic>
              <a:graphicData uri="http://schemas.openxmlformats.org/drawingml/2006/picture">
                <pic:pic>
                  <pic:nvPicPr>
                    <pic:cNvPr descr="Quarto/uft.png" id="20" name="Picture"/>
                    <pic:cNvPicPr>
                      <a:picLocks noChangeArrowheads="1" noChangeAspect="1"/>
                    </pic:cNvPicPr>
                  </pic:nvPicPr>
                  <pic:blipFill>
                    <a:blip r:embed="rId18"/>
                    <a:stretch>
                      <a:fillRect/>
                    </a:stretch>
                  </pic:blipFill>
                  <pic:spPr bwMode="auto">
                    <a:xfrm>
                      <a:off x="0" y="0"/>
                      <a:ext cx="1234440" cy="1361345"/>
                    </a:xfrm>
                    <a:prstGeom prst="rect">
                      <a:avLst/>
                    </a:prstGeom>
                    <a:noFill/>
                    <a:ln w="9525">
                      <a:noFill/>
                      <a:headEnd/>
                      <a:tailEnd/>
                    </a:ln>
                  </pic:spPr>
                </pic:pic>
              </a:graphicData>
            </a:graphic>
          </wp:inline>
        </w:drawing>
      </w:r>
    </w:p>
    <w:p>
      <w:pPr>
        <w:pStyle w:val="921"/>
      </w:pPr>
      <w:r>
        <w:t xml:space="preserve">UNIVERSIDADE FEDERAL DO TOCANTINS</w:t>
      </w:r>
    </w:p>
    <w:p>
      <w:pPr>
        <w:pStyle w:val="921"/>
      </w:pPr>
      <w:r>
        <w:t xml:space="preserve">PROGRAMA DE PÓS-GRADUAÇÃO MESTRADO PROFISSIONAL EM GESTÃO DE POLÍTICAS PÚBLICAS</w:t>
      </w:r>
    </w:p>
    <w:p>
      <w:pPr>
        <w:pStyle w:val="916"/>
      </w:pPr>
      <w:r>
        <w:t xml:space="preserve"> </w:t>
      </w:r>
    </w:p>
    <w:p>
      <w:pPr>
        <w:pStyle w:val="919"/>
      </w:pPr>
      <w:r>
        <w:t xml:space="preserve">Causa e Condição: o papel das recomendações do DENASUS na indução de mudanças institucionais no SUS</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23"/>
      </w:pPr>
      <w:r>
        <w:t xml:space="preserve">Flora de Freitas Soares Lima</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21"/>
      </w:pPr>
      <w:r>
        <w:t xml:space="preserve">Palmas, TO</w:t>
      </w:r>
    </w:p>
    <w:p>
      <w:pPr>
        <w:pStyle w:val="921"/>
      </w:pPr>
      <w:r>
        <w:t xml:space="preserve">2026</w:t>
      </w:r>
    </w:p>
    <w:p>
      <w:r>
        <w:br w:type="page"/>
      </w:r>
    </w:p>
    <w:p>
      <w:pPr>
        <w:pStyle w:val="923"/>
      </w:pPr>
      <w:r>
        <w:t xml:space="preserve">Flora de Freitas Soares Lima</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9"/>
      </w:pPr>
      <w:r>
        <w:t xml:space="preserve">Causa e Condição: o papel das recomendações do DENASUS na indução de mudanças institucionais no SUS</w:t>
      </w:r>
    </w:p>
    <w:p>
      <w:pPr>
        <w:pStyle w:val="916"/>
      </w:pPr>
      <w:r>
        <w:t xml:space="preserve"> </w:t>
      </w:r>
    </w:p>
    <w:p>
      <w:pPr>
        <w:pStyle w:val="916"/>
      </w:pPr>
      <w:r>
        <w:t xml:space="preserve"> </w:t>
      </w:r>
    </w:p>
    <w:p>
      <w:pPr>
        <w:pStyle w:val="916"/>
      </w:pPr>
      <w:r>
        <w:t xml:space="preserve"> </w:t>
      </w:r>
    </w:p>
    <w:p>
      <w:pPr>
        <w:pStyle w:val="916"/>
      </w:pPr>
      <w:r>
        <w:t xml:space="preserve"> </w:t>
      </w:r>
    </w:p>
    <w:p>
      <w:pPr>
        <w:pStyle w:val="937"/>
      </w:pPr>
      <w:r>
        <w:t xml:space="preserve">Dissertação apresentada ao Programa de Pós-Graduação em Gestão de Políticas Públicas da Universidade Federal do Tocantins (UFT), como requisito à obtenção do grau de Mestra em Gestão de Políticas Públicas.</w:t>
      </w:r>
    </w:p>
    <w:p>
      <w:pPr>
        <w:pStyle w:val="937"/>
      </w:pPr>
      <w:r>
        <w:t xml:space="preserve">Orientadora: Profª Drª Welere Gomes Barbosa</w:t>
      </w:r>
    </w:p>
    <w:p>
      <w:pPr>
        <w:pStyle w:val="917"/>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16"/>
      </w:pPr>
      <w:r>
        <w:t xml:space="preserve"> </w:t>
      </w:r>
    </w:p>
    <w:p>
      <w:pPr>
        <w:pStyle w:val="921"/>
      </w:pPr>
      <w:r>
        <w:t xml:space="preserve">Palmas, TO</w:t>
      </w:r>
    </w:p>
    <w:p>
      <w:pPr>
        <w:pStyle w:val="921"/>
      </w:pPr>
      <w:r>
        <w:t xml:space="preserve">2026</w:t>
      </w:r>
    </w:p>
    <w:p>
      <w:r>
        <w:br w:type="page"/>
      </w:r>
    </w:p>
    <w:tbl>
      <w:tblPr>
        <w:tblStyle w:val="Table"/>
        <w:tblW w:type="pct" w:w="5000"/>
        <w:tblLayout w:type="fixed"/>
        <w:tblLook w:firstRow="0" w:lastRow="0" w:firstColumn="0" w:lastColumn="0" w:noHBand="0" w:noVBand="0" w:val="0000"/>
      </w:tblPr>
      <w:tblGrid>
        <w:gridCol w:w="3337"/>
        <w:gridCol w:w="4582"/>
      </w:tblGrid>
      <w:tr>
        <w:tc>
          <w:tcPr>
            <w:gridSpan w:val="2"/>
          </w:tcPr>
          <w:p>
            <w:pPr>
              <w:jc w:val="center"/>
            </w:pPr>
            <w:r>
              <w:rPr>
                <w:b/>
                <w:bCs/>
              </w:rPr>
              <w:t xml:space="preserve">Dados Internacionais de Catalogação na Publicação (CIP)</w:t>
            </w:r>
          </w:p>
          <w:p>
            <w:pPr>
              <w:jc w:val="center"/>
            </w:pPr>
            <w:r>
              <w:rPr>
                <w:b/>
                <w:bCs/>
              </w:rPr>
              <w:t xml:space="preserve">Sistema de Bibliotecas da Universidade Federal do Tocantins</w:t>
            </w:r>
          </w:p>
        </w:tc>
      </w:tr>
      <w:tr>
        <w:tc>
          <w:tcPr/>
          <w:p>
            <w:pPr>
              <w:pStyle w:val="918"/>
              <w:jc w:val="center"/>
            </w:pPr>
            <w:r>
              <w:t xml:space="preserve">D316p</w:t>
            </w:r>
          </w:p>
        </w:tc>
        <w:tc>
          <w:tcPr/>
          <w:p>
            <w:pPr>
              <w:jc w:val="center"/>
            </w:pPr>
            <w:r>
              <w:t xml:space="preserve">De Freitas Soares Lima, Flora.</w:t>
            </w:r>
          </w:p>
          <w:p>
            <w:pPr>
              <w:jc w:val="center"/>
            </w:pPr>
            <w:r>
              <w:t xml:space="preserve">CAUSA E CONDIÇÃO: O PAPEL DAS RECOMENDAÇÕES DO DENASUS NA INDUÇÃO DE MUDANÇAS INSTITUCIONAIS NO SUS./ Flora De Freitas Soares Lima. – Palmas, TO, 2026.</w:t>
            </w:r>
          </w:p>
          <w:p>
            <w:pPr>
              <w:jc w:val="center"/>
            </w:pPr>
            <w:r>
              <w:t xml:space="preserve">643 f.</w:t>
            </w:r>
          </w:p>
          <w:p>
            <w:pPr>
              <w:jc w:val="center"/>
            </w:pPr>
            <w:r>
              <w:t xml:space="preserve">Dissertação (Mestrado Profissional) - Universidade Federal do Tocantins – Câmpus Universitário de Palmas – Curso de Pós-Graduação (Mestrado) em Gestão de Políticas Públicas, 2026.</w:t>
            </w:r>
          </w:p>
          <w:p>
            <w:pPr>
              <w:jc w:val="center"/>
            </w:pPr>
            <w:r>
              <w:t xml:space="preserve">Orientadora: Profª Drª Welere Gomes Barbosa</w:t>
            </w:r>
          </w:p>
          <w:p>
            <w:pPr>
              <w:jc w:val="center"/>
            </w:pPr>
            <w:r>
              <w:t xml:space="preserve">1. Auditoria governamental. 2. DENASUS. 3. Políticas públicas de saúde. 4. Recomendações de auditoria. 5. Causa subjacente e condição observada. I. Título</w:t>
            </w:r>
          </w:p>
        </w:tc>
      </w:tr>
      <w:tr>
        <w:tc>
          <w:tcPr>
            <w:gridSpan w:val="2"/>
          </w:tcPr>
          <w:p>
            <w:pPr>
              <w:pStyle w:val="918"/>
              <w:jc w:val="center"/>
            </w:pPr>
            <w:r>
              <w:rPr>
                <w:b/>
                <w:bCs/>
              </w:rPr>
              <w:t xml:space="preserve">CDD 350</w:t>
            </w:r>
          </w:p>
        </w:tc>
      </w:tr>
      <w:tr>
        <w:tc>
          <w:tcPr>
            <w:gridSpan w:val="2"/>
          </w:tcPr>
          <w:p>
            <w:pPr>
              <w:jc w:val="center"/>
            </w:pPr>
            <w:r>
              <w:t xml:space="preserve">TODOS OS DIREITOS RESERVADOS – A reprodução total ou parcial, de qualquer forma ou por qualquer meio deste documento é autorizado desde que citada a fonte. A violação dos direitos do autor (Lei nº 9.610/98) é crime estabelecido pelo artigo 184 do Código Penal.</w:t>
            </w:r>
          </w:p>
          <w:p>
            <w:pPr>
              <w:jc w:val="center"/>
            </w:pPr>
            <w:r>
              <w:rPr>
                <w:b/>
                <w:bCs/>
              </w:rPr>
              <w:t xml:space="preserve">Elaborado pelo sistema de geração automática de ficha catalográfica da UFT com os dados fornecidos pelo(a) autor(a).</w:t>
            </w:r>
          </w:p>
        </w:tc>
      </w:tr>
    </w:tbl>
    <w:p>
      <w:pPr>
        <w:pStyle w:val="916"/>
      </w:pPr>
      <w:r>
        <w:rPr>
          <w:b/>
          <w:bCs/>
        </w:rPr>
        <w:t xml:space="preserve">Flora de Freitas Soares Lima</w:t>
      </w:r>
    </w:p>
    <w:p>
      <w:pPr>
        <w:pStyle w:val="916"/>
      </w:pPr>
      <w:r>
        <w:rPr>
          <w:b/>
          <w:bCs/>
        </w:rPr>
        <w:t xml:space="preserve">Causa e Condição: o papel das recomendações do DENASUS na indução de mudanças institucionais no SUS</w:t>
      </w:r>
    </w:p>
    <w:p>
      <w:pPr>
        <w:pStyle w:val="937"/>
      </w:pPr>
      <w:r>
        <w:t xml:space="preserve">Dissertação apresentada ao Programa de Pós-Graduação em Gestão de Políticas Públicas da Universidade Federal do Tocantins (UFT). Foi avaliada para a obtenção do título de Mestra em Gestão de Políticas Públicas e aprovada em sua forma final pela Orientadora e pela Banca Examinadora.</w:t>
      </w:r>
    </w:p>
    <w:p>
      <w:pPr>
        <w:pStyle w:val="917"/>
      </w:pPr>
      <w:r>
        <w:t xml:space="preserve">Data da Aprovação: ____ / _____ / ____________</w:t>
      </w:r>
    </w:p>
    <w:p>
      <w:pPr>
        <w:pStyle w:val="916"/>
      </w:pPr>
      <w:r>
        <w:t xml:space="preserve">Banca Examinadora</w:t>
      </w:r>
    </w:p>
    <w:p>
      <w:pPr>
        <w:pStyle w:val="916"/>
      </w:pPr>
      <w:r>
        <w:t xml:space="preserve">___________________________________________________</w:t>
      </w:r>
    </w:p>
    <w:p>
      <w:pPr>
        <w:pStyle w:val="916"/>
      </w:pPr>
      <w:r>
        <w:t xml:space="preserve">Prof. Dr. Heber Rogério Grácio, UFT</w:t>
      </w:r>
    </w:p>
    <w:p>
      <w:pPr>
        <w:pStyle w:val="916"/>
      </w:pPr>
      <w:r>
        <w:t xml:space="preserve">___________________________________________________</w:t>
      </w:r>
    </w:p>
    <w:p>
      <w:pPr>
        <w:pStyle w:val="916"/>
      </w:pPr>
      <w:r>
        <w:t xml:space="preserve">Prof. Dr. Antônio Hélio Vieira, ETSUS</w:t>
      </w:r>
      <w:r>
        <w:rPr>
          <w:highlight w:val="yellow"/>
        </w:rPr>
        <w:t xml:space="preserve"> </w:t>
      </w:r>
    </w:p>
    <w:p>
      <w:pPr>
        <w:pStyle w:val="916"/>
      </w:pPr>
      <w:r>
        <w:t xml:space="preserve">****</w:t>
      </w:r>
    </w:p>
    <w:p>
      <w:pPr>
        <w:pStyle w:val="937"/>
      </w:pPr>
      <w:r>
        <w:rPr>
          <w:i/>
          <w:iCs/>
        </w:rPr>
        <w:t xml:space="preserve">Dedico a presente pesquisa a Fabiano, por acompanhar-me na jornada que culmina com a entrega deste trabalho, mas que com ela não se encerra, uma vez que em nós pulsa vida, sonhos e desejos infinitos de partilha.</w:t>
      </w:r>
    </w:p>
    <w:p>
      <w:pPr>
        <w:pStyle w:val="917"/>
      </w:pPr>
      <w:r>
        <w:rPr>
          <w:b/>
          <w:bCs/>
        </w:rPr>
        <w:t xml:space="preserve">Agradecimentos</w:t>
      </w:r>
    </w:p>
    <w:p>
      <w:pPr>
        <w:pStyle w:val="916"/>
      </w:pPr>
      <w:r>
        <w:t xml:space="preserve">Agradeço aos meus pais, Nilo e Cristina, por serem minha identificação primordial com o mundo. Ao meu marido, Fabiano, por apoiar meus esforços, ouvir meus desabafos e colocar trilhos nos pensamentos esparsos e etéreos que com ele compartilho. Ao meu filho, Valentim, por me fazer desejar ser eterna, sábia e lúcida para abrir-lhe portas e estar presente em suas travessias. À vida, por ser promotora das grandes e pequenas conquistas que me trouxeram, exatamente, ao que Clarice Lispector chamaria de</w:t>
      </w:r>
      <w:r>
        <w:t xml:space="preserve"> </w:t>
      </w:r>
      <w:r>
        <w:t xml:space="preserve">“instante-já”</w:t>
      </w:r>
      <w:r>
        <w:t xml:space="preserve">.</w:t>
      </w:r>
    </w:p>
    <w:p>
      <w:pPr>
        <w:pStyle w:val="916"/>
      </w:pPr>
      <w:r>
        <w:rPr>
          <w:b/>
          <w:bCs/>
        </w:rPr>
        <w:t xml:space="preserve">RESUMO</w:t>
      </w:r>
    </w:p>
    <w:p>
      <w:pPr>
        <w:pStyle w:val="916"/>
      </w:pPr>
      <w:r>
        <w:t xml:space="preserve">Este estudo propõe-se a analisar em que medida as recomendações formuladas pelo Departamento Nacional de Auditoria do SUS (DENASUS) apresentam caráter transformador e indutor de soluções de longo prazo, contribuindo, assim, para a reestruturação do Sistema Único de Saúde (SUS) e para o fortalecimento da governança pública na área da saúde. Para tanto, busca-se aprofundar a compreensão sobre o papel institucional do DENASUS por meio da análise do conteúdo das recomendações de auditoria por ele emitidas, investigando se tais recomendações expressam uma orientação à transformação estrutural do SUS ou se se limitam à correção de falhas administrativas pontuais. Adota-se, como referencial analítico, a tipologia proposta pelo Institute of Internal Auditors (IIA), que diferencia recomendações voltadas à causa dos problemas identificados daquelas centradas apenas na condição observada. A pesquisa emprega uma abordagem metodológica híbrida, combinando o uso de técnicas de inteligência artificial na codificação das recomendações com a mediação crítica humana na análise e interpretação dos dados. Os resultados evidenciam a coexistência de duas lógicas de atuação, com predominância de recomendações orientadas às causas dos problemas identificados, o que sugere uma atuação institucional que privilegia o aperfeiçoamento estrutural do sistema. Paralelamente, observa-se a presença significativa de recomendações direcionadas à correção de não conformidades operacionais, indicando a atuação do órgão também na estabilização de processos e na resposta a demandas imediatas. À luz dos referenciais do institucionalismo clássico e do neo-institucionalismo, conclui-se que tais recomendações operam simultaneamente como mecanismos de estabilização institucional e como vetores de mudança incremental, evidenciando o caráter dinâmico da atuação do DENASUS. A dissertação contribui para o debate sobre o papel da auditoria governamental na qualificação das políticas públicas de saúde, ao evidenciar seu potencial de atuar não apenas como instrumento de controle, mas como indutor de aperfeiçoamento institucional, oferecendo subsídios analíticos para o fortalecimento da governança no setor público.</w:t>
      </w:r>
    </w:p>
    <w:p>
      <w:pPr>
        <w:pStyle w:val="916"/>
      </w:pPr>
      <w:r>
        <w:rPr>
          <w:b/>
          <w:bCs/>
        </w:rPr>
        <w:t xml:space="preserve">Palavras-chave:</w:t>
      </w:r>
      <w:r>
        <w:t xml:space="preserve"> </w:t>
      </w:r>
      <w:r>
        <w:t xml:space="preserve">Auditoria governamental. DENASUS. Sistema Único de Saúde. Transformação institucional.</w:t>
      </w:r>
    </w:p>
    <w:p>
      <w:pPr>
        <w:pStyle w:val="916"/>
      </w:pPr>
      <w:r>
        <w:rPr>
          <w:b/>
          <w:bCs/>
        </w:rPr>
        <w:t xml:space="preserve">ABSTRACT</w:t>
      </w:r>
    </w:p>
    <w:p>
      <w:pPr>
        <w:pStyle w:val="916"/>
      </w:pPr>
      <w:r>
        <w:t xml:space="preserve">This study aims to analyze the extent to which the recommendations issued by the National Department of Audit of the Unified Health System (DENASUS) exhibit a transformative character and foster long-term solutions, thereby contributing to the restructuring of the Unified Health System (SUS) and to the strengthening of public governance in the health sector. To this end, it seeks to deepen the understanding of the institutional role of DENASUS through the analysis of the content of its audit recommendations, investigating whether such recommendations are oriented toward structural transformation of the SUS or are limited to the correction of specific administrative failures. The analytical framework is based on the typology proposed by the Institute of Internal Auditors (IIA), which distinguishes between recommendations focused on the root causes of identified problems and those centered solely on the observed condition. The study adopts a hybrid methodological approach, combining the use of artificial intelligence techniques for the coding of recommendations with critical human mediation in data analysis and interpretation. The results reveal the coexistence of two operational logics, with a predominance of recommendations oriented toward addressing the underlying causes of identified problems, suggesting an institutional performance that prioritizes the structural improvement of the system. At the same time, a significant presence of recommendations aimed at correcting operational nonconformities is observed, indicating the agency’s role in process stabilization and in responding to immediate demands. In light of the theoretical frameworks of classical institutionalism and neo-institutionalism, it is concluded that such recommendations operate simultaneously as mechanisms of institutional stabilization and as drivers of incremental change, highlighting the dynamic nature of DENASUS’s role within SUS governance. The dissertation contributes to the debate on the role of governmental auditing in enhancing public health policies, demonstrating its potential not only as a control mechanism but also as a driver of institutional improvement, providing analytical support for strengthening governance in the public sector.</w:t>
      </w:r>
    </w:p>
    <w:p>
      <w:pPr>
        <w:pStyle w:val="916"/>
      </w:pPr>
      <w:r>
        <w:rPr>
          <w:b/>
          <w:bCs/>
        </w:rPr>
        <w:t xml:space="preserve">Keywords:</w:t>
      </w:r>
      <w:r>
        <w:t xml:space="preserve"> </w:t>
      </w:r>
      <w:r>
        <w:t xml:space="preserve">Governmental auditing. DENASUS. Brazilian Unified Health System. Institutional transformation.</w:t>
      </w:r>
    </w:p>
    <w:p>
      <w:pPr>
        <w:pStyle w:val="916"/>
      </w:pPr>
      <w:r>
        <w:t xml:space="preserve">****</w:t>
      </w:r>
    </w:p>
    <w:p>
      <w:r>
        <w:br w:type="page"/>
      </w:r>
    </w:p>
    <w:bookmarkStart w:id="30" w:name="introdução"/>
    <w:p>
      <w:pPr>
        <w:pStyle w:val="904"/>
      </w:pPr>
      <w:r>
        <w:t xml:space="preserve">1. Introdução</w:t>
      </w:r>
    </w:p>
    <w:p>
      <w:pPr>
        <w:pStyle w:val="917"/>
      </w:pPr>
      <w:r>
        <w:t xml:space="preserve">O Departamento Nacional de Auditoria do Sistema Único de Saúde (DENASUS) é o órgão central do Sistema Nacional de Auditoria (SNA), instituído pela Lei nº 8.689, de 27 de julho de 1993. Sua atuação é regulamentada pelo Decreto nº 11.798, de 28 de novembro de 2023, que define suas competências, incluindo a avaliação técnico-científica, contábil, financeira e patrimonial das ações e serviços de saúde no âmbito do Sistema Único de Saúde (SUS) (BRASIL, 1993; BRASIL, 2023). Vinculado diretamente ao Ministério da Saúde, o DENASUS desempenha um papel estratégico na fiscalização e no controle da aplicação dos recursos públicos destinados à saúde, sendo essencial para a garantia da transparência e eficiência na gestão das políticas de saúde promovidas pelo SUS.</w:t>
      </w:r>
    </w:p>
    <w:p>
      <w:pPr>
        <w:pStyle w:val="916"/>
      </w:pPr>
      <w:r>
        <w:t xml:space="preserve">A auditoria no SUS tem seu marco inicial na Constituição Federal de 1988, que, em seu art. 74, determina a manutenção, no âmbito dos Poderes Legislativo, Executivo e Judiciário, de um sistema de controle interno integrado. Além disso, o art. 197 estabelece que as ações e serviços de saúde são de relevância pública, cabendo ao poder público regulamentá-los, fiscalizá-los e controlá-los (BRASIL, 1988). Posteriormente, a Lei nº 8.080, de 19 de setembro de 1990, também conhecida como Lei Orgânica da Saúde, no inciso XIX do art. 16, atribui à direção nacional do SUS a competência de estabelecer o Sistema Nacional de Auditoria (SNA) e coordenar a avaliação técnica e financeira do SUS em todo o território nacional, em cooperação técnica com os Estados, Municípios e Distrito Federal (BRASIL, 1990). O §4º do art. 33 da mesma lei, por sua vez, estabelece que o sistema de auditoria do Ministério da Saúde deve realizar aferições contínuas sobre as ações de saúde e a aplicação dos recursos a elas destinados.</w:t>
      </w:r>
    </w:p>
    <w:p>
      <w:pPr>
        <w:pStyle w:val="916"/>
      </w:pPr>
      <w:r>
        <w:t xml:space="preserve">O DENASUS se estrutura como parte da gestão pública moderna, alinhando-se às melhores práticas de auditoria interna governamental, como definido na Instrução Normativa Conjunta CGU/MP nº 01/2016, que estabelece o modelo das três linhas de defesa da administração pública. Nesse modelo, a auditoria interna ocupa a terceira linha de defesa, sendo responsável por avaliar, de maneira objetiva e independente, a efetividade dos controles internos e a adequação dos mecanismos de supervisão e governança (BRASIL, 2016).</w:t>
      </w:r>
    </w:p>
    <w:p>
      <w:pPr>
        <w:pStyle w:val="916"/>
      </w:pPr>
      <w:r>
        <w:t xml:space="preserve">Ao longo do tempo, o papel do DENASUS consolidou-se não apenas como um órgão fiscalizador, mas também como um ator estratégico na governança do SUS. Suas auditorias produzem recomendações com potencial de impacto significativo na gestão pública, na medida em que propõem ajustes administrativos, aperfeiçoamento de processos e, em alguns casos, mudanças estruturais de longo prazo. A efetividade das recomendações emitidas, contudo, está condicionada a múltiplos fatores, entre os quais se destacam a adequação do comando proposto à mitigação do risco identificado e a capacidade de enfrentar a causa raiz da irregularidade ou da fragilidade apontada.</w:t>
      </w:r>
    </w:p>
    <w:p>
      <w:pPr>
        <w:pStyle w:val="916"/>
      </w:pPr>
      <w:r>
        <w:rPr>
          <w:highlight w:val="yellow"/>
        </w:rPr>
        <w:t xml:space="preserve">Este estudo propõe-se a analisar em que medida as recomendações formuladas pelo Departamento Nacional de Auditoria do SUS (DENASUS) apresentam caráter transformador e indutor de soluções de longo prazo, contribuindo, assim, para a reestruturação do Sistema Único de Saúde (SUS) e para o fortalecimento da governança pública na área da saúde. Para tanto, será conduzido um exame minucioso do conjunto de recomendações exaradas e publicadas pelo órgão, as quais serão classificadas segundo a tipologia consagrada pela literatura internacional de auditoria, especialmente delineada pelo Institute of Internal Auditors (IIA) e adotada, como se verá a seguir, em âmbito nacional, pela Controladoria-Geral da União (CGU).</w:t>
      </w:r>
    </w:p>
    <w:p>
      <w:pPr>
        <w:pStyle w:val="916"/>
      </w:pPr>
      <w:r>
        <w:rPr>
          <w:highlight w:val="yellow"/>
        </w:rPr>
        <w:t xml:space="preserve">De acordo com o Institute of Internal Auditors (IIA, 2021, p. 9)</w:t>
      </w:r>
      <w:r>
        <w:rPr>
          <w:highlight w:val="yellow"/>
          <w:vertAlign w:val="superscript"/>
        </w:rPr>
        <w:t xml:space="preserve">1</w:t>
      </w:r>
      <w:r>
        <w:rPr>
          <w:highlight w:val="yellow"/>
        </w:rPr>
        <w:t xml:space="preserve">, recomendações</w:t>
      </w:r>
      <w:r>
        <w:rPr>
          <w:highlight w:val="yellow"/>
        </w:rPr>
        <w:t xml:space="preserve"> </w:t>
      </w:r>
      <w:r>
        <w:rPr>
          <w:highlight w:val="yellow"/>
        </w:rPr>
        <w:t xml:space="preserve">“são sugestões dos auditores internos para corrigir as condições observadas e identificar as causas, a fim de evitar sua recorrência (ou o surgimento de novas condições)”</w:t>
      </w:r>
      <w:r>
        <w:rPr>
          <w:highlight w:val="yellow"/>
        </w:rPr>
        <w:t xml:space="preserve">.</w:t>
      </w:r>
      <w:r>
        <w:t xml:space="preserve"> </w:t>
      </w:r>
      <w:r>
        <w:t xml:space="preserve">Além disso, s</w:t>
      </w:r>
      <w:r>
        <w:rPr>
          <w:highlight w:val="yellow"/>
        </w:rPr>
        <w:t xml:space="preserve">egundo o IIA (2021, p. 9), as recomendações podem ser caracterizadas como baseadas na condição observada (</w:t>
      </w:r>
      <w:r>
        <w:rPr>
          <w:i/>
          <w:iCs/>
          <w:highlight w:val="yellow"/>
        </w:rPr>
        <w:t xml:space="preserve">condition-based</w:t>
      </w:r>
      <w:r>
        <w:rPr>
          <w:highlight w:val="yellow"/>
        </w:rPr>
        <w:t xml:space="preserve">) ou na causa subjacente ao problema (</w:t>
      </w:r>
      <w:r>
        <w:rPr>
          <w:i/>
          <w:iCs/>
          <w:highlight w:val="yellow"/>
        </w:rPr>
        <w:t xml:space="preserve">cause-based)</w:t>
      </w:r>
      <w:r>
        <w:rPr>
          <w:highlight w:val="yellow"/>
        </w:rPr>
        <w:t xml:space="preserve">.</w:t>
      </w:r>
    </w:p>
    <w:p>
      <w:pPr>
        <w:pStyle w:val="916"/>
      </w:pPr>
      <w:r>
        <w:t xml:space="preserve">A categorização acima mencionada apresenta-se formalmente endossada pelo governo federal, haja vista haver menções a diversos conceitos e metodologias adotados pelo IIA no âmbito do sítio eletrônico do Ministério da Saúde, tendo, alguns deles, sido transpostos à Instrução Normativa Conjunta nº 1, de 10 de maio de 2016 (BRASIL, 2016) e, sobretudo, ratificados pela Controladoria-Geral da União, a qual, ao formular o documento Orientação Prática: Relatórios de Auditoria (BRASIL, 2019), claramente se inspirou nas diretrizes publicadas pelo instituto internacional supracitado, demonstrando, inclusive, ter-se apropriado e adaptado os termos originalmente cunhados pelo IIA, prescrevendo, na orientação exarada, que as recomendações poderiam ser de três tipos: as focadas na causa, as direcionadas à condição e, por fim, ampliando a discussão, introduz outra categoria, qual seja, a que enfatiza a consequência, conforme descrito a seguir.</w:t>
      </w:r>
    </w:p>
    <w:tbl>
      <w:tblPr>
        <w:tblStyle w:val="Table"/>
        <w:tblW w:type="pct" w:w="5000"/>
        <w:tblLayout w:type="fixed"/>
        <w:tblLook w:firstRow="0" w:lastRow="0" w:firstColumn="0" w:lastColumn="0" w:noHBand="0" w:noVBand="0" w:val="0000"/>
      </w:tblPr>
      <w:tblGrid>
        <w:gridCol w:w="7920"/>
      </w:tblGrid>
      <w:tr>
        <w:tc>
          <w:tcPr/>
          <w:bookmarkStart w:id="21" w:name="tbl-classificacao-recomendacoes"/>
          <w:p>
            <w:pPr>
              <w:jc w:val="center"/>
            </w:pPr>
            <w:pPr>
              <w:jc w:val="left"/>
              <w:spacing w:before="200"/>
              <w:pStyle w:val="ImageCaption"/>
            </w:pPr>
            <w:r>
              <w:t xml:space="preserve">Tabela 1: Classificação das recomendações segundo a CGU (2019, p. 29)</w:t>
            </w:r>
          </w:p>
          <w:tbl>
            <w:tblPr>
              <w:tblStyle w:val="Table"/>
              <w:tblW w:type="pct" w:w="4952"/>
              <w:tblLayout w:type="fixed"/>
              <w:tblLook w:firstRow="1" w:lastRow="0" w:firstColumn="0" w:lastColumn="0" w:noHBand="0" w:noVBand="0" w:val="0020"/>
            </w:tblPr>
            <w:tblGrid>
              <w:gridCol w:w="1440"/>
              <w:gridCol w:w="6404"/>
            </w:tblGrid>
            <w:tr>
              <w:trPr>
                <w:tblHeader w:val="on"/>
              </w:trPr>
              <w:tc>
                <w:tcPr/>
                <w:p>
                  <w:pPr>
                    <w:pStyle w:val="918"/>
                    <w:jc w:val="left"/>
                    <w:jc w:val="center"/>
                  </w:pPr>
                  <w:r>
                    <w:rPr>
                      <w:b/>
                      <w:bCs/>
                    </w:rPr>
                    <w:t xml:space="preserve">Foco</w:t>
                  </w:r>
                </w:p>
              </w:tc>
              <w:tc>
                <w:tcPr/>
                <w:p>
                  <w:pPr>
                    <w:pStyle w:val="918"/>
                    <w:jc w:val="left"/>
                    <w:jc w:val="center"/>
                  </w:pPr>
                  <w:r>
                    <w:rPr>
                      <w:b/>
                      <w:bCs/>
                    </w:rPr>
                    <w:t xml:space="preserve">O que descrevem</w:t>
                  </w:r>
                </w:p>
              </w:tc>
            </w:tr>
            <w:tr>
              <w:tc>
                <w:tcPr/>
                <w:p>
                  <w:pPr>
                    <w:pStyle w:val="918"/>
                    <w:jc w:val="left"/>
                    <w:jc w:val="center"/>
                  </w:pPr>
                  <w:r>
                    <w:t xml:space="preserve">Na causa</w:t>
                  </w:r>
                </w:p>
              </w:tc>
              <w:tc>
                <w:tcPr/>
                <w:p>
                  <w:pPr>
                    <w:pStyle w:val="918"/>
                    <w:jc w:val="left"/>
                    <w:jc w:val="center"/>
                  </w:pPr>
                  <w:r>
                    <w:t xml:space="preserve">Tratam das causas passíveis de medidas; têm como finalidade evitar/impedir que a condição ocorra novamente. Podem não ser necessárias nos achados de menor relevância.</w:t>
                  </w:r>
                </w:p>
              </w:tc>
            </w:tr>
            <w:tr>
              <w:tc>
                <w:tcPr/>
                <w:p>
                  <w:pPr>
                    <w:pStyle w:val="918"/>
                    <w:jc w:val="left"/>
                    <w:jc w:val="center"/>
                  </w:pPr>
                  <w:r>
                    <w:t xml:space="preserve">Na condição</w:t>
                  </w:r>
                </w:p>
              </w:tc>
              <w:tc>
                <w:tcPr/>
                <w:p>
                  <w:pPr>
                    <w:pStyle w:val="918"/>
                    <w:jc w:val="left"/>
                    <w:jc w:val="center"/>
                  </w:pPr>
                  <w:r>
                    <w:t xml:space="preserve">Consistem em medidas cuja finalidade é corrigir a condição encontrada.</w:t>
                  </w:r>
                </w:p>
              </w:tc>
            </w:tr>
            <w:tr>
              <w:tc>
                <w:tcPr/>
                <w:p>
                  <w:pPr>
                    <w:pStyle w:val="918"/>
                    <w:jc w:val="left"/>
                    <w:jc w:val="center"/>
                  </w:pPr>
                  <w:r>
                    <w:t xml:space="preserve">Na consequência (ou na recuperação)</w:t>
                  </w:r>
                </w:p>
              </w:tc>
              <w:tc>
                <w:tcPr/>
                <w:p>
                  <w:pPr>
                    <w:pStyle w:val="918"/>
                    <w:jc w:val="left"/>
                    <w:jc w:val="center"/>
                  </w:pPr>
                  <w:r>
                    <w:t xml:space="preserve">Consistem em medidas para corrigir os prejuízos decorrentes da condição.</w:t>
                  </w:r>
                </w:p>
              </w:tc>
            </w:tr>
          </w:tbl>
          <w:bookmarkEnd w:id="21"/>
          <w:p/>
        </w:tc>
      </w:tr>
    </w:tbl>
    <w:p>
      <w:pPr>
        <w:pStyle w:val="916"/>
      </w:pPr>
      <w:r>
        <w:t xml:space="preserve">Fonte: adaptado de Instituto dos Auditores Internos do Brasil. Relatórios: apostila aluno. 2013, GA 3-19.</w:t>
      </w:r>
    </w:p>
    <w:p>
      <w:pPr>
        <w:pStyle w:val="916"/>
      </w:pPr>
      <w:r>
        <w:t xml:space="preserve">No que tange à metodologia, o estudo foi organizado em duas etapas principais, inspiradas nos pressupostos de Bardin (2016) e apoiadas pelo uso de ferramentas de inteligência artificial (IA), estruturadas com o objetivo de possibilitar a análise de conteúdo das recomendações emitidas pelo DENASUS, com vistas à sua subsequente categorização segundo a tipologia explicitada pelo Institute of Internal Auditors</w:t>
      </w:r>
      <w:r>
        <w:t xml:space="preserve"> </w:t>
      </w:r>
      <w:r>
        <w:rPr>
          <w:highlight w:val="yellow"/>
        </w:rPr>
        <w:t xml:space="preserve">(IIA, 2021, p. 9).</w:t>
      </w:r>
    </w:p>
    <w:p>
      <w:pPr>
        <w:pStyle w:val="916"/>
      </w:pPr>
      <w:r>
        <w:t xml:space="preserve">Espera-se que os resultados obtidos pelo presente estudo forneçam subsídios robustos para a consolidação de uma reflexão crítica acerca do papel estratégico das proposições auditoriais na promoção da governança pública e na indução de transformações institucionais, contribuindo, assim, para o debate contemporâneo sobre as potencialidades da auditoria governamental como instrumento de qualificação das políticas de saúde, à luz dos desafios e oportunidades que marcam a gestão pública brasileira.</w:t>
      </w:r>
    </w:p>
    <w:bookmarkStart w:id="25" w:name="problema-de-pesquisa"/>
    <w:p>
      <w:pPr>
        <w:pStyle w:val="905"/>
      </w:pPr>
      <w:r>
        <w:t xml:space="preserve">1.1 Problema de Pesquisa</w:t>
      </w:r>
    </w:p>
    <w:p>
      <w:pPr>
        <w:pStyle w:val="917"/>
      </w:pPr>
      <w:r>
        <w:t xml:space="preserve">A auditoria governamental interna tem se consolidado como uma ferramenta estratégica de aprimoramento institucional, sobretudo em contextos marcados pela complexidade na gestão de políticas públicas, como é o caso do Sistema Único de Saúde (SUS). No interior desse sistema, o Departamento Nacional de Auditoria do SUS (DENASUS) exerce as funções de órgão central do Sistema Nacional de Auditoria (SNA) e de auditoria interna do SUS, competindo-lhe, entre outras atribuições, auditar políticas públicas de saúde, avaliar a aplicação de recursos federais e propor melhorias nos processos de gestão, integridade e governança, conforme estabelecido no Decreto nº 11.798, de 28 de novembro de 2023 (BRASIL, 2023). Nesse contexto, o DENASUS desempenha papel estratégico ao emitir recomendações que visam corrigir inconformidades, mas também induzir aprimoramentos capazes de fortalecer a eficiência e a efetividade da gestão pública em saúde. Ainda assim, permanece uma lacuna relevante na literatura e na prática da gestão pública quanto à compreensão do potencial das recomendações emitidas pelo DENASUS para promover mudanças institucionais mais profundas e duradouras no SUS, especialmente no que diz respeito à sua capacidade de enfrentar as causas estruturais dos problemas identificados ou, ao contrário, de se concentrar em soluções paliativas e de curto alcance.</w:t>
      </w:r>
    </w:p>
    <w:p>
      <w:pPr>
        <w:pStyle w:val="916"/>
      </w:pPr>
      <w:r>
        <w:t xml:space="preserve">O desafio reside na dificuldade de mensurar o impacto das recomendações auditoriais, especialmente em um sistema descentralizado e multifacetado como o SUS. Soma-se a isso a complexidade metodológica de diferenciar as recomendações que atuam sobre as causas estruturais dos problemas daquelas que apenas respondem aos efeitos imediatos das falhas detectadas. Embora já existam diretrizes internacionais que categorizam as recomendações de auditoria conforme sua profundidade e finalidade, como as definidas pelo Institute of Internal Auditors (2021, p. 9), até o momento, não foram identificados trabalhos ou documentos que adotem, em pesquisas empíricas ou análises institucionais, a tipologia consagrada pelo Institute of Internal Auditors. Tampouco se observaram, na literatura brasileira, estudos que tenham sido propostos com o cunho de investigar de forma sistemática a natureza e o papel transformador das recomendações emitidas pelo DENASUS, sob a ótica de sua virtual contribuição estrutural à governança do SUS.</w:t>
      </w:r>
    </w:p>
    <w:p>
      <w:pPr>
        <w:pStyle w:val="916"/>
      </w:pPr>
      <w:r>
        <w:t xml:space="preserve">Trata-se, portanto, de um problema relevante tanto do ponto de vista acadêmico quanto prático, pois diz respeito à eficácia dos instrumentos de controle e à capacidade do Estado de promover mudanças institucionais por meio da auditoria pública. Compreender o papel estratégico dessas recomendações pode contribuir para o fortalecimento da governança no setor saúde e para a consolidação de mecanismos mais eficazes de indução de melhorias sistêmicas.</w:t>
      </w:r>
    </w:p>
    <w:p>
      <w:pPr>
        <w:pStyle w:val="916"/>
      </w:pPr>
      <w:r>
        <w:t xml:space="preserve">Diante disso, este estudo busca responder ao seguinte problema de pesquisa: em que medida as recomendações emitidas pelo Departamento Nacional de Auditoria do SUS (DENASUS) podem ser classificadas, à luz da tipologia proposta pelo Institute of Internal Auditors (IIA) e adotada pela Controladoria-Geral da União (CGU), como voltadas à correção das condições observadas (</w:t>
      </w:r>
      <w:r>
        <w:rPr>
          <w:i/>
          <w:iCs/>
        </w:rPr>
        <w:t xml:space="preserve">condition-based</w:t>
      </w:r>
      <w:r>
        <w:t xml:space="preserve">) ou à abordagem das causas subjacentes dos problemas identificados (</w:t>
      </w:r>
      <w:r>
        <w:rPr>
          <w:i/>
          <w:iCs/>
        </w:rPr>
        <w:t xml:space="preserve">cause-based)</w:t>
      </w:r>
      <w:r>
        <w:t xml:space="preserve"> </w:t>
      </w:r>
      <w:r>
        <w:t xml:space="preserve">em sede de auditoria? E, em termos analíticos, o que essa distribuição revela sobre o papel das recomendações e, por extensão, do próprio DENASUS, como instrumento de indução de mudanças institucionais no Sistema Único de Saúde?</w:t>
      </w:r>
    </w:p>
    <w:bookmarkStart w:id="22" w:name="pressuposto"/>
    <w:p>
      <w:pPr>
        <w:pStyle w:val="906"/>
      </w:pPr>
      <w:r>
        <w:t xml:space="preserve">1.1.1 Pressuposto</w:t>
      </w:r>
    </w:p>
    <w:p>
      <w:pPr>
        <w:pStyle w:val="917"/>
      </w:pPr>
      <w:r>
        <w:t xml:space="preserve">Nesta pesquisa, parte-se do pressuposto de que a predominância de recomendações orientadas à abordagem das causas subjacentes dos problemas identificados</w:t>
      </w:r>
      <w:r>
        <w:t xml:space="preserve"> </w:t>
      </w:r>
      <w:r>
        <w:rPr>
          <w:i/>
          <w:iCs/>
        </w:rPr>
        <w:t xml:space="preserve">(cause-based</w:t>
      </w:r>
      <w:r>
        <w:t xml:space="preserve">), constantes nos relatórios de auditoria exarados pelo Departamento Nacional de Auditoria do SUS (DENASUS), constitui um indicativo de atuação voltada ao aperfeiçoamento institucional do Sistema Único de Saúde. Tal orientação, caso confirmada, pode vir a revelar que o referido departamento transcende o papel tradicionalmente a ele atribuído de mero órgão de controle ou fiscalização formal. Em contrapartida, a prevalência de recomendações centradas na condição observada (</w:t>
      </w:r>
      <w:r>
        <w:rPr>
          <w:i/>
          <w:iCs/>
        </w:rPr>
        <w:t xml:space="preserve">condition-based</w:t>
      </w:r>
      <w:r>
        <w:t xml:space="preserve">) seria indicativa de uma lógica institucional preponderantemente corretiva e reativa, direcionada à resolução de inconformidades pontuais e imediatas, com capacidade potencialmente reduzida de induzir alterações estruturais duradouras nos processos organizacionais do SUS.</w:t>
      </w:r>
    </w:p>
    <w:bookmarkEnd w:id="22"/>
    <w:bookmarkStart w:id="23" w:name="delimitação-de-escopo"/>
    <w:p>
      <w:pPr>
        <w:pStyle w:val="906"/>
      </w:pPr>
      <w:r>
        <w:t xml:space="preserve">1.1.2 Delimitação de Escopo</w:t>
      </w:r>
    </w:p>
    <w:p>
      <w:pPr>
        <w:pStyle w:val="917"/>
      </w:pPr>
      <w:r>
        <w:t xml:space="preserve">O presente trabalho se propõe a analisar as recomendações exaradas nos relatórios de auditoria do Departamento Nacional de Auditoria do SUS (DENASUS), disponibilizados no sítio eletrônico oficial do órgão, no período compreendido entre 01/01/2023 e 31/07/2025. A partir da extração e posterior classificação das recomendações segundo a tipologia proposta pelo Institute of Internal Auditors (IIA), que distingue entre recomendações com foco na condição observada (</w:t>
      </w:r>
      <w:r>
        <w:rPr>
          <w:i/>
          <w:iCs/>
        </w:rPr>
        <w:t xml:space="preserve">condition-based</w:t>
      </w:r>
      <w:r>
        <w:t xml:space="preserve">) e aquelas voltadas à causa subjacente do problema (</w:t>
      </w:r>
      <w:r>
        <w:rPr>
          <w:i/>
          <w:iCs/>
        </w:rPr>
        <w:t xml:space="preserve">cause-based</w:t>
      </w:r>
      <w:r>
        <w:t xml:space="preserve">), busca-se compreender o posicionamento estratégico do DENASUS e seu papel na promoção de inovações institucionais e no fortalecimento da governança do Sistema Único de Saúde.</w:t>
      </w:r>
    </w:p>
    <w:p>
      <w:pPr>
        <w:pStyle w:val="916"/>
      </w:pPr>
      <w:r>
        <w:t xml:space="preserve">No entanto, a proposta analítica depara-se com limites metodológicos que merecem ser destacados. O primeiro diz respeito ao recorte temporal: ao restringir-se à análise de relatórios de auditoria publicados a partir de 2023, a pesquisa concentra-se nas práticas mais recentes do DENASUS, as quais podem refletir transformações institucionais, normativas e políticas em curso, mas não abrangem, necessariamente, a totalidade da trajetória histórica do órgão. Tal delimitação, embora justificada pelo critério de acessibilidade dos dados, uma vez que o DENASUS disponibiliza em seu sítio eletrônico apenas relatórios emitidos a partir de 1º de janeiro de 2023, funciona como filtro que condiciona tanto o material examinado quanto os achados da investigação.</w:t>
      </w:r>
    </w:p>
    <w:p>
      <w:pPr>
        <w:pStyle w:val="916"/>
      </w:pPr>
      <w:r>
        <w:t xml:space="preserve">É importante salientar, nesse contexto, que a temporalidade do material disponibilizado de maneira pública pelo órgão auditorial não se restringe a uma dimensão cronológica neutra, mas opera como um filtro que condiciona a natureza dos documentos analisados e, portanto, os próprios achados do estudo. Em outras palavras, as auditorias públicas mais recentes refletem não apenas as inconformidades ou inconsistências detectadas em determinado momento, mas também as orientações políticas, os marcos normativos vigentes e as prioridades institucionais que informam a atuação do DENASUS em dado contexto histórico.</w:t>
      </w:r>
    </w:p>
    <w:p>
      <w:pPr>
        <w:pStyle w:val="916"/>
      </w:pPr>
      <w:r>
        <w:t xml:space="preserve">Nesse sentido, é plausível supor que as práticas de auditoria e as recomendações delas resultantes tenham passado por transformações significativas ao longo do tempo, seja em razão de alterações no escopo da atuação do órgão, seja por mudanças no perfil técnico das equipes, nas tecnologias utilizadas para fiscalização ou mesmo nas diretrizes normativas ou de viés político emanadas da alta gestão do Ministério da Saúde. A limitação imposta pelo recorte temporal mais recente pode, assim, capturar apenas uma faceta, talvez a mais moderna, digitalizada e alinhada a discursos contemporâneos de transparência e</w:t>
      </w:r>
      <w:r>
        <w:t xml:space="preserve"> </w:t>
      </w:r>
      <w:r>
        <w:rPr>
          <w:i/>
          <w:iCs/>
        </w:rPr>
        <w:t xml:space="preserve">accountability</w:t>
      </w:r>
      <w:r>
        <w:t xml:space="preserve">, que compõe um quadro mais amplo, complexo e historicamente situado.</w:t>
      </w:r>
    </w:p>
    <w:p>
      <w:pPr>
        <w:pStyle w:val="916"/>
      </w:pPr>
      <w:r>
        <w:t xml:space="preserve">Ademais, a categorização das recomendações, ainda que fundamentada em uma tipologia amplamente reconhecida no plano nacional e internacional e baseada em critérios objetivos definidos no modelo analítico adotado, está sujeita a ambiguidades semânticas e às peculiaridades intrínsecas aos textos administrativos. As recomendações oriundas de auditorias públicas frequentemente articulam juízos de valor, interpretações legais e orientações operacionais em uma mesma formulação textual. Essa polissemia pode comprometer, em alguma medida, a padronização da análise, especialmente quando a linguagem utilizada apresenta altos níveis de abstração, generalidade ou indeterminação. A elaboração de critérios de classificação das recomendações, calcados em uma definição clara e objetiva, como os implementados na presente pesquisa, tem o escopo primordial de minimizar a limitação mencionada.</w:t>
      </w:r>
    </w:p>
    <w:p>
      <w:pPr>
        <w:pStyle w:val="916"/>
      </w:pPr>
      <w:r>
        <w:t xml:space="preserve">Outro ponto a ser considerado refere-se à incorporação de recursos de inteligência artificial nas etapas de interpretação do material analisado. Ainda que tais ferramentas representem um avanço significativo na capacidade de processar grandes volumes de dados textuais, seu uso não está isento de limitações relevantes. O desempenho da inteligência artificial (IA), em particular em tarefas de natureza interpretativa, depende diretamente da qualidade dos</w:t>
      </w:r>
      <w:r>
        <w:t xml:space="preserve"> </w:t>
      </w:r>
      <w:r>
        <w:rPr>
          <w:i/>
          <w:iCs/>
        </w:rPr>
        <w:t xml:space="preserve">prompts</w:t>
      </w:r>
      <w:r>
        <w:t xml:space="preserve"> </w:t>
      </w:r>
      <w:r>
        <w:t xml:space="preserve">elaborados, da clareza e adequação das instruções fornecidas, bem como da robustez e treinamento prévio dos modelos utilizados. A IA, por operar com base em padrões estatísticos e não em compreensão contextual ou institucional aprofundada, pode apresentar dificuldade para captar nuances, ironias, silêncios estratégicos ou ambiguidades deliberadas, aspectos centrais para a correta categorização e interpretação das recomendações analisadas. Por esse motivo, a mediação crítica e consciente da pesquisadora foi priorizada, objetivando-se, dessa forma, minorar a possibilidade de que tal limitação possa vir a comprometer a qualidade da pesquisa aqui delineada.</w:t>
      </w:r>
    </w:p>
    <w:p>
      <w:pPr>
        <w:pStyle w:val="916"/>
      </w:pPr>
      <w:r>
        <w:t xml:space="preserve">As limitações inerentes ao próprio método de análise de conteúdo também devem ser reconhecidas. Embora a abordagem adotada ofereça um instrumental sólido para sistematizar e interpretar documentos oficiais, ela não captura todas as variáveis contextuais que influenciam a formulação e a adoção das recomendações. Fatores como o histórico institucional das unidades auditadas, a capacidade técnica dos gestores locais e as dinâmicas políticas e administrativas que permeiam o SUS escapam, em grande medida, do escopo dessa investigação. Assim, os achados deste estudo devem ser compreendidos como uma contribuição analítica dentro de um campo mais amplo de pesquisa, cuja complementação com abordagens metodológicas adicionais, como entrevistas com gestores e estudos de caso aprofundados, poderia ser considerada recomendável.</w:t>
      </w:r>
    </w:p>
    <w:p>
      <w:pPr>
        <w:pStyle w:val="916"/>
      </w:pPr>
      <w:r>
        <w:t xml:space="preserve">Por se tratar de uma análise estritamente documental, centrada no conteúdo das recomendações, a verificação empírica de sua implementação, bem como a mensuração dos efeitos concretos dela decorrentes, em especial no que diz respeito à indução de mudanças institucionais, não constituíram objeto direto da investigação, devendo tais nuances ser examinadas por meio de estudos complementares que se comprometam a acompanhar a evolução institucional, rastrear a incorporação ou rejeição efetiva da recomendação exarada, bem como identificar as mudanças incrementadas no sistema de saúde, ao longo dos anos, com vistas a determinar o impacto que tais recomendações possam ter imprimido no sistema público de saúde, após a sua emissão. Abordagens avaliativas, por sua vez, poderiam ser úteis para verificar o grau de implementação das recomendações, medir resultados e impactos concretos e relacionar os efeitos a mudanças institucionais observadas no SUS. Ainda assim, acredita-se que os achados da pesquisa, tanto os resultados objetivos quanto as inferências analíticas dela derivadas, oferecem subsídios relevantes para a compressão do papel estratégico do DENASUS na governança do Sistema Único de Saúde.</w:t>
      </w:r>
    </w:p>
    <w:p>
      <w:pPr>
        <w:pStyle w:val="916"/>
      </w:pPr>
      <w:r>
        <w:t xml:space="preserve">Os limites aqui expostos conformam um campo de observação delimitado, porém consistente com os propósitos analíticos deste estudo. Tais escolhas metodológicas não invalidam a relevância da investigação, antes, situam-na em um contexto preciso de possibilidades e restrições, convidando à leitura dos resultados com a devida contextualização. A transparência acerca dessas delimitações visa, assim, não apenas a assegurar rigor científico, mas também a abrir espaço para futuros desdobramentos da pesquisa, capazes de incorporar dimensões atualmente excluídas de seu escopo.</w:t>
      </w:r>
    </w:p>
    <w:bookmarkEnd w:id="23"/>
    <w:bookmarkStart w:id="24" w:name="justificativa"/>
    <w:p>
      <w:pPr>
        <w:pStyle w:val="906"/>
      </w:pPr>
      <w:r>
        <w:t xml:space="preserve">1.1.3 Justificativa</w:t>
      </w:r>
    </w:p>
    <w:p>
      <w:pPr>
        <w:pStyle w:val="917"/>
      </w:pPr>
      <w:r>
        <w:t xml:space="preserve">A relevância das recomendações como instrumentos de fortalecimento da governança e qualificação das políticas de saúde, amplamente reconhecida pela legislação e pela literatura, contrasta com o fato de não terem sido encontrados estudos que analisam o conteúdo das recomendações emitidas pelo DENASUS, seja sob a ótica da tipologia consagrada pelo Institute of Internal Auditors (IIA) e adotada pela Controladoria-geral da União, que as distingue entre orientações voltadas à causa subjacente ou à condição observada, seja sob outras perspectivas analíticas. Essa lacuna fundamenta o estudo, orienta a formulação do problema de pesquisa e direciona a discussão sobre o papel estratégico das recomendações exaradas pelos órgãos de auditoria interna governamental, justificando, assim, a sua pertinência.</w:t>
      </w:r>
    </w:p>
    <w:p>
      <w:pPr>
        <w:pStyle w:val="916"/>
      </w:pPr>
      <w:r>
        <w:t xml:space="preserve">Além disso, a riqueza e a centralidade do tema conferem à proposta relevância social e institucional, à medida que o estudo busca lançar luz sobre a função estratégica da auditoria no setor saúde, contribuindo com evidências capazes de subsidiar gestores e formuladores de políticas públicas na revisão de práticas e diretrizes, com vistas a promover maior efetividade e alinhamento entre as auditorias realizadas e as necessidades concretas do SUS.</w:t>
      </w:r>
    </w:p>
    <w:p>
      <w:pPr>
        <w:pStyle w:val="916"/>
      </w:pPr>
      <w:r>
        <w:t xml:space="preserve">A investigação crítica acerca das recomendações emitidas também possui o condão de revelar como o DENASUS interpreta e operacionaliza sua missão institucional. Compreender a natureza e o foco das recomendações, por meio da análise de seu conteúdo, permite, portanto, à instância de auditoria interna, avaliar o potencial transformador das medidas propostas, e, assim, descortinar a lógica subjacente à atuação do órgão, se orientada à proposição de mudanças estruturais que enfrentam as causas-raiz dos problemas detectados nas unidades auditadas (</w:t>
      </w:r>
      <w:r>
        <w:rPr>
          <w:i/>
          <w:iCs/>
        </w:rPr>
        <w:t xml:space="preserve">cause-based</w:t>
      </w:r>
      <w:r>
        <w:t xml:space="preserve">), ou à priorização de abordagens centradas na correção de condições pontuais e imediatas (</w:t>
      </w:r>
      <w:r>
        <w:rPr>
          <w:i/>
          <w:iCs/>
        </w:rPr>
        <w:t xml:space="preserve">condition-based</w:t>
      </w:r>
      <w:r>
        <w:t xml:space="preserve">).</w:t>
      </w:r>
    </w:p>
    <w:p>
      <w:pPr>
        <w:pStyle w:val="916"/>
      </w:pPr>
      <w:r>
        <w:t xml:space="preserve">No campo acadêmico, a pesquisa contribui ao testar empiricamente a aderência de categorias analíticas consagradas internacionalmente no campo da auditoria, à realidade do sistema público de saúde brasileiro, o que poderá evidenciar tanto a sua aplicabilidade quanto os limites desses referenciais na compreensão do papel das recomendações no que tange ao aprimoramento das práticas de governança no setor público.</w:t>
      </w:r>
    </w:p>
    <w:bookmarkEnd w:id="24"/>
    <w:bookmarkEnd w:id="25"/>
    <w:bookmarkStart w:id="28" w:name="objetivos"/>
    <w:p>
      <w:pPr>
        <w:pStyle w:val="905"/>
      </w:pPr>
      <w:r>
        <w:t xml:space="preserve">1.2 Objetivos</w:t>
      </w:r>
    </w:p>
    <w:bookmarkStart w:id="26" w:name="objetivo-geral"/>
    <w:p>
      <w:pPr>
        <w:pStyle w:val="906"/>
      </w:pPr>
      <w:r>
        <w:t xml:space="preserve">1.2.1 Objetivo Geral</w:t>
      </w:r>
    </w:p>
    <w:p>
      <w:pPr>
        <w:pStyle w:val="917"/>
      </w:pPr>
      <w:r>
        <w:t xml:space="preserve">Investigar em que medida as recomendações propostas pelo Departamento Nacional de Auditoria do SUS (DENASUS), no âmbito das auditorias por ele realizadas, expressam uma atuação orientada ao enfrentamento das causas-raiz dos problemas identificados ou à correção da condição imediatamente observada, com vistas a inferir o papel institucional que o órgão desempenha na indução de mudanças estruturais no Sistema Único de Saúde ou na reprodução de padrões de estabilidade institucional.</w:t>
      </w:r>
    </w:p>
    <w:bookmarkEnd w:id="26"/>
    <w:bookmarkStart w:id="27" w:name="objetivos-específicos"/>
    <w:p>
      <w:pPr>
        <w:pStyle w:val="906"/>
      </w:pPr>
      <w:r>
        <w:t xml:space="preserve">1.2.2 Objetivos Específicos</w:t>
      </w:r>
    </w:p>
    <w:p>
      <w:pPr>
        <w:numPr>
          <w:ilvl w:val="0"/>
          <w:numId w:val="1001"/>
        </w:numPr>
      </w:pPr>
      <w:r>
        <w:t xml:space="preserve">Identificar os relatórios de auditoria publicados pelo DENASUS em seu sítio eletrônico, abrangendo o período de disponibilização digital das auditorias, compreendido entre 01/01/2023 e 31/07/2025.</w:t>
      </w:r>
    </w:p>
    <w:p>
      <w:pPr>
        <w:numPr>
          <w:ilvl w:val="0"/>
          <w:numId w:val="1001"/>
        </w:numPr>
      </w:pPr>
      <w:r>
        <w:t xml:space="preserve">Extrair e sistematizar, a partir dos relatórios coletados, os dados e metadados relativos às auditorias, em especial, de suas recomendações, mediante o uso de técnicas automatizadas de processamento de texto.</w:t>
      </w:r>
    </w:p>
    <w:p>
      <w:pPr>
        <w:numPr>
          <w:ilvl w:val="0"/>
          <w:numId w:val="1001"/>
        </w:numPr>
      </w:pPr>
      <w:r>
        <w:t xml:space="preserve">Avaliar o conteúdo normativo-discursivo das recomendações identificadas, empregando, para tanto, duas metodologias distintas, porém complementares, com apoio de ferramentas de inteligência artificial.</w:t>
      </w:r>
    </w:p>
    <w:p>
      <w:pPr>
        <w:numPr>
          <w:ilvl w:val="0"/>
          <w:numId w:val="1001"/>
        </w:numPr>
      </w:pPr>
      <w:r>
        <w:t xml:space="preserve">Categorizar as recomendações identificadas nos relatórios de auditoria, segundo sua natureza, diferenciando-as entre as baseadas na causa ou na condição, por meio do emprego de tipologia desenvolvida pelo Institute of Internal Auditors (IIA) e adotada pela Controladoria-Geral da União (CGU).</w:t>
      </w:r>
    </w:p>
    <w:p>
      <w:pPr>
        <w:numPr>
          <w:ilvl w:val="0"/>
          <w:numId w:val="1001"/>
        </w:numPr>
      </w:pPr>
      <w:r>
        <w:t xml:space="preserve">Testar a aplicabilidade e a utilidade analítica da tipologia adotada para a categorização das recomendações, no contexto da auditoria governamental.</w:t>
      </w:r>
    </w:p>
    <w:p>
      <w:pPr>
        <w:numPr>
          <w:ilvl w:val="0"/>
          <w:numId w:val="1001"/>
        </w:numPr>
      </w:pPr>
      <w:r>
        <w:t xml:space="preserve">Avaliar, à luz do referencial teórico do institucionalismo e do neo-institucionalismo, a potencial influência das recomendações na estabilidade ou na transformação institucional do SUS.</w:t>
      </w:r>
    </w:p>
    <w:p>
      <w:pPr>
        <w:numPr>
          <w:ilvl w:val="0"/>
          <w:numId w:val="1001"/>
        </w:numPr>
      </w:pPr>
      <w:r>
        <w:t xml:space="preserve">Refletir criticamente sobre o papel da auditoria interna governamental como instrumento de qualificação das políticas públicas de saúde.</w:t>
      </w:r>
    </w:p>
    <w:bookmarkEnd w:id="27"/>
    <w:bookmarkEnd w:id="28"/>
    <w:bookmarkStart w:id="29" w:name="estrutura-da-dissertação"/>
    <w:p>
      <w:pPr>
        <w:pStyle w:val="905"/>
      </w:pPr>
      <w:r>
        <w:t xml:space="preserve">1.3 Estrutura da Dissertação</w:t>
      </w:r>
    </w:p>
    <w:p>
      <w:pPr>
        <w:pStyle w:val="917"/>
      </w:pPr>
      <w:r>
        <w:t xml:space="preserve">Esta dissertação está organizada em cinco capítulos interdependentes. O Capítulo 1, Introdução, apresenta a contextualização do estudo, delimita o problema de pesquisa, explicita seus objetivos e justifica sua relevância.</w:t>
      </w:r>
    </w:p>
    <w:p>
      <w:pPr>
        <w:pStyle w:val="916"/>
      </w:pPr>
      <w:r>
        <w:t xml:space="preserve">O Capítulo 2 reúne a Fundamentação Teórica, responsável por sustentar os marcos conceituais da investigação, com especial atenção às abordagens institucionalistas e neo-institucionalistas, bem como à auditoria governamental.</w:t>
      </w:r>
    </w:p>
    <w:p>
      <w:pPr>
        <w:pStyle w:val="916"/>
      </w:pPr>
      <w:r>
        <w:t xml:space="preserve">O Capítulo 3 apresenta a Metodologia, descrevendo o delineamento da pesquisa, os procedimentos empregados, a estratégia de análise de conteúdo, o uso da inteligência artificial e os aspectos éticos que orientaram sua condução.</w:t>
      </w:r>
    </w:p>
    <w:p>
      <w:pPr>
        <w:pStyle w:val="916"/>
      </w:pPr>
      <w:r>
        <w:t xml:space="preserve">No Capítulo 4, são apresentados os resultados empíricos da pesquisa, seguidos da discussão crítica correspondente, conduzida à luz do referencial teórico adotado, o que permite identificar padrões, inferências e possíveis implicações institucionais decorrentes das evidências coletadas.</w:t>
      </w:r>
    </w:p>
    <w:p>
      <w:pPr>
        <w:pStyle w:val="916"/>
      </w:pPr>
      <w:r>
        <w:t xml:space="preserve">Por fim, o Capítulo 5 apresenta as Considerações Finais, nas quais os principais achados são retomados em diálogo com os objetivos propostos. O capítulo também destaca as contribuições teóricas, metodológicas e práticas da dissertação, além de sugerir caminhos promissores para pesquisas futuras, a partir das experiências acumuladas ao longo da investigação.</w:t>
      </w:r>
    </w:p>
    <w:p>
      <w:r>
        <w:br w:type="page"/>
      </w:r>
    </w:p>
    <w:bookmarkEnd w:id="29"/>
    <w:bookmarkEnd w:id="30"/>
    <w:bookmarkStart w:id="39" w:name="fundamentação-teórica"/>
    <w:p>
      <w:pPr>
        <w:pStyle w:val="904"/>
      </w:pPr>
      <w:r>
        <w:t xml:space="preserve">2. Fundamentação Teórica</w:t>
      </w:r>
    </w:p>
    <w:bookmarkStart w:id="31" w:name="Xdf6fffefb97a25cad5c6b5eb839e734e3f13900"/>
    <w:p>
      <w:pPr>
        <w:pStyle w:val="905"/>
      </w:pPr>
      <w:r>
        <w:t xml:space="preserve">2.1 O DENASUS e a Auditoria como Instrumento de Governança no SUS</w:t>
      </w:r>
    </w:p>
    <w:p>
      <w:pPr>
        <w:pStyle w:val="917"/>
      </w:pPr>
      <w:r>
        <w:t xml:space="preserve">O Departamento Nacional de Auditoria do Sistema Único de Saúde (DENASUS) é o órgão central do Sistema Nacional de Auditoria (SNA), com papel estratégico na estrutura da saúde pública brasileira. Sua atuação está regulamentada pelo Decreto nº 11.798, de 28 de novembro de 2023, que define suas competências, destacando-o como responsável pela auditoria interna no âmbito do SUS e pela coordenação das atividades do SNA (BRASIL, 2023).</w:t>
      </w:r>
    </w:p>
    <w:p>
      <w:pPr>
        <w:pStyle w:val="916"/>
      </w:pPr>
      <w:r>
        <w:t xml:space="preserve">Nos termos do art. 12 do referido decreto, compete ao DENASUS, entre outras atribuições, auditar as políticas públicas de saúde e a aplicação dos recursos federais executados no SUS, mediante avaliação independente e objetiva. Além disso, o departamento é responsável por propor melhorias nos processos de gerenciamento de riscos, controles internos e governança, contribuindo diretamente para o aprimoramento da gestão pública (BRASIL, 2023). O decreto também evidencia a modernização de seu papel institucional ao prever a coordenação da gestão do conhecimento em auditoria, a articulação de ações integradas no âmbito do SNA e a cooperação com organismos nacionais e internacionais para a incorporação de inovações. Tal orientação aproxima o DENASUS das melhores práticas de auditoria interna governamental, conforme estabelecido em atos normativos como a Instrução Normativa Conjunta CGU/MP nº 01/2016, que reconhece a auditoria interna como função estratégica para o fortalecimento da governança e do gerenciamento de riscos no setor público (BRASIL, 2016).</w:t>
      </w:r>
    </w:p>
    <w:p>
      <w:pPr>
        <w:pStyle w:val="916"/>
      </w:pPr>
      <w:r>
        <w:t xml:space="preserve">À luz do Referencial Técnico da Atividade de Auditoria Interna Governamental, a auditoria configura-se como uma atividade que agrega valor às organizações públicas, na proporção em que auxilia na implementação de estratégias que melhoram os processos de governança, controle interno e gerenciamento de riscos (BRASIL, 2017). De modo convergente, Castro (2009, p. 164) destaca que a auditoria é composta por um arcabouço de técnicas que têm como objetivo examinar a gestão pública, tanto em seus processos quanto em seus resultados, assim como verificar o uso dos recursos públicos por entidades governamentais e privadas. Essa aferição se baseia na comparação entre a realidade encontrada e critérios técnicos, operacionais ou legais previamente definidos. Como ferramenta de controle, a auditoria busca otimizar a aplicação dos recursos públicos, atuando de maneira a corrigir desperdícios, prevenir comportamentos inadequados e, sobretudo, antecipar potenciais falhas, garantindo, assim, a efetividade das ações planejadas e agregando valor ao desempenho gerencial.</w:t>
      </w:r>
    </w:p>
    <w:p>
      <w:pPr>
        <w:pStyle w:val="916"/>
      </w:pPr>
      <w:r>
        <w:t xml:space="preserve">Em complemento, o Manual de Orientações Técnicas da Atividade de Auditoria Interna Governamental enfatiza que a auditoria governamental, ao examinar evidências relativas à aplicação de recursos públicos, busca simultaneamente assegurar a conformidade e promover o aprimoramento dos serviços prestados à sociedade. Ao avaliar a execução de programas e resguardar o patrimônio público, consolida-se, portanto, como ferramenta estratégica de</w:t>
      </w:r>
      <w:r>
        <w:t xml:space="preserve"> </w:t>
      </w:r>
      <w:r>
        <w:rPr>
          <w:i/>
          <w:iCs/>
        </w:rPr>
        <w:t xml:space="preserve">accountability</w:t>
      </w:r>
      <w:r>
        <w:t xml:space="preserve"> </w:t>
      </w:r>
      <w:r>
        <w:t xml:space="preserve">e de promoção da eficiência administrativa (BRASIL, 2017, p. 12).</w:t>
      </w:r>
    </w:p>
    <w:p>
      <w:pPr>
        <w:pStyle w:val="916"/>
      </w:pPr>
      <w:r>
        <w:t xml:space="preserve">Nesse contexto, a atuação do DENASUS ultrapassa a função estrita de verificação de conformidade e transcende a dimensão meramente operacional, posicionando-se como instância estratégica capaz de subsidiar decisões gerenciais mais qualificadas e alinhadas às necessidades da população. Inserido em um arranjo institucional mais amplo, o órgão atua como indutor de aprimoramentos administrativos em um sistema descentralizado e dinâmico como o SUS. Os resultados dessas intervenções, materializados em recomendações, podem ser compreendidos em dois grandes eixos: aqueles voltados à correção de situações específicas e aqueles orientados à indução de mudanças estruturantes no sistema de saúde. Tal distinção é fundamental para apreender a amplitude do impacto de suas atividades.</w:t>
      </w:r>
    </w:p>
    <w:bookmarkEnd w:id="31"/>
    <w:bookmarkStart w:id="32" w:name="X3a0ae5d68b07a41831d20e4d8f117b2ff442d5e"/>
    <w:p>
      <w:pPr>
        <w:pStyle w:val="905"/>
      </w:pPr>
      <w:r>
        <w:t xml:space="preserve">2.2 Modelo das Linhas de Defesa da Gestão Pública e o DENASUS</w:t>
      </w:r>
    </w:p>
    <w:p>
      <w:pPr>
        <w:pStyle w:val="917"/>
      </w:pPr>
      <w:r>
        <w:t xml:space="preserve">Um aspecto central para a compreensão do papel do Departamento Nacional de Auditoria do SUS (DENASUS) reside em sua inserção no modelo das linhas de defesa da gestão pública, conforme delineado pela Instrução Normativa Conjunta CGU/MP nº 01/2016. Esse modelo organiza as responsabilidades relativas ao gerenciamento de riscos e aos controles internos em três níveis complementares: a primeira linha, vinculada às funções operacionais exercidas pelos gestores responsáveis pela execução direta das atividades e controles; a segunda, composta por instâncias de supervisão que orientam e monitoram a atuação dos responsáveis pela execução das políticas públicas; e a terceira, representada pela auditoria interna, incumbida de avaliar, de forma independente, a eficácia dos controles e das demais linhas de defesa (BRASIL, 2016).</w:t>
      </w:r>
    </w:p>
    <w:p>
      <w:pPr>
        <w:pStyle w:val="916"/>
      </w:pPr>
      <w:r>
        <w:t xml:space="preserve">A auditoria interna, portanto, desempenha uma função singular no arranjo de governança pública. Nos termos do art. 2º, inciso III, da Instrução Normativa, trata-se de uma atividade orientada à agregação de valor e ao aprimoramento das operações organizacionais, que atua mediante abordagem sistemática e disciplinada para avaliar e aperfeiçoar a eficácia dos processos de gerenciamento de riscos, dos controles internos, da integridade e da governança (BRASIL, 2016). Diferentemente das duas primeiras linhas, responsáveis, respectivamente, pela execução dos controles e por sua supervisão, a auditoria interna não participa diretamente da implementação das atividades, mas incide sobre elas de forma analítica, examinando a qualidade de sua operacionalização e a consistência dos mecanismos de controle instituídos.</w:t>
      </w:r>
    </w:p>
    <w:p>
      <w:pPr>
        <w:pStyle w:val="916"/>
      </w:pPr>
      <w:r>
        <w:t xml:space="preserve">Essa delimitação é reforçada pelo art. 7º da referida Instrução Normativa que, ao estabelecer a finalidade específica da auditoria interna, a posiciona como instância distinta das funções executivas e de monitoramento. Nessa perspectiva, sua atuação não se limita à identificação de falhas, mas envolve a produção de conhecimento sobre o funcionamento dos controles e sobre a capacidade institucional de gestão de riscos, oferecendo subsídios qualificados para o aprimoramento contínuo da organização.</w:t>
      </w:r>
    </w:p>
    <w:p>
      <w:pPr>
        <w:pStyle w:val="916"/>
      </w:pPr>
      <w:r>
        <w:t xml:space="preserve">A atuação do DENASUS, enquanto terceira linha de defesa, materializa esses pressupostos ao examinar a regularidade e a efetividade das ações de saúde em diferentes níveis de gestão. Ao fazê-lo, contribui para a qualificação dos mecanismos de controle e para o aperfeiçoamento dos processos decisórios, estabelecendo um elo entre as diretrizes normativas e as dinâmicas concretas de implementação das políticas públicas. Essa posição confere ao órgão relevância analítica no arranjo institucional do sistema, na medida em que permite não apenas a identificação de fragilidades, mas também a produção de subsídios consistentes para o aprimoramento contínuo da gestão e para o uso mais eficiente dos recursos públicos.</w:t>
      </w:r>
    </w:p>
    <w:bookmarkEnd w:id="32"/>
    <w:bookmarkStart w:id="34" w:name="X84d96465cb544441c393c83a2849266cf32e327"/>
    <w:p>
      <w:pPr>
        <w:pStyle w:val="905"/>
      </w:pPr>
      <w:r>
        <w:t xml:space="preserve">2.3 Recomendações do DENASUS e o Potencial de Aperfeiçoamento Institucional</w:t>
      </w:r>
    </w:p>
    <w:p>
      <w:pPr>
        <w:pStyle w:val="917"/>
      </w:pPr>
      <w:r>
        <w:t xml:space="preserve">No âmbito do Sistema Único de Saúde (SUS), a atuação do Departamento Nacional de Auditoria do SUS (DENASUS) constitui elemento central no fortalecimento da governança pública. Conforme discutido anteriormente, esta pesquisa busca analisar se, e em que medida, o DENASUS, por meio de sua práxis como órgão responsável pela auditoria interna no contexto do SUS, comporta-se como agente indutor de mudanças nos entes sob sua jurisdição, tendo como instrumento, para o alcance de suas finalidades, a emissão de recomendações.</w:t>
      </w:r>
    </w:p>
    <w:p>
      <w:pPr>
        <w:pStyle w:val="916"/>
      </w:pPr>
      <w:r>
        <w:t xml:space="preserve">Considerando que os resultados das auditorias são formalizados nos relatórios de auditoria, principais instrumentos de comunicação das recomendações e das conclusões do DENASUS, esta seção dedica-se a compreender como esses relatórios são estruturados e encaminhados às instâncias competentes, e quais elementos neles contidos têm potencial para desencadear transformações nas unidades auditadas. Salienta-se que o Manual de Orientações Básicas de Auditoria do SUS, publicado pelo Ministério da Saúde (BRASIL, 2011), destaca que</w:t>
      </w:r>
      <w:r>
        <w:t xml:space="preserve"> </w:t>
      </w:r>
      <w:r>
        <w:t xml:space="preserve">“os resultados dos trabalhos de auditoria são consubstanciados no Relatório de Auditoria”</w:t>
      </w:r>
      <w:r>
        <w:t xml:space="preserve"> </w:t>
      </w:r>
      <w:r>
        <w:t xml:space="preserve">(BRASIL, 2011, p. 26). Esse documento também estabelece que, após o encerramento da auditoria, o relatório final deve ser encaminhado a diferentes instâncias, como o gestor estadual ou municipal de saúde, o conselho de saúde respectivo, os conselhos de classe, o Ministério Público Federal e Estadual, bem como a outras instituições que tenham solicitado a auditoria. Ademais, recomenda que a unidade de auditoria acompanhe e avalie a implementação das recomendações contidas nesses relatórios (BRASIL, 2011, p. 29).</w:t>
      </w:r>
    </w:p>
    <w:p>
      <w:pPr>
        <w:pStyle w:val="916"/>
      </w:pPr>
      <w:r>
        <w:t xml:space="preserve">Dessa forma, pode-se afirmar que o principal instrumento de indução de mudanças nas unidades auditadas, utilizado pelo DENASUS, está contido no relatório de auditoria e, de modo ainda mais relevante, nas recomendações nele registradas. Reconhecendo que a atividade de auditoria não é exclusiva do DENASUS, mas parte integrante de um conjunto mais amplo de práticas de controle e governança, mostra-se premente recorrer a teorias e referências complementares para fundamentar a análise dos elementos que compõem essas recomendações. Essa fundamentação é essencial para estruturar a metodologia deste estudo e, assim, possibilitar uma compreensão mais aprofundada sobre o potencial das recomendações como vetores de mudança e aprimoramento institucional no âmbito do SUS.</w:t>
      </w:r>
    </w:p>
    <w:bookmarkStart w:id="33" w:name="Xd3e78c69cd05b4d653e22b17f8ae7e6c1968196"/>
    <w:p>
      <w:pPr>
        <w:pStyle w:val="906"/>
      </w:pPr>
      <w:r>
        <w:t xml:space="preserve">2.3.1 Tipologia das recomendações: causa e condição</w:t>
      </w:r>
    </w:p>
    <w:p>
      <w:pPr>
        <w:pStyle w:val="917"/>
      </w:pPr>
      <w:r>
        <w:t xml:space="preserve">Primeiramente, vale mencionar o Audit Report Writing Toolkit, publicado pelo Institute of Internal Auditors (IIA), o qual destaca que</w:t>
      </w:r>
      <w:r>
        <w:t xml:space="preserve"> </w:t>
      </w:r>
      <w:r>
        <w:t xml:space="preserve">“as observações (também chamadas de achados), as recomendações e os planos de ação da gestão (respostas) constituem o núcleo de um relatório escrito”</w:t>
      </w:r>
      <w:r>
        <w:t xml:space="preserve"> </w:t>
      </w:r>
      <w:r>
        <w:t xml:space="preserve">(INSTITUTE OF INTERNAL AUDITORS, 2021, p. 6, tradução livre). Essa afirmação reforça a ideia de que as observações e recomendações são o principal canal por meio do qual o órgão de auditoria exerce sua legitimidade para induzir mudanças na unidade auditada, tornando essencial compreender mais profundamente os conceitos a eles subjacentes.</w:t>
      </w:r>
    </w:p>
    <w:p>
      <w:pPr>
        <w:pStyle w:val="916"/>
      </w:pPr>
      <w:r>
        <w:t xml:space="preserve">De acordo com o IIA (2021, p. 7-8, tradução livre), as observações ou achados de auditoria são compostos por cinco elementos fundamentais: condição, critério, causa, efeito e pontuação (ou classificação). A condição refere-se à evidência factual identificada durante a execução dos trabalhos de auditoria, representando o que efetivamente existe na unidade auditada. O critério corresponde aos padrões, medidas ou expectativas utilizadas para avaliar a atividade, podendo incluir políticas internas, legislações, regulamentos, diretrizes ou melhores práticas. A causa indica o motivo subjacente para a diferença entre o que foi encontrado e o que deveria existir, sendo essencial para identificar a raiz do problema e evitar recorrências. O efeito diz respeito ao risco ou à exposição decorrente dessa diferença, podendo representar consequências já concretizadas ou potenciais para a organização. Por fim, a pontuação (ou classificação) funciona como ferramenta de comunicação, consistindo em um julgamento de importância que serve para informar a unidade auditada sobre qual deveria ser a prioridade de sua atuação, o que auxilia a gestão na definição de planos de ação e a auditoria na priorização do acompanhamento posterior. Essa estrutura integrada das observações fornece a base para a formulação de recomendações robustas e alinhadas aos objetivos organizacionais.</w:t>
      </w:r>
    </w:p>
    <w:p>
      <w:pPr>
        <w:pStyle w:val="916"/>
      </w:pPr>
      <w:r>
        <w:t xml:space="preserve">As recomendações, por sua vez, desempenham um papel essencial no processo de auditoria, representando as sugestões formuladas pelos auditores internos para corrigir as discrepâncias identificadas entre a condição e o critério. Ainda segundo o Audit Report Writing Toolkit (INSTITUTE OF INTERNAL AUDITORS, 2021, p. 9, tradução livre), elas podem ser classificadas em dois tipos: aquelas baseadas na condição, que oferecem soluções imediatas ou pontuais para corrigir o problema identificado, e aquelas baseadas na causa, que propõem ações de caráter estrutural e mais duradouro, voltadas a prevenir a reincidência da não conformidade observada.</w:t>
      </w:r>
    </w:p>
    <w:p>
      <w:pPr>
        <w:pStyle w:val="916"/>
      </w:pPr>
      <w:r>
        <w:t xml:space="preserve">Nesse sentido, entende-se que as recomendações baseadas na causa possuem um maior potencial de promover mudanças significativas e sustentáveis na gestão das unidades auditadas, ao atuarem diretamente sobre as raízes dos problemas diagnosticados. Esse entendimento está em consonância com o disposto no art. 164 da Instrução Normativa nº 3, de 09 de junho de 2017, da Controladoria-Geral da União (CGU), que estabelece que a comunicação dos resultados da auditoria deve apresentar</w:t>
      </w:r>
      <w:r>
        <w:t xml:space="preserve"> </w:t>
      </w:r>
      <w:r>
        <w:t xml:space="preserve">“recomendações que agreguem valor à unidade auditada e que, precipuamente, tratem as causas das falhas eventualmente identificadas”</w:t>
      </w:r>
      <w:r>
        <w:t xml:space="preserve"> </w:t>
      </w:r>
      <w:r>
        <w:t xml:space="preserve">(BRASIL, 2017).</w:t>
      </w:r>
    </w:p>
    <w:p>
      <w:pPr>
        <w:pStyle w:val="916"/>
      </w:pPr>
      <w:r>
        <w:t xml:space="preserve">Ressalta-se que a Administração Pública Federal tem buscado se transformar para assegurar o cumprimento de seus objetivos institucionais. Parte dessa transformação está relacionada à incorporação de conceitos de governança, gestão de riscos e controles internos, introduzidos pela Controladoria-Geral da União (CGU) em 2016 (BRASIL, 2016) e formalmente incorporados aos órgãos públicos federais em 2019, por meio do Decreto nº 9.795 (BRASIL, 2019). Além disso, observa-se que, em 2023, o próprio DENASUS passou a incluir entre suas competências a atribuição de</w:t>
      </w:r>
      <w:r>
        <w:t xml:space="preserve"> </w:t>
      </w:r>
      <w:r>
        <w:t xml:space="preserve">“propor melhorias nos processos de gerenciamento de riscos, de controles internos, de integridade e de governança das políticas, dos programas, das ações e dos serviços para o aprimoramento da eficiência, da eficácia e da efetividade da gestão do SUS”</w:t>
      </w:r>
      <w:r>
        <w:t xml:space="preserve"> </w:t>
      </w:r>
      <w:r>
        <w:t xml:space="preserve">(BRASIL, 2023).</w:t>
      </w:r>
    </w:p>
    <w:p>
      <w:pPr>
        <w:pStyle w:val="916"/>
      </w:pPr>
      <w:r>
        <w:t xml:space="preserve">Essa dinâmica evidencia um momento singular para a análise das recomendações emitidas pelo DENASUS, representando uma oportunidade relevante para investigar o papel das recomendações como potenciais vetores de transformação institucional no âmbito do SUS. Tal movimento de aprimoramento institucional e fortalecimento da governança está alinhado aos marcos legais que regem a atividade de auditoria interna governamental e a estrutura do próprio Departamento Nacional de Auditoria do SUS (DENASUS). Entre esses marcos, destacam-se os Decretos nº 9.795/2019 (BRASIL, 2019) e nº 11.798/2023 (BRASIL, 2023), que dispõem sobre a estrutura regimental do Ministério da Saúde e estabelecem as competências do DENASUS, incluindo a atribuição de propor melhorias nos processos de gerenciamento de riscos, de controles internos e de governança.</w:t>
      </w:r>
    </w:p>
    <w:p>
      <w:pPr>
        <w:pStyle w:val="916"/>
      </w:pPr>
      <w:r>
        <w:t xml:space="preserve">Além disso, a Instrução Normativa Conjunta CGU/MP nº 01/2016 (BRASIL, 2016) e a Instrução Normativa nº 3/2017 (BRASIL, 2017) fornecem o referencial técnico e normativo para a atividade de auditoria interna, incluindo princípios, linhas de defesa e critérios para a formulação de observações e recomendações. Dessa forma, o presente estudo busca situar a análise das recomendações do DENASUS em consonância com esses dispositivos legais, assegurando aderência às diretrizes de governança e controle interno vigentes na administração pública federal.</w:t>
      </w:r>
    </w:p>
    <w:p>
      <w:pPr>
        <w:pStyle w:val="916"/>
      </w:pPr>
      <w:r>
        <w:t xml:space="preserve">A análise do potencial de aperfeiçoamento institucional das recomendações dialoga com o arcabouço normativo vigente, especialmente com o Decreto nº 11.798/2023 (BRASIL, 2023), que reitera a necessidade de implementar políticas estruturantes na gestão da saúde pública, conforme previsto nos arts. 21, inciso V; 22, inciso VIII; 26, inciso V, 46, inciso III. Tal diretriz reforça a relevância de identificar recomendações do DENASUS que atuem como ferramentas de abordagem das causas-raiz dos problemas detectados, permitindo examinar a relação entre a orientação normativa e o conteúdo das proposições formuladas pelas auditorias.</w:t>
      </w:r>
    </w:p>
    <w:bookmarkEnd w:id="33"/>
    <w:bookmarkEnd w:id="34"/>
    <w:bookmarkStart w:id="38" w:name="X367bf840ab2c92fa999292f1fceffb0b6ddb42a"/>
    <w:p>
      <w:pPr>
        <w:pStyle w:val="905"/>
      </w:pPr>
      <w:r>
        <w:t xml:space="preserve">2.4 Perspectivas Teóricas: O Institucionalismo e o Neo-Institucionalismo</w:t>
      </w:r>
    </w:p>
    <w:p>
      <w:pPr>
        <w:pStyle w:val="917"/>
      </w:pPr>
      <w:r>
        <w:t xml:space="preserve">A análise das recomendações emitidas pelo Departamento Nacional de Auditoria do Sistema Único de Saúde (DENASUS) demanda um referencial teórico capaz de compreender o papel das instituições na conformação da ação estatal e das políticas públicas. Sob essa perspectiva, o institucionalismo e o neo-institucionalismo constituem o marco teórico adotado nesta pesquisa, por oferecerem categorias analíticas voltadas à compreensão da forma pela qual instituições moldam comportamentos, estruturam relações entre atores e influenciam a organização da ação pública.</w:t>
      </w:r>
    </w:p>
    <w:p>
      <w:pPr>
        <w:pStyle w:val="916"/>
      </w:pPr>
      <w:r>
        <w:t xml:space="preserve">Embora compartilhem o reconhecimento da centralidade das instituições na explicação dos fenômenos sociais e políticos, essas abordagens diferenciam-se quanto ao modo de compreender sua formação, funcionamento e transformação. Enquanto o institucionalismo enfatiza o papel das estruturas institucionais na produção de estabilidade e previsibilidade, o neo-institucionalismo amplia essa perspectiva ao incorporar fatores históricos, culturais e estratégicos capazes de explicar como as instituições se adaptam, se transformam e influenciam diferentes trajetórias de desenvolvimento institucional.</w:t>
      </w:r>
    </w:p>
    <w:p>
      <w:pPr>
        <w:pStyle w:val="916"/>
      </w:pPr>
      <w:r>
        <w:t xml:space="preserve">A apresentação dessas perspectivas fornece o referencial conceitual necessário para a interpretação dos resultados desta pesquisa, permitindo compreender o significado analítico atribuído às categorias de estabilidade e mudança institucional empregadas ao longo do estudo.</w:t>
      </w:r>
    </w:p>
    <w:bookmarkStart w:id="35" w:name="perspectiva-institucionalista"/>
    <w:p>
      <w:pPr>
        <w:pStyle w:val="906"/>
      </w:pPr>
      <w:r>
        <w:t xml:space="preserve">2.4.1 Perspectiva Institucionalista</w:t>
      </w:r>
    </w:p>
    <w:p>
      <w:pPr>
        <w:pStyle w:val="917"/>
      </w:pPr>
      <w:r>
        <w:t xml:space="preserve">O institucionalismo, enquanto referencial teórico, concentra-se na análise das instituições como estruturas formais que moldam as relações sociais, políticas e econômicas. Essa abordagem destaca o papel das instituições na conformação das interações políticas e na influência sobre os resultados das políticas públicas.</w:t>
      </w:r>
    </w:p>
    <w:p>
      <w:pPr>
        <w:pStyle w:val="916"/>
      </w:pPr>
      <w:r>
        <w:t xml:space="preserve">Nesse contexto, March e Olsen (1984, p. 127) sustentam que as instituições devem ser compreendidas como</w:t>
      </w:r>
      <w:r>
        <w:t xml:space="preserve"> </w:t>
      </w:r>
      <w:r>
        <w:t xml:space="preserve">“atores políticos”</w:t>
      </w:r>
      <w:r>
        <w:t xml:space="preserve">, capazes de moldar não apenas decisões, mas também as identidades, preferências e significados atribuídos pelos sujeitos às suas ações e contextos. Ao afirmarem que</w:t>
      </w:r>
      <w:r>
        <w:t xml:space="preserve"> </w:t>
      </w:r>
      <w:r>
        <w:t xml:space="preserve">“as regras do jogo são ou estáveis, ou mudam por meio de uma intervenção revolucionária exógena às atividades políticas ordinárias”</w:t>
      </w:r>
      <w:r>
        <w:t xml:space="preserve"> </w:t>
      </w:r>
      <w:r>
        <w:t xml:space="preserve">(MARCH; OLSEN, 1984, p. 127), os autores evidenciam a resiliência das instituições e a persistência de seus arranjos estruturais ao longo do tempo. Tal afirmação reforça a ideia de que mudanças institucionais raramente ocorrem de forma endógena; ao contrário, tendem a depender de choques significativos, oriundos de pressões externas ao sistema institucional. Com isso, os autores reafirmam o caráter estruturante e duradouro das instituições, as quais, ainda que influenciadas pelo ambiente, operam segundo uma lógica própria de reprodução e resistência à mudança incremental.</w:t>
      </w:r>
    </w:p>
    <w:p>
      <w:pPr>
        <w:pStyle w:val="916"/>
      </w:pPr>
      <w:r>
        <w:t xml:space="preserve">North (1990) aprofunda essa compreensão ao enfatizar o papel das instituições como arcabouços estruturantes da interação humana, cuja função essencial reside em prover estabilidade e continuidade aos processos sociais e econômicos (NORTH, 1990, p. 258). O autor define instituições como</w:t>
      </w:r>
      <w:r>
        <w:t xml:space="preserve"> </w:t>
      </w:r>
      <w:r>
        <w:t xml:space="preserve">“as regras do jogo em uma sociedade, ou mais formalmente, as restrições humanamente concebidas que moldam a interação humana”</w:t>
      </w:r>
      <w:r>
        <w:t xml:space="preserve"> </w:t>
      </w:r>
      <w:r>
        <w:t xml:space="preserve">(NORTH, 1990, p. 3, tradução livre), destacando que essas restrições englobam tanto regras formais, escritas, quanto informais, como normas sociais e códigos de conduta (NORTH, 1990, p. 245).</w:t>
      </w:r>
    </w:p>
    <w:p>
      <w:pPr>
        <w:pStyle w:val="916"/>
      </w:pPr>
      <w:r>
        <w:t xml:space="preserve">Ainda segundo North, as regras do jogo, ao fornecerem um quadro de referência estável, tornam possíveis trocas complexas e confiáveis, elemento indispensável para o funcionamento eficiente de mercados e para a vida coletiva em sociedades complexas (NORTH, 1990, p. 258). O autor ilustra essa concepção por meio da analogia com esportes competitivos, nos quais as regras formais são complementadas por códigos de conduta informais que regulam a interação entre os jogadores e garantem a previsibilidade do jogo, ainda que tais normas e códigos possam ser, ocasionalmente, violados e sancionados (NORTH, 1990, p. 245).</w:t>
      </w:r>
    </w:p>
    <w:p>
      <w:pPr>
        <w:pStyle w:val="916"/>
      </w:pPr>
      <w:r>
        <w:t xml:space="preserve">Essa perspectiva reforça, portanto, o entendimento de que as instituições operam como fatores de inércia e resiliência no sistema social, restringindo e moldando o comportamento dos atores ao longo do tempo (NORTH, 1990, p. 258). Embora North reconheça a possibilidade de mudança institucional, sua análise enfatiza que tais mudanças ocorrem em um campo de forte continuidade histórica, no qual os arranjos institucionais tendem a se perpetuar e a estruturar a ação coletiva de forma duradoura. Nesse sentido, ele afirma que</w:t>
      </w:r>
      <w:r>
        <w:t xml:space="preserve"> </w:t>
      </w:r>
      <w:r>
        <w:t xml:space="preserve">“a estabilidade é uma condição necessária para a interação humana complexa”</w:t>
      </w:r>
      <w:r>
        <w:t xml:space="preserve"> </w:t>
      </w:r>
      <w:r>
        <w:t xml:space="preserve">(NORTH, 1990, p. 254, tradução livre). Assim, sua abordagem contribui para consolidar a visão institucionalista de que a perenidade das instituições é condição indispensável para o ordenamento das políticas públicas e para a previsibilidade na gestão estatal.</w:t>
      </w:r>
    </w:p>
    <w:p>
      <w:pPr>
        <w:pStyle w:val="916"/>
      </w:pPr>
      <w:r>
        <w:t xml:space="preserve">Immergut (1992) assevera que o institucionalismo evidencia-se por examinar como as instituições, compreendidas como as "regras do jogo", moldam as interações políticas e influenciam os resultados das políticas públicas. Um dos aspectos centrais dessa abordagem é a capacidade das instituições de criar previsibilidade no sistema político, ao estruturar padrões de comportamento e limitar incertezas. Por meio de estudos de caso na França, Suíça e Suécia, a autora demonstra como diferentes arranjos institucionais podem produzir resultados distintos, mesmo diante de demandas sociais semelhantes, ao configurarem os pontos de decisão e definirem quem detém o poder de influenciar as políticas públicas em cada etapa.</w:t>
      </w:r>
    </w:p>
    <w:p>
      <w:pPr>
        <w:pStyle w:val="916"/>
      </w:pPr>
      <w:r>
        <w:t xml:space="preserve">Grisa e Chechi (2019) reforçam essa análise ao destacar o papel histórico das instituições na organização social e econômica, situando o institucionalismo como uma das primeiras correntes a reconhecer a influência das regras e estruturas na condução da vida coletiva. As autoras enfatizam que essa abordagem, que despertou no final do século XIX, desafiou a visão predominante de que o mercado era a única força organizadora da sociedade, propondo que as instituições também possuem um papel essencial na mediação das relações sociais e econômicas.</w:t>
      </w:r>
    </w:p>
    <w:p>
      <w:pPr>
        <w:pStyle w:val="916"/>
      </w:pPr>
      <w:r>
        <w:t xml:space="preserve">Ressalta-se que essas perspectivas são especialmente relevantes no contexto do Sistema Único de Saúde (SUS), na medida em que coadunam com a compreensão de que instituições sólidas são fundamentais para garantir a organização e a continuidade das políticas públicas. Cabe destacar que as normas e estruturas estabelecidas possibilitam a operação coesa do sistema, promovendo a estabilidade necessária para que gestores enfrentem desafios de maneira eficiente e coordenada. Além disso, a previsibilidade gerada por essas instituições contribui diretamente para a eficiência e a equidade na prestação de serviços de saúde.</w:t>
      </w:r>
    </w:p>
    <w:p>
      <w:pPr>
        <w:pStyle w:val="916"/>
      </w:pPr>
      <w:r>
        <w:t xml:space="preserve">O institucionalismo, portanto, fornece uma ferramenta conceitual robusta para compreender como as normas e estruturas estabelecidas pelas instituições desempenham um papel central na consolidação e manutenção das políticas públicas. Essa abordagem reforça a relevância de instituições estruturadas e firmes para garantir estabilidade e previsibilidade, as quais são fundamentais para o funcionamento eficiente e coeso do Sistema Único de Saúde (SUS).</w:t>
      </w:r>
    </w:p>
    <w:bookmarkEnd w:id="35"/>
    <w:bookmarkStart w:id="36" w:name="perspectiva-neo-institucionalista"/>
    <w:p>
      <w:pPr>
        <w:pStyle w:val="906"/>
      </w:pPr>
      <w:r>
        <w:t xml:space="preserve">2.4.2 Perspectiva Neo-Institucionalista</w:t>
      </w:r>
    </w:p>
    <w:p>
      <w:pPr>
        <w:pStyle w:val="917"/>
      </w:pPr>
      <w:r>
        <w:t xml:space="preserve">O neo-institucionalismo consiste em uma abordagem teórica que busca explicar o funcionamento das instituições de maneira dinâmica e plástica, considerando que estas não são estruturas rígidas e imutáveis, mas que evoluem e se ajustam aos contextos sociais, econômicos e políticos. Ao contrário da perspectiva institucionalista clássica, que enfatiza a estabilidade, o papel das estruturas formais e das regras estabelecidas, o neo-institucionalismo se concentra nas interações e adaptações das instituições ao longo do tempo, destacando sua capacidade de responder às pressões e desafios emergentes.</w:t>
      </w:r>
    </w:p>
    <w:p>
      <w:pPr>
        <w:pStyle w:val="916"/>
      </w:pPr>
      <w:r>
        <w:t xml:space="preserve">Immergut (1992) argumenta que as instituições, ao configurarem tanto as oportunidades quanto as restrições para a ação política, influenciam as interações entre grupos de interesse e atores estatais, moldando os resultados das políticas públicas. Essa perspectiva ressalta que as mudanças institucionais podem ser compreendidas a partir das dinâmicas de interação entre diferentes grupos, sempre mediadas pelas estruturas institucionais.</w:t>
      </w:r>
    </w:p>
    <w:p>
      <w:pPr>
        <w:pStyle w:val="916"/>
      </w:pPr>
      <w:r>
        <w:t xml:space="preserve">Hall e Taylor (2003) expandem essa análise ao destacarem que o neo-institucionalismo não constitui uma corrente de pensamento unificada e ao identificarem três vertentes que dele se originam: o institucionalismo histórico, o da escolha racional e o sociológico. Esses enfoques, embora distintos, dialogam entre si para oferecer uma compreensão mais completa das instituições. O institucionalismo histórico explora como as trajetórias passadas moldam as decisões presentes; o da escolha racional examina as interações estratégicas entre atores; e o sociológico investiga os padrões culturais e cognitivos que orientam o comportamento institucional.</w:t>
      </w:r>
    </w:p>
    <w:p>
      <w:pPr>
        <w:pStyle w:val="916"/>
      </w:pPr>
      <w:r>
        <w:t xml:space="preserve">Uma colaboração significativa de Hall e Taylor (2003) consiste em destacar que, embora essas vertentes apresentem diferenças substanciais, elas podem dialogar entre si para oferecer uma compreensão mais completa do impacto das instituições. Ao integrar, por exemplo, elementos culturais e estratégicos, é possível perceber como as instituições influenciam tanto as expectativas quanto as decisões dos atores, moldando os padrões de comportamento político e social. Esse diálogo teórico é particularmente útil para análises de políticas públicas que envolvem a interação entre diversos interesses e contextos.</w:t>
      </w:r>
    </w:p>
    <w:p>
      <w:pPr>
        <w:pStyle w:val="916"/>
      </w:pPr>
      <w:r>
        <w:t xml:space="preserve">Grisa e Chechi (2019) complementam essa discussão ao destacar a relevância do diálogo entre diferentes vertentes do neo-institucionalismo e outras abordagens teóricas, como a Nova Economia Institucional (NEI). As autoras enfatizam que as instituições estabelecem regras formais bem como moldam práticas coletivas por meio de convenções sociais, cultura e valores, elementos centrais para compreender o comportamento dos atores no processo de formulação e implementação de políticas públicas. Além disso, ressaltam a importância de explorar os conceitos e fundamentos da velha economia institucional no diálogo com o neo-institucionalismo, considerando elementos como hábitos, convenções e a dependência de trajetória como pilares para a análise institucional.</w:t>
      </w:r>
    </w:p>
    <w:p>
      <w:pPr>
        <w:pStyle w:val="916"/>
      </w:pPr>
      <w:r>
        <w:t xml:space="preserve">Nesse contexto, é oportuno retomar a reflexão de March e Olsen (2008), cujas contribuições ajudam a consolidar a base epistemológica do neo-institucionalismo. Os autores salientam que</w:t>
      </w:r>
      <w:r>
        <w:t xml:space="preserve"> </w:t>
      </w:r>
      <w:r>
        <w:t xml:space="preserve">“as instituições não parecem ser nem reflexos neutros de forças ambientais exógenas nem arenas neutras para o desempenho de indivíduos guiados por preferências e expectativas exógenas”</w:t>
      </w:r>
      <w:r>
        <w:t xml:space="preserve"> </w:t>
      </w:r>
      <w:r>
        <w:t xml:space="preserve">(MARCH; OLSEN, 2008, p. 131). Ademais, asseveram que as instituições, longe de serem estruturas passivas, devem ser compreendidas como atores relativamente autônomos e coerentes, que não apenas sofrem influência da sociedade, mas também a transformam, evidenciando uma relação recíproca entre Estado e sociedade, na qual as instituições influenciam as dinâmicas sociais ao mesmo tempo em que são continuamente moldadas por elas (MARCH; OLSEN, 2008, p. 127).</w:t>
      </w:r>
    </w:p>
    <w:p>
      <w:pPr>
        <w:pStyle w:val="916"/>
      </w:pPr>
      <w:r>
        <w:t xml:space="preserve">Thelen (1999), por sua vez, contribui de forma significativa à reflexão, no âmbito da teoria neo-institucionalista, no que tange ao fenômeno da mudança institucional. Para a autora, a compreensão das transformações institucionais exige atenção aos processos concretos que sustentam a reprodução das instituições ao longo do tempo, uma vez que tais mecanismos de reprodução são também os que determinam as condições de sua vulnerabilidade à mudança (THELEN, 1999, p. 400-401). A autora sublinha que transformações institucionais ocorrem muitas vezes de forma gradual e processual, sem romper por completo com os alicerces históricos preexistentes, podendo inclusive emergir de tensões internas acumuladas no processo de reprodução institucional, uma vez que</w:t>
      </w:r>
      <w:r>
        <w:t xml:space="preserve"> </w:t>
      </w:r>
      <w:r>
        <w:t xml:space="preserve">“alguns legados institucionais parecem conter os germes de sua própria destruição”</w:t>
      </w:r>
      <w:r>
        <w:t xml:space="preserve"> </w:t>
      </w:r>
      <w:r>
        <w:t xml:space="preserve">(THELEN, 1999, p. 400, tradução livre).</w:t>
      </w:r>
    </w:p>
    <w:p>
      <w:pPr>
        <w:pStyle w:val="916"/>
      </w:pPr>
      <w:r>
        <w:t xml:space="preserve">Em contraste com modelos que tratam estabilidade e mudança como fenômenos distintos, Thelen defende que a análise da mudança política é inseparável da compreensão das bases que sustentam a estabilidade institucional (THELEN, 1999, p. 399). Nesse sentido, propõe uma articulação entre a literatura sobre momentos críticos (</w:t>
      </w:r>
      <w:r>
        <w:rPr>
          <w:i/>
          <w:iCs/>
        </w:rPr>
        <w:t xml:space="preserve">critical juncture</w:t>
      </w:r>
      <w:r>
        <w:t xml:space="preserve">s) e os estudos sobre a dependência da trajetória percorrida (</w:t>
      </w:r>
      <w:r>
        <w:rPr>
          <w:i/>
          <w:iCs/>
        </w:rPr>
        <w:t xml:space="preserve">path dependency)</w:t>
      </w:r>
      <w:r>
        <w:t xml:space="preserve"> </w:t>
      </w:r>
      <w:r>
        <w:t xml:space="preserve">e retroalimentações de políticas (</w:t>
      </w:r>
      <w:r>
        <w:rPr>
          <w:i/>
          <w:iCs/>
        </w:rPr>
        <w:t xml:space="preserve">policy feedbacks</w:t>
      </w:r>
      <w:r>
        <w:t xml:space="preserve">), evidenciando que tanto a persistência quanto as rupturas institucionais emergem de processos históricos entrelaçados e concretos, inseridos em dinâmicas temporais específicas (THELEN, 1999, p. 371).</w:t>
      </w:r>
    </w:p>
    <w:p>
      <w:pPr>
        <w:pStyle w:val="916"/>
      </w:pPr>
      <w:r>
        <w:t xml:space="preserve">Essa construção converge com as formulações de Mahoney e Thelen (2009, p. 8), na medida em que acentuam que</w:t>
      </w:r>
      <w:r>
        <w:t xml:space="preserve"> </w:t>
      </w:r>
      <w:r>
        <w:t xml:space="preserve">“não há nada automático, auto-perpetuante ou auto-reforçador sobre os arranjos institucionais. Em vez disso, um componente dinâmico está embutido”</w:t>
      </w:r>
      <w:r>
        <w:t xml:space="preserve">, evidenciando que continuidade e transformação são processos intrinsecamente conectados.</w:t>
      </w:r>
    </w:p>
    <w:p>
      <w:pPr>
        <w:pStyle w:val="916"/>
      </w:pPr>
      <w:r>
        <w:t xml:space="preserve">O neo-institucionalismo, portanto, ao combinar as contribuições dos diversos autores que discutem o papel das instituições e suas implicações, emerge como uma ferramenta analítica pujante para compreender a dinâmica entre estabilidade e mudança no âmbito institucional. Essa abordagem revela não apenas a capacidade adaptativa das instituições frente aos desafios emergentes, mas também sua influência na configuração das interações políticas e sociais, promovendo uma análise rica e abrangente dos fenômenos institucionais. A seguir, essa perspectiva e a anteriormente apresentada serão aplicadas às recomendações do DENASUS, com vistas a demonstrar como seus princípios teóricos encontram expressão prática no contexto das auditorias realizadas no âmbito do SUS.</w:t>
      </w:r>
    </w:p>
    <w:bookmarkEnd w:id="36"/>
    <w:bookmarkStart w:id="37" w:name="X3ab427ad16391379da511fe68e4aecdbc66cfcf"/>
    <w:p>
      <w:pPr>
        <w:pStyle w:val="906"/>
      </w:pPr>
      <w:r>
        <w:t xml:space="preserve">2.4.3 Perspectiva Institucionalista e Neo-Institucionalista Aplicadas às Recomendações do DENASUS</w:t>
      </w:r>
    </w:p>
    <w:p>
      <w:pPr>
        <w:pStyle w:val="917"/>
      </w:pPr>
      <w:r>
        <w:t xml:space="preserve">A atuação do Departamento Nacional de Auditoria do SUS (DENASUS) ultrapassa a função meramente fiscalizadora ao se consolidar como um mecanismo de regulação e aprimoramento da governança pública. As recomendações por ele emitidas, ao identificar fragilidades e indicar ajustes nos processos de gestão, operam como dispositivos que podem tanto reforçar padrões institucionais preexistentes quanto impulsionar mudanças incrementais. Para compreender essas dinâmicas, as abordagens do institucionalismo e do neo-institucionalismo oferecem uma base analítica perspicaz, permitindo examinar como e em que medida as auditorias contribuem para a transformação das políticas públicas de saúde.</w:t>
      </w:r>
    </w:p>
    <w:p>
      <w:pPr>
        <w:pStyle w:val="916"/>
      </w:pPr>
      <w:r>
        <w:t xml:space="preserve">O institucionalismo clássico, ao enfatizar a estabilidade e a previsibilidade das instituições (IMMERGUT, 1992), permite interpretar as recomendações do DENASUS como elementos que se inserem em um arcabouço institucional já estabelecido, operando dentro de um conjunto de regras formais e normas de funcionamento do SUS. Dessa forma, mesmo aquelas recomendações que buscam reformular processos administrativos ou reforçar padrões de governança não partem de um vácuo institucional, mas sim da continuidade de um modelo que valoriza a permanência e a previsibilidade das práticas estatais.</w:t>
      </w:r>
    </w:p>
    <w:p>
      <w:pPr>
        <w:pStyle w:val="916"/>
      </w:pPr>
      <w:r>
        <w:t xml:space="preserve">O neo-institucionalismo, por sua vez, embora não seja um campo de pensamento unificado na ciência política e incorpore três métodos principais de análise (institucionalismo histórico, da escolha racional e sociológico), busca, essencialmente, explicar o papel das instituições no deslinde dos impasses econômicos e sociais, conforme proposto por Hall e Taylor (2003, p. 193-194), admitindo que as instituições estão em constante adaptação e sendo, portanto, atravessadas por conflitos, estratégias e interpretações. No contexto desta pesquisa, tal perspectiva permite analisar as recomendações do DENASUS como mecanismos de reforço às normas estabelecidas, bem como de indução a transformações institucionais progressivas no SUS.</w:t>
      </w:r>
    </w:p>
    <w:p>
      <w:pPr>
        <w:pStyle w:val="916"/>
      </w:pPr>
      <w:r>
        <w:t xml:space="preserve">Segundo Immergut (2006, p. 184), os adeptos do neo-institucionalismo compartilham um interesse central na análise dos efeitos institucionais, independentemente de onde ou como se manifestam. A autora enfatiza que os institucionalistas históricos não compactuam com o pressuposto de que o poder e as instituições atingem um estado de equilíbrio permanente, o que torna a explicação das mudanças institucionais um processo acessível dentro dessa abordagem teórica.</w:t>
      </w:r>
    </w:p>
    <w:p>
      <w:pPr>
        <w:pStyle w:val="916"/>
      </w:pPr>
      <w:r>
        <w:t xml:space="preserve">De maneira semelhante, Mahoney e Thelen (2009, p. 1), os quais se associam ao institucionalismo histórico, asseveram que essa vertente se ocupa em examinar a problemática concernente à mudança institucional, embora, de maneira geral, ao longo do tempo, tenha priorizado a análise da permanência e da estabilidade das instituições em detrimento das transformações (p. 6). Tal constatação serve de pressuposto para que os autores se proponham a elaborar</w:t>
      </w:r>
      <w:r>
        <w:t xml:space="preserve"> </w:t>
      </w:r>
      <w:r>
        <w:t xml:space="preserve">“uma teoria da mudança institucional gradual”</w:t>
      </w:r>
      <w:r>
        <w:t xml:space="preserve"> </w:t>
      </w:r>
      <w:r>
        <w:t xml:space="preserve">que, conforme reforçam, poderia se converter em instrumento para a compreensão dos fatores exógenos e endógenos inerentes à mudança e, por conseguinte, o dinamismo das instituições (p. 6). A partir dessa ótica, as recomendações do DENASUS podem ser interpretadas não apenas como instrumentos de estabilidade institucional, mas também de indução a ajustes adaptativos no SUS, respondendo a novas necessidades e circunstâncias da política de saúde.</w:t>
      </w:r>
    </w:p>
    <w:p>
      <w:pPr>
        <w:pStyle w:val="916"/>
      </w:pPr>
      <w:r>
        <w:t xml:space="preserve">Ressalta-se que, como demonstram os estudos sobre a dependência da trajetória (</w:t>
      </w:r>
      <w:r>
        <w:rPr>
          <w:i/>
          <w:iCs/>
        </w:rPr>
        <w:t xml:space="preserve">path dependence</w:t>
      </w:r>
      <w:r>
        <w:t xml:space="preserve">), conceito originalmente desenvolvido na literatura econômica por autores como David (2007), incorporado à análise institucional por North (1990) e amplamente desenvolvido no âmbito do institucionalismo histórico por Hall e Taylor (2003), o passado institucional exerce forte influência sobre as possibilidades de mudança, limitando ou direcionando seu alcance. Conforme observa David (2007), a dependência de trajetória caracteriza processos nos quais a evolução futura permanece condicionada pelos eventos e arranjos históricos preexistentes, gerando padrões de estabilidade e inércia que não se desfazem automaticamente com o tempo.</w:t>
      </w:r>
    </w:p>
    <w:p>
      <w:pPr>
        <w:pStyle w:val="916"/>
      </w:pPr>
      <w:r>
        <w:t xml:space="preserve">Essa perspectiva reforça a compreensão de que as auditorias do DENASUS podem identificar a necessidade de transformações significativas, contudo, sua implementação depende fortemente da estrutura normativa e dos padrões de governança previamente estabelecidos, os quais funcionam como arcabouços estruturantes e resilientes do sistema. De fato, como sintetiza David (2007, p. 6, tradução livre), em sistemas dependentes de trajetória</w:t>
      </w:r>
      <w:r>
        <w:t xml:space="preserve"> </w:t>
      </w:r>
      <w:r>
        <w:t xml:space="preserve">“o comportamento limitante não se torna invariável ao longo do tempo se os efeitos do passado não forem eliminados”</w:t>
      </w:r>
      <w:r>
        <w:t xml:space="preserve">, evidenciando que as transformações institucionais ocorrem dentro de um campo de continuidade histórica. Deduz-se, portanto, que mudanças profundas não se verificam de modo abrupto, mas emergem de um processo cumulativo e incremental, condicionado por escolhas e arranjos institucionais anteriores. Essa construção converge com as formulações de Mahoney e Thelen (2009, p. 9), na medida em que acentuam a inexorável conexão entre estabilidade e mudança nos arranjos institucionais.</w:t>
      </w:r>
    </w:p>
    <w:p>
      <w:pPr>
        <w:pStyle w:val="916"/>
      </w:pPr>
      <w:r>
        <w:t xml:space="preserve">A abordagem acima delineada é particularmente relevante quando se considera que muitas recomendações não operam tão somente por meio de comandos normativos diretos, mas também por mecanismos de conformidade institucional, como o isomorfismo organizacional. Conforme argumentam DiMaggio e Powell (1983, p. 150), as organizações tendem a se ajustar a modelos dominantes, seja por meio de pressões regulatórias (isomorfismo coercitivo), padrões técnicos e profissionais (isomorfismo normativo) ou pela adoção de práticas bem-sucedidas de outros entes institucionais (isomorfismo mimético). Nesse sentido, conclui-se que as organizações tendem a operar por meio de isomorfismos e, assim, replicar modelos já consolidados em vez de inovar radicalmente. Contudo, mesmo dentro desses limites, elas induzem ajustes incrementais que, cumulativamente, podem reconfigurar práticas e normas, como as aplicadas no âmbito do SUS. Esse processo reflete a dialética entre estabilidade e mudança característica do institucionalismo histórico (MAHONEY; THELEN, 2009), no qual as transformações avançam sem romper com as trajetórias institucionais previamente estabelecidas.</w:t>
      </w:r>
    </w:p>
    <w:p>
      <w:pPr>
        <w:pStyle w:val="916"/>
      </w:pPr>
      <w:r>
        <w:t xml:space="preserve">O movimento de transformação institucional narrado acima pode ser ilustrado, notoriamente, pela trajetória normativa das atribuições conferidas ao Departamento Nacional de Auditoria do SUS (DENASUS), cujas competências evoluíram de forma significativa desde a sua criação. Conforme previsto no art. 33, § 4º da Lei nº 8.080, de 19 de setembro de 1990 (BRASIL, 1990), a atribuição central do órgão consistia em acompanhar a conformidade da aplicação dos recursos federais transferidos a estados e municípios (BRASIL, 1990). Com o passar dos anos, por sua vez, esse escopo foi gradativamente sendo amplificado, culminando na atual configuração estabelecida pelo Decreto nº 11.798, de 28 de novembro de 2023 (BRASIL, 2023), que atribui ao DENASUS um papel estratégico, incluindo, dentre as suas competências, as descritas no art. 12, conforme se destaca:</w:t>
      </w:r>
      <w:r>
        <w:t xml:space="preserve"> </w:t>
      </w:r>
      <w:r>
        <w:t xml:space="preserve">“propor melhorias nos processos de gerenciamento de riscos, de controles internos, de integridade e de governança das políticas, dos programas, das ações e dos serviços para o aprimoramento da eficiência, da eficácia e da efetividade da gestão do SUS”</w:t>
      </w:r>
      <w:r>
        <w:t xml:space="preserve"> </w:t>
      </w:r>
      <w:r>
        <w:t xml:space="preserve">e</w:t>
      </w:r>
      <w:r>
        <w:t xml:space="preserve"> </w:t>
      </w:r>
      <w:r>
        <w:t xml:space="preserve">“realizar atividade de auditoria, de forma sistemática e disciplinada, como instrumento de avaliação e apoio à governança”</w:t>
      </w:r>
      <w:r>
        <w:t xml:space="preserve"> </w:t>
      </w:r>
      <w:r>
        <w:t xml:space="preserve">(BRASIL, 2023, art. 12, incisos III e IV).</w:t>
      </w:r>
    </w:p>
    <w:p>
      <w:pPr>
        <w:pStyle w:val="916"/>
      </w:pPr>
      <w:r>
        <w:t xml:space="preserve">As novas atribuições adquiridas pelo DENASUS revelam a ampliação institucional do seu papel, em consonância com as diretrizes contemporâneas de fortalecimento da missão atribuída à auditoria interna governamental, bem como evidenciam alinhamento às diretrizes de governança introduzidas pela Instrução Normativa Conjunta CGU/MP nº 1/2016 (BRASIL, 2016), reforçadas pela Lei nº 9.203/2017 (BRASIL, 2017), que institucionalizou a política de governança da administração pública federal e descreveu a necessidade de aprimoramento do sistema de gestão de riscos e controles internos em seu âmbito.</w:t>
      </w:r>
    </w:p>
    <w:p>
      <w:pPr>
        <w:pStyle w:val="916"/>
      </w:pPr>
      <w:r>
        <w:t xml:space="preserve">É plausível afirmar, portanto, que o próprio DENASUS foi objeto de um processo de transformação institucional, ao incorporar funções que reverberam as demandas contemporâneas por maior eficiência, integridade e</w:t>
      </w:r>
      <w:r>
        <w:t xml:space="preserve"> </w:t>
      </w:r>
      <w:r>
        <w:rPr>
          <w:i/>
          <w:iCs/>
        </w:rPr>
        <w:t xml:space="preserve">accountability</w:t>
      </w:r>
      <w:r>
        <w:t xml:space="preserve"> </w:t>
      </w:r>
      <w:r>
        <w:t xml:space="preserve">na gestão pública, refletindo, ademais, o movimento isomórfico defendido por DiMaggio e Powell (1983, p. 150), os quais asseveram que as instituições públicas se reformulam não apenas para manter sua legitimidade, mas também para responder às transformações do campo organizacional em que estão inseridas.</w:t>
      </w:r>
    </w:p>
    <w:p>
      <w:pPr>
        <w:pStyle w:val="916"/>
      </w:pPr>
      <w:r>
        <w:t xml:space="preserve">A articulação entre a tipologia das recomendações e as perspectivas institucionais permite examinar o alcance das intervenções propostas pelo DENASUS. Nesse quadro, as recomendações voltadas à correção de falhas operacionais, à superação de entraves imediatos e à estabilização de processos em curso possuem relevância para a manutenção e o desempenho cotidiano do sistema. As recomendações orientadas às causas dos problemas, por sua vez, podem indicar possibilidades de aperfeiçoamento de práticas e estruturas organizacionais. Essa aproximação oferece uma chave de leitura para a coexistência de demandas por estabilidade e por mudança, sem estabelecer uma correspondência automática entre cada categoria da tipologia e um efeito institucional determinado.</w:t>
      </w:r>
    </w:p>
    <w:p>
      <w:pPr>
        <w:pStyle w:val="916"/>
      </w:pPr>
      <w:r>
        <w:t xml:space="preserve">Sob essa perspectiva, a possibilidade de que os efeitos pretendidos permaneçam diante da substituição dos agentes envolvidos constitui uma dimensão relevante para a interpretação do potencial de institucionalização das ações sugeridas. Trata-se de examinar se o conteúdo das recomendações aponta para a incorporação de mudanças às práticas e estruturas organizacionais do ente auditado, superando a dependência de agentes específicos. A permanência pretendida, contudo, não permite aferir o nível de institucionalização efetivamente alcançado, cuja avaliação exigiria evidências sobre a implementação das medidas e seus efeitos ao longo do tempo.</w:t>
      </w:r>
    </w:p>
    <w:p>
      <w:pPr>
        <w:pStyle w:val="916"/>
      </w:pPr>
      <w:r>
        <w:t xml:space="preserve">Convém distinguir, portanto, a tipologia</w:t>
      </w:r>
      <w:r>
        <w:t xml:space="preserve"> </w:t>
      </w:r>
      <w:r>
        <w:rPr>
          <w:i/>
          <w:iCs/>
        </w:rPr>
        <w:t xml:space="preserve">cause-based/condition-based</w:t>
      </w:r>
      <w:r>
        <w:t xml:space="preserve">, difundida pelo IIA, da interpretação institucional desenvolvida nesta dissertação a partir de sua articulação com os referenciais adotados. A primeira diferencia o foco das recomendações; a segunda examina o significado que essa orientação pode assumir para a compreensão da estabilidade e da mudança institucional no SUS. A tradução dessa conexão em critérios de codificação constitui uma escolha operacional da pesquisa, explicitada na Metodologia. Desse modo, o exame do conteúdo permite identificar potenciais de intervenção, mas não mensurar impactos institucionais efetivamente produzidos.</w:t>
      </w:r>
    </w:p>
    <w:p>
      <w:pPr>
        <w:pStyle w:val="916"/>
      </w:pPr>
      <w:r>
        <w:t xml:space="preserve">Compreendido o arcabouço normativo e teórico, o passo seguinte consiste em explicitar o percurso metodológico empregado para confrontar tais definições com a realidade das práticas de auditoria. A investigação articula processamento automatizado e análise qualitativa, permitindo mapear as reais inclinações do órgão e, posteriormente, examinar em que medida os resultados ratificam sua vocação como agente de mudança ou, ao contrário, confirmam o peso da continuidade institucional no âmbito do SUS.</w:t>
      </w:r>
    </w:p>
    <w:p>
      <w:r>
        <w:br w:type="page"/>
      </w:r>
    </w:p>
    <w:bookmarkEnd w:id="37"/>
    <w:bookmarkEnd w:id="38"/>
    <w:bookmarkEnd w:id="39"/>
    <w:bookmarkStart w:id="55" w:name="metodologia"/>
    <w:p>
      <w:pPr>
        <w:pStyle w:val="904"/>
      </w:pPr>
      <w:r>
        <w:t xml:space="preserve">3. Metodologia</w:t>
      </w:r>
    </w:p>
    <w:p>
      <w:pPr>
        <w:pStyle w:val="917"/>
      </w:pPr>
      <w:r>
        <w:t xml:space="preserve">Este capítulo apresenta os fundamentos metodológicos que sustentam a investigação, com base na articulação entre pressupostos teóricos, escolhas técnicas e estratégias de análise aplicadas ao objeto de estudo. Ancorada em um posicionamento ontológico construtivista, a pesquisa entende a realidade institucional do SUS e das auditorias públicas como uma construção social. Esta concepção reconhece que tal realidade é dinâmica, complexa e intrinsecamente ligada a um contexto de múltiplos fatores (normativos, políticos e gerenciais), sendo produzida e reproduzida através dos discursos, das práticas e das relações entre os agentes envolvidos.</w:t>
      </w:r>
    </w:p>
    <w:p>
      <w:pPr>
        <w:pStyle w:val="916"/>
      </w:pPr>
      <w:r>
        <w:t xml:space="preserve">Do ponto de vista epistemológico, adota-se uma perspectiva interpretativista, na qual o conhecimento é construído pela interação entre sujeito e objeto, sendo o pesquisador parte do campo que analisa. Nessa abordagem, a análise de conteúdo é mobilizada como estratégia metodológica central, por sua capacidade de integrar inferências qualitativas e sistematização analítica, permitindo apreender os sentidos subjacentes às recomendações emitidas pelo Departamento Nacional de Auditoria do SUS.</w:t>
      </w:r>
    </w:p>
    <w:p>
      <w:pPr>
        <w:pStyle w:val="916"/>
      </w:pPr>
      <w:r>
        <w:t xml:space="preserve">Embora a proposta metodológica incorpore recursos contemporâneos, como o uso de inteligência artificial para tratamento textual em larga escala, reconhece-se que os referenciais clássicos, em especial, os sistematizados por Bardin (2016), permanecem relevantes como fundamentos teóricos e operacionais para a condução da investigação. O avanço das tecnologias de processamento de linguagem natural, por sua vez, impõe novos desafios e amplia as possibilidades interpretativas da análise, convidando a uma reflexão crítica sobre os limites e potencialidades da automatização parcial do trabalho analítico.</w:t>
      </w:r>
    </w:p>
    <w:p>
      <w:pPr>
        <w:pStyle w:val="916"/>
      </w:pPr>
      <w:r>
        <w:t xml:space="preserve">Nas subseções a seguir, apresentam-se a classificação metodológica da pesquisa, os procedimentos adotados em cada uma de suas etapas, bem como os fundamentos que orientaram a definição das estratégias técnicas e operacionais aplicadas ao objeto de estudo.</w:t>
      </w:r>
    </w:p>
    <w:bookmarkStart w:id="40" w:name="delineamento-da-pesquisa"/>
    <w:p>
      <w:pPr>
        <w:pStyle w:val="905"/>
      </w:pPr>
      <w:r>
        <w:t xml:space="preserve">3.1 Delineamento da Pesquisa</w:t>
      </w:r>
    </w:p>
    <w:p>
      <w:pPr>
        <w:pStyle w:val="917"/>
      </w:pPr>
      <w:r>
        <w:t xml:space="preserve">O percurso metodológico foi estruturado para permitir a exploração, descrição e interpretação do papel das recomendações de auditoria proferidas pelo Departamento Nacional de Auditoria do SUS (DENASUS). Para tanto, adotou-se o método indutivo como principal orientação da investigação. Essa escolha decorre do propósito de examinar se as recomendações produzidas pelo órgão concentram-se predominantemente no enfrentamento das causas dos problemas identificados ou na correção das condições observadas para, a partir dessa caracterização, que tem início na observação minuciosa de casos particulares, construir inferências e generalizações sobre o papel desempenhado pela auditoria interna governamental na transformação institucional do SUS.</w:t>
      </w:r>
    </w:p>
    <w:p>
      <w:pPr>
        <w:pStyle w:val="916"/>
      </w:pPr>
      <w:r>
        <w:t xml:space="preserve">A opção pela indução justifica-se pela natureza exploratória e interpretativa do trabalho. O ponto de partida não consiste em uma hipótese rígida e fechada a ser simplesmente testada e validada. Em vez disso, parte-se de um amplo corpus documental para identificar, analisar e interpretar os padrões que emergem dos próprios dados. É por meio da catalogação, categorização e contraste das recomendações que se torna possível inferir conclusões mais amplas sobre a atuação do DENASUS.</w:t>
      </w:r>
    </w:p>
    <w:p>
      <w:pPr>
        <w:pStyle w:val="916"/>
      </w:pPr>
      <w:r>
        <w:t xml:space="preserve">O emprego de um referencial teórico pré-estabelecido, notadamente a tipologia</w:t>
      </w:r>
      <w:r>
        <w:t xml:space="preserve"> </w:t>
      </w:r>
      <w:r>
        <w:rPr>
          <w:i/>
          <w:iCs/>
        </w:rPr>
        <w:t xml:space="preserve">cause-based/condition-based</w:t>
      </w:r>
      <w:r>
        <w:t xml:space="preserve"> </w:t>
      </w:r>
      <w:r>
        <w:t xml:space="preserve">do Institute of Internal Auditors (IIA), atua como um modelo analítico</w:t>
      </w:r>
      <w:r>
        <w:t xml:space="preserve"> </w:t>
      </w:r>
      <w:r>
        <w:rPr>
          <w:i/>
          <w:iCs/>
        </w:rPr>
        <w:t xml:space="preserve">a priori</w:t>
      </w:r>
      <w:r>
        <w:t xml:space="preserve">, uma lente conceitual que permite organizar e dar sentido inteligível aos dados empíricos de forma sistemática. Trata-se, em outras palavras, de utilizar um instrumento teórico consagrado para iluminar os dados, evitando-se, assim, predeterminar os resultados da análise. A lógica dedutiva encontra-se, portanto, contida e subordinada a uma lógica indutiva mais ampla, contribuindo para conferir maior clareza e robustez ao estudo.</w:t>
      </w:r>
    </w:p>
    <w:p>
      <w:pPr>
        <w:pStyle w:val="916"/>
      </w:pPr>
      <w:r>
        <w:t xml:space="preserve">A trajetória da pesquisa segue o movimento característico do raciocínio indutivo: parte da observação direta e sistematizada das recomendações específicas, passa pela análise comparativa e pela categorização dos dados com auxílio do modelo teórico e culmina na construção de generalizações acerca da função institucional do órgão auditor. O conhecimento produzido fundamenta-se, assim, na empiria e busca preservar a complexidade do objeto de estudo, ao mesmo tempo em que se beneficia do rigor proporcionado por um instrumental teórico-metodológico previamente definido.</w:t>
      </w:r>
    </w:p>
    <w:p>
      <w:pPr>
        <w:pStyle w:val="916"/>
      </w:pPr>
      <w:r>
        <w:t xml:space="preserve">Sob o ponto de vista de sua natureza, esta investigação classifica-se como aplicada, uma vez que, embora seu escopo imediato consista em produzir um diagnóstico das prioridades institucionais do DENASUS, a partir do exame das recomendações por ele elaboradas enquanto dispositivos textuais produzidos por um órgão técnico com função estratégica na governança do SUS, sua finalidade é eminentemente prática. Os</w:t>
      </w:r>
      <w:r>
        <w:t xml:space="preserve"> </w:t>
      </w:r>
      <w:r>
        <w:rPr>
          <w:i/>
          <w:iCs/>
        </w:rPr>
        <w:t xml:space="preserve">insights</w:t>
      </w:r>
      <w:r>
        <w:t xml:space="preserve"> </w:t>
      </w:r>
      <w:r>
        <w:t xml:space="preserve">e evidências produzidos destinam-se a oferecer um retrato da atuação do órgão, criando uma base de conhecimento qualificada para que gestores, auditores e formuladores de políticas possam, subsequentemente, identificar pontos de melhoria, reorientar estratégias e promover aprimoramentos concretos no âmbito da auditoria da saúde pública.</w:t>
      </w:r>
    </w:p>
    <w:p>
      <w:pPr>
        <w:pStyle w:val="916"/>
      </w:pPr>
      <w:r>
        <w:t xml:space="preserve">Quanto aos objetivos da pesquisa, este estudo caracteriza-se como exploratório, descritivo e explicativo. O caráter exploratório decorre da investigação de um fenômeno ainda incipientemente abordado na literatura especializada: a aplicação da tipologia</w:t>
      </w:r>
      <w:r>
        <w:t xml:space="preserve"> </w:t>
      </w:r>
      <w:r>
        <w:rPr>
          <w:i/>
          <w:iCs/>
        </w:rPr>
        <w:t xml:space="preserve">cause-based/condition-based</w:t>
      </w:r>
      <w:r>
        <w:t xml:space="preserve"> </w:t>
      </w:r>
      <w:r>
        <w:t xml:space="preserve">às recomendações do DENASUS no contexto do SUS. O caráter descritivo expressa-se no processo de catalogação, caracterização e sistematização do conjunto de recomendações de auditoria, com a finalidade de elaborar um panorama abrangente de suas características. Por fim, o caráter explicativo reside no propósito de analisar as relações entre a distribuição tipológica das recomendações e a função institucional do DENASUS, à luz do referencial apresentado na Fundamentação Teórica.</w:t>
      </w:r>
    </w:p>
    <w:p>
      <w:pPr>
        <w:pStyle w:val="916"/>
      </w:pPr>
      <w:r>
        <w:t xml:space="preserve">No que se refere à abordagem metodológica, a pesquisa possui natureza qualitativa, uma vez que seu núcleo analítico reside na interpretação dos sentidos, significados e padrões discursivos presentes nas recomendações emitidas pelo DENASUS. Em razão dessa característica, adotou-se a análise de conteúdo proposta por Bardin (2016) como principal estratégia de tratamento e interpretação do corpus documental. Conforme essa abordagem, a análise qualitativa foi acompanhada da quantificação das categorias produzidas durante o processo de codificação, procedimento que possibilitou sistematizar o corpus, identificar a distribuição dos padrões observados e subsidiar a etapa de inferência e interpretação. Diante da dimensão do material empírico, essa estratégia contribuiu para conferir maior organização, transparência e consistência ao desenvolvimento da análise.</w:t>
      </w:r>
    </w:p>
    <w:bookmarkEnd w:id="40"/>
    <w:bookmarkStart w:id="41" w:name="procedimentos-metodológicos"/>
    <w:p>
      <w:pPr>
        <w:pStyle w:val="905"/>
      </w:pPr>
      <w:r>
        <w:t xml:space="preserve">3.2 Procedimentos Metodológicos</w:t>
      </w:r>
    </w:p>
    <w:p>
      <w:pPr>
        <w:pStyle w:val="917"/>
      </w:pPr>
      <w:r>
        <w:t xml:space="preserve">A pesquisa foi desenvolvida com base em uma estratégia metodológica que articulou diferentes procedimentos técnicos, de forma a garantir uma abordagem abrangente, sistemática e rigorosa do objeto de estudo. Do ponto de vista técnico, quatro procedimentos centrais orientaram a condução do trabalho: a pesquisa bibliográfica, a pesquisa documental, o estudo de caso e o levantamento censitário.</w:t>
      </w:r>
    </w:p>
    <w:p>
      <w:pPr>
        <w:pStyle w:val="916"/>
      </w:pPr>
      <w:r>
        <w:t xml:space="preserve">Para a construção do referencial teórico, a pesquisa bibliográfica foi fundamental, uma vez que contemplou as contribuições do institucionalismo e do neo-institucionalismo, assim como os fundamentos da auditoria interna governamental. Além disso, essa abordagem foi aplicada para viabilizar um exame aprofundado da metodologia de análise de conteúdo proposta por Laurence Bardin (2016), cuja estrutura teórica orientou parte substantiva da estratégia analítica adotada. A revisão bibliográfica embasou, ademais, a investigação da literatura contemporânea sobre inteligência artificial aplicada à pesquisa científica, com especial atenção aos modelos de linguagem natural (LLMs), suas potencialidades analíticas e implicações metodológicas, bem como da tipologia</w:t>
      </w:r>
      <w:r>
        <w:t xml:space="preserve"> </w:t>
      </w:r>
      <w:r>
        <w:rPr>
          <w:i/>
          <w:iCs/>
        </w:rPr>
        <w:t xml:space="preserve">cause-based/condition-based</w:t>
      </w:r>
      <w:r>
        <w:t xml:space="preserve">, desenvolvida pelo Institute of Internal Auditors (IIA), a qual foi reputada como um instrumento conceitual central para a categorização das recomendações analisadas.</w:t>
      </w:r>
    </w:p>
    <w:p>
      <w:pPr>
        <w:pStyle w:val="916"/>
      </w:pPr>
      <w:r>
        <w:t xml:space="preserve">A pesquisa documental, por sua vez, concentrou-se na análise empírica de um conjunto de documentos públicos: os relatórios oficiais de auditoria publicados pelo Departamento Nacional de Auditoria do SUS (DENASUS), bem como as normas legais e diretrizes institucionais que regulam sua atuação. Esses documentos serviram tanto à delimitação do corpus empírico quanto à compreensão do contexto jurídico e organizacional em que as recomendações estavam inseridas.</w:t>
      </w:r>
    </w:p>
    <w:p>
      <w:pPr>
        <w:pStyle w:val="916"/>
      </w:pPr>
      <w:r>
        <w:t xml:space="preserve">Adicionalmente, adotou-se a perspectiva do estudo de caso, tendo sido o DENASUS considerado como unidade de análise representativa da prática de auditoria interna no âmbito do Sistema Único de Saúde. Para operacionalizar a análise, realizou-se um levantamento censitário dos relatórios publicados pelo órgão, buscando assegurar exaustividade e fidedignidade na construção do material empírico da pesquisa.</w:t>
      </w:r>
    </w:p>
    <w:p>
      <w:pPr>
        <w:pStyle w:val="916"/>
      </w:pPr>
      <w:r>
        <w:t xml:space="preserve">O corpus examinado se constituiu da totalidade dos relatórios das auditorias publicadas pelo DENASUS, disponíveis no sítio eletrônico Consulta Auditoria (BRASIL, 2025), considerando o período compreendido entre 01/01/2023 a 31/07/2025, delimitado pelo campo intitulado</w:t>
      </w:r>
      <w:r>
        <w:t xml:space="preserve"> </w:t>
      </w:r>
      <w:r>
        <w:t xml:space="preserve">“período de encerramento”</w:t>
      </w:r>
      <w:r>
        <w:t xml:space="preserve">. Tais relatórios foram processados mediante o uso de técnicas de extração de texto, com o fim de obter os metadados relacionados às auditorias, bem como os achados e recomendações neles contidos, conforme descrito no Apêndice A, documento que detalha o procedimento adotado para obter e preparar a base documental da pesquisa com vistas à sua posterior análise.</w:t>
      </w:r>
    </w:p>
    <w:p>
      <w:pPr>
        <w:pStyle w:val="916"/>
      </w:pPr>
      <w:r>
        <w:t xml:space="preserve">Como resultado desse procedimento, foram extraídas 4.289 recomendações, as quais foram tratadas, para fins deste estudo, como unidades únicas e indivisíveis. Tal escolha metodológica justificou-se, sobretudo, pela opção de respeitar a lógica institucional adotada pelo órgão auditor, que estruturou cada recomendação como uma proposição conclusiva, ainda que, em alguns casos, os textos subsumam conteúdos heterogêneos ou múltiplos comandos. Ao se reconhecer essa estrutura, por vezes, multifacetada, mas optar pela manutenção da integridade formal de cada recomendação como unidade de análise, buscou-se assegurar coerência com o modo como as peças de auditoria foram produzidas, publicadas e compreendidas no contexto administrativo no qual se inserem. Essa definição metodológica possibilitou a adoção, nas etapas subsequentes da pesquisa, de critérios analíticos consistentes com os objetivos do estudo, mirando, sobretudo, a sistematicidade do tratamento do conteúdo das proposições.</w:t>
      </w:r>
    </w:p>
    <w:p>
      <w:pPr>
        <w:pStyle w:val="916"/>
      </w:pPr>
      <w:r>
        <w:t xml:space="preserve">Definida a base empírica e estabelecida a recomendação como unidade de análise, a investigação foi conduzida em duas etapas principais, complementadas por explorações categóricas do material. A primeira etapa consistiu na aplicação da análise de conteúdo fundamentada em Bardin (2016), adaptada para incorporar o uso de inteligência artificial (IA) como ferramenta auxiliar. Nessa fase, as recomendações foram submetidas a um processo de codificação automatizada, baseado em variáveis previamente definidas pela pesquisadora, notadamente, nos critérios foco causa e efeitos duradouros. A partir desses códigos, foi possível categorizar as recomendações segundo o enfoque na causa ou na condição, conforme os parâmetros da tipologia</w:t>
      </w:r>
      <w:r>
        <w:t xml:space="preserve"> </w:t>
      </w:r>
      <w:r>
        <w:rPr>
          <w:i/>
          <w:iCs/>
        </w:rPr>
        <w:t xml:space="preserve">cause-based/condition-based</w:t>
      </w:r>
      <w:r>
        <w:t xml:space="preserve"> </w:t>
      </w:r>
      <w:r>
        <w:t xml:space="preserve">proposta pelo Institute of Internal Auditors (IIA).</w:t>
      </w:r>
    </w:p>
    <w:p>
      <w:pPr>
        <w:pStyle w:val="916"/>
      </w:pPr>
      <w:r>
        <w:t xml:space="preserve">A segunda etapa, por sua vez, adotou uma abordagem distinta, ainda que alinhada à análise do conteúdo das recomendações. Nessa fase, a IA foi instruída, por meio de comandos formulados em linguagem natural (</w:t>
      </w:r>
      <w:r>
        <w:rPr>
          <w:i/>
          <w:iCs/>
        </w:rPr>
        <w:t xml:space="preserve">prompts</w:t>
      </w:r>
      <w:r>
        <w:t xml:space="preserve">), a realizar uma leitura crítica das classificações previamente geradas, examinando a constatação e a respectiva recomendação a ela vinculada, para, a partir disso, emitir um juízo avaliativo quanto à adequação dos resultados da codificação implementada na primeira fase. Para cada critério analisado, o modelo foi instruído a elaborar uma apreciação interpretativa e a expressar seu julgamento nos termos</w:t>
      </w:r>
      <w:r>
        <w:t xml:space="preserve"> </w:t>
      </w:r>
      <w:r>
        <w:t xml:space="preserve">“concordo”</w:t>
      </w:r>
      <w:r>
        <w:t xml:space="preserve"> </w:t>
      </w:r>
      <w:r>
        <w:t xml:space="preserve">ou</w:t>
      </w:r>
      <w:r>
        <w:t xml:space="preserve"> </w:t>
      </w:r>
      <w:r>
        <w:t xml:space="preserve">“discordo”</w:t>
      </w:r>
      <w:r>
        <w:t xml:space="preserve">, justificando brevemente sua decisão. Diferentemente da primeira etapa, orientada pela aplicação de regras objetivas de codificação, esta segunda fase introduziu um componente de análise crítica automatizada, no qual o modelo foi instado a avaliar a coerência e a consistência das classificações previamente atribuídas. Ao emitir juízos de concordância ou discordância, acompanhados de breve justificativa, a IA passou a operar em um nível inferencial mais elevado, não pela identificação autônoma de novos significados, mas pela revisão argumentativa das inferências anteriores, simulando, de forma controlada, a leitura reflexiva que seria conduzida por um analista humano.</w:t>
      </w:r>
    </w:p>
    <w:p>
      <w:pPr>
        <w:pStyle w:val="916"/>
      </w:pPr>
      <w:r>
        <w:t xml:space="preserve">Assim, sob a supervisão crítica da pesquisadora, a IA foi mobilizada como instância analítica secundária, contribuindo para o refinamento e a consistência das inferências produzidas, sem assumir autonomia na interpretação do material empírico. A estratégia metodológica delineada permitiu integrar duas abordagens complementares de análise do corpus, voltadas à captura de diferentes dimensões do objeto estudado. A primeira, ancorada em critérios técnicos e sistemáticos, procurou conferir reprodutibilidade e consistência aos resultados; a segunda, ao incorporar uma lógica inferencial controlada, delimitada por parâmetros analíticos previamente definidos, expandiu as possibilidades interpretativas e aprofundou a compreensão dos resultados analíticos. Aplicadas sucessivamente sobre o mesmo conjunto de dados, as duas estratégias permitiram explorar o objeto de estudo sob diferentes perspectivas analíticas e capturar, por conseguinte, díspares nuances e idiossincrasias de um mesmo objeto analítico, frequentemente invisibilizadas por abordagens únicas.</w:t>
      </w:r>
    </w:p>
    <w:p>
      <w:pPr>
        <w:pStyle w:val="916"/>
      </w:pPr>
      <w:r>
        <w:t xml:space="preserve">O percurso metodológico delineado foi concebido com vistas a perseguir a concretização dos objetivos específicos do estudo e o cumprimento de todas as etapas nele propostas, abordando, de forma sistemática e crítica, o fenômeno investigado. Ademais, a pesquisa buscou contribuir com a comunidade acadêmica e a administração pública ao testar, de forma aplicada, a tipologia proposta pelo IIA, ao contexto das auditorias do SUS, colhendo, para tanto, evidências empíricas sobre sua utilidade como ferramenta de análise institucional.</w:t>
      </w:r>
    </w:p>
    <w:p>
      <w:pPr>
        <w:pStyle w:val="916"/>
      </w:pPr>
      <w:r>
        <w:t xml:space="preserve">No que concerne à devolução dos conhecimentos gerados, a pesquisa previu duas formas principais de retorno à sociedade: a publicação integral da dissertação em repositório institucional de acesso aberto e a elaboração de um produto técnico, contendo os principais achados da pesquisa, a ser disponibilizado ao DENASUS e ao Ministério da Saúde, como contributo para a compreensão e o aprimoramento das práticas de auditoria no Sistema Único de Saúde. A expectativa é que os resultados do estudo possam retroalimentar o campo da auditoria governamental com subsídios conceituais e metodológicos, reforçando sua capacidade de indução à melhoria das políticas públicas de saúde.</w:t>
      </w:r>
    </w:p>
    <w:bookmarkEnd w:id="41"/>
    <w:bookmarkStart w:id="42" w:name="X29928d9114743709473327a285172dc212a60ae"/>
    <w:p>
      <w:pPr>
        <w:pStyle w:val="905"/>
      </w:pPr>
      <w:r>
        <w:t xml:space="preserve">3.3 Análise de Conteúdo: Fundamentos e Aplicação na Pesquisa</w:t>
      </w:r>
    </w:p>
    <w:p>
      <w:pPr>
        <w:pStyle w:val="917"/>
      </w:pPr>
      <w:r>
        <w:t xml:space="preserve">A análise de conteúdo consolidou-se como uma metodologia de investigação sistemática ao longo do século XX, especialmente nos Estados Unidos, onde pesquisadores como Harold Lasswell (1979) desenvolveram abordagens quantitativas voltadas à análise de mensagens políticas e midiáticas, sendo o próprio Lasswell responsável por concebê-la originalmente como instrumento para a avaliação de propagandas políticas no período entre as grandes guerras. Inicialmente, o método baseava-se majoritariamente na contagem de palavras e temas recorrentes, adotando uma perspectiva estatística para identificar padrões de comunicação. No entanto, com o passar dos anos, essa abordagem passou a ser questionada por sua limitação em captar nuances interpretativas mais profundas. Esse debate se intensificou a partir da década de 1950, quando se reconheceu que a análise de conteúdo poderia incluir não apenas aspectos quantitativos, mas também elementos qualitativos que levassem em consideração a complexidade das mensagens analisadas (BARDIN, 2016, p. 17-25).</w:t>
      </w:r>
    </w:p>
    <w:p>
      <w:pPr>
        <w:pStyle w:val="916"/>
      </w:pPr>
      <w:r>
        <w:t xml:space="preserve">A partir desse movimento, firmaram-se duas vertentes principais: a quantitativa, que enfatiza a frequência de determinados elementos da mensagem, e a qualitativa, que foca na interpretação de significados, do contexto discursivo e dos impactos potenciais da comunicação. Como destaca Bardin (2016, p. 26-27), ambas as abordagens possuem relevância e podem ser combinadas para fornecer uma visão mais completa dos fenômenos estudados. Essa integração metodológica permitiu que a análise de conteúdo evoluísse para um modelo híbrido, no qual a articulação entre medidas estatísticas e inferências interpretativas proporciona maior rigor e profundidade à pesquisa.</w:t>
      </w:r>
    </w:p>
    <w:p>
      <w:pPr>
        <w:pStyle w:val="916"/>
      </w:pPr>
      <w:r>
        <w:t xml:space="preserve">Constantino (2002) destaca que a análise de conteúdo, por sua flexibilidade metodológica, permite a utilização de diferentes técnicas ou a sua livre combinação, favorecendo abordagens interdisciplinares e adaptando-se a variados propósitos investigativos. A autora observa que esse recurso metodológico propõe a realização de operações analítico-sintéticas, contribuindo para o desenvolvimento das capacidades de intuição e inferência dos pesquisadores, habilidades essenciais na formulação de interpretações mais amplas a partir dos dados analisados (CONSTANTINO, 2002).</w:t>
      </w:r>
    </w:p>
    <w:p>
      <w:pPr>
        <w:pStyle w:val="916"/>
      </w:pPr>
      <w:r>
        <w:t xml:space="preserve">Na mesma direção, Bardin (2016, p. 36) explicita que a técnica de análise de conteúdo</w:t>
      </w:r>
      <w:r>
        <w:t xml:space="preserve"> </w:t>
      </w:r>
      <w:r>
        <w:t xml:space="preserve">“tem de ser reinventada a cada momento”</w:t>
      </w:r>
      <w:r>
        <w:t xml:space="preserve">, de modo a adequar-se ao domínio e aos objetivos perseguidos pela pesquisa. Além disso, defende que o método</w:t>
      </w:r>
      <w:r>
        <w:t xml:space="preserve"> </w:t>
      </w:r>
      <w:r>
        <w:t xml:space="preserve">“não se trata de um instrumento, mas de um leque de apetrechos”</w:t>
      </w:r>
      <w:r>
        <w:t xml:space="preserve"> </w:t>
      </w:r>
      <w:r>
        <w:t xml:space="preserve">e acrescenta caracterizar-se por</w:t>
      </w:r>
      <w:r>
        <w:t xml:space="preserve"> </w:t>
      </w:r>
      <w:r>
        <w:t xml:space="preserve">“uma grande disparidade de formas e adaptável a um campo de aplicação muito vasto”</w:t>
      </w:r>
      <w:r>
        <w:t xml:space="preserve"> </w:t>
      </w:r>
      <w:r>
        <w:t xml:space="preserve">(BARDIN, 2016, p. 37).</w:t>
      </w:r>
    </w:p>
    <w:p>
      <w:pPr>
        <w:pStyle w:val="916"/>
      </w:pPr>
      <w:r>
        <w:t xml:space="preserve">É relevante observar que a modernização dos instrumentos de análise de conteúdo, notadamente com o advento das tecnologias da informação e da inteligência artificial, encontra respaldo nas reflexões de Bardin (2016), que dedica atenção específica ao papel da informática nesse campo. Embora a informatização não substitua integralmente a intervenção humana, pode assumir função estratégica em tarefas operacionais e na gestão de grandes volumes de dados, desde que o pesquisador formule, de forma clara e precisa, as instruções que guiarão o processo automatizado (BARDIN, 2016, p. 174-180). Ainda assim, a autora adverte que a informatização não deve ser tratada como recurso</w:t>
      </w:r>
      <w:r>
        <w:t xml:space="preserve"> </w:t>
      </w:r>
      <w:r>
        <w:t xml:space="preserve">“mágico”</w:t>
      </w:r>
      <w:r>
        <w:t xml:space="preserve">, tampouco como sucedâneo da reflexão crítica e interpretativa, sob pena de produzir estudos</w:t>
      </w:r>
      <w:r>
        <w:t xml:space="preserve"> </w:t>
      </w:r>
      <w:r>
        <w:t xml:space="preserve">“de grande precisão e de pouca importância”</w:t>
      </w:r>
      <w:r>
        <w:t xml:space="preserve"> </w:t>
      </w:r>
      <w:r>
        <w:t xml:space="preserve">(BARDIN, 2016, p. 176); do mesmo modo, lembra que informatizar não é automatizar integralmente. Operações como indexação e agrupamento semântico permanecem dependentes de instruções rigorosas a serem definidas pelo analista (BARDIN, 2016, p. 177).</w:t>
      </w:r>
    </w:p>
    <w:p>
      <w:pPr>
        <w:pStyle w:val="916"/>
      </w:pPr>
      <w:r>
        <w:t xml:space="preserve">A esse respeito, Holsti (1969, apud BARDIN, 2016, p. 175) assevera que os computadores são capazes de realizar as mais variadas tarefas,</w:t>
      </w:r>
      <w:r>
        <w:t xml:space="preserve"> </w:t>
      </w:r>
      <w:r>
        <w:t xml:space="preserve">“desde que o analista lhes prepare instruções não ambíguas”</w:t>
      </w:r>
      <w:r>
        <w:t xml:space="preserve">, consistindo, assim, em instrumentos de alta precisão para processos como a contagem de frequências, a organização de dados categóricos e a identificação de coocorrências lexicais.</w:t>
      </w:r>
    </w:p>
    <w:p>
      <w:pPr>
        <w:pStyle w:val="916"/>
      </w:pPr>
      <w:r>
        <w:t xml:space="preserve">Bardin (2016, p. 194) sublinha que a informatização transformou a própria concepção da análise de conteúdo, a qual já não pode ser vista de forma isolada em relação aos avanços ocorridos em outros campos do conhecimento. O desenvolvimento de tecnologias de reconhecimento de fala, a digitalização de textos impressos e manuscritos, bem como a popularização de interfaces interativas, como a utilização de comandos por voz e dispositivos de leitura ótica, passaram a facilitar significativamente etapas da análise tradicionalmente reconhecidas como laboriosas e morosas.</w:t>
      </w:r>
    </w:p>
    <w:p>
      <w:pPr>
        <w:pStyle w:val="916"/>
      </w:pPr>
      <w:r>
        <w:t xml:space="preserve">Os avanços constatados, contudo, não se restringem ao plano operacional. O potencial transformador repousa na consolidação de sistemas especializados e na progressiva incorporação de recursos de IA, capazes de operar com motores de inferência e bases de conhecimento específicas (BARDIN, 2016, p. 195). Nesse cenário, a construção de análises mais refinadas requer a intervenção de especialistas que atuem como mediadores entre o domínio do conhecimento e as exigências formais dos sistemas computacionais.</w:t>
      </w:r>
    </w:p>
    <w:p>
      <w:pPr>
        <w:pStyle w:val="916"/>
      </w:pPr>
      <w:r>
        <w:t xml:space="preserve">Observa-se, ademais, que com o atual desenvolvimento de redes neurais profundas e modelos de linguagem de larga escala, o potencial de automatização da análise de conteúdo ampliou-se de forma significativa ante o que Bardin apresentou em seu manual. Ainda assim, mesmo diante dessas inovações, a intervenção humana continua a ser não apenas relevante, mas indispensável, sobretudo em áreas sensíveis como a saúde pública e a formulação de políticas institucionais (HITCH, 2024, p. 604).</w:t>
      </w:r>
    </w:p>
    <w:p>
      <w:pPr>
        <w:pStyle w:val="916"/>
      </w:pPr>
      <w:r>
        <w:t xml:space="preserve">É importante destacar que a necessidade de mediação decorre da elevada complexidade semântica e social dos conteúdos analisados, que envolvem valores éticos, normativos e institucionais, muitas vezes implícitos ou inseridos em contextos discursivos multifacetados. A IA, ainda que apta a reconhecer padrões linguísticos sofisticados, não apreende plenamente as sutilezas do contexto sociopolítico e institucional em que determinadas narrativas são produzidas, o que pode comprometer a validade das inferências automatizadas, além de tomar decisões tendenciosas e de suscitar vieses, conforme discutido por autores como Sigdel e Powell (2025, p. 1). Portanto, longe de substituir a análise crítica do pesquisador, as ferramentas de inteligência artificial devem ser compreendidas como instrumentos auxiliares, aptos a ampliar a capacidade de processamento e organizar grandes volumes de dados, mas cuja eficácia analítica depende, em última instância, da curadoria interpretativa humana (HAILU; BEAM; MEHROTRA, 2023).</w:t>
      </w:r>
    </w:p>
    <w:p>
      <w:pPr>
        <w:pStyle w:val="916"/>
      </w:pPr>
      <w:r>
        <w:t xml:space="preserve">A teoria acima esboçada é relevante para a pesquisa, na medida em que endossa a aderência da análise de conteúdo a diversificadas técnicas e abordagens, como a defendida na presente pesquisa, mostrando-se especialmente útil como estratégia metodológica para o exame e a interpretação automatizados das recomendações emitidas pelo Departamento Nacional de Auditoria do SUS (DENASUS), haja vista sua notável flexibilidade e afeição ao uso de procedimentos variados.</w:t>
      </w:r>
    </w:p>
    <w:bookmarkEnd w:id="42"/>
    <w:bookmarkStart w:id="44" w:name="X53ca0852ea15bee297b782d739cc392b3d7ad8a"/>
    <w:p>
      <w:pPr>
        <w:pStyle w:val="905"/>
      </w:pPr>
      <w:r>
        <w:t xml:space="preserve">3.4 Estratégia de Análise da Primeira Etapa: Codificação Automatizada das Recomendações</w:t>
      </w:r>
    </w:p>
    <w:p>
      <w:pPr>
        <w:pStyle w:val="917"/>
      </w:pPr>
      <w:r>
        <w:t xml:space="preserve">A operacionalização da primeira etapa iniciou-se com a constituição do</w:t>
      </w:r>
      <w:r>
        <w:t xml:space="preserve"> </w:t>
      </w:r>
      <w:r>
        <w:rPr>
          <w:i/>
          <w:iCs/>
        </w:rPr>
        <w:t xml:space="preserve">corpus</w:t>
      </w:r>
      <w:r>
        <w:t xml:space="preserve"> </w:t>
      </w:r>
      <w:r>
        <w:t xml:space="preserve">e a organização sistemática do material bruto. Este processo compreendeu a extração dos relatórios de auditoria publicados pelo Departamento Nacional de Auditoria do SUS (DENASUS), acessados por meio do endereço eletrônico https://consultaauditoria.saude.gov.br/visao/pages/principal.html, selecionando-se, para tanto, nos campos destinados à escolha do órgão e do tipo de análise, respectivamente, MS/SGEP/Departamento Nacional de Auditoria do SUS e auditoria, sendo os dados resultantes consolidados em uma planilha de controle. A partir da observação técnica desse acervo, identificou-se que os relatórios estavam vinculados a números de atividade específicos, critério que viabilizou a formulação de um</w:t>
      </w:r>
      <w:r>
        <w:t xml:space="preserve"> </w:t>
      </w:r>
      <w:r>
        <w:rPr>
          <w:i/>
          <w:iCs/>
        </w:rPr>
        <w:t xml:space="preserve">script</w:t>
      </w:r>
      <w:r>
        <w:t xml:space="preserve"> </w:t>
      </w:r>
      <w:r>
        <w:t xml:space="preserve">customizado para a realização do</w:t>
      </w:r>
      <w:r>
        <w:t xml:space="preserve"> </w:t>
      </w:r>
      <w:r>
        <w:rPr>
          <w:i/>
          <w:iCs/>
        </w:rPr>
        <w:t xml:space="preserve">download</w:t>
      </w:r>
      <w:r>
        <w:t xml:space="preserve"> </w:t>
      </w:r>
      <w:r>
        <w:t xml:space="preserve">automatizado dos expedientes, conforme descrito no Apêndice A — Obtenção e Preparação de Dados.</w:t>
      </w:r>
    </w:p>
    <w:p>
      <w:pPr>
        <w:pStyle w:val="916"/>
      </w:pPr>
      <w:r>
        <w:t xml:space="preserve">De posse dos relatórios de auditoria, prosseguiu-se para a extração dos textos e para o tratamento dos dados neles contidos, com vistas à tabulação das informações necessárias para a consecução do estudo proposto. Durante essa atividade, a heterogeneidade dos documentos impôs complexidades técnicas que exigiram desde a validação das seções e dos rótulos atribuídos até a implementação de um processo de aprimoramento dos dados extraídos. Uma vez saneado, o</w:t>
      </w:r>
      <w:r>
        <w:t xml:space="preserve"> </w:t>
      </w:r>
      <w:r>
        <w:rPr>
          <w:i/>
          <w:iCs/>
        </w:rPr>
        <w:t xml:space="preserve">corpus</w:t>
      </w:r>
      <w:r>
        <w:t xml:space="preserve"> </w:t>
      </w:r>
      <w:r>
        <w:t xml:space="preserve">foi considerado apto para o início da análise. Como resultado desse processo, obteve-se um banco de dados primário estruturado com 4.289 recomendações distintas, extraídas de 349 auditorias realizadas entre 01/01/2023 e 31/07/2025.</w:t>
      </w:r>
    </w:p>
    <w:p>
      <w:pPr>
        <w:pStyle w:val="916"/>
      </w:pPr>
      <w:r>
        <w:t xml:space="preserve">A partir desse balizamento, foi construído um</w:t>
      </w:r>
      <w:r>
        <w:t xml:space="preserve"> </w:t>
      </w:r>
      <w:r>
        <w:rPr>
          <w:i/>
          <w:iCs/>
        </w:rPr>
        <w:t xml:space="preserve">prompt</w:t>
      </w:r>
      <w:r>
        <w:t xml:space="preserve"> </w:t>
      </w:r>
      <w:r>
        <w:t xml:space="preserve">destinado a instruir um Large Language Model (LLM), especificamente o DeepSeek (deepseek-chat), disponibilizado em 2025 (DEEP SEEK, 2025), a executar a codificação conforme o protocolo estabelecido. A opção por uma IA de código aberto foi guiada por seu maior potencial para transparência e colaboração científica (SAMPAIO; SABBATINI; LIMONGI, 2024, p. 22). Visando à formalização das diretrizes analíticas e à garantia de transparência, padronização e replicabilidade, tanto para codificadores humanos quanto para sistemas automatizados, foi elaborado o documento intitulado Processo de Codificação para Análise das Recomendações do DENASUS (Apêndice B), o qual detalha as variáveis, categorias e exemplos que fundamentaram a análise.</w:t>
      </w:r>
    </w:p>
    <w:p>
      <w:pPr>
        <w:pStyle w:val="916"/>
      </w:pPr>
      <w:r>
        <w:t xml:space="preserve">Os critérios foram desenvolvidos de forma iterativa: versões sucessivas do</w:t>
      </w:r>
      <w:r>
        <w:t xml:space="preserve"> </w:t>
      </w:r>
      <w:r>
        <w:rPr>
          <w:i/>
          <w:iCs/>
        </w:rPr>
        <w:t xml:space="preserve">prompt</w:t>
      </w:r>
      <w:r>
        <w:t xml:space="preserve"> </w:t>
      </w:r>
      <w:r>
        <w:t xml:space="preserve">e dos códigos foram aplicadas a amostras de recomendações, comparadas com a leitura da pesquisadora e revistas antes da codificação integral. Os testes da tipologia causa/condição estão documentados nos Apêndices D a K, com a numeração histórica dos</w:t>
      </w:r>
      <w:r>
        <w:t xml:space="preserve"> </w:t>
      </w:r>
      <w:r>
        <w:rPr>
          <w:i/>
          <w:iCs/>
        </w:rPr>
        <w:t xml:space="preserve">prompts</w:t>
      </w:r>
      <w:r>
        <w:t xml:space="preserve"> </w:t>
      </w:r>
      <w:r>
        <w:t xml:space="preserve">preservada. Seus resultados de calibração e os motivos para reformular ou descartar alternativas são apresentados no capítulo de Resultados. A exploração complementar dos tipos de ação, anteriormente designada “Tentativa 5”, encontra-se no Apêndice C e não compõe essa sequência de testes.</w:t>
      </w:r>
    </w:p>
    <w:p>
      <w:pPr>
        <w:pStyle w:val="916"/>
      </w:pPr>
      <w:r>
        <w:t xml:space="preserve">Na configuração adotada, o</w:t>
      </w:r>
      <w:r>
        <w:t xml:space="preserve"> </w:t>
      </w:r>
      <w:r>
        <w:rPr>
          <w:i/>
          <w:iCs/>
        </w:rPr>
        <w:t xml:space="preserve">prompt</w:t>
      </w:r>
      <w:r>
        <w:t xml:space="preserve"> </w:t>
      </w:r>
      <w:r>
        <w:t xml:space="preserve">explicita o escopo da pesquisa, distingue constatação de recomendação, apresenta a tipologia</w:t>
      </w:r>
      <w:r>
        <w:t xml:space="preserve"> </w:t>
      </w:r>
      <w:r>
        <w:rPr>
          <w:i/>
          <w:iCs/>
        </w:rPr>
        <w:t xml:space="preserve">cause-based</w:t>
      </w:r>
      <w:r>
        <w:t xml:space="preserve">/</w:t>
      </w:r>
      <w:r>
        <w:rPr>
          <w:i/>
          <w:iCs/>
        </w:rPr>
        <w:t xml:space="preserve">condition-based</w:t>
      </w:r>
      <w:r>
        <w:t xml:space="preserve"> </w:t>
      </w:r>
      <w:r>
        <w:t xml:space="preserve">e fornece ao modelo a finalidade da auditoria, a constatação e a recomendação. Antes de emitir os códigos, o modelo produz uma breve análise justificativa. Os textos integrais dos</w:t>
      </w:r>
      <w:r>
        <w:t xml:space="preserve"> </w:t>
      </w:r>
      <w:r>
        <w:rPr>
          <w:i/>
          <w:iCs/>
        </w:rPr>
        <w:t xml:space="preserve">prompts</w:t>
      </w:r>
      <w:r>
        <w:t xml:space="preserve"> </w:t>
      </w:r>
      <w:r>
        <w:t xml:space="preserve">de aplicação e de revisão constam dos Apêndices J e K, respectivamente; o Apêndice B reúne as definições das variáveis e as instruções operacionais.</w:t>
      </w:r>
    </w:p>
    <w:p>
      <w:pPr>
        <w:pStyle w:val="916"/>
      </w:pPr>
      <w:r>
        <w:t xml:space="preserve">No que se refere à operacionalização dos códigos analíticos, o código</w:t>
      </w:r>
      <w:r>
        <w:t xml:space="preserve"> </w:t>
      </w:r>
      <w:r>
        <w:t xml:space="preserve">“foco na causa”</w:t>
      </w:r>
      <w:r>
        <w:t xml:space="preserve"> </w:t>
      </w:r>
      <w:r>
        <w:t xml:space="preserve">foi programado para que o modelo respondesse apenas</w:t>
      </w:r>
      <w:r>
        <w:t xml:space="preserve"> </w:t>
      </w:r>
      <w:r>
        <w:t xml:space="preserve">“sim”</w:t>
      </w:r>
      <w:r>
        <w:t xml:space="preserve"> </w:t>
      </w:r>
      <w:r>
        <w:t xml:space="preserve">ou</w:t>
      </w:r>
      <w:r>
        <w:t xml:space="preserve"> </w:t>
      </w:r>
      <w:r>
        <w:t xml:space="preserve">“não”</w:t>
      </w:r>
      <w:r>
        <w:t xml:space="preserve">, considerando a seguinte questão orientadora:</w:t>
      </w:r>
      <w:r>
        <w:t xml:space="preserve"> </w:t>
      </w:r>
      <w:r>
        <w:t xml:space="preserve">“Há alguma ação proposta na recomendação que trate da causa do problema que originou a condição encontrada?”</w:t>
      </w:r>
      <w:r>
        <w:t xml:space="preserve"> </w:t>
      </w:r>
      <w:r>
        <w:t xml:space="preserve">A variável em questão buscou refletir a presença ou ausência de uma ação concreta voltada ao enfrentamento da causa do problema descrito na constatação. Assim, recomendações que não indicavam uma medida efetiva de correção foram classificadas como não atendendo ao critério.</w:t>
      </w:r>
    </w:p>
    <w:p>
      <w:pPr>
        <w:pStyle w:val="916"/>
      </w:pPr>
      <w:r>
        <w:t xml:space="preserve">Em relação ao código</w:t>
      </w:r>
      <w:r>
        <w:t xml:space="preserve"> </w:t>
      </w:r>
      <w:r>
        <w:t xml:space="preserve">“efeitos duradouros”</w:t>
      </w:r>
      <w:r>
        <w:t xml:space="preserve">, a inteligência artificial foi instruída a avaliá-lo apenas quando o critério anterior (foco na causa) obtivesse resposta afirmativa. Caso contrário, o modelo deveria registrar</w:t>
      </w:r>
      <w:r>
        <w:t xml:space="preserve"> </w:t>
      </w:r>
      <w:r>
        <w:t xml:space="preserve">“não se aplica”</w:t>
      </w:r>
      <w:r>
        <w:t xml:space="preserve">. A aferição desse segundo código orientou-se pela seguinte indagação:</w:t>
      </w:r>
      <w:r>
        <w:t xml:space="preserve"> </w:t>
      </w:r>
      <w:r>
        <w:t xml:space="preserve">“Os efeitos pretendidos pela ação sugerida para tratar a causa da condição permanecem mesmo se os atores envolvidos eventualmente mudarem?”</w:t>
      </w:r>
      <w:r>
        <w:t xml:space="preserve"> </w:t>
      </w:r>
      <w:r>
        <w:t xml:space="preserve">Desse modo, considerou-se desprovida de efeitos duradouros toda recomendação cuja efetividade dependesse diretamente da permanência ou da atuação dos gestores então responsáveis pela execução das medidas propostas, apresentando, portanto, impacto restrito à continuidade desses atores ou limitado ao contexto imediato em que a auditoria foi realizada. A relação entre a permanência pretendida dos efeitos e o potencial de institucionalização das ações foi discutida na Fundamentação Teórica; para a codificação, utilizou-se a pergunta acima como critério operacional de avaliação do conteúdo das recomendações.</w:t>
      </w:r>
    </w:p>
    <w:p>
      <w:pPr>
        <w:pStyle w:val="916"/>
      </w:pPr>
      <w:r>
        <w:t xml:space="preserve">A codificação integral das 4.289 recomendações foi realizada com o protocolo documentado no Apêndice J — Prompt de Codificação — Tentativa 8. A classificação como</w:t>
      </w:r>
      <w:r>
        <w:t xml:space="preserve"> </w:t>
      </w:r>
      <w:r>
        <w:rPr>
          <w:i/>
          <w:iCs/>
        </w:rPr>
        <w:t xml:space="preserve">cause-based</w:t>
      </w:r>
      <w:r>
        <w:t xml:space="preserve"> </w:t>
      </w:r>
      <w:r>
        <w:t xml:space="preserve">exigiu resposta afirmativa (</w:t>
      </w:r>
      <w:r>
        <w:t xml:space="preserve">“sim”</w:t>
      </w:r>
      <w:r>
        <w:t xml:space="preserve">) para os dois critérios, foco na causa e efeitos duradouros; a resposta afirmativa somente ao primeiro critério não foi suficiente. As respostas negativas foram enquadradas como</w:t>
      </w:r>
      <w:r>
        <w:t xml:space="preserve"> </w:t>
      </w:r>
      <w:r>
        <w:rPr>
          <w:i/>
          <w:iCs/>
        </w:rPr>
        <w:t xml:space="preserve">condition-based</w:t>
      </w:r>
      <w:r>
        <w:t xml:space="preserve">. Registros em que ambos os critérios receberam</w:t>
      </w:r>
      <w:r>
        <w:t xml:space="preserve"> </w:t>
      </w:r>
      <w:r>
        <w:t xml:space="preserve">“não se aplica”</w:t>
      </w:r>
      <w:r>
        <w:t xml:space="preserve"> </w:t>
      </w:r>
      <w:r>
        <w:t xml:space="preserve">foram mantidos à parte para exame, sem atribuição automática a uma das duas categorias. O Apêndice K documenta a etapa subsequente de análise crítica das classificações.</w:t>
      </w:r>
    </w:p>
    <w:p>
      <w:pPr>
        <w:pStyle w:val="916"/>
      </w:pPr>
      <w:r>
        <w:t xml:space="preserve">Essa organização do</w:t>
      </w:r>
      <w:r>
        <w:t xml:space="preserve"> </w:t>
      </w:r>
      <w:r>
        <w:rPr>
          <w:i/>
          <w:iCs/>
        </w:rPr>
        <w:t xml:space="preserve">corpus</w:t>
      </w:r>
      <w:r>
        <w:t xml:space="preserve"> </w:t>
      </w:r>
      <w:r>
        <w:t xml:space="preserve">e a aplicação dos critérios correspondem às fases de análise de conteúdo explicitadas a seguir.</w:t>
      </w:r>
    </w:p>
    <w:bookmarkStart w:id="43" w:name="X9680e548219a83ba5b062693897974d6d1c5c94"/>
    <w:p>
      <w:pPr>
        <w:pStyle w:val="906"/>
      </w:pPr>
      <w:r>
        <w:t xml:space="preserve">3.4.1 Análise de Conteúdo Empregada na Codificação Automatizada das Recomendações</w:t>
      </w:r>
    </w:p>
    <w:p>
      <w:pPr>
        <w:pStyle w:val="917"/>
      </w:pPr>
      <w:r>
        <w:t xml:space="preserve">A aplicação da inteligência artificial no processo de codificação automatizada das recomendações foi motivada pelo interesse em explorar uma técnica metodológica contemporânea bem como pelo reconhecimento de seu potencial, apontado fartamente na literatura recente. Estudos como os de Hitch (2024) e Bijker et al. (2024) demonstram que modelos de linguagem possuem capacidade de realizar análises qualitativas eficientes, inclusive na etapa de codificação, desde que orientados por instruções claras e supervisionados por pesquisadores humanos — condição rigorosamente observada nesta pesquisa.</w:t>
      </w:r>
    </w:p>
    <w:p>
      <w:pPr>
        <w:pStyle w:val="916"/>
      </w:pPr>
      <w:r>
        <w:t xml:space="preserve">A análise de conteúdo adotada na etapa reservada à codificação automatizada das recomendações seguiu a organização metodológica de Laurence Bardin (2016, p. 125), tendo compreendido suas três fases essenciais: pré-análise; exploração do material; e tratamento dos resultados, inferência e interpretação. No âmbito desta seção, detalham-se, de maneira peculiar, as etapas de pré-análise e de exploração do material, responsáveis pela sistematização do corpus e pela construção das categorias analíticas.</w:t>
      </w:r>
    </w:p>
    <w:p>
      <w:pPr>
        <w:pStyle w:val="916"/>
      </w:pPr>
      <w:r>
        <w:t xml:space="preserve">A fase inicial da pesquisa desenvolveu-se mediante a sistematização do corpus empírico e da preparação do material para sua posterior exploração analítica, percurso detalhado no Apêndice A da pesquisa. Esse conjunto de procedimentos de extração, organização e sistematização dos relatórios integra a denominada pré-análise, conforme descrita por Bardin (2016). Ainda nessa etapa, procedeu-se ao exame preliminar das recomendações, com o objetivo de possibilitar uma compreensão mais acurada do escopo do material analisado. A partir dessa leitura exploratória, foram formuladas as primeiras hipóteses de investigação e delineados os fundamentos analíticos que orientaram as etapas subsequentes da pesquisa. Importa destacar que essa fase foi conduzida segundo um encadeamento metodológico flexível, o que permitiu a revisão e o refinamento dos objetivos da pesquisa à medida que o contato inicial com o corpus revelou novas perspectivas analíticas, prática condizente com o que preconiza Bardin (2016, p. 124). As decisões analíticas relativas à delimitação do corpus, à definição das recomendações como unidades de análise e ao delineamento dos parâmetros interpretativos forneceram, assim, os fundamentos que orientaram a fase subsequente.</w:t>
      </w:r>
    </w:p>
    <w:p>
      <w:pPr>
        <w:pStyle w:val="916"/>
      </w:pPr>
      <w:r>
        <w:t xml:space="preserve">A exploração do material, entendida como a</w:t>
      </w:r>
      <w:r>
        <w:t xml:space="preserve"> </w:t>
      </w:r>
      <w:r>
        <w:t xml:space="preserve">“aplicação sistemática das decisões tomadas”</w:t>
      </w:r>
      <w:r>
        <w:t xml:space="preserve"> </w:t>
      </w:r>
      <w:r>
        <w:t xml:space="preserve">(BARDIN, 2016, p. 131), constituiu a fase seguinte da análise. Nesse estágio da investigação, procedeu-se à operacionalização do modelo analítico delineado na fase de pré-análise, responsável por orientar a codificação automatizada das recomendações. Esse processo implicou a adoção de dois critérios analíticos, denominados foco causa e efeitos duradouros, cuja seleção foi orientada por parâmetros empíricos e operacionais, estabelecidos a partir da observação direta do material e das exigências analíticas do estudo. Para fins de codificação, cada recomendação foi considerada como unidade de registro, tendo o relatório de auditoria correspondente como unidade de contexto. Esta escolha foi previamente apreciada em amostras do material empírico, com o objetivo de assegurar a pertinência das unidades adotadas em relação às características do</w:t>
      </w:r>
      <w:r>
        <w:t xml:space="preserve"> </w:t>
      </w:r>
      <w:r>
        <w:rPr>
          <w:i/>
          <w:iCs/>
        </w:rPr>
        <w:t xml:space="preserve">corpus</w:t>
      </w:r>
      <w:r>
        <w:t xml:space="preserve"> </w:t>
      </w:r>
      <w:r>
        <w:t xml:space="preserve">e aos objetivos da análise, em consonância com a orientação de Bardin (2016, p. 137), segundo a qual a seleção das unidades de registro e de contexto deve responder de maneira pertinente tanto às características do material quanto às finalidades analíticas do estudo.</w:t>
      </w:r>
    </w:p>
    <w:p>
      <w:pPr>
        <w:pStyle w:val="916"/>
      </w:pPr>
      <w:r>
        <w:t xml:space="preserve">A partir do processo de codificação, tornou-se possível avançar para a etapa de categorização dos dados. No âmbito da análise de conteúdo proposta por Bardin, a categorização constitui um eixo central, no qual os elementos previamente codificados são organizados em conjuntos significativos segundo critérios de similaridade e pertinência analítica, permitindo conferir inteligibilidade ao material empírico. Trata-se, portanto, de uma operação de sistematização que possibilita articular os dados em configurações interpretativas coerentes, assegurando a consistência interna do estudo (BARDIN, 2016, p. 146–147).</w:t>
      </w:r>
    </w:p>
    <w:p>
      <w:pPr>
        <w:pStyle w:val="916"/>
      </w:pPr>
      <w:r>
        <w:t xml:space="preserve">A categorização principal, do tipo apriorístico, fundamentou-se em categorias previamente definidas à luz dos objetivos da pesquisa (BARDIN, 2016, p. 178). Com fulcro nessas categorias, as recomendações foram classificadas segundo seu foco na causa subjacente (</w:t>
      </w:r>
      <w:r>
        <w:rPr>
          <w:i/>
          <w:iCs/>
        </w:rPr>
        <w:t xml:space="preserve">cause-based</w:t>
      </w:r>
      <w:r>
        <w:t xml:space="preserve">) ou na condição observada (</w:t>
      </w:r>
      <w:r>
        <w:rPr>
          <w:i/>
          <w:iCs/>
        </w:rPr>
        <w:t xml:space="preserve">condition-based</w:t>
      </w:r>
      <w:r>
        <w:t xml:space="preserve">). A definição conceitual dessa tipologia e sua articulação com o referencial institucional foram apresentadas na Fundamentação Teórica; sua aplicação seguiu a combinação dos códigos foco causa e efeitos duradouros, conforme a regra operacional descrita anteriormente.</w:t>
      </w:r>
    </w:p>
    <w:p>
      <w:pPr>
        <w:pStyle w:val="916"/>
      </w:pPr>
      <w:r>
        <w:t xml:space="preserve">Além desse eixo previamente definido, adotou-se uma exploração orientada pelo acervo para descrever os tipos de ação recomendada em um subconjunto de 500 registros (Apêndice C). Nessa operação, etiquetas identificadas em leituras anteriores do material foram reaproveitadas na classificação de novas unidades, com abertura para a proposição de rótulos adicionais, em procedimento compatível com a flexibilidade da análise de conteúdo de Bardin (2016). Essa exploração não foi aplicada à totalidade das recomendações e não forneceu as frequências da classificação causa/condição. Sua função foi explicitar a diversidade das medidas propostas e oferecer um repertório substantivo para interpretar os resultados.</w:t>
      </w:r>
    </w:p>
    <w:p>
      <w:pPr>
        <w:pStyle w:val="916"/>
      </w:pPr>
      <w:r>
        <w:t xml:space="preserve">Uma vez delineadas as categorias, o procedimento metodológico para sua operacionalização desdobrou-se em dois momentos: o inventário e a classificação (BARDIN, 2016, p. 148). No inventário, a IA foi instruída a realizar a extração sistemática de atributos objetivos presentes nas recomendações, identificando e organizando as unidades de registro com base em variáveis analíticas previamente definidas (foco causa e efeitos duradouros). Cada unidade foi analisada pela IA que, a partir disso, identificou e registrou as informações elencadas acima, de forma estruturada, sem realizar, nesse momento, qualquer julgamento classificatório. Tal enfoque seguiu a orientação de Bardin (2016, p. 148), segundo a qual o inventário objetiva separar os elementos relevantes e organizá-los segundo atributos observáveis, garantindo sistematização e coerência dos dados para a etapa subsequente.</w:t>
      </w:r>
    </w:p>
    <w:p>
      <w:pPr>
        <w:pStyle w:val="916"/>
      </w:pPr>
      <w:r>
        <w:t xml:space="preserve">Na etapa subsequente, de classificação, procedeu-se à categorização baseada na combinação dos atributos previamente inventariados. Este processo respeitou os princípios de pertinência e exclusão mútua, delineados por Bardin (2016, p. 148-149), impedindo que uma mesma unidade fosse classificada simultaneamente em categorias distintas. Além disso, atendendo à advertência da autora (BARDIN, 2016, p. 149) quanto aos riscos de perda de nuances interpretativas durante a categorização, foram adotadas salvaguardas metodológicas, como a formulação rigorosa dos critérios de codificação e a definição das condições de enquadramento para a categorização. Embora conduzido de maneira automatizada, o processo foi integralmente guiado pelos fundamentos teóricos da análise de conteúdo, pretendendo-se, dessa maneira, conciliar a eficiência da extração massiva com a consistência dos instrumentos clássicos de análise.</w:t>
      </w:r>
    </w:p>
    <w:p>
      <w:pPr>
        <w:pStyle w:val="916"/>
      </w:pPr>
      <w:r>
        <w:t xml:space="preserve">Por fim, o tratamento dos resultados e a elaboração de inferências, última das três fases essenciais do método defendido por Laurence Bardin, possibilitou a identificação de padrões e recorrências à luz dos referenciais teóricos adotados (BARDIN, 2016, p. 131-132). Em razão de sua natureza eminentemente analítica, os desdobramentos interpretativos decorrentes desse processo serão discutidos em capítulo específico, de modo a preservar a clareza e a coerência estrutural do trabalho.</w:t>
      </w:r>
    </w:p>
    <w:bookmarkEnd w:id="43"/>
    <w:bookmarkEnd w:id="44"/>
    <w:bookmarkStart w:id="45" w:name="Xdb74a02459ef5f6a1bfe428cb7be5c50a4917e9"/>
    <w:p>
      <w:pPr>
        <w:pStyle w:val="905"/>
      </w:pPr>
      <w:r>
        <w:t xml:space="preserve">3.5 Estratégia de Análise da Segunda Etapa: Análise Crítica da Codificação Automatizada</w:t>
      </w:r>
    </w:p>
    <w:p>
      <w:pPr>
        <w:pStyle w:val="917"/>
      </w:pPr>
      <w:r>
        <w:t xml:space="preserve">A segunda etapa consistiu em submeter as classificações da primeira rodada a uma revisão automatizada, inspirada no princípio de</w:t>
      </w:r>
      <w:r>
        <w:t xml:space="preserve"> </w:t>
      </w:r>
      <w:r>
        <w:rPr>
          <w:i/>
          <w:iCs/>
        </w:rPr>
        <w:t xml:space="preserve">self-criticism</w:t>
      </w:r>
      <w:r>
        <w:t xml:space="preserve">, entendido como o uso de modelos de linguagem para examinar saídas previamente produzidas (SCHULHOFF et al., 2025, p. 15). Trata-se de uma segunda avaliação pelo modelo DeepSeek (deepseek-chat), com</w:t>
      </w:r>
      <w:r>
        <w:t xml:space="preserve"> </w:t>
      </w:r>
      <w:r>
        <w:rPr>
          <w:i/>
          <w:iCs/>
        </w:rPr>
        <w:t xml:space="preserve">prompt</w:t>
      </w:r>
      <w:r>
        <w:t xml:space="preserve"> </w:t>
      </w:r>
      <w:r>
        <w:t xml:space="preserve">distinto, e não de validação independente por outro instrumento ou de substituição da supervisão humana.</w:t>
      </w:r>
    </w:p>
    <w:p>
      <w:pPr>
        <w:pStyle w:val="916"/>
      </w:pPr>
      <w:r>
        <w:t xml:space="preserve">Para cada recomendação, o modelo recebeu a finalidade da auditoria, a constatação, a recomendação, a análise produzida na primeira etapa e os códigos então atribuídos. Foi instruído a julgar separadamente os critérios “foco causa” e “efeitos duradouros”, registrando “Concordo” ou “Discordo” em relação à classificação anterior e justificando cada juízo com base na coerência entre a ação recomendada e o contexto da constatação. Essa estrutura permitiu localizar divergências para exame posterior; a concordância entre as duas rodadas, por si só, não foi tomada como comprovação de acerto.</w:t>
      </w:r>
    </w:p>
    <w:p>
      <w:pPr>
        <w:pStyle w:val="916"/>
      </w:pPr>
      <w:r>
        <w:t xml:space="preserve">O</w:t>
      </w:r>
      <w:r>
        <w:t xml:space="preserve"> </w:t>
      </w:r>
      <w:r>
        <w:rPr>
          <w:i/>
          <w:iCs/>
        </w:rPr>
        <w:t xml:space="preserve">prompt</w:t>
      </w:r>
      <w:r>
        <w:t xml:space="preserve"> </w:t>
      </w:r>
      <w:r>
        <w:t xml:space="preserve">da revisão exigiu justificativas breves e saída em formato JavaScript Object Notation (JSON), para padronizar o registro e permitir o tratamento dos resultados. A ferramenta, o período de uso (agosto a outubro de 2025), as instruções e os exemplos de saída estão documentados no Apêndice B e no Apêndice K — Prompt de Codificação e Prompt de Análise Crítica — Tentativa 9. O papel da pesquisadora nessa avaliação é detalhado na seção seguinte; as divergências observadas são examinadas no capítulo de Resultados.</w:t>
      </w:r>
    </w:p>
    <w:p>
      <w:pPr>
        <w:pStyle w:val="916"/>
      </w:pPr>
      <w:r>
        <w:t xml:space="preserve">Como aprofundamento posterior à análise crítica, as 747 recomendações com discordância no critério “efeitos duradouros” constituíram um corpus específico de categorização indutiva assistida por IA. Cada unidade reuniu a constatação, a recomendação correspondente, as justificativas e os códigos da primeira etapa e a análise crítica que motivou a discordância. A comparação de unidades em rodadas sucessivas permitiu formular, revisar e estabilizar categorias descritivas dos motivos da divergência; na classificação final, uma categoria principal foi atribuída a cada recomendação. O procedimento, os</w:t>
      </w:r>
      <w:r>
        <w:t xml:space="preserve"> </w:t>
      </w:r>
      <w:r>
        <w:rPr>
          <w:i/>
          <w:iCs/>
        </w:rPr>
        <w:t xml:space="preserve">prompts</w:t>
      </w:r>
      <w:r>
        <w:t xml:space="preserve">, os registros das rodadas e os exemplos encontram-se no Apêndice L. A tipologia resultante descreve padrões de tensão interpretativa entre duas leituras automatizadas; não constitui aferição independente de qual delas está correta.</w:t>
      </w:r>
    </w:p>
    <w:bookmarkEnd w:id="45"/>
    <w:bookmarkStart w:id="46" w:name="X51f55f3e65a7260ae45ce50cd51f39cae4599c5"/>
    <w:p>
      <w:pPr>
        <w:pStyle w:val="905"/>
      </w:pPr>
      <w:r>
        <w:t xml:space="preserve">3.6 Supervisão Humana e Mediação Crítica no Processo Analítico</w:t>
      </w:r>
    </w:p>
    <w:p>
      <w:pPr>
        <w:pStyle w:val="917"/>
      </w:pPr>
      <w:r>
        <w:t xml:space="preserve">A condução metodológica da pesquisa alicerçou-se em um regime contínuo de supervisão humana e mediação crítica, vetor que orientou todas as etapas analíticas. Essa dimensão transversal perpassou tanto a codificação automatizada quanto a análise crítica subsequente, fundamentando-se na premissa de que, embora ferramentas computacionais ofereçam escalabilidade, os pesquisadores humanos possuem qualidades intrínsecas como "produção de sentido socialmente situada, raciocínio e consciência contextual" (ALQAZLAN et al., 2025, p. 1, tradução livre), elementos que modelos isolados não replicam plenamente.</w:t>
      </w:r>
    </w:p>
    <w:p>
      <w:pPr>
        <w:pStyle w:val="916"/>
      </w:pPr>
      <w:r>
        <w:t xml:space="preserve">Mais do que um monitoramento acessório, tal atuação constituiu o eixo central da investigação, possibilitando que o emprego do modelo de linguagem operasse estritamente como suporte à análise. Sob esse arranjo, a pesquisadora definiu os contornos do trabalho, exercendo o controle intelectual desde a concepção do desenho metodológico binário até a elaboração das inferências finais.</w:t>
      </w:r>
    </w:p>
    <w:p>
      <w:pPr>
        <w:pStyle w:val="916"/>
      </w:pPr>
      <w:r>
        <w:t xml:space="preserve">Esse processo envolveu, inicialmente, a delimitação das balizas analíticas da pesquisa, a seleção do modelo mais adequado, a estruturação das categorias de análise e a formalização de critérios técnicos. Na sequência, foram conduzidas sucessivas rodadas de teste, revisão e reformulação dos</w:t>
      </w:r>
      <w:r>
        <w:t xml:space="preserve"> </w:t>
      </w:r>
      <w:r>
        <w:rPr>
          <w:i/>
          <w:iCs/>
        </w:rPr>
        <w:t xml:space="preserve">prompts</w:t>
      </w:r>
      <w:r>
        <w:t xml:space="preserve"> </w:t>
      </w:r>
      <w:r>
        <w:t xml:space="preserve">desenvolvidos, etapas orientadas pelo exame crítico dos resultados obtidos, o que propiciou a identificação de inconsistências, a redefinição de parâmetros analíticos e o refinamento dos instrumentos empregados, até o alcance de um formato considerado metodologicamente robusto. Somente após a consolidação desse ciclo procedeu-se à aplicação do modelo em larga escala, viabilizando o tratamento sistemático do corpo de recomendações que compõe o escopo do estudo.</w:t>
      </w:r>
    </w:p>
    <w:p>
      <w:pPr>
        <w:pStyle w:val="916"/>
      </w:pPr>
      <w:r>
        <w:t xml:space="preserve">Ainda assim, a atuação humana não se encerrou com a conclusão da codificação automatizada. Ao contrário, manteve-se como eixo estruturante do percurso metodológico, materializando-se no escrutínio de casos selecionados, com o objetivo de avaliar a consistência interna das classificações e sua coerência em relação aos critérios estabelecidos. Esse exame permitiu aferir a validade das codificações concebidas e interpretar as recomendações como expedientes administrativos dotados de intencionalidade, articulando os achados empíricos aos referenciais teóricos e normativos que orientam a atuação da auditoria no âmbito do SUS.</w:t>
      </w:r>
    </w:p>
    <w:p>
      <w:pPr>
        <w:pStyle w:val="916"/>
      </w:pPr>
      <w:r>
        <w:t xml:space="preserve">A participação da pesquisadora estendeu-se, ainda, à segunda fase de execução, momento em que foi estruturada a arquitetura metodológica empregada na análise crítica da codificação desenvolvida na etapa anterior. Esse estágio envolveu, prioritariamente, a tradução dos objetivos científicos em parâmetros técnicos, em especial na engenharia de</w:t>
      </w:r>
      <w:r>
        <w:t xml:space="preserve"> </w:t>
      </w:r>
      <w:r>
        <w:rPr>
          <w:i/>
          <w:iCs/>
        </w:rPr>
        <w:t xml:space="preserve">prompts</w:t>
      </w:r>
      <w:r>
        <w:t xml:space="preserve"> </w:t>
      </w:r>
      <w:r>
        <w:t xml:space="preserve">realizada para orientar o modelo. Essa dinâmica de calibragem oportunizou o ajuste progressivo do percurso, de modo que a execução algorítmica respondesse com acuidade ao rigor teórico exigido pelo estudo.</w:t>
      </w:r>
    </w:p>
    <w:p>
      <w:pPr>
        <w:pStyle w:val="916"/>
      </w:pPr>
      <w:r>
        <w:t xml:space="preserve">O resultado dessa condução, é um percurso de natureza híbrida, que integra a exaustividade e a sistematicidade do processamento massivo à densidade interpretativa do crivo humano. Nesse arranjo, a tecnologia atua como um auxílio à escala, permitindo que a codificação de grandes volumes de dados ocorra com redução de tempo e, inclusive, com presumível mitigação de falhas decorrentes da fadiga humana, conforme salientado por Bijker et al. (2024). Enquanto os modelos de linguagem provêm aproximações baseadas em padrões estatísticos e processamento de larga escala, o pesquisador retém a responsabilidade pela curadoria e pela apreensão de dimensões simbólicas e contextuais que escapam à lógica algorítmica, dada a natureza puramente mimetizadora dessas ferramentas, subordinadas aos padrões de dados nos quais foram estruturadas (BANO; ZOWGHI; WHITTLE, 2023, p. 9).</w:t>
      </w:r>
    </w:p>
    <w:p>
      <w:pPr>
        <w:pStyle w:val="916"/>
      </w:pPr>
      <w:r>
        <w:t xml:space="preserve">Nessa sinergia, a inteligência artificial é posicionada como uma ferramenta auxiliar voltada a subsidiar a eficácia diagnóstica e a aliviar a carga mental do profissional, sem, contudo, assumir o seu papel na tomada de decisão (NENSA, 2025, p. 2). Mais do que uma simples replicação de tarefas, o uso de LLMs pode oferecer perspectivas complementares que enriquecem o exame qualitativo, fortalecendo a qualidade e a eficiência da investigação (JENNER et al., 2025, p. 1). Em consonância com o que sintetizam Alqazlan et al. (2025, p. 12), o trabalho de pesquisa consiste em alavancar ferramentas computacionais como auxílios de suporte, em vez de substitutos para o envolvimento humano, reafirmando o papel do pesquisador como instância última de validação do conhecimento produzido.</w:t>
      </w:r>
    </w:p>
    <w:bookmarkEnd w:id="46"/>
    <w:bookmarkStart w:id="52" w:name="Xb93a1f67159ca89301eccfb4d45f0074da7a991"/>
    <w:p>
      <w:pPr>
        <w:pStyle w:val="905"/>
      </w:pPr>
      <w:r>
        <w:t xml:space="preserve">3.7 Fundamentação do Uso da Inteligência Artificial na Pesquisa</w:t>
      </w:r>
    </w:p>
    <w:bookmarkStart w:id="47" w:name="Xb12d3918854434175cf91013e069550160446c3"/>
    <w:p>
      <w:pPr>
        <w:pStyle w:val="906"/>
      </w:pPr>
      <w:r>
        <w:t xml:space="preserve">3.7.1 Inteligência Artificial: Fundamentos Conceituais, Evolução Histórica e Classificações Contemporâneas</w:t>
      </w:r>
    </w:p>
    <w:p>
      <w:pPr>
        <w:pStyle w:val="917"/>
      </w:pPr>
      <w:r>
        <w:t xml:space="preserve">Inteligência artificial (IA) é o termo cunhado por John McCarthy (RUSSELL; NORVIG, 2003, p. 17), matemático e cientista americano, fundador do Laboratório de Inteligência Artificial de Stanford (SAIL) (ENCYCLOPAEDIA BRITANNICA, 2025), para definir a capacidade atribuída a sistemas computacionais de desempenhar tarefas tradicionalmente restritas aos seres humanos inteligentes. O próprio McCarthy, quando questionado diretamente sobre o tema, afirmou tratar-se da</w:t>
      </w:r>
      <w:r>
        <w:t xml:space="preserve"> </w:t>
      </w:r>
      <w:r>
        <w:t xml:space="preserve">“ciência e a engenharia de criar máquinas inteligentes, especialmente programas de computador inteligentes. Está relacionada à tarefa semelhante de usar computadores para entender a inteligência humana, mas a IA não precisa se limitar a métodos que são biologicamente observáveis”</w:t>
      </w:r>
      <w:r>
        <w:t xml:space="preserve"> </w:t>
      </w:r>
      <w:r>
        <w:t xml:space="preserve">(McCARTHY, 2007, p. 2, tradução livre).</w:t>
      </w:r>
    </w:p>
    <w:p>
      <w:pPr>
        <w:pStyle w:val="916"/>
      </w:pPr>
      <w:r>
        <w:t xml:space="preserve">Longe de constituir uma definição estática, o conceito de Inteligência Artificial emerge de um processo histórico de formulação e progressiva consolidação. A gênese da Inteligência Artificial (IA) como campo científico autônomo remonta ao período pós-Segunda Guerra Mundial, quando diversos pesquisadores, de forma independente, começaram a explorar a ideia de máquinas inteligentes. Alan Turing é apontado como o primeiro a tratar da temática, tendo proferido uma palestra sobre o assunto em 1947 (McCARTHY, 2007, p. 4). Em seu artigo seminal</w:t>
      </w:r>
      <w:r>
        <w:t xml:space="preserve"> </w:t>
      </w:r>
      <w:r>
        <w:t xml:space="preserve">“Computing Machinery and Intelligence”</w:t>
      </w:r>
      <w:r>
        <w:t xml:space="preserve">, publicado em 1950, o matemático inglês apresentou o famoso Teste de Turing como critério para avaliar se uma máquina poderia ser considerada inteligente (RUSSELL; NORVIG, 2003, p. 17). Turing argumentou, à época, que, caso uma máquina fosse capaz de simular uma conversação humana a ponto de enganar um observador experiente, ela deveria ser considerada inteligente. Embora esse teste tenha ganhado ampla aceitação, mostrou-se, no entanto, suscetível a críticas e limitações, sobretudo por parte de filósofos (McCARTHY, 2007, p. 4).</w:t>
      </w:r>
    </w:p>
    <w:p>
      <w:pPr>
        <w:pStyle w:val="916"/>
      </w:pPr>
      <w:r>
        <w:t xml:space="preserve">Outro marco histórico fundamental que merece ser salientado, consiste no workshop de dois meses, ocorrido em Dartmouth, em 1956, idealizado por John McCarthy e, em seguida, promovido por ele, Marvin Minsky, Claude Shannon e Nathaniel Rochester, que reuniu os principais estudiosos da época em teoria da automação, redes neurais e estudo da inteligência, vindo a ser reconhecido, futuramente, como sendo o evento que fundaria as bases da IA como disciplina científica, conforme apontam Russell e Norvig (2003, p. 17). Ainda segundo os autores, o principal legado do workshop reside no consenso entre os participantes quanto à adoção do termo originalmente proposto por McCarthy,</w:t>
      </w:r>
      <w:r>
        <w:t xml:space="preserve"> </w:t>
      </w:r>
      <w:r>
        <w:t xml:space="preserve">“inteligência artificial”</w:t>
      </w:r>
      <w:r>
        <w:t xml:space="preserve">, embora observem que a denominação</w:t>
      </w:r>
      <w:r>
        <w:t xml:space="preserve"> </w:t>
      </w:r>
      <w:r>
        <w:t xml:space="preserve">“racionalidade computacional”</w:t>
      </w:r>
      <w:r>
        <w:t xml:space="preserve"> </w:t>
      </w:r>
      <w:r>
        <w:t xml:space="preserve">seja, provavelmente, mais apropriada. De todo modo, inteligência artificial foi o termo que prevaleceu e que veio a se consolidar no imaginário coletivo. Ressalta-se, ainda, que a relevância do encontro é amplamente reconhecida por ter proporcionado a aproximação dos principais pesquisadores da área, cujas ideias e colaborações moldaram o desenvolvimento do campo ao longo dos anos subsequentes.</w:t>
      </w:r>
    </w:p>
    <w:p>
      <w:pPr>
        <w:pStyle w:val="916"/>
      </w:pPr>
      <w:r>
        <w:t xml:space="preserve">Décadas após a formulação do termo e dos primeiros consensos sobre o tema, a inteligência artificial deixou de ser um campo restrito aos círculos acadêmicos e tecnológicos, passando a transformar profundamente a sociedade contemporânea, impulsionando inovações em diversos setores, influenciando diretamente processos decisórios e gerando uma verdadeira revolução nas áreas negociais e corporativas (SIGDEL; POWELL, 2025). Segundo salientado por Hitch (2024), uma profusão de teóricos e estudiosos consideram que o nível de desenvolvimento atual da inteligência artificial aponta para uma quarta revolução industrial, a qual teria o potencial de alterar de forma inexorável a forma como o trabalho é realizado em todas as áreas, inclusive na esfera acadêmica. A autora acrescenta, ademais, em artigo publicado sobre a possibilidade de realizar análise qualitativa com o apoio da inteligência artificial, que a</w:t>
      </w:r>
      <w:r>
        <w:t xml:space="preserve"> </w:t>
      </w:r>
      <w:r>
        <w:t xml:space="preserve">“IA deixou de ser uma área de nicho de interesse para os tecnologicamente experientes para se tornar uma preocupação comum em questão de meses”</w:t>
      </w:r>
      <w:r>
        <w:t xml:space="preserve"> </w:t>
      </w:r>
      <w:r>
        <w:t xml:space="preserve">(HITCH, 2024, tradução livre).</w:t>
      </w:r>
    </w:p>
    <w:p>
      <w:pPr>
        <w:pStyle w:val="916"/>
      </w:pPr>
      <w:r>
        <w:t xml:space="preserve">Os avanços em áreas como aprendizado de máquina e processamento de linguagem natural levaram a uma nova geração de sistemas inteligentes, capazes de operar em escala massiva, com alta adaptabilidade. Nesse contexto, a literatura distingue entre dois níveis de IA, a estreita e a geral, assim classificada conforme as competências por ela adquiridas para exercer determinadas tarefas. A IA estreita diz respeito aos sistemas voltados para a execução de funções simples, cujo funcionamento se apoia na identificação de padrões previamente reconhecidos, permitindo a realização de inferências ou respostas automáticas. A IA geral, por sua vez, é sustentada por algoritmos capazes de resolver problemas e aprender com as informações por eles captadas (HITCH, 2024, p. 597). Uma terceira classificação é ainda apontada por alguns especialistas, denominada superinteligência, embora seja compreendida, por ora, como uma hipótese de caráter essencialmente fictício, uma vez que almeja não apenas replicar, mas superar a inteligência humana, o que, segundo diversos autores, permanece no campo das conjecturas teóricas (TRIGUERO et al., 2023; HITCH, 2024).</w:t>
      </w:r>
    </w:p>
    <w:p>
      <w:pPr>
        <w:pStyle w:val="916"/>
      </w:pPr>
      <w:r>
        <w:t xml:space="preserve">Tomando essas distinções como ponto de partida, a literatura recente tem avançado na proposição de novas categorias analíticas. Triguero et al. (2023) propõem uma nuance importante ao introduzirem o conceito de Sistemas de Inteligência Artificial de Propósito Geral (General Purpose Artificial Intelligence Systems — GPAIS). Segundo os autores, ao contrário dos modelos de IA estreita, voltados a tarefas específicas, os GPAIS são projetados para executar múltiplas tarefas, inclusive aquelas para as quais não foram treinados diretamente, apresentando um potencial de generalização mais elevado. Embora compartilhem algumas características com a ideia de Inteligência Artificial Geral (AGI), os autores enfatizam que os GPAIS representam uma expectativa mais realista e operacionalmente viável.</w:t>
      </w:r>
    </w:p>
    <w:p>
      <w:pPr>
        <w:pStyle w:val="916"/>
      </w:pPr>
      <w:r>
        <w:t xml:space="preserve">Ressalta-se que a inteligência artificial generativa pode ser compreendida como uma das principais abordagens tecnológicas associadas aos GPAIS, na medida em que viabiliza a execução de múltiplas tarefas a partir de modelos treinados em larga escala. Nesse contexto, destacam-se os chamados modelos fundacionais (</w:t>
      </w:r>
      <w:r>
        <w:rPr>
          <w:i/>
          <w:iCs/>
        </w:rPr>
        <w:t xml:space="preserve">foundation models</w:t>
      </w:r>
      <w:r>
        <w:t xml:space="preserve">), entre os quais se inserem os Modelos de Linguagem de Grande Escala (Large Language Models — LLMs), como o ChatGPT e o DeepSeek, adotado neste estudo. Tais modelos operam predominantemente por meio da recombinação de padrões extraídos de grandes volumes de texto e demonstram desempenho expressivo em diversas tarefas. Ainda assim, permanecem limitados quanto ao desenvolvimento de habilidades cognitivas mais sofisticadas, como raciocínio complexo, iniciativa e consciência. Diante dessas limitações, Triguero et al. (2023) advertem não ser adequado equiparar os modelos fundacionais à chamada Inteligência Artificial Geral (AGI).</w:t>
      </w:r>
    </w:p>
    <w:p>
      <w:pPr>
        <w:pStyle w:val="916"/>
      </w:pPr>
      <w:r>
        <w:t xml:space="preserve">Como uma das aplicações mais difundidas desses modelos, Lund e Wang (2023) destacam que o ChatGPT é uma tecnologia de inteligência artificial voltada ao público em geral, desenvolvida pela OpenAI com base em um modelo de linguagem conhecido como GPT, acrônimo de</w:t>
      </w:r>
      <w:r>
        <w:t xml:space="preserve"> </w:t>
      </w:r>
      <w:r>
        <w:rPr>
          <w:i/>
          <w:iCs/>
        </w:rPr>
        <w:t xml:space="preserve">Generative Pre-trained Transformer</w:t>
      </w:r>
      <w:r>
        <w:t xml:space="preserve">, ou, em português, Transformador Generativo Pré-Treinado (JENNER et al., 2025, p. 1). Esse modelo combina técnicas de aprendizado supervisionado e não supervisionado para compreender e gerar linguagem com alto grau de fluência (RADFORD et al., 2018, p. 3). A notável capacidade adaptativa do sistema, combinada a uma interface acessível, contribui para explicar a rapidez de sua disseminação. Nesse contexto, Rejeb et al. (2024) ressaltam que a ascensão do ChatGPT representa um marco de inflexão no campo da IA generativa, ao evidenciar o potencial da ferramenta para transformar as formas de disseminação, aquisição e avaliação do conhecimento. Corroborando essa perspectiva, Mollman (2022) relata que o ChatGPT alcançou a marca de um milhão de usuários em menos de uma semana após seu lançamento, o que evidencia a velocidade de sua difusão e seu papel central no atual ecossistema digital.</w:t>
      </w:r>
    </w:p>
    <w:p>
      <w:pPr>
        <w:pStyle w:val="916"/>
      </w:pPr>
      <w:r>
        <w:t xml:space="preserve">Paralelamente a esse movimento, observou-se a emergência de outros modelos de linguagem acessíveis ao público. Jenner et al. (2025, p. 1) destacam que os avanços recentes em inteligência artificial generativa, intensificados sobretudo após o lançamento do ChatGPT, em novembro de 2022, levaram ao desenvolvimento de uma série de outros modelos de linguagem acessíveis ao público, como Claude (Anthropic), Gemini (Google), LLaMA (Meta) e DeepSeek (Deep Seek Company). Esses modelos também operam a partir de arquiteturas baseadas em</w:t>
      </w:r>
      <w:r>
        <w:t xml:space="preserve"> </w:t>
      </w:r>
      <w:r>
        <w:rPr>
          <w:i/>
          <w:iCs/>
        </w:rPr>
        <w:t xml:space="preserve">Transformers</w:t>
      </w:r>
      <w:r>
        <w:t xml:space="preserve"> </w:t>
      </w:r>
      <w:r>
        <w:t xml:space="preserve">pré-treinados, sendo capazes de examinar elementos estruturais do texto, identificar padrões e produzir respostas com alto grau de verossimilhança. A multiplicidade de opções disponíveis, sublinhada por Jenner et al. (2025, p. 1), muitas das quais disponíveis gratuitamente, torna o acesso a sistemas de IA sofisticados uma possibilidade real para qualquer pessoa com conexão à internet, descentralizando seu uso e ampliando significativamente seu impacto social e científico.</w:t>
      </w:r>
    </w:p>
    <w:p>
      <w:pPr>
        <w:pStyle w:val="916"/>
      </w:pPr>
      <w:r>
        <w:t xml:space="preserve">Esse processo de expansão tecnológica também foi acompanhado por uma crescente imprecisão terminológica na literatura, conforme observam Sidhpurwala et al. (2025). Os autores acrescentam que os termos</w:t>
      </w:r>
      <w:r>
        <w:t xml:space="preserve"> </w:t>
      </w:r>
      <w:r>
        <w:t xml:space="preserve">“IA”</w:t>
      </w:r>
      <w:r>
        <w:t xml:space="preserve">,</w:t>
      </w:r>
      <w:r>
        <w:t xml:space="preserve"> </w:t>
      </w:r>
      <w:r>
        <w:t xml:space="preserve">“GenAI”</w:t>
      </w:r>
      <w:r>
        <w:t xml:space="preserve"> </w:t>
      </w:r>
      <w:r>
        <w:t xml:space="preserve">e</w:t>
      </w:r>
      <w:r>
        <w:t xml:space="preserve"> </w:t>
      </w:r>
      <w:r>
        <w:t xml:space="preserve">“LLMs”</w:t>
      </w:r>
      <w:r>
        <w:t xml:space="preserve"> </w:t>
      </w:r>
      <w:r>
        <w:t xml:space="preserve">têm sido frequentemente utilizados de modo intercambiável para se referir a modelos de IA generativos. Além disso, apontam que essa evolução tecnológica foi catalisada pela introdução dos transformadores e dos mecanismos de autoatenção, os quais viabilizaram o surgimento de modelos como o GPT, capazes de produzir textos, imagens e vídeos com elevado grau de realismo.</w:t>
      </w:r>
    </w:p>
    <w:p>
      <w:pPr>
        <w:pStyle w:val="916"/>
      </w:pPr>
      <w:r>
        <w:t xml:space="preserve">Para além das variações de nomenclatura presentes na literatura, o cenário aponta para uma reconfiguração mais profunda do paradigma de interação entre humanos e sistemas computacionais. À luz dessa transformação, Nensa (2025, p. 2) destaca que a IA generativa, em especial os LLMs, representa uma mudança de paradigma nesse domínio, pois, diferentemente dos sistemas tradicionais, que exigiam adaptação dos usuários às limitações da tecnologia, esses modelos são agora capazes de se ajustar à linguagem humana, respondendo de forma mais intuitiva e natural. Tal transformação reposiciona o papel da máquina, aproximando-a do modo de interação comunicacional humano, o que redefine, em última instância, a forma como se dá o engajamento com sistemas computacionais inteligentes. É compreensível, nessa linha, que a Forbes (2024) estime que o valor do mercado de IA tende a aumentar em US$ 180 bilhões nos próximos oito anos e que até 90% do conteúdo online poderá ser gerado por inteligência artificial até o final de 2026.</w:t>
      </w:r>
    </w:p>
    <w:p>
      <w:pPr>
        <w:pStyle w:val="916"/>
      </w:pPr>
      <w:r>
        <w:t xml:space="preserve">Esse debate é particularmente relevante, uma vez que a aplicação de LLMs na análise de conteúdo qualitativa tem ganhado destaque, conforme acentua Bijker et al. (2024), haja vista a capacidade dessas ferramentas de automatizarem a análise, facilitarem a realização de tarefas e, assim, impactarem no aumento da eficiência de projetos de pesquisa. Na mesma toada, Hitch (2024, p. 602) explicita que o uso de ferramentas de IA permite ampliar a precisão e corrobora com a avaliação de que a eficiência da análise de dados textuais pode ser maximizada com o uso da ferramenta, impactando, inclusive, na redução de interpretações enviesadas ou imprecisas.</w:t>
      </w:r>
    </w:p>
    <w:p>
      <w:pPr>
        <w:pStyle w:val="916"/>
      </w:pPr>
      <w:r>
        <w:t xml:space="preserve">Por outro lado, Sampaio, Sabbatini e Limongi (2024, p. 46) advertem para a existência de uma possível</w:t>
      </w:r>
      <w:r>
        <w:t xml:space="preserve"> </w:t>
      </w:r>
      <w:r>
        <w:t xml:space="preserve">“conexão espúria entre a automatização de tarefas permitidas por essas soluções e a lógica de maior tempo e foco para atividades mais importantes e criativas”</w:t>
      </w:r>
      <w:r>
        <w:t xml:space="preserve">. Os autores sustentam que o futuro tende a impor aos pesquisadores e acadêmicos um acréscimo de tarefas, sem que isso se traduza em aumento proporcional do tempo disponível para a realização de seus trabalhos. Além disso, ressaltam, de maneira realista, que</w:t>
      </w:r>
      <w:r>
        <w:t xml:space="preserve"> </w:t>
      </w:r>
      <w:r>
        <w:t xml:space="preserve">“cada nova tecnologia resolve ou facilita determinadas tarefas e o enfrentamento de alguns obstáculos, mas simultaneamente elas causam novos problemas”</w:t>
      </w:r>
      <w:r>
        <w:t xml:space="preserve"> </w:t>
      </w:r>
      <w:r>
        <w:t xml:space="preserve">(SAMPAIO; SABBATINI; LIMONGI, 2024, p. 46).</w:t>
      </w:r>
    </w:p>
    <w:p>
      <w:pPr>
        <w:pStyle w:val="916"/>
      </w:pPr>
      <w:r>
        <w:t xml:space="preserve">Doshi e Bajaj (2023), por conseguinte, chamam atenção para limitações importantes no uso do ChatGPT, em especial, na área da saúde. Os autores ressaltam que o modelo é suscetível a</w:t>
      </w:r>
      <w:r>
        <w:t xml:space="preserve"> </w:t>
      </w:r>
      <w:r>
        <w:t xml:space="preserve">“gerar informações imprecisas ou falsas”</w:t>
      </w:r>
      <w:r>
        <w:t xml:space="preserve"> </w:t>
      </w:r>
      <w:r>
        <w:t xml:space="preserve">e a</w:t>
      </w:r>
      <w:r>
        <w:t xml:space="preserve"> </w:t>
      </w:r>
      <w:r>
        <w:t xml:space="preserve">“inventar referências científicas inexistentes”</w:t>
      </w:r>
      <w:r>
        <w:t xml:space="preserve">, além de reproduzir vieses implícitos e explícitos presentes nos dados da internet. Eles advertem que, embora o ChatGPT possua grande potencial para apoiar tarefas educacionais e administrativas, seu uso em processos decisórios clínicos deve ser tratado com cautela, já que se trata de uma ferramenta ainda "imperfeita" e "lançada sem as devidas proteções" (DOSHI; BAJAJ, 2023). Jenner et al. (2025, p. 2, tradução livre) afirmam que os LLMs “mostram-se promissores como ferramentas para apoiar pesquisas qualitativas rigorosas, desde que os pesquisadores entendam como usá-los de forma eficaz e responsável e os vejam como assistentes de pesquisa, em vez de entidades que substituirão completamente os pesquisadores humanos".</w:t>
      </w:r>
    </w:p>
    <w:p>
      <w:pPr>
        <w:pStyle w:val="916"/>
      </w:pPr>
      <w:r>
        <w:t xml:space="preserve">Diante do avanço acelerado e da crescente sofisticação dos modelos de linguagem de grande escala, torna-se imperativo refletir sobre seus usos, limites e implicações na produção do conhecimento científico. Ainda que essas tecnologias ampliem significativamente a capacidade de análise textual, viabilizando abordagens mais extensivas e potencialmente mais sistemáticas, é fundamental reconhecer que os LLMs operam a partir de padrões estatísticos e associações probabilísticas, sem que isso implique, necessariamente, compreensão semântica ou julgamento crítico.</w:t>
      </w:r>
    </w:p>
    <w:p>
      <w:pPr>
        <w:pStyle w:val="916"/>
      </w:pPr>
      <w:r>
        <w:t xml:space="preserve">Nesse sentido, Sampaio, Sabbatini e Limongi (2024, p. 26) salientam que a postura ética, somada ao pensamento crítico do pesquisador, constitui um instrumento essencial para avaliar as</w:t>
      </w:r>
      <w:r>
        <w:t xml:space="preserve"> </w:t>
      </w:r>
      <w:r>
        <w:t xml:space="preserve">“limitações, vieses e implicações sociais da tecnologia”</w:t>
      </w:r>
      <w:r>
        <w:t xml:space="preserve">. Os autores acrescentam que o aspecto central, no que tange ao uso das IAs, no âmbito da pesquisa acadêmica, consiste em</w:t>
      </w:r>
      <w:r>
        <w:t xml:space="preserve"> </w:t>
      </w:r>
      <w:r>
        <w:t xml:space="preserve">“entender o papel delas como ferramentas de pesquisa e não como parceiras ou colegas no sentido estrito”</w:t>
      </w:r>
      <w:r>
        <w:t xml:space="preserve">, preservando-se o controle humano sobre as decisões e sobre as saídas produzidas pelas máquinas, ideia sintetizada pelo conceito de</w:t>
      </w:r>
      <w:r>
        <w:t xml:space="preserve"> </w:t>
      </w:r>
      <w:r>
        <w:rPr>
          <w:i/>
          <w:iCs/>
        </w:rPr>
        <w:t xml:space="preserve">human in the loop</w:t>
      </w:r>
      <w:r>
        <w:t xml:space="preserve"> </w:t>
      </w:r>
      <w:r>
        <w:t xml:space="preserve">(humano no circuito, em tradução para o português) (SAMPAIO; SABBATINI; LIMONGI, 2024, p. 24).</w:t>
      </w:r>
    </w:p>
    <w:p>
      <w:pPr>
        <w:pStyle w:val="916"/>
      </w:pPr>
      <w:r>
        <w:t xml:space="preserve">Para enfrentar esse desafio, o presente estudo adota uma abordagem metodológica que integra inteligência artificial generativa à supervisão e validação humanas. O propósito dessa integração consiste em aproveitar o potencial da IA para acelerar o processo de pesquisa e analisar grandes volumes de dados, e mitigar, ao mesmo tempo, os riscos da automação acrítica, amplamente destacados na literatura, como será aprofundado mais adiante. Trata-se, portanto, de explorar as potencialidades da IA como instrumento de apoio à análise de conteúdo, sem abdicar do rigor interpretativo exigido em pesquisas qualitativas. Vale repisar que a estratégia aqui definida busca conjugar escala e profundidade, reconhecendo que, independentemente do avanço das ferramentas tecnológicas, a mediação humana permanece essencial para assegurar a confiabilidade, a contextualização adequada e a integridade dos achados científicos.</w:t>
      </w:r>
    </w:p>
    <w:bookmarkEnd w:id="47"/>
    <w:bookmarkStart w:id="48" w:name="X312d610b92229064b81bc336ea3fec6efba7dbe"/>
    <w:p>
      <w:pPr>
        <w:pStyle w:val="906"/>
      </w:pPr>
      <w:r>
        <w:t xml:space="preserve">3.7.2 Potencialidades e Limites do Uso de LLMs em Pesquisa Científica e Análise de Conteúdo</w:t>
      </w:r>
    </w:p>
    <w:p>
      <w:pPr>
        <w:pStyle w:val="917"/>
      </w:pPr>
      <w:r>
        <w:t xml:space="preserve">Dando continuidade à discussão precedente, esta subseção examina de forma mais aprofundada as potencialidades e os limites do uso de LLMs na pesquisa científica e na análise de conteúdo, contexto no qual o avanço recente desses modelos tem despertado crescente interesse na comunidade científica, especialmente quanto ao seu emprego em tarefas de análise textual e produção de conhecimento. Estudos apontam que essas ferramentas apresentam um potencial expressivo para apoiar investigações em diferentes áreas, incluindo tanto a pesquisa acadêmica quanto contextos aplicados, como o desenvolvimento de tecnologias, serviços ou políticas baseadas em dados. No entanto, a literatura especializada é convergente ao advertir que tal uso deve ser conduzido com criticidade e de forma metodologicamente controlada, sob pena de comprometer a validade e a confiabilidade dos resultados obtidos (HITCH, 2024; JENNER et al., 2025).</w:t>
      </w:r>
    </w:p>
    <w:p>
      <w:pPr>
        <w:pStyle w:val="916"/>
      </w:pPr>
      <w:r>
        <w:t xml:space="preserve">Um exemplo paradigmático da tensão entre promessas e limites atribuídos aos modelos pode ser observado no estudo desenvolvido por Tabone e de Winter (2023), publicado na revista Royal Society Open Science. Os autores aplicaram o ChatGPT em tarefas de análise textual no contexto da</w:t>
      </w:r>
      <w:r>
        <w:t xml:space="preserve"> </w:t>
      </w:r>
      <w:r>
        <w:rPr>
          <w:i/>
          <w:iCs/>
        </w:rPr>
        <w:t xml:space="preserve">Human-Computer Interaction</w:t>
      </w:r>
      <w:r>
        <w:t xml:space="preserve"> </w:t>
      </w:r>
      <w:r>
        <w:t xml:space="preserve">(IHC), utilizando, para tanto, três conjuntos de dados distintos: respostas a questionários sobre interfaces de realidade aumentada, entrevistas transcritas de participantes em simuladores virtuais e registros de protocolos verbais de observadores de obras de arte. Por meio de uma abordagem hierárquica, o modelo gerou pontuações de sentimento, resumos e metassumários, os quais foram posteriormente comparados às análises humanas e a métodos tradicionais. Os resultados indicaram uma correlação extremamente elevada (r &gt; 0,99) entre as análises de sentimento realizadas pelo ChatGPT e aquelas conduzidas por avaliadores humanos, além de uma sobreposição substancial, embora não integral, entre os metassumários gerados pelo modelo e as análises de conteúdo conduzidas por pesquisadores. Os autores, diante disso, concluíram que,</w:t>
      </w:r>
      <w:r>
        <w:t xml:space="preserve"> </w:t>
      </w:r>
      <w:r>
        <w:t xml:space="preserve">“com as devidas precauções, o ChatGPT pode ser utilizado como uma ferramenta válida para a análise de dados textuais”</w:t>
      </w:r>
      <w:r>
        <w:t xml:space="preserve"> </w:t>
      </w:r>
      <w:r>
        <w:t xml:space="preserve">(TABONE; DE WINTER, 2023, tradução livre), enfatizando, contudo, a indispensabilidade da supervisão humana em todas as etapas do processo.</w:t>
      </w:r>
    </w:p>
    <w:p>
      <w:pPr>
        <w:pStyle w:val="916"/>
      </w:pPr>
      <w:r>
        <w:t xml:space="preserve">Corroborando essa perspectiva, um estudo conduzido por Hailu, Beam e Mehrotra (2023), pesquisadores ligados à Harvard Medical School, avaliou a aplicação do ChatGPT em diagnósticos médicos a partir de vinhetas clínicas. Os autores documentaram que o modelo utilizado alcançou 87% de acurácia na identificação correta entre as três principais hipóteses diagnósticas, superando os verificadores de sintomas (51%) e apresentando desempenho ligeiramente superior ao de médicos (84%). Para os autores, os resultados representaram</w:t>
      </w:r>
      <w:r>
        <w:t xml:space="preserve"> </w:t>
      </w:r>
      <w:r>
        <w:t xml:space="preserve">“um avanço substancial em relação ao uso da busca do Google ou de verificadores de sintomas online”</w:t>
      </w:r>
      <w:r>
        <w:t xml:space="preserve"> </w:t>
      </w:r>
      <w:r>
        <w:t xml:space="preserve">e indicaram que o ChatGPT “tem o potencial de mudar o jogo no diagnóstico médico" (HAILU; BEAM; MEHROTRA, 2023, tradução livre). Ainda assim, sublinharam que o desempenho do modelo é sensível à forma de apresentação dos dados e à formulação das perguntas, recomendando cautela na generalização dos achados e enfatizando a necessidade de avaliações mais rigorosas.</w:t>
      </w:r>
    </w:p>
    <w:p>
      <w:pPr>
        <w:pStyle w:val="916"/>
      </w:pPr>
      <w:r>
        <w:t xml:space="preserve">No campo da pesquisa qualitativa, Hitch (2024, p. 601), especialista na aplicação de inteligência artificial à análise temática reflexiva, observa que modelos como o ChatGPT apresentam potencial para identificar padrões e temas não imediatamente perceptíveis aos pesquisadores humanos, o que pode levar a</w:t>
      </w:r>
      <w:r>
        <w:t xml:space="preserve"> </w:t>
      </w:r>
      <w:r>
        <w:rPr>
          <w:i/>
          <w:iCs/>
        </w:rPr>
        <w:t xml:space="preserve">insights</w:t>
      </w:r>
      <w:r>
        <w:t xml:space="preserve"> </w:t>
      </w:r>
      <w:r>
        <w:t xml:space="preserve">inovadores. Para a autora, a IA funciona como um contraponto analítico, oferecendo interpretações alternativas dos dados e favorecendo</w:t>
      </w:r>
      <w:r>
        <w:t xml:space="preserve"> </w:t>
      </w:r>
      <w:r>
        <w:t xml:space="preserve">“uma análise iterativa, encorajando uma abordagem deliberativa e o desenvolvimento de um significado compartilhado”</w:t>
      </w:r>
      <w:r>
        <w:t xml:space="preserve"> </w:t>
      </w:r>
      <w:r>
        <w:t xml:space="preserve">(HITCH, 2024, p. 601, tradução livre). Além disso, essas ferramentas seriam capazes de ampliar a profundidade reflexiva da análise e de reduzir o risco de interpretações equivocadas ao permitirem a confrontação entre diferentes leituras (HITCH, 2024, p. 602). Hitch destaca, ademais, a vantagem operacional dessas tecnologias na manipulação de grandes volumes de dados, o que as torna especialmente úteis em estudos qualitativos de maior escala (HITCH, 2024, p. 602).</w:t>
      </w:r>
    </w:p>
    <w:p>
      <w:pPr>
        <w:pStyle w:val="916"/>
      </w:pPr>
      <w:r>
        <w:t xml:space="preserve">Além de reforçar a capacidade dos LLMs em detectar padrões e acelerar análises, a literatura também aponta ganhos expressivos de eficiência em tarefas tradicionalmente realizadas por humanos. Bano, Zowghi e Whittle (2023, p. 10, tradução livre) observam que essas ferramentas podem</w:t>
      </w:r>
      <w:r>
        <w:t xml:space="preserve"> </w:t>
      </w:r>
      <w:r>
        <w:t xml:space="preserve">“acelerar o processo e lidar com conjuntos de dados maiores do que os humanos podem gerenciar de forma viável”</w:t>
      </w:r>
      <w:r>
        <w:t xml:space="preserve">. Na mesma direção, Jenner et al. (2025, p. 2) relatam estudos em que o ChatGPT foi capaz de realizar uma análise temática em apenas 2 horas, enquanto pesquisadores humanos levaram 23 horas para executar a mesma tarefa. Em outro estudo por eles catalogado, a ferramenta teria processado 470 respostas de pesquisa entre 10 a 15 minutos, enquanto pesquisadores humanos teriam gastado uma média de 27,5 minutos para analisarem apenas um quarto do mesmo conjunto de respostas. Os autores concluíram que essa economia de tempo e recursos</w:t>
      </w:r>
      <w:r>
        <w:t xml:space="preserve"> </w:t>
      </w:r>
      <w:r>
        <w:t xml:space="preserve">“poderia, portanto, permitir que os pesquisadores se concentrassem em tarefas mais complexas, como a interpretação e a consideração das implicações e aplicações de suas descobertas”</w:t>
      </w:r>
      <w:r>
        <w:t xml:space="preserve"> </w:t>
      </w:r>
      <w:r>
        <w:t xml:space="preserve">(JENNER et al., 2025, p. 2, tradução livre).</w:t>
      </w:r>
    </w:p>
    <w:p>
      <w:pPr>
        <w:pStyle w:val="916"/>
      </w:pPr>
      <w:r>
        <w:t xml:space="preserve">Para além da mera eficiência, os pesquisadores ressaltam que os LLMs demonstraram capacidade de fornecer</w:t>
      </w:r>
      <w:r>
        <w:t xml:space="preserve"> </w:t>
      </w:r>
      <w:r>
        <w:t xml:space="preserve">“insights adicionais sobre os dados que aprimoraram a análise humana”</w:t>
      </w:r>
      <w:r>
        <w:t xml:space="preserve"> </w:t>
      </w:r>
      <w:r>
        <w:t xml:space="preserve">(JENNER et al., 2025, p. 1), aspecto também enfatizado por Hitch (2024, p. 601). Um achado interessante dos estudos analisados diz respeito ao impacto reflexivo gerado pelo processo colaborativo: o ato de explicar aos LLMs as etapas analíticas e revisar sistematicamente os procedimentos fez com que os próprios pesquisadores se aproximassem dos dados e, assim, refletissem com mais profundidade sobre seus próprios vieses (JENNER et al., 2025, p. 9). Ainda que reconheçam limitações, como a reprodução de preconceitos, característica compartilhada também por analistas humanos (JENNER et al., 2025, p. 10), os autores consideram que, dentro de um paradigma de parceria, os LLMs se mostram como</w:t>
      </w:r>
      <w:r>
        <w:t xml:space="preserve"> </w:t>
      </w:r>
      <w:r>
        <w:t xml:space="preserve">“ferramentas valiosas para fortalecer a qualidade da pesquisa e aumentar a eficiência”</w:t>
      </w:r>
      <w:r>
        <w:t xml:space="preserve"> </w:t>
      </w:r>
      <w:r>
        <w:t xml:space="preserve">(JENNER et al., 2025, p. 1, tradução livre).</w:t>
      </w:r>
    </w:p>
    <w:p>
      <w:pPr>
        <w:pStyle w:val="916"/>
      </w:pPr>
      <w:r>
        <w:t xml:space="preserve">O potencial de colaboração produtiva, bem como de complementariedade dos LLMs, é também sublinhado por Bano, Zowghi e Whittle (2023), os quais, ao analisarem comparativamente as respostas geradas por humanos e por modelos como o ChatGPT 3.5 e o GPT-4, no âmbito de estudo por eles conduzido, verificaram que os revisores consultados consideraram as respostas geradas pelos LLMs como sendo</w:t>
      </w:r>
      <w:r>
        <w:t xml:space="preserve"> </w:t>
      </w:r>
      <w:r>
        <w:t xml:space="preserve">“mais lógicas e razoáveis do que as de humanos”</w:t>
      </w:r>
      <w:r>
        <w:t xml:space="preserve">, sugerindo que essas ferramentas poderiam oferecer perspectivas alternativas que escapariam à interpretação humana (BANO; ZOWGHI; WHITTLE, 2023, p. 6, tradução livre). A mencionada descoberta corrobora a visão dos autores de que haveria um potencial real de colaboração eficaz entre humanos e máquinas, com base em uma relação sinérgica e não competitiva (BANO; ZOWGHI; WHITTLE, 2023, p. 1). Outro aspecto relevante trazido à baila pelos autores, consiste no fato de que a colaboração entre pesquisadores e a IA, quando estruturada de forma iterativa e com papéis complementares, poderia favorecer a produção de resultados mais consistentes e eficazes, ao combinar a sensibilidade interpretativa humana com a capacidade de processamento e eficiência dos sistemas automatizados (BANO; ZOWGHI; WHITTLE, 2023, p. 9).</w:t>
      </w:r>
    </w:p>
    <w:p>
      <w:pPr>
        <w:pStyle w:val="916"/>
      </w:pPr>
      <w:r>
        <w:t xml:space="preserve">Nesse mesmo sentido, Nensa (2025, p. 2, tradução livre), professor de Radiologia da Universidade de Essen, na Alemanha, com atuação destacada em inteligência artificial aplicada à medicina, defende que</w:t>
      </w:r>
      <w:r>
        <w:t xml:space="preserve"> </w:t>
      </w:r>
      <w:r>
        <w:t xml:space="preserve">“em vez de substituir o julgamento clínico, os sistemas de IA devem ser projetados para complementar e aprimorar os processos de diagnóstico e manejo terapêutico”</w:t>
      </w:r>
      <w:r>
        <w:t xml:space="preserve">. Alerta, ainda, o autor, para o fato de que</w:t>
      </w:r>
      <w:r>
        <w:t xml:space="preserve"> </w:t>
      </w:r>
      <w:r>
        <w:t xml:space="preserve">“o progresso tecnológico não vai esperar”</w:t>
      </w:r>
      <w:r>
        <w:t xml:space="preserve"> </w:t>
      </w:r>
      <w:r>
        <w:t xml:space="preserve">e que não acompanhar esse movimento significaria incorrer no risco de sermos superados pela própria ferramenta (NENSA, 2025, p. 4, tradução livre).</w:t>
      </w:r>
    </w:p>
    <w:p>
      <w:pPr>
        <w:pStyle w:val="916"/>
      </w:pPr>
      <w:r>
        <w:t xml:space="preserve">A advertência sublinhada, situada no âmbito da prática médica, ecoa diretamente no campo da pesquisa científica, contexto em que o presente estudo se posiciona. Diante da rápida evolução das tecnologias baseadas em IA, é flagrante a necessidade de que se construa uma relação colaborativa entre humanos e máquinas, na qual a tecnologia seja instada a atuar complementando, aperfeiçoando e servindo ao trabalho humano como uma espécie de</w:t>
      </w:r>
      <w:r>
        <w:t xml:space="preserve"> </w:t>
      </w:r>
      <w:r>
        <w:t xml:space="preserve">“segundo par de olhos”</w:t>
      </w:r>
      <w:r>
        <w:t xml:space="preserve"> </w:t>
      </w:r>
      <w:r>
        <w:t xml:space="preserve">(NENSA, 2025, p. 2, tradução livre). A fala de Nensa (2025) reforça a ideia de que o potencial dessas ferramentas depende não apenas de seu desempenho técnico, mas da forma como são incorporadas de modo reflexivo e responsável nas práticas profissionais.</w:t>
      </w:r>
    </w:p>
    <w:p>
      <w:pPr>
        <w:pStyle w:val="916"/>
      </w:pPr>
      <w:r>
        <w:t xml:space="preserve">De forma análoga, Bijker et al. (2024) demonstram que a IA pode ter impacto significativo na análise de conteúdo qualitativo, auxiliando desde a criação de esquemas de codificação até a condução de reuniões de consenso. Os autores observam que, embora a colaboração com a IA possa demandar um número reduzido de pesquisadores em comparação a métodos tradicionais, o sucesso desse modelo depende da manutenção de supervisão humana. No estudo por eles conduzido, foi utilizado, especificamente, o ChatGPT, mas os autores ressaltam que outras ferramentas podem vir a ser testadas à medida que forem sendo disponibilizadas ao mercado (BIJKER et al., 2024).</w:t>
      </w:r>
    </w:p>
    <w:p>
      <w:pPr>
        <w:pStyle w:val="916"/>
      </w:pPr>
      <w:r>
        <w:t xml:space="preserve">Apesar dos notáveis avanços, é salutar destacar os limites intrínsecos aos LLMs. Bano, Zowghi e Whittle (2023, p. 9) chamam atenção para o fato de que essas ferramentas operam com base em padrões aprendidos, o que as impede de captar nuances simbólicas, históricas, emocionais e culturais que apenas os pesquisadores humanos são capazes de interpretar com profundidade. Como alertam,</w:t>
      </w:r>
      <w:r>
        <w:t xml:space="preserve"> </w:t>
      </w:r>
      <w:r>
        <w:t xml:space="preserve">“os LLMs só podem fornecer aproximações baseadas em padrões aprendidos”</w:t>
      </w:r>
      <w:r>
        <w:t xml:space="preserve">, e não substituem</w:t>
      </w:r>
      <w:r>
        <w:t xml:space="preserve"> </w:t>
      </w:r>
      <w:r>
        <w:t xml:space="preserve">“a rica coleção de significados que um pesquisador humano poderia decifrar”</w:t>
      </w:r>
      <w:r>
        <w:t xml:space="preserve">, pois apenas os seres humanos são capazes de replicar</w:t>
      </w:r>
      <w:r>
        <w:t xml:space="preserve"> </w:t>
      </w:r>
      <w:r>
        <w:t xml:space="preserve">“uma compreensão holística da linguagem”</w:t>
      </w:r>
      <w:r>
        <w:t xml:space="preserve"> </w:t>
      </w:r>
      <w:r>
        <w:t xml:space="preserve">(BANO; ZOWGHI; WHITTLE, 2023, p. 9, tradução livre). Tal constatação reforça a necessidade de abordagens metodológicas que combinem, de maneira consciente e explícita, a contribuição da IA com a centralidade do discernimento humano.</w:t>
      </w:r>
    </w:p>
    <w:p>
      <w:pPr>
        <w:pStyle w:val="916"/>
      </w:pPr>
      <w:r>
        <w:t xml:space="preserve">O limite interpretativo dos modelos de linguagem é igualmente reconhecido por Yu, Beam e Kohane (2018, p. 727), pesquisadores vinculados à Harvard Medical School, em artigo publicado na revista Nature Biomedical Engineering. Segundo os autores, embora alguns modelos de aprendizado de máquina apresentem desempenho superior ao humano em determinadas tarefas, eles frequentemente se comportam como verdadeiras</w:t>
      </w:r>
      <w:r>
        <w:t xml:space="preserve"> </w:t>
      </w:r>
      <w:r>
        <w:t xml:space="preserve">“caixas-pretas computacionais”</w:t>
      </w:r>
      <w:r>
        <w:t xml:space="preserve">, gerando resultados de difícil interpretação. A mencionada opacidade compromete a capacidade de explicar de forma intuitiva as conclusões dos modelos, identificar fragilidades e extrair percepções adicionais.</w:t>
      </w:r>
    </w:p>
    <w:p>
      <w:pPr>
        <w:pStyle w:val="916"/>
      </w:pPr>
      <w:r>
        <w:t xml:space="preserve">Para além das limitações interpretativas associadas à obscuridade dos modelos, a literatura também destaca um conjunto mais amplo de riscos inerentes ao uso dos LLMs. Bender et al. (2021, p. 617) admitem a existência de suscetibilidades que decorreriam, em parte, da arquitetura dos modelos e dos dados de treinamento e, em outra medida, de seu uso malicioso por agentes externos. Entre os riscos inerentes à própria estrutura dos modelos, os autores destacam a fluência e a aparente coerência dos LLMs, bem como a tendência humana de interpretá-los como dotados de intencionalidade comunicativa e de significados genuínos. Tal percepção pode induzir os usuários a atribuírem-lhes neutralidade informacional, quando, na verdade, os modelos</w:t>
      </w:r>
      <w:r>
        <w:t xml:space="preserve"> </w:t>
      </w:r>
      <w:r>
        <w:t xml:space="preserve">“absorvem a visão de mundo hegemônica de seus dados de treinamento”</w:t>
      </w:r>
      <w:r>
        <w:t xml:space="preserve">, que são permeados por racismos, misoginias, capacitismos, microagressões, desumanização e outros vieses de enquadramento sociopolítico que se infiltram nos dados de linguagem utilizados para treinar os modelos de inteligência artificial disponíveis (BENDER et al., 2021, p. 617, tradução livre). Esse processo de absorção passiva resulta na</w:t>
      </w:r>
      <w:r>
        <w:t xml:space="preserve"> </w:t>
      </w:r>
      <w:r>
        <w:t xml:space="preserve">“reprodução e amplificação dos vieses em sua entrada”</w:t>
      </w:r>
      <w:r>
        <w:t xml:space="preserve"> </w:t>
      </w:r>
      <w:r>
        <w:t xml:space="preserve">(BENDER et al., 2021, p. 617, tradução livre), contaminando não apenas as saídas do modelo no presente, mas também, potencialmente, os conjuntos de dados que alimentarão iterações futuras, em um ciclo de retroalimentação negativa.</w:t>
      </w:r>
    </w:p>
    <w:p>
      <w:pPr>
        <w:pStyle w:val="916"/>
      </w:pPr>
      <w:r>
        <w:t xml:space="preserve">No campo do uso intencionalmente prejudicial, Bender et al. (2021, p. 617) alertam para a ação de atores mal-intencionados (</w:t>
      </w:r>
      <w:r>
        <w:rPr>
          <w:i/>
          <w:iCs/>
        </w:rPr>
        <w:t xml:space="preserve">bad actors</w:t>
      </w:r>
      <w:r>
        <w:t xml:space="preserve">), capazes de valerem-se dos LLMs para a proliferação intencional de óticas abusivas e distorcidas, influenciando os próprios dados que constituirão futuras versões dos modelos. Tal prática deliberada pode ser instrumentalizada para a disseminação em massa de desinformação, manipulação ideológica e recrutamento para causas extremistas. Os autores chamam atenção para o risco real de violação de privacidade facilitada pela IA, à medida que as vulnerabilidades dos LLMs são exploradas com vistas ao vazamento de informações pessoais confidenciais contidas nos conjuntos de dados utilizados para o treinamento desses modelos (BENDER et al., 2021, p. 618).</w:t>
      </w:r>
    </w:p>
    <w:p>
      <w:pPr>
        <w:pStyle w:val="916"/>
      </w:pPr>
      <w:r>
        <w:t xml:space="preserve">Dessa forma, ao considerar o uso de LLMs em contextos de pesquisa científica e análise de conteúdo, como proposto neste estudo, torna-se indispensável reconhecer que seu potencial inovador e criativo caminha lado a lado com desafios metodológicos, éticos e interpretativos. Conforme evidenciado pela literatura aqui discutida, esses modelos podem ampliar significativamente a escala e a agilidade das investigações, favorecendo a sistematização e o exame de grandes volumes de dados. Contudo, sua aplicação exige critérios rigorosos, supervisão crítica e vigilância epistemológica contínua, de modo a assegurar que os resultados preservem a profundidade analítica, a coerência argumentativa e a sensibilidade contextual. Nesse sentido, a incorporação dessas tecnologias não se orienta por uma lógica de substituição do trabalho humano, mas pela construção de uma aliança estratégica, na qual os recursos computacionais atuam de forma complementar ao raciocínio e à experiência do pesquisador. Reconhecer, portanto, as potencialidades e os limites dos LLMs implica reafirmar que a centralidade da produção científica permanece ancorada na capacidade humana de formular questões relevantes, interpretar os achados com responsabilidade e produzir conhecimento com rigor e integridade.</w:t>
      </w:r>
    </w:p>
    <w:bookmarkEnd w:id="48"/>
    <w:bookmarkStart w:id="49" w:name="X7894c571b1ba8e59033aec49c805143d4026dcc"/>
    <w:p>
      <w:pPr>
        <w:pStyle w:val="906"/>
      </w:pPr>
      <w:r>
        <w:t xml:space="preserve">3.7.3 Codificação Assistida por LLMs: Evidências Iniciais e Implicações</w:t>
      </w:r>
    </w:p>
    <w:p>
      <w:pPr>
        <w:pStyle w:val="917"/>
      </w:pPr>
      <w:r>
        <w:t xml:space="preserve">Uma das fases centrais da análise de conteúdo, conforme apresentado com detalhes na seção Estratégia de Análise da Primeira Etapa: Codificação Automatizada das Recomendações, consiste na codificação. Nesse contexto, Bardin (2016, p. 133) explicita que codificar significa fracionar o texto que se pretende analisar em partes menores e significativas, chamadas pela autora de unidades de registro, as quais podem se apresentar sob a forma de palavras, temas ou expressões representativas do conteúdo investigado.</w:t>
      </w:r>
    </w:p>
    <w:p>
      <w:pPr>
        <w:pStyle w:val="916"/>
      </w:pPr>
      <w:r>
        <w:t xml:space="preserve">À luz dessa concepção, e considerando as transformações recentes decorrentes do uso de inteligência artificial na pesquisa acadêmica, o presente estudo realizou um levantamento exploratório da produção científica que aborda a aplicação de Modelos de Linguagem de Grande Escala (LLMs) na etapa de codificação. No âmbito desse recorte, foram identificados dois estudos empíricos dedicados especificamente a explorar o uso de LLMs na codificação automatizada. Ambos os artigos —</w:t>
      </w:r>
      <w:r>
        <w:t xml:space="preserve"> </w:t>
      </w:r>
      <w:r>
        <w:t xml:space="preserve">“Artificial Intelligence Augmented Qualitative Analysis: The Way of the Future?”</w:t>
      </w:r>
      <w:r>
        <w:t xml:space="preserve">, de Hitch (2024), e</w:t>
      </w:r>
      <w:r>
        <w:t xml:space="preserve"> </w:t>
      </w:r>
      <w:r>
        <w:t xml:space="preserve">“ChatGPT for Automated Qualitative Research: Content Analysis”</w:t>
      </w:r>
      <w:r>
        <w:t xml:space="preserve">, de Bijker et al. (2024) — concluíram que o ChatGPT pode desempenhar essa função de forma eficiente, desde que acompanhado de supervisão humana qualificada.</w:t>
      </w:r>
    </w:p>
    <w:p>
      <w:pPr>
        <w:pStyle w:val="916"/>
      </w:pPr>
      <w:r>
        <w:t xml:space="preserve">No estudo conduzido por Hitch (2024), a autora relata que o ChatGPT foi capaz de identificar, de forma automatizada, códigos descritivos em transcrições de entrevistas com pessoas acometidas por COVID longa. Embora tenha observado que os códigos gerados pela IA tendiam a ser mais descritivos e concretos, em contraste com seus próprios códigos, mais abstratos e, portanto, menos literais que os apresentados pela ferramenta, Hitch ressalta que houve significativa convergência entre os códigos humanos e os elaborados de forma automatizada. Esse cruzamento permitiu o desenvolvimento de temas preliminares robustos, sugerindo a possibilidade de colaboração frutífera entre a sensibilidade interpretativa humana e a capacidade de triagem automatizada do modelo. E mais: conforme frisado pela autora, a pesquisa sugeriu que a inteligência artificial pode ser utilizada para além da simples validação de códigos e temas (HITCH, 2024).</w:t>
      </w:r>
    </w:p>
    <w:p>
      <w:pPr>
        <w:pStyle w:val="916"/>
      </w:pPr>
      <w:r>
        <w:t xml:space="preserve">Já no estudo de Bijker et al. (2024), um dos primeiros, conforme salientado pelo autor, a utilizar o ChatGPT para automatizar uma multiplicidade de tarefas relativas à análise de conteúdo qualitativo de dados, a ferramenta foi empregada para codificar mecanismos de mudança em postagens de fóruns online sobre redução do consumo de açúcar, com taxa de precisão estimada em 88%. Ressalta-se terem sido testadas abordagens indutivas, dedutivas não restritas e dedutivas estruturadas. A abordagem indutiva apresentou os melhores índices de concordância entre codificadores. Mas, no geral, a concordância entre todas as abordagens foi alta, tendo variado de moderada a quase perfeita. Os autores advertiram sobre o fato da codificação automática poder gerar imprecisões ou distorções, especialmente na presença de dados ambíguos ou de uma engenharia de prompts insuficiente. Por esse motivo, recomendaram, na conclusão do trabalho, que ao menos um ou dois pesquisadores participem de cada fase da análise, atuando como instância crítica de validação (BIJKER et al., 2024).</w:t>
      </w:r>
    </w:p>
    <w:p>
      <w:pPr>
        <w:pStyle w:val="916"/>
      </w:pPr>
      <w:r>
        <w:t xml:space="preserve">É importante salientar que os estudos retromencionados enfatizam que a eficácia do modelo de linguagem na codificação depende da preparação cuidadosa dos dados (eliminação de ruídos, segmentação adequada, linguagem clara), bem como da elaboração precisa de</w:t>
      </w:r>
      <w:r>
        <w:t xml:space="preserve"> </w:t>
      </w:r>
      <w:r>
        <w:rPr>
          <w:i/>
          <w:iCs/>
        </w:rPr>
        <w:t xml:space="preserve">prompts</w:t>
      </w:r>
      <w:r>
        <w:t xml:space="preserve">. Hitch (2024) destaca, por exemplo, que o uso da palavra</w:t>
      </w:r>
      <w:r>
        <w:t xml:space="preserve"> </w:t>
      </w:r>
      <w:r>
        <w:t xml:space="preserve">“temas”</w:t>
      </w:r>
      <w:r>
        <w:t xml:space="preserve"> </w:t>
      </w:r>
      <w:r>
        <w:t xml:space="preserve">no lugar de</w:t>
      </w:r>
      <w:r>
        <w:t xml:space="preserve"> </w:t>
      </w:r>
      <w:r>
        <w:t xml:space="preserve">“códigos”</w:t>
      </w:r>
      <w:r>
        <w:t xml:space="preserve"> </w:t>
      </w:r>
      <w:r>
        <w:t xml:space="preserve">facilitou o desempenho do modelo. Bijker et al. (2024), por sua vez, relatam que a adição de exemplos nos</w:t>
      </w:r>
      <w:r>
        <w:t xml:space="preserve"> </w:t>
      </w:r>
      <w:r>
        <w:rPr>
          <w:i/>
          <w:iCs/>
        </w:rPr>
        <w:t xml:space="preserve">prompts</w:t>
      </w:r>
      <w:r>
        <w:t xml:space="preserve"> </w:t>
      </w:r>
      <w:r>
        <w:t xml:space="preserve">indutivos pareceu reforçar a consistência do output gerado.</w:t>
      </w:r>
    </w:p>
    <w:p>
      <w:pPr>
        <w:pStyle w:val="916"/>
      </w:pPr>
      <w:r>
        <w:t xml:space="preserve">Com base nessas evidências iniciais, pode-se afirmar que os LLMs apresentam potencial real para ampliar a escala, acelerar a execução e melhorar a rastreabilidade do processo de codificação. Contudo, os autores citados são unânimes ao sustentar que a codificação assistida por IA não elimina o papel interpretativo do pesquisador. Ao contrário, exige dele um grau ainda mais elevado de criticidade, planejamento e discernimento metodológico.</w:t>
      </w:r>
    </w:p>
    <w:p>
      <w:pPr>
        <w:pStyle w:val="916"/>
      </w:pPr>
      <w:r>
        <w:t xml:space="preserve">Ante o exposto, a IA pode ser concebida como um</w:t>
      </w:r>
      <w:r>
        <w:t xml:space="preserve"> </w:t>
      </w:r>
      <w:r>
        <w:t xml:space="preserve">“colega virtual”</w:t>
      </w:r>
      <w:r>
        <w:t xml:space="preserve"> </w:t>
      </w:r>
      <w:r>
        <w:t xml:space="preserve">(HITCH, 2024), capaz de contribuir de maneira útil para tarefas analíticas de menor complexidade, mas ainda carecem da capacidade de interpretar contextos, ambivalências e significados implícitos, elementos indispensáveis a uma análise de alta qualidade. A codificação automatizada, portanto, deve ser compreendida não como uma substituição do trabalho humano, mas como uma possibilidade de colaboração técnica que, se bem conduzida, pode enriquecer os processos analíticos em pesquisas qualitativas.</w:t>
      </w:r>
    </w:p>
    <w:bookmarkEnd w:id="49"/>
    <w:bookmarkStart w:id="50" w:name="X8f8461268f56c51e0b6c136c1fcb003bd6534fe"/>
    <w:p>
      <w:pPr>
        <w:pStyle w:val="906"/>
      </w:pPr>
      <w:r>
        <w:t xml:space="preserve">3.7.4 Inteligência Artificial a Serviço da Triangulação Metodológica</w:t>
      </w:r>
    </w:p>
    <w:p>
      <w:pPr>
        <w:pStyle w:val="917"/>
      </w:pPr>
      <w:r>
        <w:t xml:space="preserve">A triangulação, enquanto estratégia metodológica, tem sido amplamente reconhecida na pesquisa qualitativa como um recurso a ser cogitado nos casos em que se pretende ampliar a robustez interpretativa de seus achados. Como ressalta Patton (1999), o pressuposto que rege a triangulação consiste no fato de não haver método que, isoladamente, seja capaz de oferecer uma resposta plenamente satisfatória ao desafio</w:t>
      </w:r>
      <w:r>
        <w:t xml:space="preserve"> </w:t>
      </w:r>
      <w:r>
        <w:t xml:space="preserve">“das explicações rivais”</w:t>
      </w:r>
      <w:r>
        <w:t xml:space="preserve">. Isso se justifica porque cada abordagem investigativa apreende dimensões distintas da realidade empírica. Portanto, está na combinação de diferentes procedimentos de coleta e análise de dados a força da triangulação, visto permitir que aspectos complementares do fenômeno possam ser acessados de maneira a elevar</w:t>
      </w:r>
      <w:r>
        <w:t xml:space="preserve"> </w:t>
      </w:r>
      <w:r>
        <w:t xml:space="preserve">“o potencial heurístico da pesquisa”</w:t>
      </w:r>
      <w:r>
        <w:t xml:space="preserve"> </w:t>
      </w:r>
      <w:r>
        <w:t xml:space="preserve">(PATTON, 1999). O autor sublinha que as pesquisas científicas que se valem apenas de um método estão sujeitas aos equívocos atrelados idiossincraticamente ao método inicialmente escolhido. Na mesma ótica, o emprego de uma multiplicidade de expedientes caracterizaria uma inibição a tal tendenciosidade (PATTON, 1999).</w:t>
      </w:r>
    </w:p>
    <w:p>
      <w:pPr>
        <w:pStyle w:val="916"/>
      </w:pPr>
      <w:r>
        <w:t xml:space="preserve">O propósito da triangulação não consiste em confirmar a convergência absoluta dos resultados obtidos mediante o cotejamento de diferentes métodos ou fontes, mas, antes, testar a sua consistência e promover uma compreensão mais abrangente dos fenômenos estudados. Patton (1999) previne que as eventuais divergências entre os achados não devem ser encaradas como enfraquecimento da credibilidade analítica, haja vista oferecerem oportunidades reveladoras para aprofundar a compreensão sobre a relação entre os caminhos metodológicos adotados e os objetos investigados (PATTON, 1999). Sob essa ótica, a triangulação não se presta apenas à validação, mas também à ampliação das possibilidades interpretativas, justamente por articular diferentes abordagens e, no caso específico desta pesquisa, objetos de estudo complementares (o corpus textual e o produto da sua codificação), em torno de uma mesma unidade de análise última: o significado das recomendações de auditoria. Esta nuance, que será explicitada ulteriormente, mostra-se particularmente interessante para os objetivos do presente estudo.</w:t>
      </w:r>
    </w:p>
    <w:p>
      <w:pPr>
        <w:pStyle w:val="916"/>
      </w:pPr>
      <w:r>
        <w:t xml:space="preserve">Nesse cenário, os recentes avanços em inteligência artificial generativa, em especial no desenvolvimento dos chamados modelos de linguagem de larga escala (LLMs), têm aberto novas possibilidades para a implementação da triangulação em estudos qualitativos, inaugurando, assim, uma inflexão relevante, à medida que oportunizam o espraiamento dessa metodologia, historicamente limitada por seus altos custos, em contraposição a um ambiente de pesquisa frequentemente marcado por escassez de recursos, exigência de prazos exíguos para a conclusão dos trabalhos e lacunas na formação dos pesquisadores, dificuldades assinaladas por Patton (1999). Ao reconhecer essa mudança de paradigma, a pesquisa propõe-se a incorporar criticamente a IA ao processo de triangulação, explorando sua disponibilidade ampla e seu potencial técnico como estratégias concretas para reforçar a densidade interpretativa da pesquisa e a democratização do emprego do método.</w:t>
      </w:r>
    </w:p>
    <w:p>
      <w:pPr>
        <w:pStyle w:val="916"/>
      </w:pPr>
      <w:r>
        <w:t xml:space="preserve">A abordagem em relevo tem sido reforçada por pesquisadores que se dedicaram a problematizar e explorar o uso da inteligência artificial no contexto da análise qualitativa. Autores como Bano, Zowghi e Whittle (2023), Hitch (2024) e Jenner et al. (2025) demonstraram, empiricamente, como ferramentas baseadas em IA, como o ChatGPT, podem ser incorporadas como agentes analíticos complementares ao trabalho dos pesquisadores humanos, objetivando verificar a consistência entre diferentes análises, identificar convergências e divergências interpretativas, e refletir sobre as possibilidades e limitações de cada abordagem.</w:t>
      </w:r>
    </w:p>
    <w:p>
      <w:pPr>
        <w:pStyle w:val="916"/>
      </w:pPr>
      <w:r>
        <w:t xml:space="preserve">Bano, Zowghi e Whittle (2023), conduziram um experimento no qual uma pequena amostra de avaliações do aplicativo Alexa, inicialmente classificada por um analista humano, foi submetida ao ChatGPT 3.5 e ao GPT-4 com instrução específica para que os modelos realizassem novas classificações e justificassem o raciocínio empregado. Os autores observaram alinhamento entre os resultados humanos e os produzidos pelo ChatGPT 3.5 em 33% dos casos e, pelo GPT-4, em 27%. Um alinhamento ainda maior, de 56%, foi verificado entre os próprios modelos de IA, enquanto a concordância unânime entre os três agentes (humano, ChatGPT 3.5 e GPT-4) ocorreu em apenas 22% das situações. Com base nesses resultados, os autores consideraram que os humanos tendem a priorizar interpretações subjetivas e sensíveis ao contexto, ao passo que os LLMs se apoiam com maior frequência em aspectos mais explícitos. Ainda assim, destacaram que as respostas produzidas pelos modelos foram consideradas mais lógicas e razoáveis do que as dos analistas humanos, sugerindo que os LLMs podem oferecer perspectivas alternativas relevantes. Nesse sentido, concluíram que a divergência entre os resultados não compromete a qualidade da análise, mas a enriquece, ao evidenciar uma relação sinérgica, e não excludente, entre inteligência artificial e pesquisador humano na análise qualitativa. Trata-se, portanto, de uma proposta metodológica que reforça o potencial de utilização dos LLMs como instrumentos de triangulação interna, capazes de ampliar a profundidade interpretativa e oferecer novos ângulos sobre os dados (BANO; ZOWGHI; WHITTLE, 2023, p. 11).</w:t>
      </w:r>
    </w:p>
    <w:p>
      <w:pPr>
        <w:pStyle w:val="916"/>
      </w:pPr>
      <w:r>
        <w:t xml:space="preserve">Ampliando a discussão, Hitch (2024), ao explorar o potencial da inteligência artificial na pesquisa qualitativa, conduziu uma experiência na qual utilizou o ChatGPT como agente colaborador em uma análise temática reflexiva. Segundo observação feita pela autora, o modelo de IA foi capaz de identificar padrões e temas inicialmente não percebidos como, por exemplo, o risco de COVID longa, o que a levou a revisitar o material empírico e a reavaliar suas próprias suposições analíticas. Nesse processo, o ChatGPT foi compreendido como um</w:t>
      </w:r>
      <w:r>
        <w:t xml:space="preserve"> </w:t>
      </w:r>
      <w:r>
        <w:t xml:space="preserve">“outro”</w:t>
      </w:r>
      <w:r>
        <w:t xml:space="preserve"> </w:t>
      </w:r>
      <w:r>
        <w:t xml:space="preserve">interpretativo, uma espécie de codificador adicional, cuja participação não eliminou o viés humano, mas ampliou a profundidade da análise e fortaleceu o caráter iterativo do método. A IA foi mobilizada como instância heurística, estimulando o retorno ao corpus e a construção de significados mais densos. Embora reconheça os limites da IA, inclusive a de não possuir criatividade independente nem sensibilidade ao contexto, Hitch (2024) argumenta que, se bem empregada, essa tecnologia pode funcionar como uma parceira útil na condução de análises interpretativas mais complexas. Cabe sublinhar que a autora não se refere diretamente ao conceito de triangulação em seu artigo; ainda assim, a experiência por ela descrita aproxima-se dessa lógica ao introduzir uma segunda instância interpretativa no processo analítico, na qual os LLMs são integrados como um agente analítico complementar (HITCH, 2024, p. 601–604).</w:t>
      </w:r>
    </w:p>
    <w:p>
      <w:pPr>
        <w:pStyle w:val="916"/>
      </w:pPr>
      <w:r>
        <w:t xml:space="preserve">De forma convergente, Jenner et al. (2025) conduziram um experimento no qual dois modelos de linguagem (Claude e GPT-o1) foram instruídos a empreender, de forma autônoma, uma análise narrativa de 138 contos escritos por jovens sobre mídias sociais, identidade e alimentação. Salienta-se que os mesmos dados foram previamente examinados por pesquisadores humanos. A comparação entre os achados revelou elevada convergência entre as leituras das máquinas e dos analistas, bem como a capacidade dos LLMs de oferecer interpretações complementares que enriqueceram a análise humana. Mais uma vez, o termo triangulação não foi mencionado; ainda assim, o desenho metodológico adotado foi estruturado de modo a permitir a comparação crítica entre as análises fornecidas por agentes interpretativos distintos. Por fim, Jenner et al. (2025, p. 11) enfatizaram a qualidade e a eficiência atribuídas por eles à inteligência artificial no contexto da pesquisa realizada.</w:t>
      </w:r>
    </w:p>
    <w:p>
      <w:pPr>
        <w:pStyle w:val="916"/>
      </w:pPr>
      <w:r>
        <w:t xml:space="preserve">Reforçando a relevância da triangulação, Sampaio, Sabbatini e Limongi (2024, p. 22) chamam atenção para o fato de que, em análises mais substantivas, o uso da inteligência artificial deve ser acompanhado de uma postura crítica por parte do pesquisador. Para eles, a produção da IA não deve ser aceita como resposta definitiva, mas tomada como ponto de partida, passível de verificação a partir de diferentes estratégias de checagem, entre as quais se destacam a triangulação e a validação cruzada. Essa orientação reforça que a credibilidade da análise qualitativa, quando mediada por LLMs, depende da articulação entre múltiplas leituras e da confrontação entre diferentes perspectivas analíticas, movimento que se mostra convergente com as propostas da pesquisa.</w:t>
      </w:r>
    </w:p>
    <w:p>
      <w:pPr>
        <w:pStyle w:val="916"/>
      </w:pPr>
      <w:r>
        <w:t xml:space="preserve">Nesse sentido, é valido observar que o estudo propõe uma releitura contemporânea do recurso da triangulação, estruturado em duas etapas sequenciais que, embora incidam sobre objetos imediatos distintos (o texto das recomendações e o produto da sua codificação), convergem para uma mesma unidade de análise última: a estrutura de significado das próprias recomendações. A primeira etapa dedicou-se à análise das recomendações de auditoria publicadas pelo DENASUS, sendo operacionalizada por meio de um processo automatizado de codificação, baseado em critérios objetivos previamente definidos pela pesquisadora, cujo resultado foi um conjunto de classificações categorizadas. A segunda etapa, por sua vez, deslocou o foco para a validação da própria codificação produzida, constituindo-se como um procedimento de verificação crítica assistida por IA. Nela, um modelo de linguagem (LLM) foi instruído a atuar como revisor analítico das classificações geradas na etapa anterior. Para isso, foram elaborados prompts em linguagem natural que orientaram o modelo a emitir um juízo fundamentado (</w:t>
      </w:r>
      <w:r>
        <w:t xml:space="preserve">“Concordo”</w:t>
      </w:r>
      <w:r>
        <w:t xml:space="preserve">/</w:t>
      </w:r>
      <w:r>
        <w:t xml:space="preserve">“Discordo”</w:t>
      </w:r>
      <w:r>
        <w:t xml:space="preserve">) sobre cada classificação, com base na coerência lógica entre a tipologia aplicada e o contexto integral de cada auditoria. Ambas as estratégias, ainda que distintas quanto ao modo de operação e ao objeto imediato de análise, instauram um diálogo analítico entre diferentes instâncias de interpretação, aproximando-se da lógica da triangulação ao submeter os resultados iniciais a uma instância adicional de verificação crítica.</w:t>
      </w:r>
    </w:p>
    <w:p>
      <w:pPr>
        <w:pStyle w:val="916"/>
      </w:pPr>
      <w:r>
        <w:t xml:space="preserve">Essa articulação pode ser compreendida como uma forma contemporânea de triangulação, mobilizada como recurso metodológico, na qual a inteligência artificial atua como colaboradora da análise qualitativa, ainda que não corresponda integralmente às configurações clássicas descritas na literatura. Ao possibilitar a comparação entre modos distintos de interpretação e ao trazer à tona convergências e tensões analíticas, o uso de inteligência artificial nesse contexto contribui para a consistência e para a transparência do processo de investigação. Nesse sentido, eventuais divergências entre as classificações não são compreendidas como falhas do procedimento, mas como indícios analiticamente relevantes, que contribuem para explicitar ambiguidades, revisar pressupostos e aprofundar a compreensão do fenômeno investigado. Trata-se de uma estratégia que se pretende coerente com o rigor exigido pela análise de conteúdo e, simultaneamente, sintonizada com os recursos tecnológicos que atualmente ampliam o horizonte da investigação qualitativa. A estratégia adotada insere-se, assim, em uma perspectiva interpretativa que compreende o conhecimento como resultado de um processo iterativo e reflexivo, no qual diferentes leituras do mesmo objeto contribuem para a construção de significados mais robustos e contextualizados.</w:t>
      </w:r>
    </w:p>
    <w:bookmarkEnd w:id="50"/>
    <w:bookmarkStart w:id="51" w:name="X453409a89087a92af98b375b37ad2144f8d3602"/>
    <w:p>
      <w:pPr>
        <w:pStyle w:val="906"/>
      </w:pPr>
      <w:r>
        <w:t xml:space="preserve">3.7.5 Implicações Éticas Decorrentes do Uso da Inteligência Artificial</w:t>
      </w:r>
    </w:p>
    <w:p>
      <w:pPr>
        <w:pStyle w:val="917"/>
      </w:pPr>
      <w:r>
        <w:t xml:space="preserve">A adoção de sistemas baseados em inteligência artificial (IA), em contextos de pesquisa científica, impõe desafios que ultrapassam a esfera técnica e alcançam dimensões éticas complexas, possivelmente problematizados de maneira ainda insuficiente. Se, por um lado, os Modelos de Linguagem de Larga Escala (LLMs) ampliam a capacidade de análise, triagem e sistematização de dados, por outro, sua aplicação demanda redobrada atenção quanto aos riscos éticos envolvidos. Como bem resume Hitch (2024, p. 603), as ramificações éticas da análise temática reflexiva assistida por IA são</w:t>
      </w:r>
      <w:r>
        <w:t xml:space="preserve"> </w:t>
      </w:r>
      <w:r>
        <w:t xml:space="preserve">“considerações críticas”</w:t>
      </w:r>
      <w:r>
        <w:t xml:space="preserve">, observação que parece ser extensível a outras metodologias que também se prestam, na prática, ao uso das mencionadas tecnologias emergentes.</w:t>
      </w:r>
    </w:p>
    <w:p>
      <w:pPr>
        <w:pStyle w:val="916"/>
      </w:pPr>
      <w:r>
        <w:t xml:space="preserve">Salienta-se, entre os principais pontos de alerta, os riscos relacionados à privacidade de dados. Conforme destaca a mesma autora, ao utilizar plataformas como o ChatGPT, todas as interações realizadas nesse processo, inclusive aquelas oriundas de pesquisas acadêmicas, são potencialmente incorporadas aos sistemas de aprendizado de máquina para o contínuo aprimoramento dos algoritmos (HITCH, 2024, p. 595). Tal prática levanta preocupações relevantes sobre o tratamento de dados sensíveis, em especial quando se lida com informações oriundas de entrevistas, transcrições ou relatos pessoais.</w:t>
      </w:r>
    </w:p>
    <w:p>
      <w:pPr>
        <w:pStyle w:val="916"/>
      </w:pPr>
      <w:r>
        <w:t xml:space="preserve">Nesse contexto, é cabível refletir sobre como o uso de IA, sem as salvaguardas adequadas, pode culminar na exposição de participantes de eventuais pesquisas realizadas e, assim, comprometer a integridade do próprio processo científico. Além disso, como salientam Bano, Zowghi e Whittle (2023, p. 10), os LLMs trazem consigo um conjunto inédito de implicações éticas, incluindo o risco de perpetuar vieses já existentes nos dados com os quais foram treinados. A menção a vieses, presentes nos bancos de dados e nos algoritmos, alucinações e, inclusive, a possibilidade de</w:t>
      </w:r>
      <w:r>
        <w:t xml:space="preserve"> </w:t>
      </w:r>
      <w:r>
        <w:t xml:space="preserve">“fabricação de dados”</w:t>
      </w:r>
      <w:r>
        <w:t xml:space="preserve">, também é discutida com profundidade por Sampaio, Sabbatini e Limongi (2024, p. 10), os quais dedicam uma obra completa ao tema do uso ético e responsável da inteligência artificial generativa. As mencionadas tendenciosidades, muitas vezes indetectáveis de pronto, podem infiltrar-se nos achados gerados pela IA e distorcer interpretações, afetando a neutralidade da análise e reforçando desigualdades estruturais.</w:t>
      </w:r>
    </w:p>
    <w:p>
      <w:pPr>
        <w:pStyle w:val="916"/>
      </w:pPr>
      <w:r>
        <w:t xml:space="preserve">Essa preocupação é amplamente compartilhada por Bender et al. (2021, p. 613-614), os quais alertam para o fato de que modelos treinados com dados amplos e não curados da internet tendem a reproduzir uma visão hegemônica e excludente do mundo. Mesmo com volumes imensos de dados, a diversidade de perspectivas humanas não está garantida, uma vez que o acesso à internet, a permanência em determinados espaços digitais, a coleta e a filtragem dos dados estão desigualmente distribuídos e tendem a dar mais relevo à visão hegemônica, cristalizando, assim, iniquidades. Dessa forma, grupos historicamente marginalizados (como negros, indígenas, LGBTQIA+, pessoas com deficiência ou mais velhas) são sub-representados nos dados e, muitas vezes, têm seus discursos sistematicamente excluídos por processos automatizados de filtragem que, segundo advertem os autores, eliminam dados incompreensíveis, porém, não se sabe ao certo a extensão do que pode ser descartado nesse processo (BENDER et al., 2021, p. 613-614).</w:t>
      </w:r>
    </w:p>
    <w:p>
      <w:pPr>
        <w:pStyle w:val="916"/>
      </w:pPr>
      <w:r>
        <w:t xml:space="preserve">A esse cenário soma-se o problema que os pesquisadores denominam</w:t>
      </w:r>
      <w:r>
        <w:t xml:space="preserve"> </w:t>
      </w:r>
      <w:r>
        <w:rPr>
          <w:i/>
          <w:iCs/>
        </w:rPr>
        <w:t xml:space="preserve">value-lock</w:t>
      </w:r>
      <w:r>
        <w:t xml:space="preserve">, traduzido aqui como congelamento de valores (BENDER et al., 2021, p. 614, tradução livre). Como apontado por eles, os LLMs, ao serem treinados com conjuntos de dados estáticos e por vezes desatualizados, correm o risco de cristalizar compreensões antigas e pouco inclusivas sobre temas sociais que estão em transformação, como racismo, gênero, sexualidade e justiça social. Os autores usam como exemplo paradigmático dessa implicação, o caso de movimentos sociais como o</w:t>
      </w:r>
      <w:r>
        <w:t xml:space="preserve"> </w:t>
      </w:r>
      <w:r>
        <w:rPr>
          <w:i/>
          <w:iCs/>
        </w:rPr>
        <w:t xml:space="preserve">Black Lives Matter</w:t>
      </w:r>
      <w:r>
        <w:t xml:space="preserve"> </w:t>
      </w:r>
      <w:r>
        <w:t xml:space="preserve">(BLM), os quais provocam reconfigurações discursivas que as ferramentas de inteligência artificial, caso não sejam constantemente retreinadas e afinadas com novas fontes, deixam de incorporar. Tais lacunas representam não apenas ineficiências técnicas, mas equívocos éticos graves: ao falhar em captar os contornos da mudança social, a IA pode reforçar normas excludentes e injustas. Bender et al. (2021, p. 614), no entanto, não se mostram particularmente otimistas quanto à disponibilidade das grandes empresas em treinar seus modelos com a frequência que as transformações linguísticas gestadas no seio da sociedade requerem, visto que esse esforço demandaria um custo computacional ainda não admitido por elas e, provavelmente, inviável. Os autores complementam essa discussão, destacando, como alternativa, o uso de</w:t>
      </w:r>
      <w:r>
        <w:t xml:space="preserve"> </w:t>
      </w:r>
      <w:r>
        <w:t xml:space="preserve">“técnicas de</w:t>
      </w:r>
      <w:r>
        <w:t xml:space="preserve"> </w:t>
      </w:r>
      <w:r>
        <w:rPr>
          <w:i/>
          <w:iCs/>
        </w:rPr>
        <w:t xml:space="preserve">fine-tuning</w:t>
      </w:r>
      <w:r>
        <w:t xml:space="preserve"> </w:t>
      </w:r>
      <w:r>
        <w:t xml:space="preserve">(ajuste fino)”</w:t>
      </w:r>
      <w:r>
        <w:t xml:space="preserve">, objetivando atualizações não tão abrangentes, mas que poderiam minimizar a falta de atualização constante dos modelos, o que exigiria uma curadoria bem-feita, apta a capturar</w:t>
      </w:r>
      <w:r>
        <w:t xml:space="preserve"> </w:t>
      </w:r>
      <w:r>
        <w:t xml:space="preserve">“os novos enquadramentos que desafiam as representações hegemônicas”</w:t>
      </w:r>
      <w:r>
        <w:t xml:space="preserve"> </w:t>
      </w:r>
      <w:r>
        <w:t xml:space="preserve">(BENDER et al., 2021, p. 614, tradução livre).</w:t>
      </w:r>
    </w:p>
    <w:p>
      <w:pPr>
        <w:pStyle w:val="916"/>
      </w:pPr>
      <w:r>
        <w:t xml:space="preserve">A ascensão dos modelos de linguagem de grande escala (LLMs) fomenta debates emergentes sobre as fronteiras da autoria e os limites da propriedade intelectual na era digital. Embora tais ferramentas demonstrem capacidades analíticas notáveis, persiste a controvérsia sobre seu papel em publicações científicas. Seria apropriado atribuir-lhes coautoria? Tal discussão, longe de ser consensual, exige novas balizas epistemológicas e jurídicas (HITCH, 2024, p. 595). Por ora, prevalece a diretriz de que os pesquisadores humanos devem figurar como fiadores da integridade e da tutela dos dados, exercendo a interpretação crítica e a responsabilidade ética final, ainda que amparados pelo suporte computacional.</w:t>
      </w:r>
    </w:p>
    <w:p>
      <w:pPr>
        <w:pStyle w:val="916"/>
      </w:pPr>
      <w:r>
        <w:t xml:space="preserve">Outro aspecto ético crucial refere-se à necessidade de desenvolvimento de sistemas de IA orientados não apenas pela eficiência algorítmica, mas por um design cognitivo alinhado às capacidades humanas. Como observa Nensa (2025, p. 2, tradução livre), os sistemas devem ser concebidos para realçar as competências humanas como o</w:t>
      </w:r>
      <w:r>
        <w:t xml:space="preserve"> </w:t>
      </w:r>
      <w:r>
        <w:t xml:space="preserve">“raciocínio moral, julgamento ético, supervisão, autocorreção e adaptabilidade”</w:t>
      </w:r>
      <w:r>
        <w:t xml:space="preserve">, ao invés de com elas rivalizar. Trata-se de um chamado a repensar a própria arquitetura da tecnologia para que ela atue como uma extensão do pensamento humano, e não como uma substituição automatizada de suas faculdades mais sofisticadas.</w:t>
      </w:r>
    </w:p>
    <w:p>
      <w:pPr>
        <w:pStyle w:val="916"/>
      </w:pPr>
      <w:r>
        <w:t xml:space="preserve">Tecnicamente, os LLMs ainda apresentam gargalos significativos. Segundo Zhou et al. (2023), a incapacidade de lidar de forma equânime com diversos idiomas, a propensão a gerar desinformação ("alucinações") e a dependência de bases de treinamento potencialmente enviesadas ou desatualizadas são fatores que fragilizam a produção dos modelos. Consequentemente, a adoção dessas tecnologias sem o devido rigor interpretativo ameaça a integridade dos dados e a solidez das conclusões científicas, exigindo um posicionamento vigilante por parte do pesquisador.</w:t>
      </w:r>
    </w:p>
    <w:p>
      <w:pPr>
        <w:pStyle w:val="916"/>
      </w:pPr>
      <w:r>
        <w:t xml:space="preserve">Nesse sentido, Bender et al. (2021, p. 615) defendem que os projetos com IA incluam desde o início estratégias rigorosas de documentação e responsabilização sobre os dados utilizados. Os autores propõem que se estabeleça uma espécie de orçamento voltado à documentação adequada dos dados de treinamento, ou seja, que a criação e a manutenção de</w:t>
      </w:r>
      <w:r>
        <w:t xml:space="preserve"> </w:t>
      </w:r>
      <w:r>
        <w:rPr>
          <w:i/>
          <w:iCs/>
        </w:rPr>
        <w:t xml:space="preserve">datasets</w:t>
      </w:r>
      <w:r>
        <w:t xml:space="preserve"> </w:t>
      </w:r>
      <w:r>
        <w:t xml:space="preserve">esteja condicionada ao tempo e aos recursos necessários para descrevê-los adequadamente. Essa prática evitaria a chamada</w:t>
      </w:r>
      <w:r>
        <w:t xml:space="preserve"> </w:t>
      </w:r>
      <w:r>
        <w:t xml:space="preserve">“dívida de documentação”</w:t>
      </w:r>
      <w:r>
        <w:t xml:space="preserve">, isto é, conjuntos de dados tão grandes e opacos que se tornam impossíveis de auditar, perpetuando danos invisíveis a populações vulneráveis (BENDER et al., 2021, p. 614, tradução livre).</w:t>
      </w:r>
    </w:p>
    <w:p>
      <w:pPr>
        <w:pStyle w:val="916"/>
      </w:pPr>
      <w:r>
        <w:t xml:space="preserve">A literatura também problematiza a aplicação da IA na reprodução do comportamento humano. Bender et al. (2021) advertem que</w:t>
      </w:r>
      <w:r>
        <w:t xml:space="preserve"> </w:t>
      </w:r>
      <w:r>
        <w:t xml:space="preserve">“trabalhos que envolvem comportamento humano sintético constituem um divisor de águas no desenvolvimento ético da IA”</w:t>
      </w:r>
      <w:r>
        <w:t xml:space="preserve"> </w:t>
      </w:r>
      <w:r>
        <w:t xml:space="preserve">(BENDER et al., 2021, p. 614, tradução livre). O potencial de que as suas saídas sejam confundidas com falas humanas autênticas levanta questões pertinentes como as relacionadas à responsabilidade, autoria, desinformação e segurança. Por isso, defendem a adoção de uma postura ética proativa, voltada não apenas para a inovação técnica, mas para a prevenção de danos sociais previsíveis.</w:t>
      </w:r>
    </w:p>
    <w:p>
      <w:pPr>
        <w:pStyle w:val="916"/>
      </w:pPr>
      <w:r>
        <w:t xml:space="preserve">Diante desse panorama, torna-se cada vez mais evidente que o entusiasmo com as possibilidades abertas pela IA deve vir acompanhado de um compromisso inegociável com a ética. O uso de modelos de linguagem de larga escala (LLMs) em pesquisa, sobretudo em campos que lidam com experiências humanas, subjetividades e contextos socioculturais complexos, exige uma postura crítica, transparente e metodologicamente responsável. A IA pode ser uma aliada estratégica na investigação científica, no entanto, sua legitimidade depende da observância de princípios éticos, da proteção à privacidade dos dados, da clareza na atribuição da autoria e da atenção permanente aos riscos de reprodução de vieses diversos.</w:t>
      </w:r>
    </w:p>
    <w:p>
      <w:pPr>
        <w:pStyle w:val="916"/>
      </w:pPr>
      <w:r>
        <w:t xml:space="preserve">Em suma, conforme se intensifica o uso de tecnologias inteligentes na produção de conhecimento, cresce também a necessidade de estabelecer protocolos éticos robustos e atualizados, capazes de acompanhar a velocidade das transformações técnicas. É imprescindível que a relação entre IA e pesquisa qualitativa não seja pensada apenas em termos de eficiência, mas também, e talvez, sobretudo, em termos de responsabilidade social, epistêmica e ética.</w:t>
      </w:r>
    </w:p>
    <w:bookmarkEnd w:id="51"/>
    <w:bookmarkEnd w:id="52"/>
    <w:bookmarkStart w:id="53" w:name="X7d463f16bd0700d348747d119bd551f5d9bef6f"/>
    <w:p>
      <w:pPr>
        <w:pStyle w:val="905"/>
      </w:pPr>
      <w:r>
        <w:t xml:space="preserve">3.8 Declaração de IA e Tecnologias Assistidas por IA no Processo de Escrita</w:t>
      </w:r>
    </w:p>
    <w:p>
      <w:pPr>
        <w:pStyle w:val="917"/>
      </w:pPr>
      <w:r>
        <w:t xml:space="preserve">Durante a preparação deste trabalho, a autora, Flora de Freitas Soares Lima, utilizou o modelo de linguagem DeepSeek (deepseek-chat), disponibilizado pela DeepSeek, versão de 2025, no processo de estruturação metodológica e analítica da pesquisa, especialmente nas etapas de codificação automatizada e análise crítica das recomendações do DENASUS. Após o uso desta ferramenta, a autora revisou integralmente o conteúdo e realizou as edições que entendeu pertinentes, em conformidade com os princípios do método científico, da honestidade intelectual, da integridade, da boa prática científica e da responsabilidade previstos no art. 6º da Política de Integridade na Atividade Científica do CNPq (CNPq, 2026), assumindo total responsabilidade pelo conteúdo final desta publicação.</w:t>
      </w:r>
    </w:p>
    <w:bookmarkEnd w:id="53"/>
    <w:bookmarkStart w:id="54" w:name="aspectos-éticos-da-pesquisa"/>
    <w:p>
      <w:pPr>
        <w:pStyle w:val="905"/>
      </w:pPr>
      <w:r>
        <w:t xml:space="preserve">3.9 Aspectos Éticos da Pesquisa</w:t>
      </w:r>
    </w:p>
    <w:p>
      <w:pPr>
        <w:pStyle w:val="917"/>
      </w:pPr>
      <w:r>
        <w:t xml:space="preserve">A presente pesquisa se fundamenta na análise documental dos relatórios de auditoria publicados pelo Departamento Nacional de Auditoria do SUS (DENASUS), disponíveis no sítio eletrônico Consulta Auditoria (BRASIL, 2025), no período compreendido entre 01/01/2023 e 31/07/2025. O corpus em exame é composto, portanto, pelos relatórios publicados nesse período, relativamente aos quais foram extraídas todas as recomendações de auditoria neles contidas, com o escopo de analisar seu conteúdo, proceder à sua categorização, submeter a classificação resultante a uma verificação crítica assistida por inteligência artificial e, por fim, discutir os achados da pesquisa.</w:t>
      </w:r>
    </w:p>
    <w:p>
      <w:pPr>
        <w:pStyle w:val="916"/>
      </w:pPr>
      <w:r>
        <w:t xml:space="preserve">Trata-se de documentos oficiais de acesso e domínio públicos, sem coleta ou tratamento de dados pessoais identificáveis ou sensíveis, tampouco interação com participantes de pesquisa. Nesses termos, a investigação não se configura como pesquisa envolvendo seres humanos, razão pela qual não se aplica a obrigatoriedade de submissão ao Comitê de Ética em Pesquisa (CEP).</w:t>
      </w:r>
    </w:p>
    <w:p>
      <w:pPr>
        <w:pStyle w:val="916"/>
      </w:pPr>
      <w:r>
        <w:t xml:space="preserve">Tal enquadramento está em conformidade com a Resolução do Conselho Nacional de Saúde nº 674, de 6 de maio de 2022, que dispensa a apreciação, pelo Sistema CEP/Conep, de pesquisas que utilizam informações de acesso público (art. 26, II) e de domínio público (art. 26, III) (BRASIL, 2022). Ademais, alinha-se ao disposto na Lei nº 14.874, de 28 de maio de 2024, que estabelece que a pesquisa com seres humanos se sujeita à análise ética prévia (art. 6º), restringindo, assim, a exigência de apreciação ética às investigações que envolvem, direta ou indiretamente, participantes humanos. Tal compreensão é corroborada pelo Decreto nº 12.651, de 7 de outubro de 2025, que, ao regulamentar a referida lei, explicita, em seu art. 1º, parágrafo único, que a pesquisa com seres humanos pode abranger o uso de dados pessoais, informações sensíveis ou material biológico (BRASIL, 2024; 2025).</w:t>
      </w:r>
    </w:p>
    <w:p>
      <w:pPr>
        <w:pStyle w:val="916"/>
      </w:pPr>
      <w:r>
        <w:t xml:space="preserve">A presente investigação observa os princípios éticos aplicáveis à pesquisa científica nas ciências humanas e sociais, não implicando riscos a indivíduos ou coletividades. Adicionalmente, está alinhada aos fundamentos e princípios gerais para o uso responsável da inteligência artificial generativa na administração pública federal, conforme orientações estabelecidas no guia IA generativa no serviço público: definições, usos e boas práticas, publicado pelo Governo Federal (BRASIL, 2025).</w:t>
      </w:r>
    </w:p>
    <w:p>
      <w:r>
        <w:br w:type="page"/>
      </w:r>
    </w:p>
    <w:bookmarkEnd w:id="54"/>
    <w:bookmarkEnd w:id="55"/>
    <w:bookmarkStart w:id="80" w:name="resultados-e-discussão"/>
    <w:p>
      <w:pPr>
        <w:pStyle w:val="904"/>
      </w:pPr>
      <w:r>
        <w:t xml:space="preserve">4. Resultados e Discussão</w:t>
      </w:r>
    </w:p>
    <w:p>
      <w:pPr>
        <w:pStyle w:val="917"/>
      </w:pPr>
      <w:r>
        <w:t xml:space="preserve">Este capítulo apresenta os resultados obtidos a partir da análise das recomendações emitidas pelo Departamento Nacional de Auditoria do SUS (DENASUS), conduzida conforme o percurso metodológico descrito anteriormente. A investigação buscou examinar as recomendações constantes dos relatórios de auditoria selecionados, com o objetivo de compreender sua orientação em relação às causas dos problemas identificados, à produção de efeitos duradouros e às implicações desses padrões para a compreensão do papel institucional desempenhado pelo DENASUS no âmbito do Sistema Único de Saúde.</w:t>
      </w:r>
    </w:p>
    <w:p>
      <w:pPr>
        <w:pStyle w:val="916"/>
      </w:pPr>
      <w:r>
        <w:t xml:space="preserve">Em consonância com esse percurso, apresenta-se inicialmente a caracterização do corpus, seguida de uma exploração dos tipos de ação identificados em parte das recomendações. Em seguida, examinam-se o desenvolvimento do protocolo, os resultados da classificação causa/condição — inclusive sua distribuição entre os grupos documentais — e a análise crítica das classificações. As divergências relativas aos efeitos duradouros são então examinadas como corpus específico, antes da síntese dos achados e de sua discussão à luz do referencial teórico adotado.</w:t>
      </w:r>
    </w:p>
    <w:bookmarkStart w:id="65" w:name="caracterização-descritiva-do-corpus"/>
    <w:p>
      <w:pPr>
        <w:pStyle w:val="905"/>
      </w:pPr>
      <w:r>
        <w:t xml:space="preserve">4.1 Caracterização descritiva do corpus</w:t>
      </w:r>
    </w:p>
    <w:p>
      <w:pPr>
        <w:pStyle w:val="917"/>
      </w:pPr>
      <w:r>
        <w:t xml:space="preserve">O material empírico reúne 349 auditorias realizadas no período examinado, das quais foram extraídas 4.978 constatações e 4.289 recomendações. Para descrever sua composição, distinguem-se três níveis de observação: a auditoria, o registro de constatação e a recomendação a ele vinculada. Como uma auditoria pode gerar mais de um relatório, as contagens apresentadas nos gráficos foram agregadas pelo número da auditoria, após a identificação dos registros distintos em cada arquivo. Essa organização permite examinar o volume de material produzido sem confundir relatórios adicionais com auditorias independentes.</w:t>
      </w:r>
    </w:p>
    <w:p>
      <w:pPr>
        <w:pStyle w:val="916"/>
      </w:pPr>
      <w:r>
        <w:t xml:space="preserve">Considerada a data de geração do primeiro relatório de cada auditoria, 93 correspondem a 2023, 200 a 2024 e 56 a 2025; 307 possuem um único relatório, ao passo que 42 estão associadas a dois ou mais arquivos. Entre as constatações, 3.541 foram registradas como não conformes e 1.437 como conformes. A vinculação com recomendações não é uniforme: 1.595 constatações não possuem recomendação associada, 2.697 possuem uma e 686 estão associadas a duas ou mais. Esses números descrevem a estrutura documental do corpus e não antecipam qualquer juízo sobre o conteúdo ou o alcance das medidas recomendadas.</w:t>
      </w:r>
    </w:p>
    <w:p>
      <w:pPr>
        <w:pStyle w:val="916"/>
      </w:pPr>
      <w:r>
        <w:t xml:space="preserve">Também há diferença na extensão dos textos. As constatações apresentam mediana de 23 palavras e percentil 95 de 43 palavras, enquanto as recomendações apresentam mediana de 79 palavras e percentil 95 de 207 palavras. Assim, as recomendações são, em termos centrais, mais extensas que as constatações às quais se vinculam. Trata-se de uma característica formal do material, distinta da quantidade de registros por auditoria representada nos gráficos a seguir.</w:t>
      </w:r>
    </w:p>
    <w:p>
      <w:pPr>
        <w:pStyle w:val="916"/>
      </w:pPr>
      <w:r>
        <w:t xml:space="preserve">A distribuição das duas contagens por auditoria é apresentada na</w:t>
      </w:r>
      <w:r>
        <w:t xml:space="preserve"> </w:t>
      </w:r>
      <w:hyperlink w:anchor="fig-distribuicao-corpus-auditoria">
        <w:r>
          <w:rPr>
            <w:rStyle w:val="952"/>
          </w:rPr>
          <w:t xml:space="preserve">Figura 1</w:t>
        </w:r>
      </w:hyperlink>
      <w:r>
        <w:t xml:space="preserve">. A mediana é de 14 constatações e 10 recomendações por auditoria, incluídas nessa descrição as 16 auditorias sem constatações e as 19 sem recomendações. Os pontos individuais tornam visíveis tanto a concentração dos casos em volumes menores quanto a presença de auditorias com produção documental substancialmente superior à mediana.</w:t>
      </w:r>
    </w:p>
    <w:tbl>
      <w:tblPr>
        <w:tblStyle w:val="Table"/>
        <w:tblW w:type="pct" w:w="5000"/>
        <w:tblLayout w:type="fixed"/>
        <w:tblLook w:firstRow="0" w:lastRow="0" w:firstColumn="0" w:lastColumn="0" w:noHBand="0" w:noVBand="0" w:val="0000"/>
      </w:tblPr>
      <w:tblGrid>
        <w:gridCol w:w="7920"/>
      </w:tblGrid>
      <w:tr>
        <w:tc>
          <w:tcPr/>
          <w:bookmarkStart w:id="59" w:name="fig-distribuicao-corpus-auditoria"/>
          <w:p>
            <w:pPr>
              <w:pStyle w:val="918"/>
              <w:jc w:val="center"/>
            </w:pPr>
            <w:r>
              <w:drawing>
                <wp:inline>
                  <wp:extent cx="5600700" cy="4000500"/>
                  <wp:effectExtent b="0" l="0" r="0" t="0"/>
                  <wp:docPr descr="" title="" id="57" name="Picture"/>
                  <a:graphic>
                    <a:graphicData uri="http://schemas.openxmlformats.org/drawingml/2006/picture">
                      <pic:pic>
                        <pic:nvPicPr>
                          <pic:cNvPr descr="Dissertação-Flora_files/figure-docx/fig-distribuicao-corpus-auditoria-1.png" id="58" name="Picture"/>
                          <pic:cNvPicPr>
                            <a:picLocks noChangeArrowheads="1" noChangeAspect="1"/>
                          </pic:cNvPicPr>
                        </pic:nvPicPr>
                        <pic:blipFill>
                          <a:blip r:embed="rId56"/>
                          <a:stretch>
                            <a:fillRect/>
                          </a:stretch>
                        </pic:blipFill>
                        <pic:spPr bwMode="auto">
                          <a:xfrm>
                            <a:off x="0" y="0"/>
                            <a:ext cx="56007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Distribuição da quantidade de constatações e recomendações por auditoria; cada ponto representa uma auditoria.</w:t>
            </w:r>
          </w:p>
          <w:bookmarkEnd w:id="59"/>
        </w:tc>
      </w:tr>
    </w:tbl>
    <w:p>
      <w:pPr>
        <w:pStyle w:val="916"/>
      </w:pPr>
      <w:r>
        <w:t xml:space="preserve">Fonte: Elaboração própria com base nos dados da pesquisa.</w:t>
      </w:r>
    </w:p>
    <w:p>
      <w:pPr>
        <w:pStyle w:val="916"/>
      </w:pPr>
      <w:r>
        <w:t xml:space="preserve">A</w:t>
      </w:r>
      <w:r>
        <w:t xml:space="preserve"> </w:t>
      </w:r>
      <w:hyperlink w:anchor="fig-relacao-corpus-auditoria">
        <w:r>
          <w:rPr>
            <w:rStyle w:val="952"/>
          </w:rPr>
          <w:t xml:space="preserve">Figura 2</w:t>
        </w:r>
      </w:hyperlink>
      <w:r>
        <w:t xml:space="preserve"> </w:t>
      </w:r>
      <w:r>
        <w:t xml:space="preserve">apresenta conjuntamente as contagens por auditoria. Observa-se uma associação positiva: auditorias com mais constatações tendem, em geral, a reunir também mais recomendações, embora a dispersão dos pontos mostre que essa relação não é uniforme. A linha tracejada indica igualdade entre as duas quantidades, enquanto a linha contínua resume sua associação linear no conjunto observado. Essas representações descrevem a composição do material e não permitem inferir, por si sós, uma relação causal entre as contagens.</w:t>
      </w:r>
    </w:p>
    <w:tbl>
      <w:tblPr>
        <w:tblStyle w:val="Table"/>
        <w:tblW w:type="pct" w:w="5000"/>
        <w:tblLayout w:type="fixed"/>
        <w:tblLook w:firstRow="0" w:lastRow="0" w:firstColumn="0" w:lastColumn="0" w:noHBand="0" w:noVBand="0" w:val="0000"/>
      </w:tblPr>
      <w:tblGrid>
        <w:gridCol w:w="7920"/>
      </w:tblGrid>
      <w:tr>
        <w:tc>
          <w:tcPr/>
          <w:bookmarkStart w:id="63" w:name="fig-relacao-corpus-auditoria"/>
          <w:p>
            <w:pPr>
              <w:pStyle w:val="918"/>
              <w:jc w:val="center"/>
            </w:pPr>
            <w:r>
              <w:drawing>
                <wp:inline>
                  <wp:extent cx="5600700" cy="4000500"/>
                  <wp:effectExtent b="0" l="0" r="0" t="0"/>
                  <wp:docPr descr="" title="" id="61" name="Picture"/>
                  <a:graphic>
                    <a:graphicData uri="http://schemas.openxmlformats.org/drawingml/2006/picture">
                      <pic:pic>
                        <pic:nvPicPr>
                          <pic:cNvPr descr="Dissertação-Flora_files/figure-docx/fig-relacao-corpus-auditoria-1.png" id="62" name="Picture"/>
                          <pic:cNvPicPr>
                            <a:picLocks noChangeArrowheads="1" noChangeAspect="1"/>
                          </pic:cNvPicPr>
                        </pic:nvPicPr>
                        <pic:blipFill>
                          <a:blip r:embed="rId60"/>
                          <a:stretch>
                            <a:fillRect/>
                          </a:stretch>
                        </pic:blipFill>
                        <pic:spPr bwMode="auto">
                          <a:xfrm>
                            <a:off x="0" y="0"/>
                            <a:ext cx="56007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Relação entre as quantidades de constatações e recomendações por auditoria; linha tracejada: igualdade entre as contagens; linha contínua: ajuste linear.</w:t>
            </w:r>
          </w:p>
          <w:bookmarkEnd w:id="63"/>
        </w:tc>
      </w:tr>
    </w:tbl>
    <w:p>
      <w:pPr>
        <w:pStyle w:val="916"/>
      </w:pPr>
      <w:r>
        <w:t xml:space="preserve">Fonte: Elaboração própria com base nos dados da pesquisa.</w:t>
      </w:r>
    </w:p>
    <w:p>
      <w:pPr>
        <w:pStyle w:val="916"/>
      </w:pPr>
      <w:r>
        <w:t xml:space="preserve">Essa descrição delimita o material a partir do qual as recomendações foram posteriormente classificadas. A heterogeneidade entre auditorias e a diferença de extensão entre os dois tipos de texto constituem, assim, informações de contexto para a leitura dos resultados analíticos, sem representar, elas próprias, categorias da tipologia empregada na pesquisa.</w:t>
      </w:r>
    </w:p>
    <w:bookmarkStart w:id="64" w:name="exploração-dos-tipos-de-ação-recomendada"/>
    <w:p>
      <w:pPr>
        <w:pStyle w:val="906"/>
      </w:pPr>
      <w:r>
        <w:t xml:space="preserve">4.1.1 Exploração dos tipos de ação recomendada</w:t>
      </w:r>
    </w:p>
    <w:p>
      <w:pPr>
        <w:pStyle w:val="917"/>
      </w:pPr>
      <w:r>
        <w:t xml:space="preserve">Para acrescentar uma dimensão substantiva à descrição do corpus, realizou-se uma exploração das ações propostas em 500 recomendações, documentada no Apêndice C. As etiquetas utilizadas, identificadas em leituras anteriores e reaplicadas nesse subconjunto, nomeiam tipos de medida, como cumprimento normativo, implementação de controles e melhorias de processos. Não se confundem com a distinção</w:t>
      </w:r>
      <w:r>
        <w:t xml:space="preserve"> </w:t>
      </w:r>
      <w:r>
        <w:rPr>
          <w:i/>
          <w:iCs/>
        </w:rPr>
        <w:t xml:space="preserve">cause-based/condition-based</w:t>
      </w:r>
      <w:r>
        <w:t xml:space="preserve">: uma mesma modalidade de ação pode ser formulada de maneira mais ou menos capaz de enfrentar a causa de uma constatação.</w:t>
      </w:r>
    </w:p>
    <w:p>
      <w:pPr>
        <w:pStyle w:val="916"/>
      </w:pPr>
      <w:r>
        <w:t xml:space="preserve">Nesse subconjunto, 223 recomendações (44,6%) receberam a etiqueta “cumprimento de requisito normativo”, 66 (13,2%) “implementação de controle interno”, 47 (9,4%) “implementação de melhoria de processo organizacional” e 42 (8,4%) “reparação de prejuízo”. As demais se distribuíram por outras etiquetas descritas no apêndice. Essa distribuição revela a variedade das ações presentes no material explorado, mas, por não corresponder a uma etiquetagem integral das 4.289 recomendações, não deve ser extrapolada para o corpus completo. Tampouco essas etiquetas equivalem ao campo “Grupo” dos relatórios de auditoria, utilizado adiante para contextualizar os resultados da classificação principal.</w:t>
      </w:r>
    </w:p>
    <w:bookmarkEnd w:id="64"/>
    <w:bookmarkEnd w:id="65"/>
    <w:bookmarkStart w:id="66" w:name="X0ab81991e8d46af302dec7790fb931a3d10cd1f"/>
    <w:p>
      <w:pPr>
        <w:pStyle w:val="905"/>
      </w:pPr>
      <w:r>
        <w:t xml:space="preserve">4.2 Desenvolvimento e calibração do protocolo de codificação</w:t>
      </w:r>
    </w:p>
    <w:p>
      <w:pPr>
        <w:pStyle w:val="917"/>
      </w:pPr>
      <w:r>
        <w:t xml:space="preserve">A definição do protocolo resultou de testes sucessivos documentados nos Apêndices D a K. Essas versões permitiram confrontar as respostas do modelo com a leitura da pesquisadora, identificar ambiguidades e ajustar os critérios antes e depois da codificação integral. A numeração original dos</w:t>
      </w:r>
      <w:r>
        <w:t xml:space="preserve"> </w:t>
      </w:r>
      <w:r>
        <w:rPr>
          <w:i/>
          <w:iCs/>
        </w:rPr>
        <w:t xml:space="preserve">prompts</w:t>
      </w:r>
      <w:r>
        <w:t xml:space="preserve"> </w:t>
      </w:r>
      <w:r>
        <w:t xml:space="preserve">foi mantida para preservar a rastreabilidade do processo; o registro antes chamado “Tentativa 5” foi deslocado para o Apêndice C como exploração autônoma dos tipos de ação, e não integra a sequência de calibração apresentada a seguir.</w:t>
      </w:r>
    </w:p>
    <w:p>
      <w:pPr>
        <w:pStyle w:val="916"/>
      </w:pPr>
      <w:r>
        <w:t xml:space="preserve">Na tentativa 1 (Apêndice D), foram testados os códigos “causa identificada”, “ação proposta”, “efeitos duradouros” e “ação genérica”. A identificação automática mostrou imprecisões na amostra examinada, o que motivou a revisão dos parâmetros. A tentativa 2 (Apêndice E) manteve os quatro códigos, mas explicitou melhor seus fundamentos e características. As respostas continuaram a oscilar entre classificações coerentes e logicamente inconsistentes; por isso, esse conjunto de códigos foi descartado.</w:t>
      </w:r>
    </w:p>
    <w:p>
      <w:pPr>
        <w:pStyle w:val="916"/>
      </w:pPr>
      <w:r>
        <w:t xml:space="preserve">Na tentativa 3 (Apêndice F), os códigos passaram a ser “ação corretiva”, “ação foco causa” e “efeitos duradouros”. A identificação das ações propostas melhorou em relação à versão anterior, mas a distinção entre ações genéricas e específicas introduziu ambiguidades: nem sempre era possível determinar se uma ação genérica incidia sobre a causa do problema ou apenas sobre a condição observada. Na tentativa 4 (Apêndice G), os mesmos códigos foram aplicados a uma amostra ampliada. O teste confirmou a necessidade de ajustes adicionais, sem resolver a ambiguidade central.</w:t>
      </w:r>
    </w:p>
    <w:p>
      <w:pPr>
        <w:pStyle w:val="916"/>
      </w:pPr>
      <w:r>
        <w:t xml:space="preserve">Na tentativa 6 (Apêndice H), quatorze códigos temáticos, relativos a áreas como governança, operações, pessoal, contratos, dados e patrimônio, foram aplicados a 200 registros. A categoria “gestão de operações” concentrou recomendações de naturezas distintas e perdeu poder discriminatório. Mesmo nesse agrupamento amplo, permaneceram os dilemas de interpretação entre ações voltadas à causa e ações voltadas à condição. Esses resultados levaram ao abandono da classificação temática como eixo principal.</w:t>
      </w:r>
    </w:p>
    <w:p>
      <w:pPr>
        <w:pStyle w:val="916"/>
      </w:pPr>
      <w:r>
        <w:t xml:space="preserve">Na tentativa 7 (Apêndice I), retomou-se uma estrutura mais parcimoniosa, com dois critérios: “foco causa” e “efeitos duradouros”. O</w:t>
      </w:r>
      <w:r>
        <w:t xml:space="preserve"> </w:t>
      </w:r>
      <w:r>
        <w:rPr>
          <w:i/>
          <w:iCs/>
        </w:rPr>
        <w:t xml:space="preserve">prompt</w:t>
      </w:r>
      <w:r>
        <w:t xml:space="preserve"> </w:t>
      </w:r>
      <w:r>
        <w:t xml:space="preserve">passou a contextualizar a auditoria e a tipologia adotada, além de solicitar uma análise breve antes da resposta aos critérios. Os testes preliminares indicaram que, sem considerar a continuidade dos efeitos diante da eventual substituição dos gestores, o modelo poderia classificar como duradouras ações dependentes da atuação de pessoas específicas. Em um teste com vinte recomendações, todas as classificações foram examinadas pela pesquisadora, que considerou os critérios adequados para a aplicação integral. Esse exame localizado sustentou a escolha do protocolo, sem constituir medida de acurácia para todo o</w:t>
      </w:r>
      <w:r>
        <w:t xml:space="preserve"> </w:t>
      </w:r>
      <w:r>
        <w:rPr>
          <w:i/>
          <w:iCs/>
        </w:rPr>
        <w:t xml:space="preserve">corpus</w:t>
      </w:r>
      <w:r>
        <w:t xml:space="preserve">.</w:t>
      </w:r>
    </w:p>
    <w:p>
      <w:pPr>
        <w:pStyle w:val="916"/>
      </w:pPr>
      <w:r>
        <w:t xml:space="preserve">A tentativa 8 (Apêndice J) correspondeu à aplicação do protocolo selecionado às 4.289 recomendações do</w:t>
      </w:r>
      <w:r>
        <w:t xml:space="preserve"> </w:t>
      </w:r>
      <w:r>
        <w:rPr>
          <w:i/>
          <w:iCs/>
        </w:rPr>
        <w:t xml:space="preserve">corpus</w:t>
      </w:r>
      <w:r>
        <w:t xml:space="preserve">. Seus resultados distributivos são apresentados na seção seguinte. Na tentativa 9 (Apêndice K), acrescentou-se um</w:t>
      </w:r>
      <w:r>
        <w:t xml:space="preserve"> </w:t>
      </w:r>
      <w:r>
        <w:rPr>
          <w:i/>
          <w:iCs/>
        </w:rPr>
        <w:t xml:space="preserve">prompt</w:t>
      </w:r>
      <w:r>
        <w:t xml:space="preserve"> </w:t>
      </w:r>
      <w:r>
        <w:t xml:space="preserve">de análise crítica das classificações já produzidas: o modelo passou a registrar concordância ou discordância, com justificativa, para cada um dos dois critérios. A distribuição das convergências e divergências dessa segunda rodada é apresentada na seção “Resultados da Análise Crítica”; ela permite examinar a estabilidade das respostas entre rodadas, mas não equivale a uma validação independente das classificações.</w:t>
      </w:r>
    </w:p>
    <w:p>
      <w:pPr>
        <w:pStyle w:val="916"/>
      </w:pPr>
      <w:r>
        <w:t xml:space="preserve">Em conjunto, essas tentativas mostram que a simplificação dos códigos resultou da dificuldade de converter temas de ação em uma distinção estável entre causa e condição. A revisão automatizada acrescentou uma camada documentada de escrutínio, mas suas justificativas continuam sujeitas à leitura crítica da pesquisadora. Assim, a interpretação dos padrões identificados depende da articulação entre os resultados da codificação, as divergências da revisão e o referencial teórico, e não apenas da concordância entre respostas do modelo.</w:t>
      </w:r>
    </w:p>
    <w:bookmarkEnd w:id="66"/>
    <w:bookmarkStart w:id="68" w:name="resultados-da-codificação-automatizada"/>
    <w:p>
      <w:pPr>
        <w:pStyle w:val="905"/>
      </w:pPr>
      <w:r>
        <w:t xml:space="preserve">4.3 Resultados da Codificação Automatizada</w:t>
      </w:r>
    </w:p>
    <w:p>
      <w:pPr>
        <w:pStyle w:val="917"/>
      </w:pPr>
      <w:r>
        <w:t xml:space="preserve">A primeira etapa da pesquisa consistiu na codificação automatizada de 4.289 recomendações emitidas pelo Departamento Nacional de Auditoria do SUS (DENASUS), extraídas dos relatórios de auditoria que compuseram o corpus analisado. A classificação foi realizada por modelo de linguagem previamente instruído a aplicar dois critérios analíticos: a identificação de foco na causa do problema descrito na constatação e a verificação da perenidade dos efeitos pretendidos pela ação recomendada.</w:t>
      </w:r>
    </w:p>
    <w:p>
      <w:pPr>
        <w:pStyle w:val="916"/>
      </w:pPr>
      <w:r>
        <w:t xml:space="preserve">Os critérios adotados foram construídos a partir da tipologia proposta pelo Institute of Internal Auditors (IIA), com especial apoio na definição apresentada em publicação oficial da entidade, segundo a qual recomendações baseadas na causa correspondem a "ações necessárias para evitar que a condição ou observação volte a ocorrer", normalmente associadas a soluções de longo prazo (IIA, 2021, p. 9). À luz desse referencial, o modelo foi instruído a identificar se a recomendação incidia sobre os fatores que deram origem ao problema constatado, e não apenas sobre a correção da condição observada ou de seus efeitos imediatos.</w:t>
      </w:r>
    </w:p>
    <w:p>
      <w:pPr>
        <w:pStyle w:val="916"/>
      </w:pPr>
      <w:r>
        <w:t xml:space="preserve">No que se refere à perenidade dos efeitos, o modelo foi orientado a considerar como duradouras as recomendações cujos resultados pretendidos pudessem permanecer ao longo do tempo, inclusive diante da eventual substituição dos agentes responsáveis por sua implementação. A aplicação dos dois critérios produziu os resultados apresentados na Tabela 2, conforme a seguir:</w:t>
      </w:r>
    </w:p>
    <w:tbl>
      <w:tblPr>
        <w:tblStyle w:val="Table"/>
        <w:tblW w:type="pct" w:w="5000"/>
        <w:tblLayout w:type="fixed"/>
        <w:tblLook w:firstRow="0" w:lastRow="0" w:firstColumn="0" w:lastColumn="0" w:noHBand="0" w:noVBand="0" w:val="0000"/>
      </w:tblPr>
      <w:tblGrid>
        <w:gridCol w:w="7920"/>
      </w:tblGrid>
      <w:tr>
        <w:tc>
          <w:tcPr/>
          <w:bookmarkStart w:id="67" w:name="tbl-codificacao-classificacao"/>
          <w:p>
            <w:pPr>
              <w:jc w:val="center"/>
            </w:pPr>
            <w:pPr>
              <w:jc w:val="left"/>
              <w:spacing w:before="200"/>
              <w:pStyle w:val="ImageCaption"/>
            </w:pPr>
            <w:r>
              <w:t xml:space="preserve">Tabela 2: Resultado do processo de codificação e classificação</w:t>
            </w:r>
          </w:p>
          <w:tbl>
            <w:tblPr>
              <w:tblStyle w:val="Table"/>
              <w:tblW w:type="pct" w:w="4870"/>
              <w:tblLayout w:type="fixed"/>
              <w:tblLook w:firstRow="1" w:lastRow="0" w:firstColumn="0" w:lastColumn="0" w:noHBand="0" w:noVBand="0" w:val="0020"/>
            </w:tblPr>
            <w:tblGrid>
              <w:gridCol w:w="4937"/>
              <w:gridCol w:w="2777"/>
            </w:tblGrid>
            <w:tr>
              <w:trPr>
                <w:tblHeader w:val="on"/>
              </w:trPr>
              <w:tc>
                <w:tcPr/>
                <w:p>
                  <w:pPr>
                    <w:pStyle w:val="918"/>
                    <w:jc w:val="left"/>
                    <w:jc w:val="center"/>
                  </w:pPr>
                  <w:r>
                    <w:rPr>
                      <w:b/>
                      <w:bCs/>
                    </w:rPr>
                    <w:t xml:space="preserve">Classificação</w:t>
                  </w:r>
                </w:p>
              </w:tc>
              <w:tc>
                <w:tcPr/>
                <w:p>
                  <w:pPr>
                    <w:pStyle w:val="918"/>
                    <w:jc w:val="right"/>
                    <w:jc w:val="center"/>
                  </w:pPr>
                  <w:r>
                    <w:rPr>
                      <w:b/>
                      <w:bCs/>
                    </w:rPr>
                    <w:t xml:space="preserve">Total</w:t>
                  </w:r>
                </w:p>
              </w:tc>
            </w:tr>
            <w:tr>
              <w:tc>
                <w:tcPr/>
                <w:p>
                  <w:pPr>
                    <w:pStyle w:val="918"/>
                    <w:jc w:val="left"/>
                    <w:jc w:val="center"/>
                  </w:pPr>
                  <w:r>
                    <w:t xml:space="preserve">Ação com foco na causa e efeitos duradouros</w:t>
                  </w:r>
                </w:p>
              </w:tc>
              <w:tc>
                <w:tcPr/>
                <w:p>
                  <w:pPr>
                    <w:pStyle w:val="918"/>
                    <w:jc w:val="right"/>
                    <w:jc w:val="center"/>
                  </w:pPr>
                  <w:r>
                    <w:t xml:space="preserve">2.671 (62,28%)</w:t>
                  </w:r>
                </w:p>
              </w:tc>
            </w:tr>
            <w:tr>
              <w:tc>
                <w:tcPr/>
                <w:p>
                  <w:pPr>
                    <w:pStyle w:val="918"/>
                    <w:jc w:val="left"/>
                    <w:jc w:val="center"/>
                  </w:pPr>
                  <w:r>
                    <w:t xml:space="preserve">Ação com foco na causa sem efeitos duradouros</w:t>
                  </w:r>
                </w:p>
              </w:tc>
              <w:tc>
                <w:tcPr/>
                <w:p>
                  <w:pPr>
                    <w:pStyle w:val="918"/>
                    <w:jc w:val="right"/>
                    <w:jc w:val="center"/>
                  </w:pPr>
                  <w:r>
                    <w:t xml:space="preserve">12 (0,28%)</w:t>
                  </w:r>
                </w:p>
              </w:tc>
            </w:tr>
            <w:tr>
              <w:tc>
                <w:tcPr/>
                <w:p>
                  <w:pPr>
                    <w:pStyle w:val="918"/>
                    <w:jc w:val="left"/>
                    <w:jc w:val="center"/>
                  </w:pPr>
                  <w:r>
                    <w:t xml:space="preserve">Sem ação com foco causa</w:t>
                  </w:r>
                </w:p>
              </w:tc>
              <w:tc>
                <w:tcPr/>
                <w:p>
                  <w:pPr>
                    <w:pStyle w:val="918"/>
                    <w:jc w:val="right"/>
                    <w:jc w:val="center"/>
                  </w:pPr>
                  <w:r>
                    <w:t xml:space="preserve">1.601 (37,33%)</w:t>
                  </w:r>
                </w:p>
              </w:tc>
            </w:tr>
            <w:tr>
              <w:tc>
                <w:tcPr/>
                <w:p>
                  <w:pPr>
                    <w:pStyle w:val="918"/>
                    <w:jc w:val="left"/>
                    <w:jc w:val="center"/>
                  </w:pPr>
                  <w:r>
                    <w:t xml:space="preserve">Não se aplica</w:t>
                  </w:r>
                </w:p>
              </w:tc>
              <w:tc>
                <w:tcPr/>
                <w:p>
                  <w:pPr>
                    <w:pStyle w:val="918"/>
                    <w:jc w:val="right"/>
                    <w:jc w:val="center"/>
                  </w:pPr>
                  <w:r>
                    <w:t xml:space="preserve">5 (0,12%)</w:t>
                  </w:r>
                </w:p>
              </w:tc>
            </w:tr>
            <w:tr>
              <w:tc>
                <w:tcPr/>
                <w:p>
                  <w:pPr>
                    <w:pStyle w:val="918"/>
                    <w:jc w:val="left"/>
                    <w:jc w:val="center"/>
                  </w:pPr>
                  <w:r>
                    <w:rPr>
                      <w:b/>
                      <w:bCs/>
                    </w:rPr>
                    <w:t xml:space="preserve">Total</w:t>
                  </w:r>
                </w:p>
              </w:tc>
              <w:tc>
                <w:tcPr/>
                <w:p>
                  <w:pPr>
                    <w:pStyle w:val="918"/>
                    <w:jc w:val="right"/>
                    <w:jc w:val="center"/>
                  </w:pPr>
                  <w:r>
                    <w:rPr>
                      <w:b/>
                      <w:bCs/>
                    </w:rPr>
                    <w:t xml:space="preserve">4.289</w:t>
                  </w:r>
                </w:p>
              </w:tc>
            </w:tr>
          </w:tbl>
          <w:bookmarkEnd w:id="67"/>
          <w:p/>
        </w:tc>
      </w:tr>
    </w:tbl>
    <w:p>
      <w:pPr>
        <w:pStyle w:val="916"/>
      </w:pPr>
      <w:r>
        <w:t xml:space="preserve">Fonte: Elaboração própria a partir dos dados da pesquisa.</w:t>
      </w:r>
    </w:p>
    <w:p>
      <w:pPr>
        <w:pStyle w:val="916"/>
      </w:pPr>
      <w:r>
        <w:t xml:space="preserve">Os resultados indicam que 2.671 recomendações, correspondentes a 62,28% do universo analisado, foram classificadas como contendo ações simultaneamente orientadas à causa dos problemas identificados e associadas a efeitos duradouros. Isso significa que, nesses casos, a recomendação propunha uma medida voltada à eliminação do problema em sua origem e cuja efetividade não dependia da permanência de agentes específicos.</w:t>
      </w:r>
    </w:p>
    <w:p>
      <w:pPr>
        <w:pStyle w:val="916"/>
      </w:pPr>
      <w:r>
        <w:t xml:space="preserve">Em contrapartida, 1.601 recomendações (37,33%) foram classificadas como desprovidas de foco na causa, razão pela qual a avaliação relativa à durabilidade dos efeitos foi considerada não aplicável. Essa combinação decorre da própria lógica prevista nas instruções do modelo analítico adotado, segundo a qual a aferição da perenidade pressupõe, previamente, a identificação de medida voltada ao enfrentamento da causa do problema. Ausente esse elemento, a recomendação deveria ser compreendida como direcionada à correção da condição observada na auditoria, tornando desnecessária a análise acerca da permanência de seus efeitos ao longo do tempo.</w:t>
      </w:r>
      <w:r>
        <w:t xml:space="preserve"> </w:t>
      </w:r>
    </w:p>
    <w:p>
      <w:pPr>
        <w:pStyle w:val="916"/>
      </w:pPr>
      <w:r>
        <w:t xml:space="preserve">As demais classificações apresentaram ocorrência residual. Apenas 12 recomendações (0,28%) foram enquadradas na categoria que combina foco na causa e ausência de efeitos duradouros, equivalendo a propostas que, ainda que buscassem incidir sobre a origem do problema, não garantiam sustentabilidade ao longo do tempo. Adicionalmente, 5 registros (0,12%) receberam a classificação</w:t>
      </w:r>
      <w:r>
        <w:t xml:space="preserve"> </w:t>
      </w:r>
      <w:r>
        <w:t xml:space="preserve">“não se aplica”</w:t>
      </w:r>
      <w:r>
        <w:t xml:space="preserve"> </w:t>
      </w:r>
      <w:r>
        <w:t xml:space="preserve">para ambas as variáveis, sugerindo ausência de uma recomendação clara ou inconsistência textual no item analisado. Em conjunto, essas duas categorias corresponderam a somente 0,40% do corpus analisado.</w:t>
      </w:r>
    </w:p>
    <w:p>
      <w:pPr>
        <w:pStyle w:val="916"/>
      </w:pPr>
      <w:r>
        <w:t xml:space="preserve">A distribuição observada revela forte concentração das recomendações em apenas dois agrupamentos analíticos. De um lado, encontram-se aquelas interpretadas como orientadas ao enfrentamento da causa dos problemas e associadas a efeitos duradouros; de outro, as recomendações classificadas como desprovidas de foco na causa, direcionadas, portanto, à correção da condição observada. A reduzida incidência das categorias residuais sugere que o modelo raramente identificou situações situadas entre esses dois polos classificatórios.</w:t>
      </w:r>
    </w:p>
    <w:p>
      <w:pPr>
        <w:pStyle w:val="916"/>
      </w:pPr>
      <w:r>
        <w:t xml:space="preserve">Outro aspecto digno de nota refere-se à elevada convergência entre as variáveis analisadas. Considerando-se exclusivamente as 2.683 (2.671 +12) recomendações classificadas como orientadas à causa, verifica-se que 2.671 delas também foram consideradas portadoras de efeitos duradouros, o que corresponde a aproximadamente 99,55% desse subconjunto. Em outras palavras, sempre que o modelo identificou uma recomendação voltada ao enfrentamento da origem do problema, também reconheceu, na quase totalidade dos casos, potencial de permanência dos efeitos produzidos. Tal resultado sugere que as noções de atuação sobre a causa e de durabilidade dos resultados mostraram-se fortemente associadas no material examinado.</w:t>
      </w:r>
    </w:p>
    <w:p>
      <w:pPr>
        <w:pStyle w:val="916"/>
      </w:pPr>
      <w:r>
        <w:t xml:space="preserve">Sob perspectiva estritamente descritiva, os resultados da codificação automatizada apontam para a predominância de recomendações interpretadas como voltadas ao enfrentamento dos fatores que originam os problemas identificados nas auditorias. A compreensão do significado institucional dessa distribuição, bem como das implicações decorrentes desse padrão classificatório, será aprofundada nas seções subsequentes, mediante exame crítico dos resultados produzidos e sua articulação com o referencial teórico adotado pela pesquisa.</w:t>
      </w:r>
    </w:p>
    <w:bookmarkEnd w:id="68"/>
    <w:bookmarkStart w:id="70" w:name="Xab8922884102c84d10f10437d8fd47f5e0740e9"/>
    <w:p>
      <w:pPr>
        <w:pStyle w:val="905"/>
      </w:pPr>
      <w:r>
        <w:t xml:space="preserve">4.4 Distribuição da classificação entre os grupos de auditoria</w:t>
      </w:r>
    </w:p>
    <w:p>
      <w:pPr>
        <w:pStyle w:val="917"/>
      </w:pPr>
      <w:r>
        <w:t xml:space="preserve">A distribuição agregada oculta diferenças entre os grupos temáticos atribuídos pelo DENASUS às constatações. A Tabela 3 cruza esse campo documental com o resultado da codificação das recomendações a elas vinculadas. “Foco na causa e efeitos duradouros” corresponde aqui à resposta afirmativa para ambos os critérios; portanto, a coluna não inclui os 12 casos com foco causal, mas sem efeitos duradouros. Os grupos com menos de 100 recomendações foram reunidos em “Outros”, e as proporções foram calculadas dentro de cada grupo.</w:t>
      </w:r>
    </w:p>
    <w:tbl>
      <w:tblPr>
        <w:tblStyle w:val="Table"/>
        <w:tblW w:type="pct" w:w="5000"/>
        <w:tblLayout w:type="fixed"/>
        <w:tblLook w:firstRow="0" w:lastRow="0" w:firstColumn="0" w:lastColumn="0" w:noHBand="0" w:noVBand="0" w:val="0000"/>
      </w:tblPr>
      <w:tblGrid>
        <w:gridCol w:w="7920"/>
      </w:tblGrid>
      <w:tr>
        <w:tc>
          <w:tcPr/>
          <w:bookmarkStart w:id="69" w:name="tbl-classificacao-por-grupo"/>
          <w:p>
            <w:pPr>
              <w:jc w:val="center"/>
            </w:pPr>
            <w:pPr>
              <w:jc w:val="left"/>
              <w:spacing w:before="200"/>
              <w:pStyle w:val="ImageCaption"/>
            </w:pPr>
            <w:r>
              <w:t xml:space="preserve">Tabela 3: Recomendações classificadas com foco na causa e efeitos duradouros, segundo o grupo da constatação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918"/>
                    <w:jc w:val="left"/>
                    <w:jc w:val="center"/>
                  </w:pPr>
                  <w:r>
                    <w:t xml:space="preserve">Grupo da constatação</w:t>
                  </w:r>
                </w:p>
              </w:tc>
              <w:tc>
                <w:tcPr/>
                <w:p>
                  <w:pPr>
                    <w:pStyle w:val="918"/>
                    <w:jc w:val="right"/>
                    <w:jc w:val="center"/>
                  </w:pPr>
                  <w:r>
                    <w:t xml:space="preserve">Recomendações</w:t>
                  </w:r>
                </w:p>
              </w:tc>
              <w:tc>
                <w:tcPr/>
                <w:p>
                  <w:pPr>
                    <w:pStyle w:val="918"/>
                    <w:jc w:val="right"/>
                    <w:jc w:val="center"/>
                  </w:pPr>
                  <w:r>
                    <w:t xml:space="preserve">Foco na causa e efeitos duradouros</w:t>
                  </w:r>
                </w:p>
              </w:tc>
              <w:tc>
                <w:tcPr/>
                <w:p>
                  <w:pPr>
                    <w:pStyle w:val="918"/>
                    <w:jc w:val="right"/>
                    <w:jc w:val="center"/>
                  </w:pPr>
                  <w:r>
                    <w:t xml:space="preserve">Percentual no grupo</w:t>
                  </w:r>
                </w:p>
              </w:tc>
            </w:tr>
            <w:tr>
              <w:tc>
                <w:tcPr/>
                <w:p>
                  <w:pPr>
                    <w:pStyle w:val="918"/>
                    <w:jc w:val="left"/>
                    <w:jc w:val="center"/>
                  </w:pPr>
                  <w:r>
                    <w:t xml:space="preserve">Vigilância em Saúde</w:t>
                  </w:r>
                </w:p>
              </w:tc>
              <w:tc>
                <w:tcPr/>
                <w:p>
                  <w:pPr>
                    <w:pStyle w:val="918"/>
                    <w:jc w:val="right"/>
                    <w:jc w:val="center"/>
                  </w:pPr>
                  <w:r>
                    <w:t xml:space="preserve">139</w:t>
                  </w:r>
                </w:p>
              </w:tc>
              <w:tc>
                <w:tcPr/>
                <w:p>
                  <w:pPr>
                    <w:pStyle w:val="918"/>
                    <w:jc w:val="right"/>
                    <w:jc w:val="center"/>
                  </w:pPr>
                  <w:r>
                    <w:t xml:space="preserve">120</w:t>
                  </w:r>
                </w:p>
              </w:tc>
              <w:tc>
                <w:tcPr/>
                <w:p>
                  <w:pPr>
                    <w:pStyle w:val="918"/>
                    <w:jc w:val="right"/>
                    <w:jc w:val="center"/>
                  </w:pPr>
                  <w:r>
                    <w:t xml:space="preserve">86,33%</w:t>
                  </w:r>
                </w:p>
              </w:tc>
            </w:tr>
            <w:tr>
              <w:tc>
                <w:tcPr/>
                <w:p>
                  <w:pPr>
                    <w:pStyle w:val="918"/>
                    <w:jc w:val="left"/>
                    <w:jc w:val="center"/>
                  </w:pPr>
                  <w:r>
                    <w:t xml:space="preserve">Programas Estratégicos</w:t>
                  </w:r>
                </w:p>
              </w:tc>
              <w:tc>
                <w:tcPr/>
                <w:p>
                  <w:pPr>
                    <w:pStyle w:val="918"/>
                    <w:jc w:val="right"/>
                    <w:jc w:val="center"/>
                  </w:pPr>
                  <w:r>
                    <w:t xml:space="preserve">242</w:t>
                  </w:r>
                </w:p>
              </w:tc>
              <w:tc>
                <w:tcPr/>
                <w:p>
                  <w:pPr>
                    <w:pStyle w:val="918"/>
                    <w:jc w:val="right"/>
                    <w:jc w:val="center"/>
                  </w:pPr>
                  <w:r>
                    <w:t xml:space="preserve">205</w:t>
                  </w:r>
                </w:p>
              </w:tc>
              <w:tc>
                <w:tcPr/>
                <w:p>
                  <w:pPr>
                    <w:pStyle w:val="918"/>
                    <w:jc w:val="right"/>
                    <w:jc w:val="center"/>
                  </w:pPr>
                  <w:r>
                    <w:t xml:space="preserve">84,71%</w:t>
                  </w:r>
                </w:p>
              </w:tc>
            </w:tr>
            <w:tr>
              <w:tc>
                <w:tcPr/>
                <w:p>
                  <w:pPr>
                    <w:pStyle w:val="918"/>
                    <w:jc w:val="left"/>
                    <w:jc w:val="center"/>
                  </w:pPr>
                  <w:r>
                    <w:t xml:space="preserve">Atenção Primária</w:t>
                  </w:r>
                </w:p>
              </w:tc>
              <w:tc>
                <w:tcPr/>
                <w:p>
                  <w:pPr>
                    <w:pStyle w:val="918"/>
                    <w:jc w:val="right"/>
                    <w:jc w:val="center"/>
                  </w:pPr>
                  <w:r>
                    <w:t xml:space="preserve">253</w:t>
                  </w:r>
                </w:p>
              </w:tc>
              <w:tc>
                <w:tcPr/>
                <w:p>
                  <w:pPr>
                    <w:pStyle w:val="918"/>
                    <w:jc w:val="right"/>
                    <w:jc w:val="center"/>
                  </w:pPr>
                  <w:r>
                    <w:t xml:space="preserve">210</w:t>
                  </w:r>
                </w:p>
              </w:tc>
              <w:tc>
                <w:tcPr/>
                <w:p>
                  <w:pPr>
                    <w:pStyle w:val="918"/>
                    <w:jc w:val="right"/>
                    <w:jc w:val="center"/>
                  </w:pPr>
                  <w:r>
                    <w:t xml:space="preserve">83,00%</w:t>
                  </w:r>
                </w:p>
              </w:tc>
            </w:tr>
            <w:tr>
              <w:tc>
                <w:tcPr/>
                <w:p>
                  <w:pPr>
                    <w:pStyle w:val="918"/>
                    <w:jc w:val="left"/>
                    <w:jc w:val="center"/>
                  </w:pPr>
                  <w:r>
                    <w:t xml:space="preserve">Regulação</w:t>
                  </w:r>
                </w:p>
              </w:tc>
              <w:tc>
                <w:tcPr/>
                <w:p>
                  <w:pPr>
                    <w:pStyle w:val="918"/>
                    <w:jc w:val="right"/>
                    <w:jc w:val="center"/>
                  </w:pPr>
                  <w:r>
                    <w:t xml:space="preserve">138</w:t>
                  </w:r>
                </w:p>
              </w:tc>
              <w:tc>
                <w:tcPr/>
                <w:p>
                  <w:pPr>
                    <w:pStyle w:val="918"/>
                    <w:jc w:val="right"/>
                    <w:jc w:val="center"/>
                  </w:pPr>
                  <w:r>
                    <w:t xml:space="preserve">109</w:t>
                  </w:r>
                </w:p>
              </w:tc>
              <w:tc>
                <w:tcPr/>
                <w:p>
                  <w:pPr>
                    <w:pStyle w:val="918"/>
                    <w:jc w:val="right"/>
                    <w:jc w:val="center"/>
                  </w:pPr>
                  <w:r>
                    <w:t xml:space="preserve">78,99%</w:t>
                  </w:r>
                </w:p>
              </w:tc>
            </w:tr>
            <w:tr>
              <w:tc>
                <w:tcPr/>
                <w:p>
                  <w:pPr>
                    <w:pStyle w:val="918"/>
                    <w:jc w:val="left"/>
                    <w:jc w:val="center"/>
                  </w:pPr>
                  <w:r>
                    <w:t xml:space="preserve">Controles Internos</w:t>
                  </w:r>
                </w:p>
              </w:tc>
              <w:tc>
                <w:tcPr/>
                <w:p>
                  <w:pPr>
                    <w:pStyle w:val="918"/>
                    <w:jc w:val="right"/>
                    <w:jc w:val="center"/>
                  </w:pPr>
                  <w:r>
                    <w:t xml:space="preserve">391</w:t>
                  </w:r>
                </w:p>
              </w:tc>
              <w:tc>
                <w:tcPr/>
                <w:p>
                  <w:pPr>
                    <w:pStyle w:val="918"/>
                    <w:jc w:val="right"/>
                    <w:jc w:val="center"/>
                  </w:pPr>
                  <w:r>
                    <w:t xml:space="preserve">300</w:t>
                  </w:r>
                </w:p>
              </w:tc>
              <w:tc>
                <w:tcPr/>
                <w:p>
                  <w:pPr>
                    <w:pStyle w:val="918"/>
                    <w:jc w:val="right"/>
                    <w:jc w:val="center"/>
                  </w:pPr>
                  <w:r>
                    <w:t xml:space="preserve">76,73%</w:t>
                  </w:r>
                </w:p>
              </w:tc>
            </w:tr>
            <w:tr>
              <w:tc>
                <w:tcPr/>
                <w:p>
                  <w:pPr>
                    <w:pStyle w:val="918"/>
                    <w:jc w:val="left"/>
                    <w:jc w:val="center"/>
                  </w:pPr>
                  <w:r>
                    <w:t xml:space="preserve">Outros (menos de 100 recomendações por grupo)</w:t>
                  </w:r>
                </w:p>
              </w:tc>
              <w:tc>
                <w:tcPr/>
                <w:p>
                  <w:pPr>
                    <w:pStyle w:val="918"/>
                    <w:jc w:val="right"/>
                    <w:jc w:val="center"/>
                  </w:pPr>
                  <w:r>
                    <w:t xml:space="preserve">231</w:t>
                  </w:r>
                </w:p>
              </w:tc>
              <w:tc>
                <w:tcPr/>
                <w:p>
                  <w:pPr>
                    <w:pStyle w:val="918"/>
                    <w:jc w:val="right"/>
                    <w:jc w:val="center"/>
                  </w:pPr>
                  <w:r>
                    <w:t xml:space="preserve">170</w:t>
                  </w:r>
                </w:p>
              </w:tc>
              <w:tc>
                <w:tcPr/>
                <w:p>
                  <w:pPr>
                    <w:pStyle w:val="918"/>
                    <w:jc w:val="right"/>
                    <w:jc w:val="center"/>
                  </w:pPr>
                  <w:r>
                    <w:t xml:space="preserve">73,59%</w:t>
                  </w:r>
                </w:p>
              </w:tc>
            </w:tr>
            <w:tr>
              <w:tc>
                <w:tcPr/>
                <w:p>
                  <w:pPr>
                    <w:pStyle w:val="918"/>
                    <w:jc w:val="left"/>
                    <w:jc w:val="center"/>
                  </w:pPr>
                  <w:r>
                    <w:t xml:space="preserve">Regionalização, Planejamento e Programação</w:t>
                  </w:r>
                </w:p>
              </w:tc>
              <w:tc>
                <w:tcPr/>
                <w:p>
                  <w:pPr>
                    <w:pStyle w:val="918"/>
                    <w:jc w:val="right"/>
                    <w:jc w:val="center"/>
                  </w:pPr>
                  <w:r>
                    <w:t xml:space="preserve">105</w:t>
                  </w:r>
                </w:p>
              </w:tc>
              <w:tc>
                <w:tcPr/>
                <w:p>
                  <w:pPr>
                    <w:pStyle w:val="918"/>
                    <w:jc w:val="right"/>
                    <w:jc w:val="center"/>
                  </w:pPr>
                  <w:r>
                    <w:t xml:space="preserve">77</w:t>
                  </w:r>
                </w:p>
              </w:tc>
              <w:tc>
                <w:tcPr/>
                <w:p>
                  <w:pPr>
                    <w:pStyle w:val="918"/>
                    <w:jc w:val="right"/>
                    <w:jc w:val="center"/>
                  </w:pPr>
                  <w:r>
                    <w:t xml:space="preserve">73,33%</w:t>
                  </w:r>
                </w:p>
              </w:tc>
            </w:tr>
            <w:tr>
              <w:tc>
                <w:tcPr/>
                <w:p>
                  <w:pPr>
                    <w:pStyle w:val="918"/>
                    <w:jc w:val="left"/>
                    <w:jc w:val="center"/>
                  </w:pPr>
                  <w:r>
                    <w:t xml:space="preserve">Atenção Básica</w:t>
                  </w:r>
                </w:p>
              </w:tc>
              <w:tc>
                <w:tcPr/>
                <w:p>
                  <w:pPr>
                    <w:pStyle w:val="918"/>
                    <w:jc w:val="right"/>
                    <w:jc w:val="center"/>
                  </w:pPr>
                  <w:r>
                    <w:t xml:space="preserve">390</w:t>
                  </w:r>
                </w:p>
              </w:tc>
              <w:tc>
                <w:tcPr/>
                <w:p>
                  <w:pPr>
                    <w:pStyle w:val="918"/>
                    <w:jc w:val="right"/>
                    <w:jc w:val="center"/>
                  </w:pPr>
                  <w:r>
                    <w:t xml:space="preserve">277</w:t>
                  </w:r>
                </w:p>
              </w:tc>
              <w:tc>
                <w:tcPr/>
                <w:p>
                  <w:pPr>
                    <w:pStyle w:val="918"/>
                    <w:jc w:val="right"/>
                    <w:jc w:val="center"/>
                  </w:pPr>
                  <w:r>
                    <w:t xml:space="preserve">71,03%</w:t>
                  </w:r>
                </w:p>
              </w:tc>
            </w:tr>
            <w:tr>
              <w:tc>
                <w:tcPr/>
                <w:p>
                  <w:pPr>
                    <w:pStyle w:val="918"/>
                    <w:jc w:val="left"/>
                    <w:jc w:val="center"/>
                  </w:pPr>
                  <w:r>
                    <w:t xml:space="preserve">Recursos Financeiros</w:t>
                  </w:r>
                </w:p>
              </w:tc>
              <w:tc>
                <w:tcPr/>
                <w:p>
                  <w:pPr>
                    <w:pStyle w:val="918"/>
                    <w:jc w:val="right"/>
                    <w:jc w:val="center"/>
                  </w:pPr>
                  <w:r>
                    <w:t xml:space="preserve">689</w:t>
                  </w:r>
                </w:p>
              </w:tc>
              <w:tc>
                <w:tcPr/>
                <w:p>
                  <w:pPr>
                    <w:pStyle w:val="918"/>
                    <w:jc w:val="right"/>
                    <w:jc w:val="center"/>
                  </w:pPr>
                  <w:r>
                    <w:t xml:space="preserve">371</w:t>
                  </w:r>
                </w:p>
              </w:tc>
              <w:tc>
                <w:tcPr/>
                <w:p>
                  <w:pPr>
                    <w:pStyle w:val="918"/>
                    <w:jc w:val="right"/>
                    <w:jc w:val="center"/>
                  </w:pPr>
                  <w:r>
                    <w:t xml:space="preserve">53,85%</w:t>
                  </w:r>
                </w:p>
              </w:tc>
            </w:tr>
            <w:tr>
              <w:tc>
                <w:tcPr/>
                <w:p>
                  <w:pPr>
                    <w:pStyle w:val="918"/>
                    <w:jc w:val="left"/>
                    <w:jc w:val="center"/>
                  </w:pPr>
                  <w:r>
                    <w:t xml:space="preserve">Assistência Média e Alta Complexidade</w:t>
                  </w:r>
                </w:p>
              </w:tc>
              <w:tc>
                <w:tcPr/>
                <w:p>
                  <w:pPr>
                    <w:pStyle w:val="918"/>
                    <w:jc w:val="right"/>
                    <w:jc w:val="center"/>
                  </w:pPr>
                  <w:r>
                    <w:t xml:space="preserve">1.514</w:t>
                  </w:r>
                </w:p>
              </w:tc>
              <w:tc>
                <w:tcPr/>
                <w:p>
                  <w:pPr>
                    <w:pStyle w:val="918"/>
                    <w:jc w:val="right"/>
                    <w:jc w:val="center"/>
                  </w:pPr>
                  <w:r>
                    <w:t xml:space="preserve">790</w:t>
                  </w:r>
                </w:p>
              </w:tc>
              <w:tc>
                <w:tcPr/>
                <w:p>
                  <w:pPr>
                    <w:pStyle w:val="918"/>
                    <w:jc w:val="right"/>
                    <w:jc w:val="center"/>
                  </w:pPr>
                  <w:r>
                    <w:t xml:space="preserve">52,18%</w:t>
                  </w:r>
                </w:p>
              </w:tc>
            </w:tr>
            <w:tr>
              <w:tc>
                <w:tcPr/>
                <w:p>
                  <w:pPr>
                    <w:pStyle w:val="918"/>
                    <w:jc w:val="left"/>
                    <w:jc w:val="center"/>
                  </w:pPr>
                  <w:r>
                    <w:t xml:space="preserve">Programa Farmácia Popular do Brasil</w:t>
                  </w:r>
                </w:p>
              </w:tc>
              <w:tc>
                <w:tcPr/>
                <w:p>
                  <w:pPr>
                    <w:pStyle w:val="918"/>
                    <w:jc w:val="right"/>
                    <w:jc w:val="center"/>
                  </w:pPr>
                  <w:r>
                    <w:t xml:space="preserve">197</w:t>
                  </w:r>
                </w:p>
              </w:tc>
              <w:tc>
                <w:tcPr/>
                <w:p>
                  <w:pPr>
                    <w:pStyle w:val="918"/>
                    <w:jc w:val="right"/>
                    <w:jc w:val="center"/>
                  </w:pPr>
                  <w:r>
                    <w:t xml:space="preserve">42</w:t>
                  </w:r>
                </w:p>
              </w:tc>
              <w:tc>
                <w:tcPr/>
                <w:p>
                  <w:pPr>
                    <w:pStyle w:val="918"/>
                    <w:jc w:val="right"/>
                    <w:jc w:val="center"/>
                  </w:pPr>
                  <w:r>
                    <w:t xml:space="preserve">21,32%</w:t>
                  </w:r>
                </w:p>
              </w:tc>
            </w:tr>
            <w:tr>
              <w:tc>
                <w:tcPr/>
                <w:p>
                  <w:pPr>
                    <w:pStyle w:val="918"/>
                    <w:jc w:val="left"/>
                    <w:jc w:val="center"/>
                  </w:pPr>
                  <w:r>
                    <w:rPr>
                      <w:b/>
                      <w:bCs/>
                    </w:rPr>
                    <w:t xml:space="preserve">Total</w:t>
                  </w:r>
                </w:p>
              </w:tc>
              <w:tc>
                <w:tcPr/>
                <w:p>
                  <w:pPr>
                    <w:pStyle w:val="918"/>
                    <w:jc w:val="right"/>
                    <w:jc w:val="center"/>
                  </w:pPr>
                  <w:r>
                    <w:rPr>
                      <w:b/>
                      <w:bCs/>
                    </w:rPr>
                    <w:t xml:space="preserve">4.289</w:t>
                  </w:r>
                </w:p>
              </w:tc>
              <w:tc>
                <w:tcPr/>
                <w:p>
                  <w:pPr>
                    <w:pStyle w:val="918"/>
                    <w:jc w:val="right"/>
                    <w:jc w:val="center"/>
                  </w:pPr>
                  <w:r>
                    <w:rPr>
                      <w:b/>
                      <w:bCs/>
                    </w:rPr>
                    <w:t xml:space="preserve">2.671</w:t>
                  </w:r>
                </w:p>
              </w:tc>
              <w:tc>
                <w:tcPr/>
                <w:p>
                  <w:pPr>
                    <w:pStyle w:val="918"/>
                    <w:jc w:val="right"/>
                    <w:jc w:val="center"/>
                  </w:pPr>
                  <w:r>
                    <w:rPr>
                      <w:b/>
                      <w:bCs/>
                    </w:rPr>
                    <w:t xml:space="preserve">62,28%</w:t>
                  </w:r>
                </w:p>
              </w:tc>
            </w:tr>
          </w:tbl>
          <w:bookmarkEnd w:id="69"/>
          <w:p/>
        </w:tc>
      </w:tr>
    </w:tbl>
    <w:p>
      <w:pPr>
        <w:pStyle w:val="916"/>
      </w:pPr>
      <w:r>
        <w:t xml:space="preserve">Fonte: Elaboração própria a partir dos dados da pesquisa e do campo “Grupo” dos relatórios de auditoria.</w:t>
      </w:r>
    </w:p>
    <w:p>
      <w:pPr>
        <w:pStyle w:val="916"/>
      </w:pPr>
      <w:r>
        <w:t xml:space="preserve">Os grupos Assistência Média e Alta Complexidade e Recursos Financeiros concentram, respectivamente, 1.514 e 689 recomendações, mais da metade do corpus em conjunto, e apresentam percentuais de 52,18% e 53,85% na categoria examinada. Em contrapartida, Vigilância em Saúde, Programas Estratégicos e Atenção Primária apresentam proporções superiores a 80%, enquanto o Programa Farmácia Popular do Brasil registra 21,32%. Essa variação mostra que a predominância observada no total não se reproduz com a mesma intensidade em todos os assuntos auditados.</w:t>
      </w:r>
    </w:p>
    <w:p>
      <w:pPr>
        <w:pStyle w:val="916"/>
      </w:pPr>
      <w:r>
        <w:t xml:space="preserve">O campo “Grupo” identifica o assunto da constatação, não o tipo de ação proposto na recomendação. Por isso, essa comparação não substitui a exploração de etiquetas de ação do Apêndice C, nem permite atribuir as diferenças entre grupos a uma causa institucional específica. Ela delimita onde a classificação principal se concentra e oferece uma base mais precisa para a discussão subsequente, desde que consideradas as diferenças de tamanho e composição dos grupos.</w:t>
      </w:r>
    </w:p>
    <w:bookmarkEnd w:id="70"/>
    <w:bookmarkStart w:id="73" w:name="resultados-da-análise-crítica"/>
    <w:p>
      <w:pPr>
        <w:pStyle w:val="905"/>
      </w:pPr>
      <w:r>
        <w:t xml:space="preserve">4.5 Resultados da Análise Crítica</w:t>
      </w:r>
    </w:p>
    <w:p>
      <w:pPr>
        <w:pStyle w:val="917"/>
      </w:pPr>
      <w:r>
        <w:t xml:space="preserve">Em etapa subsequente à codificação automatizada das recomendações, procedeu-se à realização de uma análise crítica, igualmente conduzida por modelo de linguagem natural, mas orientada por um</w:t>
      </w:r>
      <w:r>
        <w:t xml:space="preserve"> </w:t>
      </w:r>
      <w:r>
        <w:rPr>
          <w:i/>
          <w:iCs/>
        </w:rPr>
        <w:t xml:space="preserve">prompt</w:t>
      </w:r>
      <w:r>
        <w:t xml:space="preserve"> </w:t>
      </w:r>
      <w:r>
        <w:t xml:space="preserve">distinto, elaborado com o propósito de revisar as classificações previamente atribuídas. Nessa nova rodada de avaliação, uma breve descrição da finalidade do trabalho de auditoria foi reapresentada ao modelo, acompanhada da constatação, da recomendação propriamente dita e dos resultados anteriores relativos aos critérios</w:t>
      </w:r>
      <w:r>
        <w:t xml:space="preserve"> </w:t>
      </w:r>
      <w:r>
        <w:t xml:space="preserve">“foco causa”</w:t>
      </w:r>
      <w:r>
        <w:t xml:space="preserve"> </w:t>
      </w:r>
      <w:r>
        <w:t xml:space="preserve">e</w:t>
      </w:r>
      <w:r>
        <w:t xml:space="preserve"> </w:t>
      </w:r>
      <w:r>
        <w:t xml:space="preserve">“efeitos duradouros”</w:t>
      </w:r>
      <w:r>
        <w:t xml:space="preserve">. A partir desse conjunto de informações, o modelo foi instruído a emitir um juízo crítico para cada critério, indicando se concordava ou discordava da classificação original. Esse procedimento teve por finalidade examinar o grau de convergência entre os dois momentos analíticos automatizados, possibilitando uma avaliação complementar da consistência interna das classificações produzidas. Os resultados dessa etapa encontram-se sumarizados na Tabela 4.</w:t>
      </w:r>
    </w:p>
    <w:tbl>
      <w:tblPr>
        <w:tblStyle w:val="Table"/>
        <w:tblW w:type="pct" w:w="5000"/>
        <w:tblLayout w:type="fixed"/>
        <w:tblLook w:firstRow="0" w:lastRow="0" w:firstColumn="0" w:lastColumn="0" w:noHBand="0" w:noVBand="0" w:val="0000"/>
      </w:tblPr>
      <w:tblGrid>
        <w:gridCol w:w="7920"/>
      </w:tblGrid>
      <w:tr>
        <w:tc>
          <w:tcPr/>
          <w:bookmarkStart w:id="71" w:name="tbl-resumo-analise-critica"/>
          <w:p>
            <w:pPr>
              <w:jc w:val="center"/>
            </w:pPr>
            <w:pPr>
              <w:jc w:val="left"/>
              <w:spacing w:before="200"/>
              <w:pStyle w:val="ImageCaption"/>
            </w:pPr>
            <w:r>
              <w:t xml:space="preserve">Tabela 4: Resumo dos resultados da análise crítica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918"/>
                    <w:jc w:val="left"/>
                    <w:jc w:val="center"/>
                  </w:pPr>
                  <w:r>
                    <w:rPr>
                      <w:b/>
                      <w:bCs/>
                    </w:rPr>
                    <w:t xml:space="preserve">Análise Crítica</w:t>
                  </w:r>
                </w:p>
              </w:tc>
              <w:tc>
                <w:tcPr/>
                <w:p>
                  <w:pPr>
                    <w:pStyle w:val="918"/>
                    <w:jc w:val="right"/>
                    <w:jc w:val="center"/>
                  </w:pPr>
                  <w:r>
                    <w:rPr>
                      <w:b/>
                      <w:bCs/>
                    </w:rPr>
                    <w:t xml:space="preserve">Total (%)</w:t>
                  </w:r>
                </w:p>
              </w:tc>
            </w:tr>
            <w:tr>
              <w:tc>
                <w:tcPr/>
                <w:p>
                  <w:pPr>
                    <w:pStyle w:val="918"/>
                    <w:jc w:val="left"/>
                    <w:jc w:val="center"/>
                  </w:pPr>
                  <w:r>
                    <w:t xml:space="preserve">Convergente</w:t>
                  </w:r>
                </w:p>
              </w:tc>
              <w:tc>
                <w:tcPr/>
                <w:p>
                  <w:pPr>
                    <w:pStyle w:val="918"/>
                    <w:jc w:val="right"/>
                    <w:jc w:val="center"/>
                  </w:pPr>
                  <w:r>
                    <w:t xml:space="preserve">3.492 (81,42%)</w:t>
                  </w:r>
                </w:p>
              </w:tc>
            </w:tr>
            <w:tr>
              <w:tc>
                <w:tcPr/>
                <w:p>
                  <w:pPr>
                    <w:pStyle w:val="918"/>
                    <w:jc w:val="left"/>
                    <w:jc w:val="center"/>
                  </w:pPr>
                  <w:r>
                    <w:t xml:space="preserve">Divergente</w:t>
                  </w:r>
                </w:p>
              </w:tc>
              <w:tc>
                <w:tcPr/>
                <w:p>
                  <w:pPr>
                    <w:pStyle w:val="918"/>
                    <w:jc w:val="right"/>
                    <w:jc w:val="center"/>
                  </w:pPr>
                  <w:r>
                    <w:t xml:space="preserve">797 (18,58%)</w:t>
                  </w:r>
                </w:p>
              </w:tc>
            </w:tr>
            <w:tr>
              <w:tc>
                <w:tcPr/>
                <w:p>
                  <w:pPr>
                    <w:pStyle w:val="918"/>
                    <w:jc w:val="left"/>
                    <w:jc w:val="center"/>
                  </w:pPr>
                  <w:r>
                    <w:rPr>
                      <w:b/>
                      <w:bCs/>
                    </w:rPr>
                    <w:t xml:space="preserve">Total</w:t>
                  </w:r>
                </w:p>
              </w:tc>
              <w:tc>
                <w:tcPr/>
                <w:p>
                  <w:pPr>
                    <w:pStyle w:val="918"/>
                    <w:jc w:val="right"/>
                    <w:jc w:val="center"/>
                  </w:pPr>
                  <w:r>
                    <w:rPr>
                      <w:b/>
                      <w:bCs/>
                    </w:rPr>
                    <w:t xml:space="preserve">4.289</w:t>
                  </w:r>
                </w:p>
              </w:tc>
            </w:tr>
          </w:tbl>
          <w:bookmarkEnd w:id="71"/>
          <w:p/>
        </w:tc>
      </w:tr>
    </w:tbl>
    <w:p>
      <w:pPr>
        <w:pStyle w:val="916"/>
      </w:pPr>
      <w:r>
        <w:t xml:space="preserve">Fonte: Elaboração própria a partir dos dados da pesquisa.</w:t>
      </w:r>
    </w:p>
    <w:p>
      <w:pPr>
        <w:pStyle w:val="916"/>
      </w:pPr>
      <w:r>
        <w:t xml:space="preserve">Conforme demonstrado, a análise crítica apresentou convergência com a classificação originalmente atribuída em 3.492 das 4.289 recomendações examinadas, correspondendo a 81,42% do corpus analisado. Embora esse resultado revele elevado grau de concordância entre os dois momentos analíticos, a distribuição das divergências não ocorreu de forma homogênea entre as diferentes categorias classificatórias.</w:t>
      </w:r>
    </w:p>
    <w:p>
      <w:pPr>
        <w:pStyle w:val="916"/>
      </w:pPr>
      <w:r>
        <w:t xml:space="preserve">Com o propósito de aprofundar a compreensão desse comportamento, a Tabela 5 apresenta a convergência segmentada segundo o resultado obtido na etapa de codificação automatizada. Essa desagregação permite identificar em quais categorias a classificação mostrou maior estabilidade interpretativa e em quais situações os critérios empregados suscitaram maior variação na avaliação subsequente.</w:t>
      </w:r>
    </w:p>
    <w:tbl>
      <w:tblPr>
        <w:tblStyle w:val="Table"/>
        <w:tblW w:type="pct" w:w="5000"/>
        <w:tblLayout w:type="fixed"/>
        <w:tblLook w:firstRow="0" w:lastRow="0" w:firstColumn="0" w:lastColumn="0" w:noHBand="0" w:noVBand="0" w:val="0000"/>
      </w:tblPr>
      <w:tblGrid>
        <w:gridCol w:w="7920"/>
      </w:tblGrid>
      <w:tr>
        <w:tc>
          <w:tcPr/>
          <w:bookmarkStart w:id="72" w:name="tbl-analise-critica-codificacao"/>
          <w:p>
            <w:pPr>
              <w:jc w:val="center"/>
            </w:pPr>
            <w:pPr>
              <w:jc w:val="left"/>
              <w:spacing w:before="200"/>
              <w:pStyle w:val="ImageCaption"/>
            </w:pPr>
            <w:r>
              <w:t xml:space="preserve">Tabela 5: Resultado do processo de análise crítica da codificação</w:t>
            </w:r>
          </w:p>
          <w:tbl>
            <w:tblPr>
              <w:tblStyle w:val="Table"/>
              <w:tblW w:type="pct" w:w="4921"/>
              <w:tblLayout w:type="fixed"/>
              <w:tblLook w:firstRow="1" w:lastRow="0" w:firstColumn="0" w:lastColumn="0" w:noHBand="0" w:noVBand="0" w:val="0020"/>
            </w:tblPr>
            <w:tblGrid>
              <w:gridCol w:w="1382"/>
              <w:gridCol w:w="1571"/>
              <w:gridCol w:w="754"/>
              <w:gridCol w:w="1068"/>
              <w:gridCol w:w="1257"/>
              <w:gridCol w:w="1760"/>
            </w:tblGrid>
            <w:tr>
              <w:trPr>
                <w:tblHeader w:val="on"/>
              </w:trPr>
              <w:tc>
                <w:tcPr/>
                <w:p>
                  <w:pPr>
                    <w:pStyle w:val="918"/>
                    <w:jc w:val="left"/>
                    <w:jc w:val="center"/>
                  </w:pPr>
                  <w:r>
                    <w:rPr>
                      <w:b/>
                      <w:bCs/>
                    </w:rPr>
                    <w:t xml:space="preserve">Ação Foco Causa</w:t>
                  </w:r>
                </w:p>
              </w:tc>
              <w:tc>
                <w:tcPr/>
                <w:p>
                  <w:pPr>
                    <w:pStyle w:val="918"/>
                    <w:jc w:val="left"/>
                    <w:jc w:val="center"/>
                  </w:pPr>
                  <w:r>
                    <w:rPr>
                      <w:b/>
                      <w:bCs/>
                    </w:rPr>
                    <w:t xml:space="preserve">Efeitos Duradouros</w:t>
                  </w:r>
                </w:p>
              </w:tc>
              <w:tc>
                <w:tcPr/>
                <w:p>
                  <w:pPr>
                    <w:pStyle w:val="918"/>
                    <w:jc w:val="right"/>
                    <w:jc w:val="center"/>
                  </w:pPr>
                  <w:r>
                    <w:rPr>
                      <w:b/>
                      <w:bCs/>
                    </w:rPr>
                    <w:t xml:space="preserve">Total</w:t>
                  </w:r>
                </w:p>
              </w:tc>
              <w:tc>
                <w:tcPr/>
                <w:p>
                  <w:pPr>
                    <w:pStyle w:val="918"/>
                    <w:jc w:val="right"/>
                    <w:jc w:val="center"/>
                  </w:pPr>
                  <w:r>
                    <w:rPr>
                      <w:b/>
                      <w:bCs/>
                    </w:rPr>
                    <w:t xml:space="preserve">≠ Foco (%)</w:t>
                  </w:r>
                </w:p>
              </w:tc>
              <w:tc>
                <w:tcPr/>
                <w:p>
                  <w:pPr>
                    <w:pStyle w:val="918"/>
                    <w:jc w:val="right"/>
                    <w:jc w:val="center"/>
                  </w:pPr>
                  <w:r>
                    <w:rPr>
                      <w:b/>
                      <w:bCs/>
                    </w:rPr>
                    <w:t xml:space="preserve">≠ Efeitos (%)</w:t>
                  </w:r>
                </w:p>
              </w:tc>
              <w:tc>
                <w:tcPr/>
                <w:p>
                  <w:pPr>
                    <w:pStyle w:val="918"/>
                    <w:jc w:val="right"/>
                    <w:jc w:val="center"/>
                  </w:pPr>
                  <w:r>
                    <w:rPr>
                      <w:b/>
                      <w:bCs/>
                    </w:rPr>
                    <w:t xml:space="preserve">≠ Foco ou Efeitos (%)</w:t>
                  </w:r>
                </w:p>
              </w:tc>
            </w:tr>
            <w:tr>
              <w:tc>
                <w:tcPr/>
                <w:p>
                  <w:pPr>
                    <w:pStyle w:val="918"/>
                    <w:jc w:val="left"/>
                    <w:jc w:val="center"/>
                  </w:pPr>
                  <w:r>
                    <w:t xml:space="preserve">Sim</w:t>
                  </w:r>
                </w:p>
              </w:tc>
              <w:tc>
                <w:tcPr/>
                <w:p>
                  <w:pPr>
                    <w:pStyle w:val="918"/>
                    <w:jc w:val="left"/>
                    <w:jc w:val="center"/>
                  </w:pPr>
                  <w:r>
                    <w:t xml:space="preserve">Sim</w:t>
                  </w:r>
                </w:p>
              </w:tc>
              <w:tc>
                <w:tcPr/>
                <w:p>
                  <w:pPr>
                    <w:pStyle w:val="918"/>
                    <w:jc w:val="right"/>
                    <w:jc w:val="center"/>
                  </w:pPr>
                  <w:r>
                    <w:t xml:space="preserve">2.671</w:t>
                  </w:r>
                </w:p>
              </w:tc>
              <w:tc>
                <w:tcPr/>
                <w:p>
                  <w:pPr>
                    <w:pStyle w:val="918"/>
                    <w:jc w:val="right"/>
                    <w:jc w:val="center"/>
                  </w:pPr>
                  <w:r>
                    <w:t xml:space="preserve">207 (7,75%)</w:t>
                  </w:r>
                </w:p>
              </w:tc>
              <w:tc>
                <w:tcPr/>
                <w:p>
                  <w:pPr>
                    <w:pStyle w:val="918"/>
                    <w:jc w:val="right"/>
                    <w:jc w:val="center"/>
                  </w:pPr>
                  <w:r>
                    <w:t xml:space="preserve">657 (24,60%)</w:t>
                  </w:r>
                </w:p>
              </w:tc>
              <w:tc>
                <w:tcPr/>
                <w:p>
                  <w:pPr>
                    <w:pStyle w:val="918"/>
                    <w:jc w:val="right"/>
                    <w:jc w:val="center"/>
                  </w:pPr>
                  <w:r>
                    <w:t xml:space="preserve">670 (25,08%)</w:t>
                  </w:r>
                </w:p>
              </w:tc>
            </w:tr>
            <w:tr>
              <w:tc>
                <w:tcPr/>
                <w:p>
                  <w:pPr>
                    <w:pStyle w:val="918"/>
                    <w:jc w:val="left"/>
                    <w:jc w:val="center"/>
                  </w:pPr>
                  <w:r>
                    <w:t xml:space="preserve">Sim</w:t>
                  </w:r>
                </w:p>
              </w:tc>
              <w:tc>
                <w:tcPr/>
                <w:p>
                  <w:pPr>
                    <w:pStyle w:val="918"/>
                    <w:jc w:val="left"/>
                    <w:jc w:val="center"/>
                  </w:pPr>
                  <w:r>
                    <w:t xml:space="preserve">Não</w:t>
                  </w:r>
                </w:p>
              </w:tc>
              <w:tc>
                <w:tcPr/>
                <w:p>
                  <w:pPr>
                    <w:pStyle w:val="918"/>
                    <w:jc w:val="right"/>
                    <w:jc w:val="center"/>
                  </w:pPr>
                  <w:r>
                    <w:t xml:space="preserve">12</w:t>
                  </w:r>
                </w:p>
              </w:tc>
              <w:tc>
                <w:tcPr/>
                <w:p>
                  <w:pPr>
                    <w:pStyle w:val="918"/>
                    <w:jc w:val="right"/>
                    <w:jc w:val="center"/>
                  </w:pPr>
                  <w:r>
                    <w:t xml:space="preserve">0</w:t>
                  </w:r>
                </w:p>
              </w:tc>
              <w:tc>
                <w:tcPr/>
                <w:p>
                  <w:pPr>
                    <w:pStyle w:val="918"/>
                    <w:jc w:val="right"/>
                    <w:jc w:val="center"/>
                  </w:pPr>
                  <w:r>
                    <w:t xml:space="preserve">7 (58,33%)</w:t>
                  </w:r>
                </w:p>
              </w:tc>
              <w:tc>
                <w:tcPr/>
                <w:p>
                  <w:pPr>
                    <w:pStyle w:val="918"/>
                    <w:jc w:val="right"/>
                    <w:jc w:val="center"/>
                  </w:pPr>
                  <w:r>
                    <w:t xml:space="preserve">7 (58,33%)</w:t>
                  </w:r>
                </w:p>
              </w:tc>
            </w:tr>
            <w:tr>
              <w:tc>
                <w:tcPr/>
                <w:p>
                  <w:pPr>
                    <w:pStyle w:val="918"/>
                    <w:jc w:val="left"/>
                    <w:jc w:val="center"/>
                  </w:pPr>
                  <w:r>
                    <w:t xml:space="preserve">Não</w:t>
                  </w:r>
                </w:p>
              </w:tc>
              <w:tc>
                <w:tcPr/>
                <w:p>
                  <w:pPr>
                    <w:pStyle w:val="918"/>
                    <w:jc w:val="left"/>
                    <w:jc w:val="center"/>
                  </w:pPr>
                  <w:r>
                    <w:t xml:space="preserve">Não se aplica</w:t>
                  </w:r>
                </w:p>
              </w:tc>
              <w:tc>
                <w:tcPr/>
                <w:p>
                  <w:pPr>
                    <w:pStyle w:val="918"/>
                    <w:jc w:val="right"/>
                    <w:jc w:val="center"/>
                  </w:pPr>
                  <w:r>
                    <w:t xml:space="preserve">1.601</w:t>
                  </w:r>
                </w:p>
              </w:tc>
              <w:tc>
                <w:tcPr/>
                <w:p>
                  <w:pPr>
                    <w:pStyle w:val="918"/>
                    <w:jc w:val="right"/>
                    <w:jc w:val="center"/>
                  </w:pPr>
                  <w:r>
                    <w:t xml:space="preserve">114 (7,12%)</w:t>
                  </w:r>
                </w:p>
              </w:tc>
              <w:tc>
                <w:tcPr/>
                <w:p>
                  <w:pPr>
                    <w:pStyle w:val="918"/>
                    <w:jc w:val="right"/>
                    <w:jc w:val="center"/>
                  </w:pPr>
                  <w:r>
                    <w:t xml:space="preserve">83 (5,18%)</w:t>
                  </w:r>
                </w:p>
              </w:tc>
              <w:tc>
                <w:tcPr/>
                <w:p>
                  <w:pPr>
                    <w:pStyle w:val="918"/>
                    <w:jc w:val="right"/>
                    <w:jc w:val="center"/>
                  </w:pPr>
                  <w:r>
                    <w:t xml:space="preserve">120 (7,50%)</w:t>
                  </w:r>
                </w:p>
              </w:tc>
            </w:tr>
            <w:tr>
              <w:tc>
                <w:tcPr/>
                <w:p>
                  <w:pPr>
                    <w:pStyle w:val="918"/>
                    <w:jc w:val="left"/>
                    <w:jc w:val="center"/>
                  </w:pPr>
                  <w:r>
                    <w:t xml:space="preserve">Não se aplica</w:t>
                  </w:r>
                </w:p>
              </w:tc>
              <w:tc>
                <w:tcPr/>
                <w:p>
                  <w:pPr>
                    <w:pStyle w:val="918"/>
                    <w:jc w:val="left"/>
                    <w:jc w:val="center"/>
                  </w:pPr>
                  <w:r>
                    <w:t xml:space="preserve">Não se aplica</w:t>
                  </w:r>
                </w:p>
              </w:tc>
              <w:tc>
                <w:tcPr/>
                <w:p>
                  <w:pPr>
                    <w:pStyle w:val="918"/>
                    <w:jc w:val="right"/>
                    <w:jc w:val="center"/>
                  </w:pPr>
                  <w:r>
                    <w:t xml:space="preserve">5</w:t>
                  </w:r>
                </w:p>
              </w:tc>
              <w:tc>
                <w:tcPr/>
                <w:p>
                  <w:pPr>
                    <w:pStyle w:val="918"/>
                    <w:jc w:val="right"/>
                    <w:jc w:val="center"/>
                  </w:pPr>
                  <w:r>
                    <w:t xml:space="preserve">0</w:t>
                  </w:r>
                </w:p>
              </w:tc>
              <w:tc>
                <w:tcPr/>
                <w:p>
                  <w:pPr>
                    <w:pStyle w:val="918"/>
                    <w:jc w:val="right"/>
                    <w:jc w:val="center"/>
                  </w:pPr>
                  <w:r>
                    <w:t xml:space="preserve">0</w:t>
                  </w:r>
                </w:p>
              </w:tc>
              <w:tc>
                <w:tcPr/>
                <w:p>
                  <w:pPr>
                    <w:pStyle w:val="918"/>
                    <w:jc w:val="right"/>
                    <w:jc w:val="center"/>
                  </w:pPr>
                  <w:r>
                    <w:t xml:space="preserve">0</w:t>
                  </w:r>
                </w:p>
              </w:tc>
            </w:tr>
            <w:tr>
              <w:tc>
                <w:tcPr/>
                <w:p>
                  <w:pPr>
                    <w:pStyle w:val="918"/>
                    <w:jc w:val="left"/>
                    <w:jc w:val="center"/>
                  </w:pPr>
                  <w:r>
                    <w:rPr>
                      <w:b/>
                      <w:bCs/>
                    </w:rPr>
                    <w:t xml:space="preserve">Total</w:t>
                  </w:r>
                </w:p>
              </w:tc>
              <w:tc>
                <w:tcPr/>
                <w:p>
                  <w:pPr>
                    <w:pStyle w:val="918"/>
                  </w:pPr>
                </w:p>
              </w:tc>
              <w:tc>
                <w:tcPr/>
                <w:p>
                  <w:pPr>
                    <w:pStyle w:val="918"/>
                    <w:jc w:val="right"/>
                    <w:jc w:val="center"/>
                  </w:pPr>
                  <w:r>
                    <w:rPr>
                      <w:b/>
                      <w:bCs/>
                    </w:rPr>
                    <w:t xml:space="preserve">4.289</w:t>
                  </w:r>
                </w:p>
              </w:tc>
              <w:tc>
                <w:tcPr/>
                <w:p>
                  <w:pPr>
                    <w:pStyle w:val="918"/>
                    <w:jc w:val="right"/>
                    <w:jc w:val="center"/>
                  </w:pPr>
                  <w:r>
                    <w:rPr>
                      <w:b/>
                      <w:bCs/>
                    </w:rPr>
                    <w:t xml:space="preserve">321</w:t>
                  </w:r>
                </w:p>
              </w:tc>
              <w:tc>
                <w:tcPr/>
                <w:p>
                  <w:pPr>
                    <w:pStyle w:val="918"/>
                    <w:jc w:val="right"/>
                    <w:jc w:val="center"/>
                  </w:pPr>
                  <w:r>
                    <w:rPr>
                      <w:b/>
                      <w:bCs/>
                    </w:rPr>
                    <w:t xml:space="preserve">747</w:t>
                  </w:r>
                </w:p>
              </w:tc>
              <w:tc>
                <w:tcPr/>
                <w:p>
                  <w:pPr>
                    <w:pStyle w:val="918"/>
                    <w:jc w:val="right"/>
                    <w:jc w:val="center"/>
                  </w:pPr>
                  <w:r>
                    <w:rPr>
                      <w:b/>
                      <w:bCs/>
                    </w:rPr>
                    <w:t xml:space="preserve">797</w:t>
                  </w:r>
                </w:p>
              </w:tc>
            </w:tr>
          </w:tbl>
          <w:bookmarkEnd w:id="72"/>
          <w:p/>
        </w:tc>
      </w:tr>
    </w:tbl>
    <w:p>
      <w:pPr>
        <w:pStyle w:val="916"/>
      </w:pPr>
      <w:r>
        <w:t xml:space="preserve">Fonte: Elaboração própria a partir dos dados da pesquisa.</w:t>
      </w:r>
    </w:p>
    <w:p>
      <w:pPr>
        <w:pStyle w:val="916"/>
      </w:pPr>
      <w:r>
        <w:t xml:space="preserve">Entre as 2.671 recomendações que receberam a classificação "Sim/Sim" na etapa de codificação automatizada, isto é, aquelas interpretadas como contendo ação com foco na causa e efeitos duradouros, observou-se convergência com a análise crítica em 74,92% dos casos. Em termos absolutos, apenas 670 registros (25,08%) apresentaram alguma divergência na etapa subsequente de avaliação, indicando elevado grau de alinhamento entre os dois momentos analíticos para essa categoria.</w:t>
      </w:r>
    </w:p>
    <w:p>
      <w:pPr>
        <w:pStyle w:val="916"/>
      </w:pPr>
      <w:r>
        <w:t xml:space="preserve">Já as recomendações inicialmente classificadas como "Não/Não se aplica", correspondentes à categoria "sem ação com foco na causa", apresentaram estabilidade interpretativa ainda mais elevada. Dos 1.601 registros enquadrados nessa classificação, apenas 120 (7,50%) foram objeto de divergência na análise crítica, resultando em convergência superior a 92%.</w:t>
      </w:r>
    </w:p>
    <w:p>
      <w:pPr>
        <w:pStyle w:val="916"/>
      </w:pPr>
      <w:r>
        <w:t xml:space="preserve">Em contraste, a categoria "Sim/Não", correspondente às recomendações classificadas como contendo ação com foco na causa, mas sem efeitos duradouros, apresentou comportamento substancialmente distinto. Dos 12 registros inicialmente enquadrados nessa classificação, 7 foram objeto de divergência na análise crítica, resultando em convergência de apenas 41,67%. Embora numericamente reduzido, esse resultado sugere que essa categoria reúne situações classificatórias particularmente sensíveis à interpretação dos critérios empregados.</w:t>
      </w:r>
    </w:p>
    <w:p>
      <w:pPr>
        <w:pStyle w:val="916"/>
      </w:pPr>
      <w:r>
        <w:t xml:space="preserve">Por fim, a categoria "Não se aplica/Não se aplica" compreendeu apenas cinco registros, correspondentes a 0,12% do corpus analisado, não apresentando qualquer divergência na etapa de análise crítica. Em razão de sua reduzida representatividade numérica, essa categoria não foi considerada relevante para as análises subsequentes. </w:t>
      </w:r>
    </w:p>
    <w:p>
      <w:pPr>
        <w:pStyle w:val="916"/>
      </w:pPr>
      <w:r>
        <w:t xml:space="preserve">No universo das recomendações inicialmente classificadas como "Sim/Sim", a maior parte das divergências concentrou-se no critério "efeitos duradouros". Dos 670 casos em que houve discordância entre a classificação original e a análise crítica, 207 envolveram o critério "foco causa", correspondendo a situações em que a recomendação deixou de ser compreendida como voltada ao enfrentamento da causa do problema identificado. Já em 657 casos a divergência incidiu sobre o critério "efeitos duradouros", indicando que a análise crítica concluiu que os efeitos pretendidos pela recomendação não apresentavam potencial de permanência ao longo do tempo.</w:t>
      </w:r>
    </w:p>
    <w:p>
      <w:pPr>
        <w:pStyle w:val="916"/>
      </w:pPr>
      <w:r>
        <w:t xml:space="preserve">Importa destacar, contudo, que esses quantitativos não são independentes entre si. Conforme as regras adotadas no modelo analítico, a avaliação da durabilidade dos efeitos somente deveria ser realizada quando previamente reconhecida a existência de ação voltada à causa do problema. Assim, sempre que a análise crítica discordou da presença de foco causal, a avaliação dos efeitos duradouros deixou de ser, imediatamente, aplicável. Em razão dessa dependência lógica entre os critérios, uma mesma recomendação pode ter figurado simultaneamente entre as divergências relativas ao foco causal e entre aquelas relacionadas aos efeitos duradouros. Por essa razão, embora tenham sido registradas 207 divergências quanto ao foco causa e 657 quanto aos efeitos duradouros, o número total de recomendações com alguma divergência correspondeu a 670 casos, e não à soma aritmética desses quantitativos.</w:t>
      </w:r>
    </w:p>
    <w:p>
      <w:pPr>
        <w:pStyle w:val="916"/>
      </w:pPr>
      <w:r>
        <w:t xml:space="preserve">Os resultados sugerem que a identificação do foco causal apresentou maior estabilidade interpretativa do que a avaliação da durabilidade dos efeitos. Enquanto o critério “foco causa” foi objeto de divergência em 321 classificações, o critério “efeitos duradouros” concentrou 747 discordâncias, mais que o dobro do quantitativo observado para a primeira variável. A distribuição dessas discordâncias estabelece o ponto de partida para examinar quais características textuais e tipos de ação estiveram associados à diferença entre as duas leituras.</w:t>
      </w:r>
    </w:p>
    <w:bookmarkEnd w:id="73"/>
    <w:bookmarkStart w:id="75" w:name="X48f22ac38df824653b00bef357cc1e7e4011f3b"/>
    <w:p>
      <w:pPr>
        <w:pStyle w:val="905"/>
      </w:pPr>
      <w:r>
        <w:t xml:space="preserve">4.6 Padrões de discordância quanto aos efeitos duradouros</w:t>
      </w:r>
    </w:p>
    <w:p>
      <w:pPr>
        <w:pStyle w:val="917"/>
      </w:pPr>
      <w:r>
        <w:t xml:space="preserve">As 747 recomendações com discordância no critério “efeitos duradouros”, vinculadas a 712 constatações distintas, foram tratadas como corpus específico de aprofundamento. A seleção seguiu a regra operacional segundo a qual toda resposta da análise crítica diferente de “Concordo” nesse critério constitui divergência, inclusive “Não se aplica” quando a revisão afasta previamente o foco causal. Por isso, o conjunto não deve ser somado às 321 divergências em “foco causa”: uma mesma recomendação pode figurar nas duas contagens. O procedimento de categorização, suas rodadas de refinamento e os exemplos de cada categoria estão documentados no Apêndice L.</w:t>
      </w:r>
    </w:p>
    <w:p>
      <w:pPr>
        <w:pStyle w:val="916"/>
      </w:pPr>
      <w:r>
        <w:t xml:space="preserve">A leitura assistida por IA organizou as discordâncias em sete categorias, apresentadas na Tabela 6. As três rodadas exploratórias utilizaram subconjuntos de 50 recomendações para propor e ajustar padrões; a classificação final, realizada em lotes sequenciais com uma taxonomia acumulada, atribuiu uma categoria principal a cada um dos 747 casos. As frequências abaixo referem-se exclusivamente a essa classificação final, sem somar as rodadas de exploração, nas quais algumas unidades foram reavaliadas.</w:t>
      </w:r>
    </w:p>
    <w:tbl>
      <w:tblPr>
        <w:tblStyle w:val="Table"/>
        <w:tblW w:type="pct" w:w="5000"/>
        <w:tblLayout w:type="fixed"/>
        <w:tblLook w:firstRow="0" w:lastRow="0" w:firstColumn="0" w:lastColumn="0" w:noHBand="0" w:noVBand="0" w:val="0000"/>
      </w:tblPr>
      <w:tblGrid>
        <w:gridCol w:w="7920"/>
      </w:tblGrid>
      <w:tr>
        <w:tc>
          <w:tcPr/>
          <w:bookmarkStart w:id="74" w:name="tbl-padroes-discordancia-efeitos"/>
          <w:p>
            <w:pPr>
              <w:jc w:val="center"/>
            </w:pPr>
            <w:pPr>
              <w:jc w:val="left"/>
              <w:spacing w:before="200"/>
              <w:pStyle w:val="ImageCaption"/>
            </w:pPr>
            <w:r>
              <w:t xml:space="preserve">Tabela 6: Categorias da classificação final das discordâncias em efeitos duradouros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jc w:val="center"/>
                  </w:pPr>
                  <w:r>
                    <w:t xml:space="preserve">Padrão de discordância</w:t>
                  </w:r>
                </w:p>
              </w:tc>
              <w:tc>
                <w:tcPr/>
                <w:p>
                  <w:pPr>
                    <w:pStyle w:val="918"/>
                    <w:jc w:val="right"/>
                    <w:jc w:val="center"/>
                  </w:pPr>
                  <w:r>
                    <w:t xml:space="preserve">Recomendações</w:t>
                  </w:r>
                </w:p>
              </w:tc>
              <w:tc>
                <w:tcPr/>
                <w:p>
                  <w:pPr>
                    <w:pStyle w:val="918"/>
                    <w:jc w:val="right"/>
                    <w:jc w:val="center"/>
                  </w:pPr>
                  <w:r>
                    <w:t xml:space="preserve">Percentual das 747</w:t>
                  </w:r>
                </w:p>
              </w:tc>
            </w:tr>
            <w:tr>
              <w:tc>
                <w:tcPr/>
                <w:p>
                  <w:pPr>
                    <w:pStyle w:val="918"/>
                    <w:jc w:val="left"/>
                    <w:jc w:val="center"/>
                  </w:pPr>
                  <w:r>
                    <w:t xml:space="preserve">Execução continuada dependente de adesão</w:t>
                  </w:r>
                </w:p>
              </w:tc>
              <w:tc>
                <w:tcPr/>
                <w:p>
                  <w:pPr>
                    <w:pStyle w:val="918"/>
                    <w:jc w:val="right"/>
                    <w:jc w:val="center"/>
                  </w:pPr>
                  <w:r>
                    <w:t xml:space="preserve">281</w:t>
                  </w:r>
                </w:p>
              </w:tc>
              <w:tc>
                <w:tcPr/>
                <w:p>
                  <w:pPr>
                    <w:pStyle w:val="918"/>
                    <w:jc w:val="right"/>
                    <w:jc w:val="center"/>
                  </w:pPr>
                  <w:r>
                    <w:t xml:space="preserve">37,62%</w:t>
                  </w:r>
                </w:p>
              </w:tc>
            </w:tr>
            <w:tr>
              <w:tc>
                <w:tcPr/>
                <w:p>
                  <w:pPr>
                    <w:pStyle w:val="918"/>
                    <w:jc w:val="left"/>
                    <w:jc w:val="center"/>
                  </w:pPr>
                  <w:r>
                    <w:t xml:space="preserve">Pacote heterogêneo de ações</w:t>
                  </w:r>
                </w:p>
              </w:tc>
              <w:tc>
                <w:tcPr/>
                <w:p>
                  <w:pPr>
                    <w:pStyle w:val="918"/>
                    <w:jc w:val="right"/>
                    <w:jc w:val="center"/>
                  </w:pPr>
                  <w:r>
                    <w:t xml:space="preserve">205</w:t>
                  </w:r>
                </w:p>
              </w:tc>
              <w:tc>
                <w:tcPr/>
                <w:p>
                  <w:pPr>
                    <w:pStyle w:val="918"/>
                    <w:jc w:val="right"/>
                    <w:jc w:val="center"/>
                  </w:pPr>
                  <w:r>
                    <w:t xml:space="preserve">27,44%</w:t>
                  </w:r>
                </w:p>
              </w:tc>
            </w:tr>
            <w:tr>
              <w:tc>
                <w:tcPr/>
                <w:p>
                  <w:pPr>
                    <w:pStyle w:val="918"/>
                    <w:jc w:val="left"/>
                    <w:jc w:val="center"/>
                  </w:pPr>
                  <w:r>
                    <w:t xml:space="preserve">Conformidade normativa sem mecanismo de implementação</w:t>
                  </w:r>
                </w:p>
              </w:tc>
              <w:tc>
                <w:tcPr/>
                <w:p>
                  <w:pPr>
                    <w:pStyle w:val="918"/>
                    <w:jc w:val="right"/>
                    <w:jc w:val="center"/>
                  </w:pPr>
                  <w:r>
                    <w:t xml:space="preserve">117</w:t>
                  </w:r>
                </w:p>
              </w:tc>
              <w:tc>
                <w:tcPr/>
                <w:p>
                  <w:pPr>
                    <w:pStyle w:val="918"/>
                    <w:jc w:val="right"/>
                    <w:jc w:val="center"/>
                  </w:pPr>
                  <w:r>
                    <w:t xml:space="preserve">15,66%</w:t>
                  </w:r>
                </w:p>
              </w:tc>
            </w:tr>
            <w:tr>
              <w:tc>
                <w:tcPr/>
                <w:p>
                  <w:pPr>
                    <w:pStyle w:val="918"/>
                    <w:jc w:val="left"/>
                    <w:jc w:val="center"/>
                  </w:pPr>
                  <w:r>
                    <w:t xml:space="preserve">Formalização sem institucionalização demonstrada</w:t>
                  </w:r>
                </w:p>
              </w:tc>
              <w:tc>
                <w:tcPr/>
                <w:p>
                  <w:pPr>
                    <w:pStyle w:val="918"/>
                    <w:jc w:val="right"/>
                    <w:jc w:val="center"/>
                  </w:pPr>
                  <w:r>
                    <w:t xml:space="preserve">85</w:t>
                  </w:r>
                </w:p>
              </w:tc>
              <w:tc>
                <w:tcPr/>
                <w:p>
                  <w:pPr>
                    <w:pStyle w:val="918"/>
                    <w:jc w:val="right"/>
                    <w:jc w:val="center"/>
                  </w:pPr>
                  <w:r>
                    <w:t xml:space="preserve">11,38%</w:t>
                  </w:r>
                </w:p>
              </w:tc>
            </w:tr>
            <w:tr>
              <w:tc>
                <w:tcPr/>
                <w:p>
                  <w:pPr>
                    <w:pStyle w:val="918"/>
                    <w:jc w:val="left"/>
                    <w:jc w:val="center"/>
                  </w:pPr>
                  <w:r>
                    <w:t xml:space="preserve">Capacitação sujeita a atualização e retenção</w:t>
                  </w:r>
                </w:p>
              </w:tc>
              <w:tc>
                <w:tcPr/>
                <w:p>
                  <w:pPr>
                    <w:pStyle w:val="918"/>
                    <w:jc w:val="right"/>
                    <w:jc w:val="center"/>
                  </w:pPr>
                  <w:r>
                    <w:t xml:space="preserve">38</w:t>
                  </w:r>
                </w:p>
              </w:tc>
              <w:tc>
                <w:tcPr/>
                <w:p>
                  <w:pPr>
                    <w:pStyle w:val="918"/>
                    <w:jc w:val="right"/>
                    <w:jc w:val="center"/>
                  </w:pPr>
                  <w:r>
                    <w:t xml:space="preserve">5,09%</w:t>
                  </w:r>
                </w:p>
              </w:tc>
            </w:tr>
            <w:tr>
              <w:tc>
                <w:tcPr/>
                <w:p>
                  <w:pPr>
                    <w:pStyle w:val="918"/>
                    <w:jc w:val="left"/>
                    <w:jc w:val="center"/>
                  </w:pPr>
                  <w:r>
                    <w:t xml:space="preserve">Investigação sem tratamento assegurado</w:t>
                  </w:r>
                </w:p>
              </w:tc>
              <w:tc>
                <w:tcPr/>
                <w:p>
                  <w:pPr>
                    <w:pStyle w:val="918"/>
                    <w:jc w:val="right"/>
                    <w:jc w:val="center"/>
                  </w:pPr>
                  <w:r>
                    <w:t xml:space="preserve">13</w:t>
                  </w:r>
                </w:p>
              </w:tc>
              <w:tc>
                <w:tcPr/>
                <w:p>
                  <w:pPr>
                    <w:pStyle w:val="918"/>
                    <w:jc w:val="right"/>
                    <w:jc w:val="center"/>
                  </w:pPr>
                  <w:r>
                    <w:t xml:space="preserve">1,74%</w:t>
                  </w:r>
                </w:p>
              </w:tc>
            </w:tr>
            <w:tr>
              <w:tc>
                <w:tcPr/>
                <w:p>
                  <w:pPr>
                    <w:pStyle w:val="918"/>
                    <w:jc w:val="left"/>
                    <w:jc w:val="center"/>
                  </w:pPr>
                  <w:r>
                    <w:t xml:space="preserve">Adequação estrutural ou física com efeito material</w:t>
                  </w:r>
                </w:p>
              </w:tc>
              <w:tc>
                <w:tcPr/>
                <w:p>
                  <w:pPr>
                    <w:pStyle w:val="918"/>
                    <w:jc w:val="right"/>
                    <w:jc w:val="center"/>
                  </w:pPr>
                  <w:r>
                    <w:t xml:space="preserve">8</w:t>
                  </w:r>
                </w:p>
              </w:tc>
              <w:tc>
                <w:tcPr/>
                <w:p>
                  <w:pPr>
                    <w:pStyle w:val="918"/>
                    <w:jc w:val="right"/>
                    <w:jc w:val="center"/>
                  </w:pPr>
                  <w:r>
                    <w:t xml:space="preserve">1,07%</w:t>
                  </w:r>
                </w:p>
              </w:tc>
            </w:tr>
            <w:tr>
              <w:tc>
                <w:tcPr/>
                <w:p>
                  <w:pPr>
                    <w:pStyle w:val="918"/>
                    <w:jc w:val="left"/>
                    <w:jc w:val="center"/>
                  </w:pPr>
                  <w:r>
                    <w:rPr>
                      <w:b/>
                      <w:bCs/>
                    </w:rPr>
                    <w:t xml:space="preserve">Total</w:t>
                  </w:r>
                </w:p>
              </w:tc>
              <w:tc>
                <w:tcPr/>
                <w:p>
                  <w:pPr>
                    <w:pStyle w:val="918"/>
                    <w:jc w:val="right"/>
                    <w:jc w:val="center"/>
                  </w:pPr>
                  <w:r>
                    <w:rPr>
                      <w:b/>
                      <w:bCs/>
                    </w:rPr>
                    <w:t xml:space="preserve">747</w:t>
                  </w:r>
                </w:p>
              </w:tc>
              <w:tc>
                <w:tcPr/>
                <w:p>
                  <w:pPr>
                    <w:pStyle w:val="918"/>
                    <w:jc w:val="right"/>
                    <w:jc w:val="center"/>
                  </w:pPr>
                  <w:r>
                    <w:rPr>
                      <w:b/>
                      <w:bCs/>
                    </w:rPr>
                    <w:t xml:space="preserve">100,00%</w:t>
                  </w:r>
                </w:p>
              </w:tc>
            </w:tr>
          </w:tbl>
          <w:bookmarkEnd w:id="74"/>
          <w:p/>
        </w:tc>
      </w:tr>
    </w:tbl>
    <w:p>
      <w:pPr>
        <w:pStyle w:val="916"/>
      </w:pPr>
      <w:r>
        <w:t xml:space="preserve">Fonte: Elaboração própria a partir da categorização assistida por IA documentada no Apêndice L.</w:t>
      </w:r>
    </w:p>
    <w:p>
      <w:pPr>
        <w:pStyle w:val="916"/>
      </w:pPr>
      <w:r>
        <w:t xml:space="preserve">As duas categorias mais frequentes reúnem 486 recomendações (65,06% das discordâncias). Na primeira, a diferença entre as avaliações recai sobre a passagem de uma rotina prescrita para sua execução reiterada: uma recomendação que determina estabelecer e colocar em prática o preenchimento de mapas de temperatura, por exemplo, pode ser lida como instituindo um procedimento estável ou como dependendo de adesão e supervisão permanentes. Na segunda, a própria unidade textual combina ações com funções distintas, como restituição de recursos, apuração de responsabilidades e correção de registros. Nesses casos, a classificação única da recomendação pode privilegiar componentes diferentes conforme o aspecto considerado pelo modelo.</w:t>
      </w:r>
    </w:p>
    <w:p>
      <w:pPr>
        <w:pStyle w:val="916"/>
      </w:pPr>
      <w:r>
        <w:t xml:space="preserve">Outras 202 recomendações (27,04%) distribuem-se entre conformidade normativa sem mecanismo de implementação e formalização sem institucionalização demonstrada. A primeira categoria reúne comandos de observância de normas cuja continuidade foi inferida da permanência da obrigação jurídica, embora o texto não explicite controles de execução; a segunda abrange a criação ou atualização de documentos, planos, registros ou fluxos sem que sua incorporação às práticas esteja demonstrada. A distinção é relevante porque a existência de uma regra ou de um instrumento formal não equivale, por si só, à manutenção de seu uso ao longo do tempo.</w:t>
      </w:r>
    </w:p>
    <w:p>
      <w:pPr>
        <w:pStyle w:val="916"/>
      </w:pPr>
      <w:r>
        <w:t xml:space="preserve">As categorias menos numerosas também qualificam o sentido da discordância. Nas recomendações centradas em capacitação, a possibilidade de retenção do conhecimento depende de atualização, permanência de pessoal e incorporação às rotinas; nas solicitações de investigação ou manifestação, a produção de informação não assegura a implementação de uma medida corretiva. Já as oito recomendações de adequação material suscitam uma tensão distinta: a mudança física pode persistir, mas o texto não demonstra como sua manutenção será assegurada. Esses padrões não autorizam decidir automaticamente qual das duas classificações anteriores estava correta. Eles mostram, contudo, que a divergência em “efeitos duradouros” não constitui um fenômeno único e indiferenciado: envolve limites diferentes da passagem entre ação proposta, implementação e permanência pretendida.</w:t>
      </w:r>
    </w:p>
    <w:bookmarkEnd w:id="75"/>
    <w:bookmarkStart w:id="76" w:name="principais-achados-da-pesquisa"/>
    <w:p>
      <w:pPr>
        <w:pStyle w:val="905"/>
      </w:pPr>
      <w:r>
        <w:t xml:space="preserve">4.7 Principais achados da pesquisa</w:t>
      </w:r>
    </w:p>
    <w:p>
      <w:pPr>
        <w:pStyle w:val="917"/>
      </w:pPr>
      <w:r>
        <w:t xml:space="preserve">Na codificação inicial, 2.671 recomendações (62,28% do corpus) receberam simultaneamente os códigos “foco na causa” e “efeitos duradouros”. A análise crítica concordou com ambos os códigos em 2.001 desses casos (74,92% da categoria inicial) e registrou ao menos uma divergência nos outros 670. Essa concordância expressa a estabilidade relativa de parte das classificações entre duas leituras automatizadas, sem constituir validação independente ou recodificação definitiva dos casos discordantes.</w:t>
      </w:r>
    </w:p>
    <w:p>
      <w:pPr>
        <w:pStyle w:val="916"/>
      </w:pPr>
      <w:r>
        <w:t xml:space="preserve">A magnitude das discordâncias impede tratar a segunda etapa apenas como confirmação do resultado agregado. Embora a classificação inicial aponte predominância de recomendações com foco na causa e efeitos duradouros, a revisão identificou um conjunto substantivo de situações em que a permanência dos efeitos depende de pressupostos adicionais. A análise por grupos documentais e a tipologia das divergências qualificam, portanto, o alcance dessa conclusão e mostram em quais circunstâncias ela requer maior cautela.</w:t>
      </w:r>
    </w:p>
    <w:p>
      <w:pPr>
        <w:pStyle w:val="916"/>
      </w:pPr>
      <w:r>
        <w:t xml:space="preserve">Outro aspecto relevante emerge da análise da categoria composta por recomendações classificadas como orientadas à causa, mas desprovidas de efeitos duradouros. Na etapa de codificação automatizada, essa classificação reuniu apenas 12 registros, correspondentes a 0,28% do corpus analisado. Na etapa de análise crítica, por sua vez, 7 desses casos foram objeto de divergência, resultando em convergência de apenas 41,67%, o menor percentual observado entre todas as categorias examinadas. Embora o reduzido número de ocorrências recomende cautela na interpretação desse resultado, sua baixa incidência nos dois momentos analíticos sugere que a combinação entre foco causal e ausência de efeitos duradouros constituiu situação pouco frequente no conjunto documental analisado. Em outras palavras, sempre que uma recomendação foi interpretada como voltada ao enfrentamento da causa do problema identificado, ela esteve associada, na quase totalidade dos casos, à produção de efeitos com potencial de permanência ao longo do tempo.</w:t>
      </w:r>
    </w:p>
    <w:p>
      <w:pPr>
        <w:pStyle w:val="916"/>
      </w:pPr>
      <w:r>
        <w:t xml:space="preserve">Verifica-se, contudo, que a predominância desse padrão não elimina a ocorrência de recomendações orientadas à correção da condição observada. Ao contrário, 1.601 recomendações, correspondentes a 37,33% do corpus, foram inicialmente classificadas como desprovidas de foco causal, sendo que mais de 92% dessas classificações permaneceram inalteradas na etapa de análise crítica. Esse dado indica que, paralelamente às recomendações orientadas à causa, subsiste um contingente expressivo de recomendações direcionadas à correção imediata das inconformidades identificadas nas auditorias.</w:t>
      </w:r>
    </w:p>
    <w:p>
      <w:pPr>
        <w:pStyle w:val="916"/>
      </w:pPr>
      <w:r>
        <w:t xml:space="preserve">Os achados indicam, portanto, que as recomendações emitidas pelo DENASUS não se distribuem de maneira homogênea entre essas duas lógicas de intervenção. Embora as recomendações orientadas à causa e associadas a efeitos duradouros constituam o padrão predominante, as recomendações voltadas à correção da condição observada também ocupam espaço relevante no conjunto documental examinado. A atuação do DENASUS parece, assim, articular diferentes estratégias de intervenção, combinando recomendações direcionadas à correção de inconformidades com outras voltadas ao enfrentamento de suas causas. Ainda que ambas as lógicas estejam presentes, a abordagem causal mostrou-se maioritária numericamente.</w:t>
      </w:r>
    </w:p>
    <w:p>
      <w:pPr>
        <w:pStyle w:val="916"/>
      </w:pPr>
      <w:r>
        <w:t xml:space="preserve">As divergências não foram tratadas como simples ruído a ser eliminado, nem como prova automática de erro da primeira codificação. A categorização posterior identificou tensões recorrentes entre obrigação normativa, formalização, execução continuada, composição de múltiplas ações e manutenção de estruturas materiais. Esses padrões permitem compreender por que a avaliação dos efeitos duradouros foi menos estável, embora as categorias, produzidas com apoio de IA, continuem dependentes de interpretação crítica. O achado substantivo passa a incluir não só a distribuição inicial entre causa e condição, mas também os limites textuais e operacionais da inferência de permanência.</w:t>
      </w:r>
    </w:p>
    <w:p>
      <w:pPr>
        <w:pStyle w:val="916"/>
      </w:pPr>
      <w:r>
        <w:t xml:space="preserve">É importante registrar, adicionalmente, que, em razão da elevada quantidade de operações analíticas conduzidas com o apoio do modelo de linguagem, abrangendo tanto a codificação automatizada das recomendações quanto a sua subsequente interpretação crítica, mostrou-se inviável incorporar integralmente esse conjunto volumoso de resultados ao corpo da dissertação, uma vez que sua reprodução integral excederia os limites razoáveis de apresentação dos dados em um trabalho dessa natureza. Por essa razão, optou-se por apresentar nos apêndices apenas recortes representativos do processamento analítico realizado, sendo a totalidade das classificações e categorizações produzidas disponibilizada em repositório digital de acesso público, de modo a assegurar a transparência metodológica, a auditabilidade do percurso analítico e a reprodutibilidade dos achados, disponível no seguinte endereço: https://anonymous.4open.science/r/dissertacao-5922/README.md.</w:t>
      </w:r>
    </w:p>
    <w:bookmarkEnd w:id="76"/>
    <w:bookmarkStart w:id="79" w:name="discussão-dos-achados"/>
    <w:p>
      <w:pPr>
        <w:pStyle w:val="905"/>
      </w:pPr>
      <w:r>
        <w:t xml:space="preserve">4.8 Discussão dos achados</w:t>
      </w:r>
    </w:p>
    <w:bookmarkStart w:id="77" w:name="Xc8bf411ca3ba6d46a2e4e78a5818ee19d045300"/>
    <w:p>
      <w:pPr>
        <w:pStyle w:val="906"/>
      </w:pPr>
      <w:r>
        <w:t xml:space="preserve">4.8.1 Recomendações orientadas à causa e potencial de mudança institucional</w:t>
      </w:r>
    </w:p>
    <w:p>
      <w:pPr>
        <w:pStyle w:val="917"/>
      </w:pPr>
      <w:r>
        <w:t xml:space="preserve">Conforme demonstrado em seções precedentes, as recomendações classificadas como orientadas à causa dos problemas identificados e associadas à produção de efeitos duradouros constituíram a parcela mais expressiva do corpus analisado. Embora não esgotem o repertório de estratégias adotadas pelo DENASUS, sua recorrência sugere que a atividade auditorial desenvolvida pelo órgão não se limita à correção imediata das inconformidades detectadas. A frequência de medidas relacionadas à revisão de processos, ao aperfeiçoamento de rotinas de trabalho, à capacitação de profissionais e à reorganização de instrumentos de gestão indica a presença de iniciativas voltadas ao fortalecimento das capacidades institucionais e ao aprimoramento da governança pública em saúde.</w:t>
      </w:r>
    </w:p>
    <w:p>
      <w:pPr>
        <w:pStyle w:val="916"/>
      </w:pPr>
      <w:r>
        <w:t xml:space="preserve">A relevância desse achado torna-se mais evidente quando examinada à luz da distinção proposta pelo Institute of Internal Auditors (IIA) entre recomendações baseadas na condição (</w:t>
      </w:r>
      <w:r>
        <w:rPr>
          <w:i/>
          <w:iCs/>
        </w:rPr>
        <w:t xml:space="preserve">condition-based</w:t>
      </w:r>
      <w:r>
        <w:t xml:space="preserve">) e recomendações baseadas na causa (</w:t>
      </w:r>
      <w:r>
        <w:rPr>
          <w:i/>
          <w:iCs/>
        </w:rPr>
        <w:t xml:space="preserve">cause-based</w:t>
      </w:r>
      <w:r>
        <w:t xml:space="preserve">). Mais do que uma classificação operacional, essa tipologia expressa diferentes concepções acerca do alcance das intervenções propostas, oferecendo uma chave interpretativa particularmente útil para compreender os diferentes potenciais de intervenção presentes na atividade recomendatória do DENASUS.</w:t>
      </w:r>
    </w:p>
    <w:p>
      <w:pPr>
        <w:pStyle w:val="916"/>
      </w:pPr>
      <w:r>
        <w:t xml:space="preserve">Nesse contexto, merece destaque o vínculo estabelecido nesta pesquisa entre a abordagem causal dos problemas identificados nas auditorias e seu potencial de indução de mudanças institucionais. Diferentemente das medidas centradas na condição observada, que tendem a concentrar-se na correção de sintomas específicos ou na recomposição da conformidade formal, as intervenções orientadas à causa incidem sobre fatores associados à produção e à reprodução dos problemas auditados. Tal característica desloca o foco da remediação pontual para a revisão dos processos institucionais subjacentes, favorecendo o aprimoramento organizacional. No contexto do sistema público de saúde, essa lógica permite não apenas a mitigação de falhas recorrentes, mas também a indução de padrões mais estáveis e sistêmicos de governança. Ao propor soluções concebidas para perdurar além da troca de gestores, tais recomendações podem contribuir para a institucionalização de boas práticas e o aprendizado organizacional, desde que sejam implementadas e mantidas nas unidades auditadas.</w:t>
      </w:r>
    </w:p>
    <w:p>
      <w:pPr>
        <w:pStyle w:val="916"/>
      </w:pPr>
      <w:r>
        <w:t xml:space="preserve">No âmbito do Sistema Único de Saúde, essa distinção assume relevância adicional, uma vez que problemas relacionados à regulação assistencial, ao financiamento, à contratualização, à organização das redes de atenção, à gestão da força de trabalho ou à governança interfederativa raramente decorrem de fatores isolados. Em regra, resultam da interação entre múltiplos elementos organizacionais, normativos e institucionais. Nesse cenário, medidas voltadas exclusivamente à correção da condição observada podem ser suficientes para solucionar a manifestação imediata da falha, mas tendem a apresentar alcance limitado para prevenir sua recorrência. Em contraste, intervenções orientadas à causa procuram atuar sobre fatores relacionados à origem dos problemas identificados, o que lhes confere potencial para repercutir para além do caso concreto e influenciar, em diferentes graus, processos, rotinas e arranjos institucionais mais amplos.</w:t>
      </w:r>
    </w:p>
    <w:p>
      <w:pPr>
        <w:pStyle w:val="916"/>
      </w:pPr>
      <w:r>
        <w:t xml:space="preserve">Nessa direção, os achados da pesquisa sugerem que o DENASUS, ao emitir parcela expressiva de recomendações orientadas à causa dos problemas identificados, exerce uma atuação que ultrapassa a correção imediata das inconformidades detectadas nas auditorias. Isso não significa afirmar que tais recomendações produzam, por si sós, transformações efetivas nas organizações auditadas, tampouco que seus efeitos pretendidos sejam necessariamente implementados. Significa reconhecer que parte relevante das intervenções propostas apresenta características compatíveis com processos de aperfeiçoamento organizacional e institucional, na medida em que busca incidir sobre fatores associados à origem dos problemas identificados e não apenas sobre suas manifestações imediatas.</w:t>
      </w:r>
    </w:p>
    <w:p>
      <w:pPr>
        <w:pStyle w:val="916"/>
      </w:pPr>
      <w:r>
        <w:t xml:space="preserve">Essa interpretação encontra ressonância nas contribuições do institucionalismo e do neo-institucionalismo. Conforme argumenta North (1990), as instituições estruturam o comportamento dos atores por meio de regras formais e informais que conferem estabilidade, previsibilidade e continuidade às interações sociais. Sob essa ótica, iniciativas voltadas predominantemente à correção imediata das inconformidades podem ser compreendidas como mecanismos de reforço dos arranjos institucionais existentes, estimulando a observância de normas e a preservação de padrões organizacionais já estabelecidos.</w:t>
      </w:r>
    </w:p>
    <w:p>
      <w:pPr>
        <w:pStyle w:val="916"/>
      </w:pPr>
      <w:r>
        <w:t xml:space="preserve">Sem afastar a relevância desses mecanismos de estabilidade institucional, autores vinculados ao institucionalismo histórico, como Immergut (1992), Hall e Taylor (2003) e Mahoney e Thelen (2009), concordam que mudanças institucionais frequentemente ocorrem de forma gradual, incremental e cumulativa, por meio de adaptações sucessivas realizadas no interior das próprias estruturas existentes. À luz dessa perspectiva, recomendações que procuram atuar sobre fatores associados à origem dos problemas e reduzir sua recorrência podem ser interpretadas como instrumentos potencialmente relacionados a trajetórias de aperfeiçoamento organizacional e, em determinadas circunstâncias, a processos de mudança institucional gradual.</w:t>
      </w:r>
    </w:p>
    <w:p>
      <w:pPr>
        <w:pStyle w:val="916"/>
      </w:pPr>
      <w:r>
        <w:t xml:space="preserve">Cumpre ressaltar, contudo, que a tipologia empregada nesta pesquisa não foi concebida originalmente para identificar mudanças institucionais, mas para distinguir recomendações orientadas à condição daquelas orientadas à causa dos problemas observados. A aproximação entre essas categorias e os referenciais institucionalistas constitui, portanto, uma interpretação analítica desenvolvida à luz dos objetivos deste estudo. Nessa medida, os resultados não permitem afirmar a ocorrência de mudanças institucionais efetivas, mas sugerem que parte significativa das recomendações analisadas apresenta características compatíveis com intervenções que transcendem a correção imediata das inconformidades e que podem favorecer processos de aperfeiçoamento institucional.</w:t>
      </w:r>
    </w:p>
    <w:p>
      <w:pPr>
        <w:pStyle w:val="916"/>
      </w:pPr>
      <w:r>
        <w:t xml:space="preserve">A categorização das discordâncias acrescenta uma qualificação a essa aproximação teórica. As categorias relativas ao cumprimento normativo e à formalização mostram que a presença de regras, planos ou registros não autoriza inferir, sem outras evidências, sua incorporação estável às práticas. Já a execução continuada dependente de adesão evidencia que a permanência de uma rotina requer condições organizacionais e ação reiterada, mesmo quando a recomendação foi formulada com foco na causa. Desse modo, o potencial institucional das medidas propostas pode ser examinado no plano de seu conteúdo, ao passo que sua realização concreta permanece fora do alcance desta análise documental.</w:t>
      </w:r>
    </w:p>
    <w:p>
      <w:pPr>
        <w:pStyle w:val="916"/>
      </w:pPr>
      <w:r>
        <w:t xml:space="preserve">A coexistência de recomendações voltadas à correção da condição observada com outras direcionadas ao enfrentamento das causas dos problemas revela uma característica particularmente relevante da atuação do DENASUS. Os dados, embora não indiquem a substituição de uma lógica pela outra, atestam a presença simultânea de ambas. Ao mesmo tempo, a maior incidência de recomendações classificadas como orientadas à causa e associadas à produção de efeitos duradouros sugere que a atividade recomendatória do órgão não se restringe à recomposição da conformidade normativa, incorporando preocupações relacionadas à origem e à recorrência dos problemas auditados.</w:t>
      </w:r>
    </w:p>
    <w:p>
      <w:pPr>
        <w:pStyle w:val="916"/>
      </w:pPr>
      <w:r>
        <w:t xml:space="preserve">Nesse contexto, o DENASUS pode ser compreendido como instituição que articula diferentes formas de intervenção. De um lado, desempenha funções tradicionalmente associadas ao controle e à fiscalização; de outro, formula orientações que, ao menos em seu conteúdo e desenho, apresentam potencial para contribuir com processos de aperfeiçoamento organizacional. Essa dualidade não deve ser interpretada como contradição, mas como expressão das próprias exigências que caracterizam ambientes institucionais complexos, nos quais estabilidade, conformidade e adaptação coexistem de maneira permanente.</w:t>
      </w:r>
    </w:p>
    <w:p>
      <w:pPr>
        <w:pStyle w:val="916"/>
      </w:pPr>
      <w:r>
        <w:t xml:space="preserve">A articulação entre as contribuições do institucionalismo e do neo-institucionalismo, portanto, permite compreender as recomendações do DENASUS para além de sua dimensão estritamente técnica. Inseridas nos limites e condicionantes das estruturas vigentes e sem, necessariamente, promover rupturas abruptas nos arranjos existentes, essas recomendações podem favorecer a revisão de práticas, a reconfiguração de rotinas organizacionais, a incorporação de novos padrões de gestão e o fortalecimento das capacidades estatais. Os achados empíricos sugerem, assim, que a atuação do DENASUS transcende a correção imediata das inconformidades identificadas nas auditorias, incorporando elementos compatíveis com dinâmicas de aprendizagem organizacional e aprimoramento institucional no âmbito do SUS. Ainda que esse potencial não se concretize de forma uniforme ou automática, ele se manifesta em recomendações que procuram ultrapassar a remediação pontual das falhas identificadas e induzir, de maneira gradual e condicionada pelo contexto, transformações nos mecanismos de gestão. Nessa perspectiva, as recomendações de auditoria podem ser compreendidas como instrumentos com potencial para contribuir para processos incrementais de mudança institucional no SUS. </w:t>
      </w:r>
    </w:p>
    <w:bookmarkEnd w:id="77"/>
    <w:bookmarkStart w:id="78" w:name="Xeb902c94a8da908d8d64a50db3f27c5a3f44d38"/>
    <w:p>
      <w:pPr>
        <w:pStyle w:val="906"/>
      </w:pPr>
      <w:r>
        <w:t xml:space="preserve">4.8.2 Recomendações de auditoria como instrumentos institucionais</w:t>
      </w:r>
    </w:p>
    <w:p>
      <w:pPr>
        <w:pStyle w:val="917"/>
      </w:pPr>
      <w:r>
        <w:t xml:space="preserve">Os achados desta investigação permitem apreender o padrão predominante das recomendações emitidas pelo DENASUS e oferecem indícios sobre as racionalidades institucionais que orientam sua formulação. Ao invés de indicar uma direção única, como estritamente transformadora ou apenas corretiva, os dados apontam para um campo de atuação ambivalente, marcado por múltiplas intenções, limites operacionais e escolhas estratégicas. Esse panorama sugere que a atuação recomendatória se configura como um espaço institucional de produção e disputa de sentidos, no qual se entrelaçam a manutenção de rotinas consolidadas e a introdução de inovações incrementais, bem como a observância da conformidade normativa e a indução de ajustes nos arranjos organizacionais das unidades auditadas.</w:t>
      </w:r>
    </w:p>
    <w:p>
      <w:pPr>
        <w:pStyle w:val="916"/>
      </w:pPr>
      <w:r>
        <w:t xml:space="preserve">Mais do que revelar a presença ou a ausência de foco causal nas recomendações, a análise evidencia o papel dessas peças técnicas como instrumentos de negociação institucional. Recomendar uma ação não consiste apenas em propor uma medida concreta, mas também sinalizar, de forma mais ou menos explícita, o que se considera relevante transformar, preservar ou silenciar no âmbito da gestão pública. Nesse sentido, as recomendações do DENASUS podem ser compreendidas como artefatos institucionais que operam simultaneamente nos planos técnico, político e simbólico, moldando expectativas de comportamento, definindo prioridades de ação e produzindo efeitos normativos que antecedem, inclusive, sua implementação.</w:t>
      </w:r>
    </w:p>
    <w:p>
      <w:pPr>
        <w:pStyle w:val="916"/>
      </w:pPr>
      <w:r>
        <w:t xml:space="preserve">Observa-se, ainda, um movimento de sofisticação no campo da auditoria pública, associado a um reposicionamento conceitual e prático que amplia seu escopo de atuação. A presença recorrente de elementos de aperfeiçoamento estrutural nas recomendações analisadas, ainda que não se tenha tido a a pretensão de avaliar sua efetividade, aponta nessa direção. O DENASUS, ainda que condicionado por uma matriz burocrática e normativa consolidada, atua em uma zona intermediária entre a fiscalização tradicional e o assessoramento estratégico, contribuindo, de forma gradual, para o aprimoramento da governança pública.</w:t>
      </w:r>
    </w:p>
    <w:p>
      <w:pPr>
        <w:pStyle w:val="916"/>
      </w:pPr>
      <w:r>
        <w:t xml:space="preserve">A análise reforça que os próprios limites e possibilidades das recomendações não podem ser compreendidos sem considerar o papel das instituições como estruturas de oportunidades e restrições. Em diversos casos, a opção por uma recomendação corretiva de escopo estreito pode não derivar de uma limitação técnica, mas de um cálculo institucional sobre o que é possível propor, sustentar ou legitimar em determinado contexto político-organizacional. Isso remete à ideia de que as recomendações não expressam apenas um juízo técnico sobre a constatação, mas também uma leitura institucional sobre o ambiente em que se pretende intervir.</w:t>
      </w:r>
    </w:p>
    <w:p>
      <w:pPr>
        <w:pStyle w:val="916"/>
      </w:pPr>
      <w:r>
        <w:t xml:space="preserve">Sob essa ótica, os resultados obtidos suscitam reflexões sobre o próprio papel da linguagem e da ambiguidade textual nos documentos de auditoria. As divergências observadas entre as etapas analíticas automatizadas, ainda que relativamente reduzida, demonstram que a interpretação das recomendações depende, em parte, da forma como os sentidos são construídos e do grau de precisão (ou opacidade) com que os objetivos da ação proposta são descritos. Essa característica reforça a compreensão de que a atuação recomendatória do DENASUS é simultaneamente técnica e política, exigindo do analista atenção não apenas ao conteúdo explícito das ações propostas, mas também aos subtextos normativos, institucionais e simbólicos que permeiam essas produções.</w:t>
      </w:r>
    </w:p>
    <w:p>
      <w:r>
        <w:br w:type="page"/>
      </w:r>
    </w:p>
    <w:bookmarkEnd w:id="78"/>
    <w:bookmarkEnd w:id="79"/>
    <w:bookmarkEnd w:id="80"/>
    <w:bookmarkStart w:id="83" w:name="considerações-finais"/>
    <w:p>
      <w:pPr>
        <w:pStyle w:val="904"/>
      </w:pPr>
      <w:r>
        <w:t xml:space="preserve">5. Considerações Finais</w:t>
      </w:r>
    </w:p>
    <w:p>
      <w:pPr>
        <w:pStyle w:val="917"/>
      </w:pPr>
      <w:r>
        <w:t xml:space="preserve">Ao término desta investigação, reafirma-se o propósito que a orientou: compreender o que as recomendações do DENASUS revelam acerca de sua vocação institucional, se voltada à indução de mudanças estruturais e duradouras ou à resposta a falhas administrativas pontuais e imediatas. Para enfrentar essa questão, recorreu-se à tipologia difundida pelo Institute of Internal Auditors (IIA) e endossada pela Controladoria-Geral da União, que distingue entre recomendações orientadas à abordagem das causas dos problemas identificados (</w:t>
      </w:r>
      <w:r>
        <w:rPr>
          <w:i/>
          <w:iCs/>
        </w:rPr>
        <w:t xml:space="preserve">cause-based</w:t>
      </w:r>
      <w:r>
        <w:t xml:space="preserve">) ou à condição observada (</w:t>
      </w:r>
      <w:r>
        <w:rPr>
          <w:i/>
          <w:iCs/>
        </w:rPr>
        <w:t xml:space="preserve">condition-based</w:t>
      </w:r>
      <w:r>
        <w:t xml:space="preserve">). A transposição dessa chave classificatória, de diretriz técnica a instrumento analítico, mostrou-se apropriada para interpretar tais recomendações como enunciados estratégicos de um órgão que, ao longo de sua trajetória, tem se afirmado como ator singular no fortalecimento da governança do SUS.</w:t>
      </w:r>
    </w:p>
    <w:p>
      <w:pPr>
        <w:pStyle w:val="916"/>
      </w:pPr>
      <w:r>
        <w:t xml:space="preserve">Do ponto de vista metodológico, adotou-se uma abordagem híbrida, na qual o modelo de linguagem de grande escala (LLM) foi empregado como instrumento de apoio ao exame do conteúdo das recomendações, contemplando tanto a codificação automatizada quanto a posterior verificação crítica das classificações produzidas. Essa estratégia permitiu o processamento sistemático da totalidade das mais de quatro mil recomendações analisadas, ao qual se acrescentou a categorização indutiva das discordâncias em efeitos duradouros. A supervisão da pesquisadora orientou a definição dos parâmetros e a interpretação dos resultados, sem converter a concordância entre rodadas automatizadas em validação independente.</w:t>
      </w:r>
    </w:p>
    <w:p>
      <w:pPr>
        <w:pStyle w:val="916"/>
      </w:pPr>
      <w:r>
        <w:t xml:space="preserve">No que tange aos resultados da análise realizada, depreende-se que estes sustentam o pressuposto formulado na introdução, segundo o qual a predominância de recomendações</w:t>
      </w:r>
      <w:r>
        <w:t xml:space="preserve"> </w:t>
      </w:r>
      <w:r>
        <w:rPr>
          <w:i/>
          <w:iCs/>
        </w:rPr>
        <w:t xml:space="preserve">cause-based</w:t>
      </w:r>
      <w:r>
        <w:t xml:space="preserve">, pode ser interpretada como indicativo de que o DENASUS tem atuado com ênfase no aperfeiçoamento institucional, privilegiando mecanismos orientados ao enfrentamento das causas dos problemas identificados em sede de auditoria. Essa asseveração, contudo, não exclui o fato de que o órgão mantém uma proporção significativa de recomendações</w:t>
      </w:r>
      <w:r>
        <w:t xml:space="preserve"> </w:t>
      </w:r>
      <w:r>
        <w:rPr>
          <w:i/>
          <w:iCs/>
        </w:rPr>
        <w:t xml:space="preserve">condition-based</w:t>
      </w:r>
      <w:r>
        <w:t xml:space="preserve">, revelando dedicar atenção considerável às ações voltadas à correção de falhas operacionais, à superação de entraves imediatos e à estabilização de processos em curso, medidas que, embora não induzam transformações na arquitetura institucional do sistema, mostram-se indispensáveis à sua manutenção e ao desempenho cotidiano das unidades auditadas. Observa-se, assim, a coexistência de orientações complementares: uma voltada à indução de mudanças estruturais e outra à contenção de riscos imediatos, ambas essenciais ao funcionamento do sistema.</w:t>
      </w:r>
    </w:p>
    <w:p>
      <w:pPr>
        <w:pStyle w:val="916"/>
      </w:pPr>
      <w:r>
        <w:t xml:space="preserve">O exame das 747 discordâncias relativas aos efeitos duradouros qualifica essa leitura. As categorias mais frequentes envolveram execução continuada dependente de adesão e recomendações que reúnem ações heterogêneas; outras distinguiram o cumprimento de normas e a formalização de instrumentos de sua efetiva incorporação às práticas. Desse modo, a classificação de uma recomendação como potencialmente duradoura deve ser entendida como inferência sobre o conteúdo da ação proposta, e não como constatação de sua implementação ou permanência concreta nas unidades auditadas.</w:t>
      </w:r>
    </w:p>
    <w:p>
      <w:pPr>
        <w:pStyle w:val="916"/>
      </w:pPr>
      <w:r>
        <w:t xml:space="preserve">À luz dos referenciais teóricos adotados, essa dinâmica pode ser compreendida como expressão do caráter simultaneamente estável e transformador das instituições e, por extensão, do próprio DENASUS. As recomendações do DENASUS operam, nesse sentido, tanto como mecanismos de reforço de padrões organizacionais, contribuindo para a estabilização de rotinas e a mitigação de falhas operacionais, ao incidirem sobre as condições observadas; quanto como instrumentos de mudança incremental e aprendizagem institucional, ao se orientarem às causas dos problemas identificados, contribuindo para a consolidação e o aprimoramento contínuo da governança no âmbito do SUS.</w:t>
      </w:r>
    </w:p>
    <w:p>
      <w:pPr>
        <w:pStyle w:val="916"/>
      </w:pPr>
      <w:r>
        <w:t xml:space="preserve">Nesse contexto, o estudo contribui para o debate sobre o papel da auditoria governamental na qualificação das políticas públicas de saúde, ao evidenciar seu potencial para transcender a função tradicional de controle e atuar como vetor de renovação gradual das práticas organizacionais. A categorização das recomendações, com base na distinção entre causa e condição, oferece aos gestores da função de auditoria um parâmetro analítico consistente para avaliar a profundidade e o alcance das ações propostas, constituindo ferramenta útil ao aprimoramento das práticas de auditoria, em consonância com a crescente orientação dessas funções à melhoria contínua e à geração de valor público.</w:t>
      </w:r>
    </w:p>
    <w:p>
      <w:pPr>
        <w:pStyle w:val="916"/>
      </w:pPr>
      <w:r>
        <w:t xml:space="preserve">Quanto aos objetivos propostos, entende-se que a pesquisa permitiu produzir elementos empíricos e analíticos compatíveis com sua consecução. A análise em larga escala possibilitou a identificação de padrões relevantes nas recomendações emitidas pelo DENASUS, ao passo que a aplicação da tipologia adotada demonstrou potencial para contribuir com a compreensão das diferentes lógicas de intervenção presentes na atividade auditorial. Não obstante, permaneceu fora do escopo deste estudo o exame da implementação das recomendações e de seus efeitos concretos nas organizações auditadas, aspectos que poderão ser explorados em investigações futuras, com vistas a complementar as reflexões aqui desenvolvidas.</w:t>
      </w:r>
    </w:p>
    <w:p>
      <w:pPr>
        <w:pStyle w:val="916"/>
      </w:pPr>
      <w:r>
        <w:t xml:space="preserve">Em síntese, os resultados obtidos indicam que as recomendações emitidas pelo DENASUS apresentam, com frequência relevante, características associadas ao enfrentamento das causas dos problemas identificados, o que permite vislumbrar seu potencial de contribuição para processos de aperfeiçoamento institucional no âmbito do SUS. Do ponto de vista metodológico, a pesquisa também sugere que o emprego de modelos de linguagem pode constituir uma ferramenta útil de apoio à análise de conteúdo em larga escala, especialmente quando associada a procedimentos sistemáticos de verificação crítica e controle analítico.</w:t>
      </w:r>
    </w:p>
    <w:p>
      <w:pPr>
        <w:pStyle w:val="916"/>
      </w:pPr>
      <w:r>
        <w:t xml:space="preserve">Ao transformar dados dispersos em informações sistematizadas e interpretações fundamentadas, o estudo busca contribuir para a compreensão do papel da auditoria na governança pública. Ao mesmo tempo, os achados permitem refletir sobre possibilidades de aperfeiçoamento da atuação do DENASUS, sugerindo que a combinação entre medidas voltadas à correção de inconformidades e iniciativas direcionadas ao enfrentamento de suas causas pode favorecer processos de aprimoramento da governança do SUS, conciliando, conforme as circunstâncias, demandas por estabilidade e por mudança institucional.</w:t>
      </w:r>
    </w:p>
    <w:p>
      <w:pPr>
        <w:pStyle w:val="916"/>
      </w:pPr>
      <w:r>
        <w:t xml:space="preserve">Nessa perspectiva, se à auditoria interna contemporânea cabe criar, proteger e sustentar valor, os achados aqui apresentados oferecem subsídios para refletir sobre as diferentes formas pelas quais essa atuação favorece o aperfeiçoamento institucional, reafirmando a importância da produção de conhecimento analítico rigoroso para a compreensão, o aperfeiçoamento e o fortalecimento das políticas públicas e da ação estatal.</w:t>
      </w:r>
    </w:p>
    <w:bookmarkStart w:id="81" w:name="contribuições-da-dissertação"/>
    <w:p>
      <w:pPr>
        <w:pStyle w:val="905"/>
      </w:pPr>
      <w:r>
        <w:t xml:space="preserve">5.1 Contribuições da Dissertação</w:t>
      </w:r>
    </w:p>
    <w:p>
      <w:pPr>
        <w:pStyle w:val="917"/>
      </w:pPr>
      <w:r>
        <w:t xml:space="preserve">O estudo pretende contribuir para o debate contemporâneo sobre as potencialidades da auditoria governamental como instrumento de qualificação das políticas públicas de saúde, à luz dos desafios e oportunidades que marcam a gestão pública brasileira, ao expor a orientação institucional que o DENASUS imprime às suas ações fiscalizatórias, revelada por meio da análise do conteúdo das recomendações por ele exaradas no âmbito dos relatórios de auditoria produzidos pelo órgão.</w:t>
      </w:r>
    </w:p>
    <w:p>
      <w:pPr>
        <w:pStyle w:val="916"/>
      </w:pPr>
      <w:r>
        <w:t xml:space="preserve">Ao dar função concreta à tipologia internacionalmente reconhecida pelo Institute of Internal Auditors (IIA) e assimilada pelas diretrizes da Controladoria-Geral da União, a categorização empregada nesse estudo deixa de ser uma abstração técnica e passa a servir como critério efetivo de distinção entre recomendações com potencial para induzir mudanças institucionais ou para promover correções pontuais e ajustes imediatos. Portanto, a pesquisa, ao aferir o uso prático da mencionada nomenclatura, reforça sua utilidade como ferramenta crítica no campo da auditoria governamental e, adicionalmente, potencializa sua difusão e aplicabilidade.</w:t>
      </w:r>
    </w:p>
    <w:p>
      <w:pPr>
        <w:pStyle w:val="916"/>
      </w:pPr>
      <w:r>
        <w:t xml:space="preserve">Além disso, ao articular a classificação das recomendações como baseadas na causa ou na condição observada com os aportes teóricos do institucionalismo e do neo-institucionalismo, a pesquisa avança na compreensão desses dispositivos como instrumentos institucionais carregados de sentidos estratégicos, normativos e políticos, capazes de concorrer tanto para a estabilização quanto para a transformação das estruturas existentes, situando-as no contexto mais amplo das dinâmicas de mudança, manutenção e adaptação institucional. Tal articulação amplia o alcance interpretativo da tipologia, projetando-a para além de sua origem exclusivamente técnica e conferindo-lhe densidade analítica.</w:t>
      </w:r>
    </w:p>
    <w:p>
      <w:pPr>
        <w:pStyle w:val="916"/>
      </w:pPr>
      <w:r>
        <w:t xml:space="preserve">Do ponto de vista metodológico, a dissertação propõe um modelo de diagnóstico estratégico aplicável a outros contextos e instituições, oferecendo insumos concretos para alinhar a auditoria à meta de agregar valor às organizações públicas, conforme estatui o Referencial Técnico da Atividade de Auditoria Interna Governamental (BRASIL, 2017). Ao revelar o direcionamento do DENASUS à abordagem das causas dos problemas identificados, em detrimento da condição, o estudo fornece uma chave interpretativa útil e replicável, com potencial para informar decisões de gestão, reorientar práticas de fiscalização e fomentar ciclos virtuosos de melhoria institucional.</w:t>
      </w:r>
    </w:p>
    <w:p>
      <w:pPr>
        <w:pStyle w:val="916"/>
      </w:pPr>
      <w:r>
        <w:t xml:space="preserve">As tecnologias de inteligência artificial foram empregadas na pesquisa como meio de apoio à análise do conteúdo de um volume expressivo de recomendações de auditoria, procedimento que coloca a pesquisa em sintonia com uma tendência atual da produção científica, a qual busca integrar inteligência artificial e análise humana de forma complementar, explorando ganhos de escala sem renunciar à densidade interpretativa. Ademais, o fato de todas as etapas terem sido cuidadosamente documentadas reforça a possibilidade de replicação do estudo e amplia o debate sobre usos éticos, transparentes e metodologicamente rigorosos da inteligência artificial nas ciências sociais aplicadas e, em especial, na avaliação de políticas públicas.</w:t>
      </w:r>
    </w:p>
    <w:p>
      <w:pPr>
        <w:pStyle w:val="916"/>
      </w:pPr>
      <w:r>
        <w:t xml:space="preserve">Ao tratar as recomendações de auditoria como expressões da orientação institucional estratégica do órgão auditor, esta dissertação pretende contribuir para o reposicionamento da auditoria governamental no campo da governança pública em saúde. Em vez de compreender a auditoria apenas como mecanismo de correção ou detecção de inconformidades, a pesquisa aponta para o fato de que o produto da atividade auditorial, os relatórios de auditoria e, mais especificamente, as recomendações neles dispostas, podem ser analisadas como instrumentos de indução de práticas institucionais, capazes de reforçar a estabilidade do sistema ou de promover transformações incrementais. Essa abordagem amplia a função tradicional da auditoria, situando-a como componente ativo da governança do SUS e reconhecendo seu papel na construção de agendas públicas, na orientação da gestão e na configuração de padrões institucionais. Ao evidenciar essa dimensão estratégica, a dissertação oferece subsídios para uma leitura mais abrangente, crítica e propositiva da função exercida pelo DENASUS ante os entes auditados.</w:t>
      </w:r>
    </w:p>
    <w:bookmarkEnd w:id="81"/>
    <w:bookmarkStart w:id="82" w:name="trabalhos-futuros"/>
    <w:p>
      <w:pPr>
        <w:pStyle w:val="905"/>
      </w:pPr>
      <w:r>
        <w:t xml:space="preserve">5.2 Trabalhos Futuros</w:t>
      </w:r>
    </w:p>
    <w:p>
      <w:pPr>
        <w:pStyle w:val="917"/>
      </w:pPr>
      <w:r>
        <w:t xml:space="preserve">O caráter estratégico do tema discutido nesta dissertação abre caminho, como se verá a seguir, para uma agenda diversificada de investigações futuras. Considerando que o presente estudo se concentrou em compreender a natureza das recomendações de auditoria produzidas pelo DENASUS, um desdobramento natural poderia consistir na realização de pesquisas voltadas à avaliação de sua efetiva implementação pelos entes auditados, bem como dos resultados concretos decorrentes desta execução. Nesse sentido, pesquisas longitudinais poderiam acompanhar a trajetória das recomendações ao longo do tempo, permitindo observar sua incorporação (ou rejeição) nas rotinas de gestão, identificar os mecanismos de mudança incremental que possam ter sido acionados e avaliar seus impactos sobre a governança do Sistema Único de Saúde.</w:t>
      </w:r>
    </w:p>
    <w:p>
      <w:pPr>
        <w:pStyle w:val="916"/>
      </w:pPr>
      <w:r>
        <w:t xml:space="preserve">Outro campo promissor de investigação refere-se à análise dos critérios de avaliação utilizados nos relatórios de auditoria. Como preconiza o Audit Report Writing Toolkit (INSTITUTE OF INTERNAL AUDITORS, 2021), critérios adequados são indispensáveis para fundamentar constatações robustas, aferir sua relevância e sustentar recomendações que se pretendam efetivas. Assim, trabalhos futuros poderiam examinar a solidez, a objetividade e o alinhamento desses critérios aos marcos normativos e operacionais do SUS, de modo a avaliar a aptidão das recomendações de produzirem os efeitos desejados quando amparadas por critérios adequados, quais sejam, aqueles que traduzem com exatidão a</w:t>
      </w:r>
      <w:r>
        <w:t xml:space="preserve"> </w:t>
      </w:r>
      <w:r>
        <w:t xml:space="preserve">“diferença entre o estado desejado e a condição”</w:t>
      </w:r>
      <w:r>
        <w:t xml:space="preserve"> </w:t>
      </w:r>
      <w:r>
        <w:t xml:space="preserve">no âmbito da auditoria realizada (INSTITUTE OF INTERNAL AUDITORS, 2021, p. 101). Essa linha de pesquisa poderia correlacionar, assim, a precisão dos critérios com a capacidade da auditoria de formular encaminhamentos mais estruturantes, com maior alcance institucional.</w:t>
      </w:r>
    </w:p>
    <w:p>
      <w:pPr>
        <w:pStyle w:val="916"/>
      </w:pPr>
      <w:r>
        <w:t xml:space="preserve">Nesse sentido, cabe sublinhar que, quanto mais precisos, objetivos e alinhados aos marcos normativos e operacionais forem os critérios adotados, maior será a capacidade da auditoria de produzir constatações relevantes e, por consequência, recomendações com elevado grau de aplicabilidade, profundidade e impacto institucional. Isso reforça a premissa central desta pesquisa, de que a análise da natureza (baseada na causa ou na condição) das recomendações emitidas pelo DENASUS é um elemento crucial para qualificar sua função estratégica dentro do Sistema Único de Saúde. Ao compreender como essas recomendações se articulam com critérios previamente estabelecidos, amplia-se a capacidade do gestor público de utilizar a auditoria não apenas como instrumento de controle, mas como vetor de aprimoramento contínuo da gestão.</w:t>
      </w:r>
    </w:p>
    <w:p>
      <w:pPr>
        <w:pStyle w:val="916"/>
      </w:pPr>
      <w:r>
        <w:t xml:space="preserve">Merece também atenção a possibilidade de estudo voltado ao exame dos relatórios de auditoria com enfoque na busca por comunicações que tenham por escopo reconhecer os desempenhos satisfatórios e positivos detectados no âmbito dos entes auditados, com vistas a oportunizar que o trabalho auditorial possa servir não só como um repositório das inconformidades detectadas, mas também como um instrumento de publicização de boas práticas, em conformidade com o disposto nas Normas Globais de Auditoria Interna (INSTITUTE OF INTERNAL AUDITORS, 2024). Segundo o IIA (2024, p. 83), o chefe executivo de auditoria deve incentivar que desempenhos satisfatórios e positivos identificados nos trabalhos sejam devidamente divulgados, de modo a servir como referência para toda a organização. Caso a Administração Pública brasileira adote tal diretriz, o enfoque das auditorias transmutar-se-á do enfrentamento exclusivo das falhas identificadas, por meio da indicação de recomendações, para a difusão e mimetização de experiências exitosas. Investigações futuras poderiam, por conseguinte, tanto explorar o potencial da auditoria como instrumento de disseminação de boas práticas no SUS, como avaliar se essa prática está atualmente institucionalizada em seu âmbito, em consonância com os pressupostos do neo-institucionalismo, segundo os quais a circulação de ideias e arranjos favorece a transformação organizacional por meio da imitação de soluções reconhecidamente eficazes.</w:t>
      </w:r>
    </w:p>
    <w:p>
      <w:pPr>
        <w:pStyle w:val="916"/>
      </w:pPr>
      <w:r>
        <w:t xml:space="preserve">A presente pesquisa abre espaço para a realização de estudos que busquem aprofundar a dimensão estratégica da auditoria governamental. Ante a confirmação de que a grande maioria das recomendações emitidas pelo DENASUS possuem caráter estruturante, uma vez abordarem as causas-raiz dos problemas identificados, reforça-se a necessidade de compreender a auditoria como instrumento de transformação institucional, capaz de induzir reorganizações de processos, aperfeiçoar mecanismos de governança e corrigir disfunções sistêmicas. Pesquisas futuras poderiam, portanto, investigar de forma comparada como diferentes órgãos de controle no Brasil e, eventualmente, em outros países, vêm mobilizando suas auditorias não apenas como mecanismos de controle, mas como vetores ativos de modernização do Estado e qualificação das políticas públicas de saúde.</w:t>
      </w:r>
    </w:p>
    <w:p>
      <w:pPr>
        <w:pStyle w:val="916"/>
      </w:pPr>
      <w:r>
        <w:t xml:space="preserve">Em suma, as perspectivas apresentadas confirmam o potencial da auditoria como instrumento de transformação institucional no SUS. Os desdobramentos sugeridos, da análise da implementação à investigação comparada de modelos, abrem caminho para que a atuação do DENASUS evolua de um controle pontual e corretivo para uma efetiva contribuição ao fortalecimento da governança em saúde pública.</w:t>
      </w:r>
    </w:p>
    <w:p>
      <w:r>
        <w:br w:type="page"/>
      </w:r>
    </w:p>
    <w:bookmarkEnd w:id="82"/>
    <w:bookmarkEnd w:id="83"/>
    <w:bookmarkStart w:id="85" w:name="referências-bibliográficas"/>
    <w:p>
      <w:pPr>
        <w:pStyle w:val="904"/>
      </w:pPr>
      <w:r>
        <w:t xml:space="preserve">6. Referências Bibliográficas</w:t>
      </w:r>
    </w:p>
    <w:p>
      <w:pPr>
        <w:pStyle w:val="917"/>
      </w:pPr>
      <w:r>
        <w:t xml:space="preserve">ALQAZLAN, L. et al. A novel, human-in-the-loop computational grounded theory framework for big social data.</w:t>
      </w:r>
      <w:r>
        <w:t xml:space="preserve"> </w:t>
      </w:r>
      <w:r>
        <w:rPr>
          <w:b/>
          <w:bCs/>
        </w:rPr>
        <w:t xml:space="preserve">Big Data &amp; Society</w:t>
      </w:r>
      <w:r>
        <w:t xml:space="preserve">, [s. l.], v. 12, n. 2, p. 1-16, Apr./June 2025. DOI: 10.1177/20539517251347598. Disponível em: https://journals.sagepub.com/doi/pdf/10.1177/20539517251347598. Acesso em: 28 mar. 2026.</w:t>
      </w:r>
    </w:p>
    <w:p>
      <w:pPr>
        <w:pStyle w:val="916"/>
      </w:pPr>
      <w:r>
        <w:t xml:space="preserve">BANO, M.; ZOWGHI, D.; WHITTLE, J.</w:t>
      </w:r>
      <w:r>
        <w:t xml:space="preserve"> </w:t>
      </w:r>
      <w:r>
        <w:rPr>
          <w:b/>
          <w:bCs/>
        </w:rPr>
        <w:t xml:space="preserve">Exploring Qualitative Research Using LLMs</w:t>
      </w:r>
      <w:r>
        <w:t xml:space="preserve">. [S. l.: s. n.], 2023. Disponível em: https://doi.org/10.48550/arXiv.2306.13298. Acesso em: 23 jun. 2025.</w:t>
      </w:r>
    </w:p>
    <w:p>
      <w:pPr>
        <w:pStyle w:val="916"/>
      </w:pPr>
      <w:r>
        <w:t xml:space="preserve">BARDIN, Laurence.</w:t>
      </w:r>
      <w:r>
        <w:t xml:space="preserve"> </w:t>
      </w:r>
      <w:r>
        <w:rPr>
          <w:b/>
          <w:bCs/>
        </w:rPr>
        <w:t xml:space="preserve">Análise de conteúdo.</w:t>
      </w:r>
      <w:r>
        <w:t xml:space="preserve"> </w:t>
      </w:r>
      <w:r>
        <w:t xml:space="preserve">São Paulo: Edições 70, 2016.</w:t>
      </w:r>
    </w:p>
    <w:p>
      <w:pPr>
        <w:pStyle w:val="916"/>
      </w:pPr>
      <w:r>
        <w:t xml:space="preserve">BENDER, E. M. et al. On the Dangers of Stochastic Parrots: Can Language Models Be Too Big? In:</w:t>
      </w:r>
      <w:r>
        <w:t xml:space="preserve"> </w:t>
      </w:r>
      <w:r>
        <w:rPr>
          <w:b/>
          <w:bCs/>
        </w:rPr>
        <w:t xml:space="preserve">ACM CONFERENCE ON FAIRNESS, ACCOUNTABILITY, AND TRANSPARENCE</w:t>
      </w:r>
      <w:r>
        <w:t xml:space="preserve">, 2021, Virtual Event. Anais [...]. New York: ACM, 2021. p. 610-623. DOI: 10.1145/3442188.3445922.</w:t>
      </w:r>
    </w:p>
    <w:p>
      <w:pPr>
        <w:pStyle w:val="916"/>
      </w:pPr>
      <w:r>
        <w:t xml:space="preserve">BIJKER, R. et al. ChatGPT for Automated Qualitative Research: Content Analysis.</w:t>
      </w:r>
      <w:r>
        <w:t xml:space="preserve"> </w:t>
      </w:r>
      <w:r>
        <w:rPr>
          <w:b/>
          <w:bCs/>
        </w:rPr>
        <w:t xml:space="preserve">Journal of Medical Internet Research</w:t>
      </w:r>
      <w:r>
        <w:t xml:space="preserve">, [S.l.], v. 26, e59050, 25 jul. 2024. DOI: https://doi.org/10.2196/59050.</w:t>
      </w:r>
    </w:p>
    <w:p>
      <w:pPr>
        <w:pStyle w:val="916"/>
      </w:pPr>
      <w:r>
        <w:t xml:space="preserve">BRASIL. Conselho Nacional de Saúde.</w:t>
      </w:r>
      <w:r>
        <w:t xml:space="preserve"> </w:t>
      </w:r>
      <w:r>
        <w:rPr>
          <w:b/>
          <w:bCs/>
        </w:rPr>
        <w:t xml:space="preserve">Resolução nº 674, de 6 de maio de 2022</w:t>
      </w:r>
      <w:r>
        <w:t xml:space="preserve">. Dispõe sobre a tipificação da pesquisa e a tramitação dos protocolos de pesquisa no Sistema CEP/Conep. Brasília, DF: Ministério da Saúde, 2022. Disponível em: https://bvsms.saude.gov.br/bvs/saudelegis/cns/2022/res0674_25_10_2022_rep.html. Acesso em: 1 set. 2025.</w:t>
      </w:r>
    </w:p>
    <w:p>
      <w:pPr>
        <w:pStyle w:val="916"/>
      </w:pPr>
      <w:r>
        <w:t xml:space="preserve">BRASIL. [Constituição (1988)].</w:t>
      </w:r>
      <w:r>
        <w:t xml:space="preserve"> </w:t>
      </w:r>
      <w:r>
        <w:rPr>
          <w:b/>
          <w:bCs/>
        </w:rPr>
        <w:t xml:space="preserve">Constituição da República Federativa do Brasil de 1988</w:t>
      </w:r>
      <w:r>
        <w:t xml:space="preserve">. Brasília, DF: Presidência da República, [2024]. Disponível em: https://www.planalto.gov.br/ccivil_03/constituicao/constituicao.htm. Acesso em: 27 jan. 2025.</w:t>
      </w:r>
    </w:p>
    <w:p>
      <w:pPr>
        <w:pStyle w:val="916"/>
      </w:pPr>
      <w:r>
        <w:t xml:space="preserve">BRASIL. Controladoria-Geral da União.</w:t>
      </w:r>
      <w:r>
        <w:t xml:space="preserve"> </w:t>
      </w:r>
      <w:r>
        <w:rPr>
          <w:b/>
          <w:bCs/>
        </w:rPr>
        <w:t xml:space="preserve">Orientação prática: relatório de auditoria</w:t>
      </w:r>
      <w:r>
        <w:t xml:space="preserve">. Brasília: CGU, 2019. 79 p. Disponível em: https://www.gov.br/cgu/pt-br/centrais-de-conteudo/publicacoes/auditoria-e-fiscalizacao/arquivos/orientacao-pratica-relatorio-de-auditoria-2019.pdf. Acesso em: 25 maio 2025.</w:t>
      </w:r>
    </w:p>
    <w:p>
      <w:pPr>
        <w:pStyle w:val="916"/>
      </w:pPr>
      <w:r>
        <w:t xml:space="preserve">BRASIL.</w:t>
      </w:r>
      <w:r>
        <w:t xml:space="preserve"> </w:t>
      </w:r>
      <w:r>
        <w:rPr>
          <w:b/>
          <w:bCs/>
        </w:rPr>
        <w:t xml:space="preserve">Decreto nº 11.798, de 28 de novembro de 2023</w:t>
      </w:r>
      <w:r>
        <w:t xml:space="preserve">. Dispõe sobre a estrutura regimental do Ministério da Saúde e estabelece competências do Departamento Nacional de Auditoria do SUS (DENASUS). Diário Oficial da União: Brasília, DF, 29 nov. 2023. Disponível em: https://www.planalto.gov.br/ccivil_03/_Ato2023-2026/2023/Decreto/D11798.htm#art5. Acesso em: 27 jan. 2025.</w:t>
      </w:r>
    </w:p>
    <w:p>
      <w:pPr>
        <w:pStyle w:val="916"/>
      </w:pPr>
      <w:r>
        <w:t xml:space="preserve">BRASIL.</w:t>
      </w:r>
      <w:r>
        <w:t xml:space="preserve"> </w:t>
      </w:r>
      <w:r>
        <w:rPr>
          <w:b/>
          <w:bCs/>
        </w:rPr>
        <w:t xml:space="preserve">Decreto nº 12.651, de 7 de outubro de 2025</w:t>
      </w:r>
      <w:r>
        <w:t xml:space="preserve">. Regulamenta a Lei nº 14.874, de 28 de maio de 2024, que dispõe sobre a pesquisa com seres humanos e institui o Sistema Nacional de Ética em Pesquisa com Seres Humanos. Diário Oficial da União, Brasília, DF, 7 out. 2025. Disponível em: https://www2.camara.leg.br/legin/fed/decret/2025/decreto-12651-7-outubro-2025-798105-publicacaooriginal-176652-pe.html. Acesso em: 17 mar. 2026.</w:t>
      </w:r>
    </w:p>
    <w:p>
      <w:pPr>
        <w:pStyle w:val="916"/>
      </w:pPr>
      <w:r>
        <w:t xml:space="preserve">BRASIL.</w:t>
      </w:r>
      <w:r>
        <w:t xml:space="preserve"> </w:t>
      </w:r>
      <w:r>
        <w:rPr>
          <w:b/>
          <w:bCs/>
        </w:rPr>
        <w:t xml:space="preserve">Decreto nº 9.795, de 17 de maio de 2019</w:t>
      </w:r>
      <w:r>
        <w:t xml:space="preserve">. Dispõe sobre a estrutura regimental do Ministério da Saúde e estabelece competências do Departamento Nacional de Auditoria do SUS (DENASUS). Diário Oficial da União: Brasília, DF, 20 maio 2019. Disponível em: https://www.planalto.gov.br/ccivil_03/_ato2019-2022/2019/decreto/D9795.htm. Acesso em: 27 jan. 2025.</w:t>
      </w:r>
    </w:p>
    <w:p>
      <w:pPr>
        <w:pStyle w:val="916"/>
      </w:pPr>
      <w:r>
        <w:t xml:space="preserve">BRASIL.</w:t>
      </w:r>
      <w:r>
        <w:t xml:space="preserve"> </w:t>
      </w:r>
      <w:r>
        <w:rPr>
          <w:b/>
          <w:bCs/>
        </w:rPr>
        <w:t xml:space="preserve">Instrução Normativa Conjunta CGU/MP nº 01, de 10 de maio de 2016</w:t>
      </w:r>
      <w:r>
        <w:t xml:space="preserve">. Estabelece as linhas de defesa na gestão pública federal e define critérios para auditorias internas. Diário Oficial da União: Brasília, DF, 11 maio 2016. Disponível em: https://www.gov.br/cgu/pt-br/assuntos/auditoria/instrucoes-normativas. Acesso em: 27 jan. 2025.</w:t>
      </w:r>
    </w:p>
    <w:p>
      <w:pPr>
        <w:pStyle w:val="916"/>
      </w:pPr>
      <w:r>
        <w:t xml:space="preserve">BRASIL.</w:t>
      </w:r>
      <w:r>
        <w:t xml:space="preserve"> </w:t>
      </w:r>
      <w:r>
        <w:rPr>
          <w:b/>
          <w:bCs/>
        </w:rPr>
        <w:t xml:space="preserve">Instrução Normativa nº 3, de 9 de junho de 2017</w:t>
      </w:r>
      <w:r>
        <w:t xml:space="preserve">. Aprova o Referencial Técnico da Atividade de Auditoria Interna Governamental do Poder Executivo Federal. Diário Oficial da União: Brasília, DF, 14 jun. 2017. Disponível em: https://repositorio.cgu.gov.br/bitstream/1/33409/19/Instrucao_Normativa_CGU_3_2017.pdf. Acesso em: 27 jan. 2025.</w:t>
      </w:r>
    </w:p>
    <w:p>
      <w:pPr>
        <w:pStyle w:val="916"/>
      </w:pPr>
      <w:r>
        <w:t xml:space="preserve">BRASIL.</w:t>
      </w:r>
      <w:r>
        <w:t xml:space="preserve"> </w:t>
      </w:r>
      <w:r>
        <w:rPr>
          <w:b/>
          <w:bCs/>
        </w:rPr>
        <w:t xml:space="preserve">Lei nº 14.874, de 28 de maio de 2024</w:t>
      </w:r>
      <w:r>
        <w:t xml:space="preserve">. Dispõe sobre princípios, diretrizes e regras para a condução de pesquisas com seres humanos e institui o Sistema Nacional de Ética em Pesquisa com Seres Humanos. Brasília, DF: Presidência da República, 2024. Disponível em: https://www.planalto.gov.br/ccivil_03/_Ato2023-2026/2024/Lei/L14874.htm. Acesso em: 1 set. 2025.</w:t>
      </w:r>
    </w:p>
    <w:p>
      <w:pPr>
        <w:pStyle w:val="916"/>
      </w:pPr>
      <w:r>
        <w:t xml:space="preserve">BRASIL.</w:t>
      </w:r>
      <w:r>
        <w:t xml:space="preserve"> </w:t>
      </w:r>
      <w:r>
        <w:rPr>
          <w:b/>
          <w:bCs/>
        </w:rPr>
        <w:t xml:space="preserve">Lei nº 8.080, de 19 de setembro de 1990</w:t>
      </w:r>
      <w:r>
        <w:t xml:space="preserve">. Dispõe sobre as condições para a promoção, proteção e recuperação da saúde, a organização e o funcionamento dos serviços correspondentes e dá outras providências. Diário Oficial da União: Brasília, DF, 20 set. 1990. Disponível em: https://www.planalto.gov.br/ccivil_03/leis/l8080.htm. Acesso em: 27 jan. 2025.</w:t>
      </w:r>
    </w:p>
    <w:p>
      <w:pPr>
        <w:pStyle w:val="916"/>
      </w:pPr>
      <w:r>
        <w:t xml:space="preserve">BRASIL.</w:t>
      </w:r>
      <w:r>
        <w:t xml:space="preserve"> </w:t>
      </w:r>
      <w:r>
        <w:rPr>
          <w:b/>
          <w:bCs/>
        </w:rPr>
        <w:t xml:space="preserve">Lei nº 8.689, de 27 de julho de 1993</w:t>
      </w:r>
      <w:r>
        <w:t xml:space="preserve">. Dispõe sobre a extinção do Instituto Nacional de Assistência Médica da Previdência Social (Inamps) e dá outras providências. Diário Oficial da União: Brasília, DF, 28 jul. 1993. Disponível em: https://www.planalto.gov.br/ccivil_03/leis/l8689.htm. Acesso em: 27 jan. 2025.</w:t>
      </w:r>
    </w:p>
    <w:p>
      <w:pPr>
        <w:pStyle w:val="916"/>
      </w:pPr>
      <w:r>
        <w:t xml:space="preserve">BRASIL.</w:t>
      </w:r>
      <w:r>
        <w:t xml:space="preserve"> </w:t>
      </w:r>
      <w:r>
        <w:rPr>
          <w:b/>
          <w:bCs/>
        </w:rPr>
        <w:t xml:space="preserve">Lei nº 9.203, de 22 de novembro de 2017</w:t>
      </w:r>
      <w:r>
        <w:t xml:space="preserve">. Dispõe sobre a política de governança da administração pública federal direta, autárquica e fundacional. Diário Oficial da União: seção 1, Brasília, DF, n. 225, p. 2, 23 nov. 2017.</w:t>
      </w:r>
    </w:p>
    <w:p>
      <w:pPr>
        <w:pStyle w:val="916"/>
      </w:pPr>
      <w:r>
        <w:t xml:space="preserve">BRASIL. Ministério da Saúde.</w:t>
      </w:r>
      <w:r>
        <w:t xml:space="preserve"> </w:t>
      </w:r>
      <w:r>
        <w:rPr>
          <w:b/>
          <w:bCs/>
        </w:rPr>
        <w:t xml:space="preserve">Consulta Auditoria SUS</w:t>
      </w:r>
      <w:r>
        <w:t xml:space="preserve">. Disponível em: https://consultaauditoria.saude.gov.br/. Acesso em: 25 maio 2025.</w:t>
      </w:r>
    </w:p>
    <w:p>
      <w:pPr>
        <w:pStyle w:val="916"/>
      </w:pPr>
      <w:r>
        <w:t xml:space="preserve">BRASIL. Ministério da Saúde. Secretaria de Gestão Estratégica e Participativa. Sistema Nacional de Auditoria. Departamento Nacional de Auditoria do SUS.</w:t>
      </w:r>
      <w:r>
        <w:t xml:space="preserve"> </w:t>
      </w:r>
      <w:r>
        <w:rPr>
          <w:b/>
          <w:bCs/>
        </w:rPr>
        <w:t xml:space="preserve">Auditoria do SUS: orientações básicas</w:t>
      </w:r>
      <w:r>
        <w:t xml:space="preserve">. Brasília, DF: Ministério da Saúde, 2011. 48 p. (Série A. Normas e Manuais Técnicos). ISBN 978-85-334-1815-8.</w:t>
      </w:r>
    </w:p>
    <w:p>
      <w:pPr>
        <w:pStyle w:val="916"/>
      </w:pPr>
      <w:r>
        <w:t xml:space="preserve">BRASIL. Ministério da Saúde. Secretaria de Gestão Estratégica e Participativa. Sistema Nacional de Auditoria. Departamento Nacional de Auditoria do SUS.</w:t>
      </w:r>
      <w:r>
        <w:t xml:space="preserve"> </w:t>
      </w:r>
      <w:r>
        <w:rPr>
          <w:b/>
          <w:bCs/>
        </w:rPr>
        <w:t xml:space="preserve">Auditoria do SUS: orientações básicas</w:t>
      </w:r>
      <w:r>
        <w:t xml:space="preserve">. Brasília: Ministério da Saúde, 2011. 48 p. il. (Série A. Normas e Manuais Técnicos). ISBN 978-85-334-1815-8. Disponível em: https://www.gov.br/saude/pt-br/composicao/denasus/sna/publicacoes/auditoria-do-sus-orientacoes-basicas/view?utm_source=chatgpt.com. Acesso em: 10 fev. 2025.</w:t>
      </w:r>
    </w:p>
    <w:p>
      <w:pPr>
        <w:pStyle w:val="916"/>
      </w:pPr>
      <w:r>
        <w:t xml:space="preserve">BRASIL. Ministério da Transparência e Controladoria-Geral da União. Secretaria Federal de Controle Interno.</w:t>
      </w:r>
      <w:r>
        <w:t xml:space="preserve"> </w:t>
      </w:r>
      <w:r>
        <w:rPr>
          <w:b/>
          <w:bCs/>
        </w:rPr>
        <w:t xml:space="preserve">Manual de orientações técnicas da atividade de auditoria interna governamental do Poder Executivo Federal</w:t>
      </w:r>
      <w:r>
        <w:t xml:space="preserve">. Brasília, DF: CGU, 2017. 149 p. Disponível em: https://www.gov.br/cgu/pt-br/assuntos/auditoria-e-fiscalizacao/pgmq/arquivos/in-sfc-08-2017-mot.pdf. Acesso em: 15 jan. 2025.</w:t>
      </w:r>
    </w:p>
    <w:p>
      <w:pPr>
        <w:pStyle w:val="916"/>
      </w:pPr>
      <w:r>
        <w:t xml:space="preserve">BRASIL. Secretaria de Governo Digital; Serviço Federal de Processamento de Dados.</w:t>
      </w:r>
      <w:r>
        <w:t xml:space="preserve"> </w:t>
      </w:r>
      <w:r>
        <w:rPr>
          <w:b/>
          <w:bCs/>
        </w:rPr>
        <w:t xml:space="preserve">IA generativa no serviço público: definições, usos e boas práticas</w:t>
      </w:r>
      <w:r>
        <w:t xml:space="preserve">. Brasília: SGD; SERPRO, 2025. 33 p. Disponível em: https://www.gov.br/governodigital/pt-br/infraestrutura-nacional-de-dados/inteligencia-artificial-1/ia-generativa-no-servico-publico.pdf. Acesso em: 6 ago. 2025.</w:t>
      </w:r>
    </w:p>
    <w:p>
      <w:pPr>
        <w:pStyle w:val="916"/>
      </w:pPr>
      <w:r>
        <w:t xml:space="preserve">CASTRO, Domingos Poubel.</w:t>
      </w:r>
      <w:r>
        <w:t xml:space="preserve"> </w:t>
      </w:r>
      <w:r>
        <w:rPr>
          <w:b/>
          <w:bCs/>
        </w:rPr>
        <w:t xml:space="preserve">Auditoria e controle interno na administração pública</w:t>
      </w:r>
      <w:r>
        <w:t xml:space="preserve">. 2. ed. São Paulo: Atlas, 2009.</w:t>
      </w:r>
    </w:p>
    <w:p>
      <w:pPr>
        <w:pStyle w:val="916"/>
      </w:pPr>
      <w:r>
        <w:t xml:space="preserve">CHECHI, Letícia Andrea; GRISA, Cátia. Abordagens institucionalistas e as contribuições na análise de políticas públicas.</w:t>
      </w:r>
      <w:r>
        <w:t xml:space="preserve"> </w:t>
      </w:r>
      <w:r>
        <w:rPr>
          <w:b/>
          <w:bCs/>
        </w:rPr>
        <w:t xml:space="preserve">Revista de Políticas Públicas</w:t>
      </w:r>
      <w:r>
        <w:t xml:space="preserve">, v. 23, n. 2, p. 735–753, 23 dez. 2019. Disponível em: https://periodicoseletronicos.ufma.br/index.php/rppublica/article/view/13087. Acesso em: 8 jan. 2025.</w:t>
      </w:r>
    </w:p>
    <w:p>
      <w:pPr>
        <w:pStyle w:val="916"/>
      </w:pPr>
      <w:r>
        <w:t xml:space="preserve">CONSELHO NACIONAL DE DESENVOLVIMENTO CIENTÍFICO E TECNOLÓGICO (CNPq).</w:t>
      </w:r>
      <w:r>
        <w:t xml:space="preserve"> </w:t>
      </w:r>
      <w:r>
        <w:rPr>
          <w:b/>
          <w:bCs/>
        </w:rPr>
        <w:t xml:space="preserve">Portaria nº 2.664, de 6 de março de 2026</w:t>
      </w:r>
      <w:r>
        <w:t xml:space="preserve">. Institui a Política de Integridade na Atividade Científica do CNPq. Brasília, DF: CNPq, 2026. Disponível em: http://memoria2.cnpq.br/web/guest/view/-/journal_content/56_INSTANCE_0oED/10157/23142775. Acesso em: 23 maio 2026.</w:t>
      </w:r>
    </w:p>
    <w:p>
      <w:pPr>
        <w:pStyle w:val="916"/>
      </w:pPr>
      <w:r>
        <w:t xml:space="preserve">CONSTANTINO, Núncia Santoro de.</w:t>
      </w:r>
      <w:r>
        <w:t xml:space="preserve"> </w:t>
      </w:r>
      <w:r>
        <w:rPr>
          <w:b/>
          <w:bCs/>
        </w:rPr>
        <w:t xml:space="preserve">Pesquisa histórica e análise de conteúdo: pertinência e possibilidades. Estudos Ibero-Americanos</w:t>
      </w:r>
      <w:r>
        <w:t xml:space="preserve">, Porto Alegre, v. 28, n. 1, p. 183-194, jun. 2002. Disponível em: https://pucrs.emnuvens.com.br/iberoamericana/article/view/23794/14279. Acesso em: 12 maio 2025.</w:t>
      </w:r>
    </w:p>
    <w:p>
      <w:pPr>
        <w:pStyle w:val="916"/>
      </w:pPr>
      <w:r>
        <w:t xml:space="preserve">DAVID, Paul A. Path dependence: a foundational concept for historical social science.</w:t>
      </w:r>
      <w:r>
        <w:t xml:space="preserve"> </w:t>
      </w:r>
      <w:r>
        <w:rPr>
          <w:b/>
          <w:bCs/>
        </w:rPr>
        <w:t xml:space="preserve">Cliometrica: Journal of Historical Economics and Econometric History</w:t>
      </w:r>
      <w:r>
        <w:t xml:space="preserve">, v. 1, n. 2, p. 1–25, 2007. Disponível em: https://link.springer.com/article/10.1007/s11698-006-0005-x. Acesso em: 3 jun. 2025.</w:t>
      </w:r>
    </w:p>
    <w:p>
      <w:pPr>
        <w:pStyle w:val="916"/>
      </w:pPr>
      <w:r>
        <w:t xml:space="preserve">DEEP SEEK.</w:t>
      </w:r>
      <w:r>
        <w:t xml:space="preserve"> </w:t>
      </w:r>
      <w:r>
        <w:rPr>
          <w:b/>
          <w:bCs/>
        </w:rPr>
        <w:t xml:space="preserve">DeepSeek</w:t>
      </w:r>
      <w:r>
        <w:t xml:space="preserve">. 2025. Disponível em: https://chat.deepseek.com/. Acesso em: 10 ago. 2025.</w:t>
      </w:r>
    </w:p>
    <w:p>
      <w:pPr>
        <w:pStyle w:val="916"/>
      </w:pPr>
      <w:r>
        <w:t xml:space="preserve">DIMAGGIO, Paul J.; POWELL, Walter W.</w:t>
      </w:r>
      <w:r>
        <w:t xml:space="preserve"> </w:t>
      </w:r>
      <w:r>
        <w:rPr>
          <w:b/>
          <w:bCs/>
        </w:rPr>
        <w:t xml:space="preserve">The iron cage revisited: institutional isomorphism and collective rationality in organizational fields</w:t>
      </w:r>
      <w:r>
        <w:t xml:space="preserve">. American Sociological Review, v. 48, n. 2, p. 147-160, abr. 1983. Disponível em: https://www.uio.no/studier/emner/matnat/ifi/INF9200/v10/readings/papers/DeMaggio.pdf. Acesso em: 5 fev. 2025.</w:t>
      </w:r>
    </w:p>
    <w:p>
      <w:pPr>
        <w:pStyle w:val="916"/>
      </w:pPr>
      <w:r>
        <w:t xml:space="preserve">DOSHI, R. H.; BAJAJ, S. S. Promises — and pitfalls — of ChatGPT-assisted medicine.</w:t>
      </w:r>
      <w:r>
        <w:t xml:space="preserve"> </w:t>
      </w:r>
      <w:r>
        <w:rPr>
          <w:b/>
          <w:bCs/>
        </w:rPr>
        <w:t xml:space="preserve">STAT News</w:t>
      </w:r>
      <w:r>
        <w:t xml:space="preserve">, 1 fev. 2023. Disponível em: https://www.statnews.com/2023/02/01/promises-pitfalls-chatgpt-assisted-medicine/. Acesso em: 23 jun. 2025.</w:t>
      </w:r>
    </w:p>
    <w:p>
      <w:pPr>
        <w:pStyle w:val="916"/>
      </w:pPr>
      <w:r>
        <w:t xml:space="preserve">ENCYCLOPAEDIA BRITANNICA. John McCarthy.</w:t>
      </w:r>
      <w:r>
        <w:t xml:space="preserve"> </w:t>
      </w:r>
      <w:r>
        <w:rPr>
          <w:b/>
          <w:bCs/>
        </w:rPr>
        <w:t xml:space="preserve">Encyclopaedia Britannica</w:t>
      </w:r>
      <w:r>
        <w:t xml:space="preserve">. Disponível em: https://www.britannica.com/biography/John-McCarthy. Acesso em: 3 jun. 2025.</w:t>
      </w:r>
    </w:p>
    <w:p>
      <w:pPr>
        <w:pStyle w:val="916"/>
      </w:pPr>
      <w:r>
        <w:t xml:space="preserve">FORBES. 10 números surpreendentes sobre IA que todos deveriam conhecer.</w:t>
      </w:r>
      <w:r>
        <w:t xml:space="preserve"> </w:t>
      </w:r>
      <w:r>
        <w:rPr>
          <w:b/>
          <w:bCs/>
        </w:rPr>
        <w:t xml:space="preserve">Forbes</w:t>
      </w:r>
      <w:r>
        <w:t xml:space="preserve">, 10 jan. 2024. Disponível em: https://forbes.com.br/carreira/2024/01/10-numeros-surpreendentes-sobre-ia-que-todos-deveriam-conhecer/. Acesso em: 18 ago. 2025.</w:t>
      </w:r>
    </w:p>
    <w:p>
      <w:pPr>
        <w:pStyle w:val="916"/>
      </w:pPr>
      <w:r>
        <w:t xml:space="preserve">HAILU, Ruth; BEAM, Andrew; MEHROTRA, Ateev. ChatGPT-assisted diagnosis: Is the future suddenly here?</w:t>
      </w:r>
      <w:r>
        <w:t xml:space="preserve"> </w:t>
      </w:r>
      <w:r>
        <w:rPr>
          <w:b/>
          <w:bCs/>
        </w:rPr>
        <w:t xml:space="preserve">STAT News</w:t>
      </w:r>
      <w:r>
        <w:t xml:space="preserve">, 13 fev. 2023. Disponível em: https://www.statnews.com/2023/02/13/chatgpt-assisted-diagnosis/. Acesso em: 3 jun. 2025.</w:t>
      </w:r>
    </w:p>
    <w:p>
      <w:pPr>
        <w:pStyle w:val="916"/>
      </w:pPr>
      <w:r>
        <w:t xml:space="preserve">HALL, Peter A.; TAYLOR, Rosemary C. R.</w:t>
      </w:r>
      <w:r>
        <w:t xml:space="preserve"> </w:t>
      </w:r>
      <w:r>
        <w:rPr>
          <w:b/>
          <w:bCs/>
        </w:rPr>
        <w:t xml:space="preserve">As três versões do neo-institucionalismo</w:t>
      </w:r>
      <w:r>
        <w:t xml:space="preserve">. Lua Nova, São Paulo, n. 58, p. 193-223, 2003. Tradução de Gabriel Cohn. Disponível em: https://edisciplinas.usp.br/pluginfile.php/4407064/mod_resource/content/1/HALL%2C%20Peter%20A.%20e%20TAYLOR%2C%20Rosemary%20C.%20R.%20As%20tr%C3%AAs%20vers%C3%B5es%20do%20neo-institucionalismo.pdf. Acesso em: 21 dez. 2024.</w:t>
      </w:r>
    </w:p>
    <w:p>
      <w:pPr>
        <w:pStyle w:val="916"/>
      </w:pPr>
      <w:r>
        <w:t xml:space="preserve">HITCH, Danielle. Artificial intelligence augmented qualitative analysis: the way of the future?</w:t>
      </w:r>
      <w:r>
        <w:t xml:space="preserve"> </w:t>
      </w:r>
      <w:r>
        <w:rPr>
          <w:b/>
          <w:bCs/>
        </w:rPr>
        <w:t xml:space="preserve">Qualitative Health Research</w:t>
      </w:r>
      <w:r>
        <w:t xml:space="preserve">, Thousand Oaks, CA, v. 34, n. 7, p. 595–606, jun. 2024. Disponível em: https://doi.org/10.1177/10497323231217392. Acesso em: 15 ago. 2025.</w:t>
      </w:r>
    </w:p>
    <w:p>
      <w:pPr>
        <w:pStyle w:val="916"/>
      </w:pPr>
      <w:r>
        <w:t xml:space="preserve">IMMERGUT, Ellen M. O núcleo teórico do novo institucionalismo. In: SARAVIA, Enrique; FERRAREZI, Elisabete (orgs.).</w:t>
      </w:r>
      <w:r>
        <w:t xml:space="preserve"> </w:t>
      </w:r>
      <w:r>
        <w:rPr>
          <w:b/>
          <w:bCs/>
        </w:rPr>
        <w:t xml:space="preserve">Políticas públicas: coletânea</w:t>
      </w:r>
      <w:r>
        <w:t xml:space="preserve">. Brasília: ENAP, 2006. v. 1, p. 155–195.</w:t>
      </w:r>
    </w:p>
    <w:p>
      <w:pPr>
        <w:pStyle w:val="916"/>
      </w:pPr>
      <w:r>
        <w:t xml:space="preserve">IMMERGUT, Ellen M. The rules of the game: the logic of health policy-making in France, Switzerland, and Sweden. In: STEINMO, Sven; THELEN, Kathleen; LONGSTRETH, Frank (eds.).</w:t>
      </w:r>
      <w:r>
        <w:t xml:space="preserve"> </w:t>
      </w:r>
      <w:r>
        <w:rPr>
          <w:b/>
          <w:bCs/>
        </w:rPr>
        <w:t xml:space="preserve">Structuring politics: historical institutionalism in comparative analysis</w:t>
      </w:r>
      <w:r>
        <w:t xml:space="preserve">. Cambridge: Cambridge University Press, 1992. p. 57–89. Disponível em:</w:t>
      </w:r>
      <w:r>
        <w:t xml:space="preserve"> </w:t>
      </w:r>
      <w:hyperlink r:id="rId84">
        <w:r>
          <w:rPr>
            <w:rStyle w:val="952"/>
          </w:rPr>
          <w:t xml:space="preserve">https://scholar.google.com.tw/citations?view_op=view_citation&amp;hl=en&amp;user=Nu_ZRkcAAAAJ&amp;citation_for_view=Nu_ZRkcAAAAJ:d1gkVwhDpl0C</w:t>
        </w:r>
      </w:hyperlink>
      <w:r>
        <w:t xml:space="preserve">. Acesso em: 5 fev. 2025.</w:t>
      </w:r>
    </w:p>
    <w:p>
      <w:pPr>
        <w:pStyle w:val="916"/>
      </w:pPr>
      <w:r>
        <w:t xml:space="preserve">INSTITUTE OF INTERNAL AUDITORS.</w:t>
      </w:r>
      <w:r>
        <w:t xml:space="preserve"> </w:t>
      </w:r>
      <w:r>
        <w:rPr>
          <w:b/>
          <w:bCs/>
        </w:rPr>
        <w:t xml:space="preserve">Audit report writing toolkit</w:t>
      </w:r>
      <w:r>
        <w:t xml:space="preserve">. Lake Mary, FL: The Institute of Internal Auditors, 2021. Disponível em: https://www.theiia.org/globalassets/site/auditing-report-writing-toolkit.pdf. Acesso em: 23 maio 2025.</w:t>
      </w:r>
    </w:p>
    <w:p>
      <w:pPr>
        <w:pStyle w:val="916"/>
      </w:pPr>
      <w:r>
        <w:t xml:space="preserve">INSTITUTE OF INTERNAL AUDITORS.</w:t>
      </w:r>
      <w:r>
        <w:t xml:space="preserve"> </w:t>
      </w:r>
      <w:r>
        <w:rPr>
          <w:b/>
          <w:bCs/>
        </w:rPr>
        <w:t xml:space="preserve">Normas globais de auditoria interna</w:t>
      </w:r>
      <w:r>
        <w:t xml:space="preserve">. Lake Mary, FL: The Institute of Internal Auditors, 2024. 121 p. Disponível em: https://iiabrasil.org.br/korbilload/upl/editorHTML/uploadDireto/globalinternala-editorHTML-00000008-07052024134230.pdf. Acesso em: 23 maio 2025.</w:t>
      </w:r>
    </w:p>
    <w:p>
      <w:pPr>
        <w:pStyle w:val="916"/>
      </w:pPr>
      <w:r>
        <w:t xml:space="preserve">JENNER, Sarah; RAIDOS, Dimitris; ANDERSON, Emma; FLEETWOOD, Stella; AINSWORTH, Ben; FOX, Kerry; KREPPNER, Jana; BARKER, Mary. Using large language models for narrative analysis: a novel application of generative AI.</w:t>
      </w:r>
      <w:r>
        <w:t xml:space="preserve"> </w:t>
      </w:r>
      <w:r>
        <w:rPr>
          <w:b/>
          <w:bCs/>
        </w:rPr>
        <w:t xml:space="preserve">Methods in Psychology</w:t>
      </w:r>
      <w:r>
        <w:t xml:space="preserve">, Amsterdam, v. 12, p. 1–12, 2025. Disponível em: https://www.sciencedirect.com/science/article/pii/S2590260125000098. DOI: 10.1016/j.metip.2025.100183. Acesso em: 5 ago. 2025.</w:t>
      </w:r>
    </w:p>
    <w:p>
      <w:pPr>
        <w:pStyle w:val="916"/>
      </w:pPr>
      <w:r>
        <w:t xml:space="preserve">LASSWELL, Harold Dwight.</w:t>
      </w:r>
      <w:r>
        <w:t xml:space="preserve"> </w:t>
      </w:r>
      <w:r>
        <w:rPr>
          <w:b/>
          <w:bCs/>
        </w:rPr>
        <w:t xml:space="preserve">A linguagem da política</w:t>
      </w:r>
      <w:r>
        <w:t xml:space="preserve">. Brasília: Editora Universidade de Brasília, 1979. 410 p. (Pensamento Político, v. 4).</w:t>
      </w:r>
    </w:p>
    <w:p>
      <w:pPr>
        <w:pStyle w:val="916"/>
      </w:pPr>
      <w:r>
        <w:t xml:space="preserve">LIAO, Q. Vera; VAUGHAN, Jennifer Wortman.</w:t>
      </w:r>
      <w:r>
        <w:t xml:space="preserve"> </w:t>
      </w:r>
      <w:r>
        <w:rPr>
          <w:b/>
          <w:bCs/>
        </w:rPr>
        <w:t xml:space="preserve">AI transparency in the age of LLMs: a human-centered research roadmap</w:t>
      </w:r>
      <w:r>
        <w:t xml:space="preserve">. arXiv, [S. l.], p. 1–33, 8 ago. 2023. Disponível em: https://arxiv.org/abs/2306.01941v2. Acesso em: 25 jun. 2025.</w:t>
      </w:r>
    </w:p>
    <w:p>
      <w:pPr>
        <w:pStyle w:val="916"/>
      </w:pPr>
      <w:r>
        <w:t xml:space="preserve">LUND, Brady D.; WANG, Ting. Chatting about ChatGPT: how may AI and GPT impact academia and libraries?</w:t>
      </w:r>
      <w:r>
        <w:t xml:space="preserve"> </w:t>
      </w:r>
      <w:r>
        <w:rPr>
          <w:b/>
          <w:bCs/>
        </w:rPr>
        <w:t xml:space="preserve">Library Hi Tech News</w:t>
      </w:r>
      <w:r>
        <w:t xml:space="preserve">, [S. l.], p. 1–7, jan. 2023. Disponível em: https://papers.ssrn.com/sol3/papers.cfm?abstract_id=4333415. Acesso em: 24 out. 2025.</w:t>
      </w:r>
    </w:p>
    <w:p>
      <w:pPr>
        <w:pStyle w:val="916"/>
      </w:pPr>
      <w:r>
        <w:t xml:space="preserve">MAHONEY, James; THELEN, Kathleen.</w:t>
      </w:r>
      <w:r>
        <w:t xml:space="preserve"> </w:t>
      </w:r>
      <w:r>
        <w:rPr>
          <w:b/>
          <w:bCs/>
        </w:rPr>
        <w:t xml:space="preserve">Explaining institutional change: ambiguity, agency, and power</w:t>
      </w:r>
      <w:r>
        <w:t xml:space="preserve">. Cambridge: Cambridge University Press, 2009. 236 p. Disponível em: https://doi.org/10.1017/CBO9780511806414. Acesso em: 17 fev. 2025.</w:t>
      </w:r>
    </w:p>
    <w:p>
      <w:pPr>
        <w:pStyle w:val="916"/>
      </w:pPr>
      <w:r>
        <w:t xml:space="preserve">MARCH, James G.; OLSEN, Johan P. Neo-institucionalismo: fatores organizacionais na vida política.</w:t>
      </w:r>
      <w:r>
        <w:t xml:space="preserve"> </w:t>
      </w:r>
      <w:r>
        <w:rPr>
          <w:b/>
          <w:bCs/>
        </w:rPr>
        <w:t xml:space="preserve">Revista de Sociologia e Política</w:t>
      </w:r>
      <w:r>
        <w:t xml:space="preserve">, Curitiba, v. 16, n. 31, p. 121–142, nov. 2008. Disponível em: https://www.scielo.br/j/rsocp/a/KsVGKb7bRbRSSHWt7GXRfjS/?format=pdf&amp;lang=pt. Acesso em: 3 jun. 2025.</w:t>
      </w:r>
    </w:p>
    <w:p>
      <w:pPr>
        <w:pStyle w:val="916"/>
      </w:pPr>
      <w:r>
        <w:t xml:space="preserve">MCCARTHY, John.</w:t>
      </w:r>
      <w:r>
        <w:t xml:space="preserve"> </w:t>
      </w:r>
      <w:r>
        <w:rPr>
          <w:b/>
          <w:bCs/>
        </w:rPr>
        <w:t xml:space="preserve">What is artificial intelligence?</w:t>
      </w:r>
      <w:r>
        <w:t xml:space="preserve"> </w:t>
      </w:r>
      <w:r>
        <w:t xml:space="preserve">Stanford: Stanford University, Computer Science Department, 2007. Disponível em: https://www-formal.stanford.edu/jmc/whatisai.pdf. Acesso em: 3 jun. 2025.</w:t>
      </w:r>
    </w:p>
    <w:p>
      <w:pPr>
        <w:pStyle w:val="916"/>
      </w:pPr>
      <w:r>
        <w:t xml:space="preserve">MOLLMAN, S. ChatGPT gained 1 million users in under a week.</w:t>
      </w:r>
      <w:r>
        <w:t xml:space="preserve"> </w:t>
      </w:r>
      <w:r>
        <w:rPr>
          <w:b/>
          <w:bCs/>
        </w:rPr>
        <w:t xml:space="preserve">Yahoo Finance</w:t>
      </w:r>
      <w:r>
        <w:t xml:space="preserve">, 09 dez. 2022. Disponível em: &lt;https://finance.yahoo.com/news/chatgpt-gained-1-million-followers-224523258.html&gt;. Acesso em: 23 jun. 2025.</w:t>
      </w:r>
    </w:p>
    <w:p>
      <w:pPr>
        <w:pStyle w:val="916"/>
      </w:pPr>
      <w:r>
        <w:t xml:space="preserve">NENSA, F. The future of radiology: the path towards multimodal AI and superdiagnostics.</w:t>
      </w:r>
      <w:r>
        <w:t xml:space="preserve"> </w:t>
      </w:r>
      <w:r>
        <w:rPr>
          <w:b/>
          <w:bCs/>
        </w:rPr>
        <w:t xml:space="preserve">European Journal of Radiology Artificial Intelligence</w:t>
      </w:r>
      <w:r>
        <w:t xml:space="preserve">, v. 2, p. 1–5, 2025. Disponível em: https://doi.org/10.1016/j.ejrai.2025.100014. Acesso em: 23 jun. 2025.</w:t>
      </w:r>
    </w:p>
    <w:p>
      <w:pPr>
        <w:pStyle w:val="916"/>
      </w:pPr>
      <w:r>
        <w:t xml:space="preserve">NORTH, Douglass C.</w:t>
      </w:r>
      <w:r>
        <w:t xml:space="preserve"> </w:t>
      </w:r>
      <w:r>
        <w:rPr>
          <w:b/>
          <w:bCs/>
        </w:rPr>
        <w:t xml:space="preserve">Institutions, institutional change and economic performance</w:t>
      </w:r>
      <w:r>
        <w:t xml:space="preserve">. Cambridge: Cambridge University Press, 1990.</w:t>
      </w:r>
    </w:p>
    <w:p>
      <w:pPr>
        <w:pStyle w:val="916"/>
      </w:pPr>
      <w:r>
        <w:t xml:space="preserve">OPENAI.</w:t>
      </w:r>
      <w:r>
        <w:t xml:space="preserve"> </w:t>
      </w:r>
      <w:r>
        <w:rPr>
          <w:b/>
          <w:bCs/>
        </w:rPr>
        <w:t xml:space="preserve">ChatGPT (GPT-4-turbo)</w:t>
      </w:r>
      <w:r>
        <w:t xml:space="preserve">. San Francisco: OpenAI, 2024. Disponível em: https://chat.openai.com. Acesso em: 6 ago. 2025.</w:t>
      </w:r>
    </w:p>
    <w:p>
      <w:pPr>
        <w:pStyle w:val="916"/>
      </w:pPr>
      <w:r>
        <w:t xml:space="preserve">RADFORD, Alec et al. </w:t>
      </w:r>
      <w:r>
        <w:rPr>
          <w:b/>
          <w:bCs/>
        </w:rPr>
        <w:t xml:space="preserve">Improving Language Understanding by Generative Pre-Training</w:t>
      </w:r>
      <w:r>
        <w:t xml:space="preserve">. [S.l.]: OpenAI, 2018. Disponível em: https://cdn.openai.com/research-covers/language-unsupervised/language_understanding_paper.pdf. Acesso em: 24 out. 2025.</w:t>
      </w:r>
    </w:p>
    <w:p>
      <w:pPr>
        <w:pStyle w:val="916"/>
      </w:pPr>
      <w:r>
        <w:t xml:space="preserve">REJEB, A.; REJEB, K.; APPOLLONI, A.; TREIBLMAIER, H.; IRANMANESH, M. Exploring the impact of ChatGPT on education: A web mining and machine learning approach.</w:t>
      </w:r>
      <w:r>
        <w:t xml:space="preserve"> </w:t>
      </w:r>
      <w:r>
        <w:rPr>
          <w:b/>
          <w:bCs/>
        </w:rPr>
        <w:t xml:space="preserve">The International Journal of Management Education</w:t>
      </w:r>
      <w:r>
        <w:t xml:space="preserve">, v. 22, n. 1, p. 100932, mar. 2024. Disponível em: https://doi.org/10.1016/j.ijme.2024.100932. Acesso em: 18 ago. 2025.</w:t>
      </w:r>
    </w:p>
    <w:p>
      <w:pPr>
        <w:pStyle w:val="916"/>
      </w:pPr>
      <w:r>
        <w:t xml:space="preserve">RUSSELL, Stuart; NORVIG, Peter.</w:t>
      </w:r>
      <w:r>
        <w:t xml:space="preserve"> </w:t>
      </w:r>
      <w:r>
        <w:rPr>
          <w:b/>
          <w:bCs/>
        </w:rPr>
        <w:t xml:space="preserve">Artificial Intelligence: A Modern Approach</w:t>
      </w:r>
      <w:r>
        <w:t xml:space="preserve">. 2. ed. Upper Saddle River, NJ: Pearson Education, 2003.</w:t>
      </w:r>
    </w:p>
    <w:p>
      <w:pPr>
        <w:pStyle w:val="916"/>
      </w:pPr>
      <w:r>
        <w:t xml:space="preserve">SAMPAIO, R. C.; SABBATINI, M.; LIMONGI, R.</w:t>
      </w:r>
      <w:r>
        <w:t xml:space="preserve"> </w:t>
      </w:r>
      <w:r>
        <w:rPr>
          <w:b/>
          <w:bCs/>
        </w:rPr>
        <w:t xml:space="preserve">Diretrizes para o uso ético e responsável da Inteligência Artificial Generativa: um guia prático para pesquisadores</w:t>
      </w:r>
      <w:r>
        <w:t xml:space="preserve">. São Paulo: Editora Intercom, 2024. 60 p. ISBN 978-85-8208-142-6.</w:t>
      </w:r>
    </w:p>
    <w:p>
      <w:pPr>
        <w:pStyle w:val="916"/>
      </w:pPr>
      <w:r>
        <w:t xml:space="preserve">SAMPAIO, Rafael Cardoso; LYCARIÃO, Diógenes.</w:t>
      </w:r>
      <w:r>
        <w:t xml:space="preserve"> </w:t>
      </w:r>
      <w:r>
        <w:rPr>
          <w:b/>
          <w:bCs/>
        </w:rPr>
        <w:t xml:space="preserve">Análise de conteúdo categorial: manual de aplicação</w:t>
      </w:r>
      <w:r>
        <w:t xml:space="preserve">. Brasília: ENAP, 2021. 155 p. (Coleção Metodologias de Pesquisa).</w:t>
      </w:r>
    </w:p>
    <w:p>
      <w:pPr>
        <w:pStyle w:val="916"/>
      </w:pPr>
      <w:r>
        <w:t xml:space="preserve">SCHULHOFF, Sander et al. </w:t>
      </w:r>
      <w:r>
        <w:rPr>
          <w:b/>
          <w:bCs/>
        </w:rPr>
        <w:t xml:space="preserve">The Prompt Report: A Systematic Survey of Prompt Engineering Techniques</w:t>
      </w:r>
      <w:r>
        <w:t xml:space="preserve">. [S.l.]: arXiv, 2025. 80 p. Disponível em: https://arxiv.org/pdf/2406.06608. Acesso em: 21 out. 2025.</w:t>
      </w:r>
    </w:p>
    <w:p>
      <w:pPr>
        <w:pStyle w:val="916"/>
      </w:pPr>
      <w:r>
        <w:t xml:space="preserve">SIDHPURWALA, Huzaifa; MOLLETT, Garth; FOX, Emily; BESTAVROS, Mark; CHEN, Huamin. Building trust: foundations of security, safety, and transparency in AI.</w:t>
      </w:r>
      <w:r>
        <w:t xml:space="preserve"> </w:t>
      </w:r>
      <w:r>
        <w:rPr>
          <w:b/>
          <w:bCs/>
        </w:rPr>
        <w:t xml:space="preserve">AI Magazine</w:t>
      </w:r>
      <w:r>
        <w:t xml:space="preserve">, [S.l.], v. 46, n. 2, e70005, maio 2025. Disponível em: https://doi.org/10.1002/aaai.70005. Acesso em: 4 jun. 2025.</w:t>
      </w:r>
    </w:p>
    <w:p>
      <w:pPr>
        <w:pStyle w:val="916"/>
      </w:pPr>
      <w:r>
        <w:t xml:space="preserve">SIGDEL, Sankita; POWELL, Anne. Artificial intelligence, bias, and decision making: a review of major findings. In: MIDWEST ASSOCIATION FOR INFORMATION SYSTEMS CONFERENCE (MWAIS), 20, 2025, Stillwater (OK).</w:t>
      </w:r>
      <w:r>
        <w:t xml:space="preserve"> </w:t>
      </w:r>
      <w:r>
        <w:rPr>
          <w:b/>
          <w:bCs/>
        </w:rPr>
        <w:t xml:space="preserve">Proceedings</w:t>
      </w:r>
      <w:r>
        <w:t xml:space="preserve"> </w:t>
      </w:r>
      <w:r>
        <w:t xml:space="preserve">[...]. Edwardsville: Southern Illinois University Edwardsville; AIS Electronic Library (AISeL), 2025. 6 p. Disponível em: https://aisel.aisnet.org/mwais2025/1032. Acesso em: 23 jun. 2025.</w:t>
      </w:r>
    </w:p>
    <w:p>
      <w:pPr>
        <w:pStyle w:val="916"/>
      </w:pPr>
      <w:r>
        <w:t xml:space="preserve">TABONE, W.; DE WINTER, J. Using ChatGPT for human–computer interaction research: a primer.</w:t>
      </w:r>
      <w:r>
        <w:t xml:space="preserve"> </w:t>
      </w:r>
      <w:r>
        <w:rPr>
          <w:b/>
          <w:bCs/>
        </w:rPr>
        <w:t xml:space="preserve">Royal Society Open Science</w:t>
      </w:r>
      <w:r>
        <w:t xml:space="preserve">, v. 10, n. 9, 2023. DOI: 10.1098/rsos.231053.</w:t>
      </w:r>
    </w:p>
    <w:p>
      <w:pPr>
        <w:pStyle w:val="916"/>
      </w:pPr>
      <w:r>
        <w:t xml:space="preserve">THELEN, Kathleen. Historical institutionalism in comparative politics.</w:t>
      </w:r>
      <w:r>
        <w:t xml:space="preserve"> </w:t>
      </w:r>
      <w:r>
        <w:rPr>
          <w:b/>
          <w:bCs/>
        </w:rPr>
        <w:t xml:space="preserve">Annual Review of Political Science</w:t>
      </w:r>
      <w:r>
        <w:t xml:space="preserve">, v. 2, p. 369-404, 1999. Disponível em: https://orbi.uliege.be/bitstream/2268/263229/9/Thelen.pdf. Acesso em: 17 fev. 2025.</w:t>
      </w:r>
    </w:p>
    <w:p>
      <w:pPr>
        <w:pStyle w:val="916"/>
      </w:pPr>
      <w:r>
        <w:t xml:space="preserve">TRIGUERO, Isaac et al. </w:t>
      </w:r>
      <w:r>
        <w:rPr>
          <w:b/>
          <w:bCs/>
        </w:rPr>
        <w:t xml:space="preserve">General Purpose Artificial Intelligence Systems (GPAIS): Properties, Definition, Taxonomy, Open Challenges and Implications</w:t>
      </w:r>
      <w:r>
        <w:t xml:space="preserve">. arXiv:2307.14283v2 [cs.AI], 3 nov. 2023. Disponível em: https://arxiv.org/pdf/2307.14283v2. Acesso em: 18 ago. 2025.</w:t>
      </w:r>
    </w:p>
    <w:p>
      <w:pPr>
        <w:pStyle w:val="916"/>
      </w:pPr>
      <w:r>
        <w:t xml:space="preserve">UNIÃO EUROPEIA.</w:t>
      </w:r>
      <w:r>
        <w:t xml:space="preserve"> </w:t>
      </w:r>
      <w:r>
        <w:rPr>
          <w:b/>
          <w:bCs/>
        </w:rPr>
        <w:t xml:space="preserve">Living guidelines on the responsible use of generative AI in research</w:t>
      </w:r>
      <w:r>
        <w:t xml:space="preserve">. Bruxelas: European Commission, 2024. Disponível em: https://european-research-area.ec.europa.eu/news/living-guidelines-responsible-use-generative-ai-research-published. Acesso em: 21 out. 2025.</w:t>
      </w:r>
    </w:p>
    <w:p>
      <w:pPr>
        <w:pStyle w:val="916"/>
      </w:pPr>
      <w:r>
        <w:t xml:space="preserve">WALRAVEN, Andréa Lucas et al. Análise da implantação da gestão de riscos na unidade de auditoria interna do Tribunal de Justiça do Estado do Ceará.</w:t>
      </w:r>
      <w:r>
        <w:t xml:space="preserve"> </w:t>
      </w:r>
      <w:r>
        <w:rPr>
          <w:b/>
          <w:bCs/>
        </w:rPr>
        <w:t xml:space="preserve">Revista Controle: doutrina e artigos</w:t>
      </w:r>
      <w:r>
        <w:t xml:space="preserve">, Fortaleza, v. 21, n. 1, p. 136-173, jan./jun. 2023. DOI: https://doi.org/10.32586/rcda.v21i1.819.</w:t>
      </w:r>
    </w:p>
    <w:p>
      <w:pPr>
        <w:pStyle w:val="916"/>
      </w:pPr>
      <w:r>
        <w:t xml:space="preserve">WENG, Yixuan et al. </w:t>
      </w:r>
      <w:r>
        <w:rPr>
          <w:b/>
          <w:bCs/>
        </w:rPr>
        <w:t xml:space="preserve">Large Language Models are Better Reasoners with Self-Verification</w:t>
      </w:r>
      <w:r>
        <w:t xml:space="preserve">. [S.l.]: arXiv, 2023. Disponível em: https://arxiv.org/pdf/2212.09561. Acesso em: 21 out. 2025.</w:t>
      </w:r>
    </w:p>
    <w:p>
      <w:pPr>
        <w:pStyle w:val="916"/>
      </w:pPr>
      <w:r>
        <w:t xml:space="preserve">YU, Kun-Hsing; BEAM, Andrew L.; KOHANE, Isaac S. Artificial intelligence in healthcare.</w:t>
      </w:r>
      <w:r>
        <w:t xml:space="preserve"> </w:t>
      </w:r>
      <w:r>
        <w:rPr>
          <w:b/>
          <w:bCs/>
        </w:rPr>
        <w:t xml:space="preserve">Nature Biomedical Engineering</w:t>
      </w:r>
      <w:r>
        <w:t xml:space="preserve">, Londres: Nature Publishing Group UK, v. 2, n. 10, p. 719–731, out. 2018. DOI: https://doi.org/10.1038/s41551-018-0305-z. Disponível em: https://www.nature.com/articles/s41551-018-0305-z. Acesso em: 20 ago. 2025.</w:t>
      </w:r>
    </w:p>
    <w:p>
      <w:pPr>
        <w:pStyle w:val="916"/>
      </w:pPr>
      <w:r>
        <w:t xml:space="preserve">ZHUO, Terry Yue. et al. </w:t>
      </w:r>
      <w:r>
        <w:rPr>
          <w:b/>
          <w:bCs/>
        </w:rPr>
        <w:t xml:space="preserve">Red teaming ChatGPT via Jailbreaking: Bias, Robustness, Reliability and Toxicity</w:t>
      </w:r>
      <w:r>
        <w:t xml:space="preserve">. [S.l.], [s.n.], 2023. 16 p. Disponível em: https://arxiv.org/pdf/2301.12867. Acesso em: 23 out. 2025.</w:t>
      </w:r>
    </w:p>
    <w:p>
      <w:r>
        <w:br w:type="page"/>
      </w:r>
    </w:p>
    <w:bookmarkEnd w:id="85"/>
    <w:bookmarkStart w:id="101" w:name="Xe61b031f4492e04afb14d3c02c89ecf5271d6f7"/>
    <w:p>
      <w:pPr>
        <w:pStyle w:val="904"/>
      </w:pPr>
      <w:r>
        <w:t xml:space="preserve">7. Apêndice A — Obtenção e Preparação de Dados</w:t>
      </w:r>
    </w:p>
    <w:bookmarkStart w:id="86" w:name="introdução-1"/>
    <w:p>
      <w:pPr>
        <w:pStyle w:val="906"/>
      </w:pPr>
      <w:r>
        <w:t xml:space="preserve">7.0.1 Introdução</w:t>
      </w:r>
    </w:p>
    <w:p>
      <w:pPr>
        <w:pStyle w:val="917"/>
      </w:pPr>
      <w:r>
        <w:t xml:space="preserve">O presente documento registra os passos realizados para a obtenção dos dados referentes às auditorias realizadas pelo DENASUS, bem como sua estruturação com vistas a obter um conjunto de dados que permita a implementação de análises quantitativas.</w:t>
      </w:r>
    </w:p>
    <w:p>
      <w:pPr>
        <w:pStyle w:val="916"/>
      </w:pPr>
      <w:r>
        <w:t xml:space="preserve">Ressalta-se que o foco principal está nos metadados das auditorias e de suas respectivas constatações e recomendações.</w:t>
      </w:r>
    </w:p>
    <w:bookmarkEnd w:id="86"/>
    <w:bookmarkStart w:id="87" w:name="obtenção-dos-relatórios"/>
    <w:p>
      <w:pPr>
        <w:pStyle w:val="906"/>
      </w:pPr>
      <w:r>
        <w:t xml:space="preserve">7.0.2 Obtenção dos Relatórios</w:t>
      </w:r>
    </w:p>
    <w:p>
      <w:pPr>
        <w:pStyle w:val="917"/>
      </w:pPr>
      <w:r>
        <w:t xml:space="preserve">Inicialmente, foi realizada a consulta dos relatórios publicados no site [https://consultaauditoria.saude.gov.br/visao/pages/principal.html], no período entre 01/01/2023 e 31/07/2025, selecionando-se o órgão MS/SGEP/Departamento Nacional de Auditoria do Sus e o tipo de atividade Auditoria. Os dados dessa consulta foram salvos em uma planilha cuja amostra dos dados pode ser conferida abaixo.</w:t>
      </w:r>
    </w:p>
    <w:p>
      <w:pPr>
        <w:pStyle w:val="944"/>
      </w:pPr>
      <w:r>
        <w:t xml:space="preserve">Amostra da planilha com dados de relatórios</w:t>
      </w:r>
    </w:p>
    <w:tbl>
      <w:tblPr>
        <w:tblStyle w:val="Table"/>
        <w:tblW w:type="pct" w:w="4896"/>
        <w:tblLayout w:type="fixed"/>
        <w:tblLook w:firstRow="1" w:lastRow="0" w:firstColumn="0" w:lastColumn="0" w:noHBand="0" w:noVBand="0" w:val="0020"/>
        <w:tblCaption w:val="Amostra da planilha com dados de relatórios"/>
      </w:tblPr>
      <w:tblGrid>
        <w:gridCol w:w="1320"/>
        <w:gridCol w:w="4537"/>
        <w:gridCol w:w="1897"/>
      </w:tblGrid>
      <w:tr>
        <w:trPr>
          <w:tblHeader w:val="on"/>
        </w:trPr>
        <w:tc>
          <w:tcPr/>
          <w:p>
            <w:pPr>
              <w:pStyle w:val="918"/>
              <w:jc w:val="left"/>
            </w:pPr>
            <w:r>
              <w:t xml:space="preserve">Nº</w:t>
            </w:r>
          </w:p>
        </w:tc>
        <w:tc>
          <w:tcPr/>
          <w:p>
            <w:pPr>
              <w:pStyle w:val="918"/>
              <w:jc w:val="left"/>
            </w:pPr>
            <w:r>
              <w:t xml:space="preserve">Entidade Responsável</w:t>
            </w:r>
          </w:p>
        </w:tc>
        <w:tc>
          <w:tcPr/>
          <w:p>
            <w:pPr>
              <w:pStyle w:val="918"/>
              <w:jc w:val="left"/>
            </w:pPr>
            <w:r>
              <w:t xml:space="preserve">Encerramento</w:t>
            </w:r>
          </w:p>
        </w:tc>
      </w:tr>
      <w:tr>
        <w:tc>
          <w:tcPr/>
          <w:p>
            <w:pPr>
              <w:pStyle w:val="918"/>
              <w:jc w:val="left"/>
            </w:pPr>
            <w:r>
              <w:t xml:space="preserve">18714</w:t>
            </w:r>
          </w:p>
        </w:tc>
        <w:tc>
          <w:tcPr/>
          <w:p>
            <w:pPr>
              <w:pStyle w:val="918"/>
              <w:jc w:val="left"/>
            </w:pPr>
            <w:r>
              <w:t xml:space="preserve">SECRET. MUNICIPAL DE SAUDE DE CABO FRIO</w:t>
            </w:r>
          </w:p>
        </w:tc>
        <w:tc>
          <w:tcPr/>
          <w:p>
            <w:pPr>
              <w:pStyle w:val="918"/>
              <w:jc w:val="left"/>
            </w:pPr>
            <w:r>
              <w:t xml:space="preserve">2023-12-13</w:t>
            </w:r>
          </w:p>
        </w:tc>
      </w:tr>
      <w:tr>
        <w:tc>
          <w:tcPr/>
          <w:p>
            <w:pPr>
              <w:pStyle w:val="918"/>
              <w:jc w:val="left"/>
            </w:pPr>
            <w:r>
              <w:t xml:space="preserve">18722</w:t>
            </w:r>
          </w:p>
        </w:tc>
        <w:tc>
          <w:tcPr/>
          <w:p>
            <w:pPr>
              <w:pStyle w:val="918"/>
              <w:jc w:val="left"/>
            </w:pPr>
            <w:r>
              <w:t xml:space="preserve">SECRETARIA MUNICIPAL SAUDE DE BOM JARDIM</w:t>
            </w:r>
          </w:p>
        </w:tc>
        <w:tc>
          <w:tcPr/>
          <w:p>
            <w:pPr>
              <w:pStyle w:val="918"/>
              <w:jc w:val="left"/>
            </w:pPr>
            <w:r>
              <w:t xml:space="preserve">2023-02-24</w:t>
            </w:r>
          </w:p>
        </w:tc>
      </w:tr>
      <w:tr>
        <w:tc>
          <w:tcPr/>
          <w:p>
            <w:pPr>
              <w:pStyle w:val="918"/>
              <w:jc w:val="left"/>
            </w:pPr>
            <w:r>
              <w:t xml:space="preserve">18885</w:t>
            </w:r>
          </w:p>
        </w:tc>
        <w:tc>
          <w:tcPr/>
          <w:p>
            <w:pPr>
              <w:pStyle w:val="918"/>
              <w:jc w:val="left"/>
            </w:pPr>
            <w:r>
              <w:t xml:space="preserve">SECRETARIA MUNICIPAL DE SAUDE DE CATANDUVA - FMS …</w:t>
            </w:r>
          </w:p>
        </w:tc>
        <w:tc>
          <w:tcPr/>
          <w:p>
            <w:pPr>
              <w:pStyle w:val="918"/>
              <w:jc w:val="left"/>
            </w:pPr>
            <w:r>
              <w:t xml:space="preserve">2023-10-06</w:t>
            </w:r>
          </w:p>
        </w:tc>
      </w:tr>
      <w:tr>
        <w:tc>
          <w:tcPr/>
          <w:p>
            <w:pPr>
              <w:pStyle w:val="918"/>
              <w:jc w:val="left"/>
            </w:pPr>
            <w:r>
              <w:t xml:space="preserve">18892</w:t>
            </w:r>
          </w:p>
        </w:tc>
        <w:tc>
          <w:tcPr/>
          <w:p>
            <w:pPr>
              <w:pStyle w:val="918"/>
              <w:jc w:val="left"/>
            </w:pPr>
            <w:r>
              <w:t xml:space="preserve">Secretaria Municipal de Saúde de Monte Alegre</w:t>
            </w:r>
          </w:p>
        </w:tc>
        <w:tc>
          <w:tcPr/>
          <w:p>
            <w:pPr>
              <w:pStyle w:val="918"/>
              <w:jc w:val="left"/>
            </w:pPr>
            <w:r>
              <w:t xml:space="preserve">2023-11-16</w:t>
            </w:r>
          </w:p>
        </w:tc>
      </w:tr>
      <w:tr>
        <w:tc>
          <w:tcPr/>
          <w:p>
            <w:pPr>
              <w:pStyle w:val="918"/>
              <w:jc w:val="left"/>
            </w:pPr>
            <w:r>
              <w:t xml:space="preserve">18947</w:t>
            </w:r>
          </w:p>
        </w:tc>
        <w:tc>
          <w:tcPr/>
          <w:p>
            <w:pPr>
              <w:pStyle w:val="918"/>
              <w:jc w:val="left"/>
            </w:pPr>
            <w:r>
              <w:t xml:space="preserve">SECRETARIA MUNICIPAL DE SAUDE DE CATANDUVA - FMS …</w:t>
            </w:r>
          </w:p>
        </w:tc>
        <w:tc>
          <w:tcPr/>
          <w:p>
            <w:pPr>
              <w:pStyle w:val="918"/>
              <w:jc w:val="left"/>
            </w:pPr>
            <w:r>
              <w:t xml:space="preserve">2024-06-12</w:t>
            </w:r>
          </w:p>
        </w:tc>
      </w:tr>
      <w:tr>
        <w:tc>
          <w:tcPr/>
          <w:p>
            <w:pPr>
              <w:pStyle w:val="918"/>
              <w:jc w:val="left"/>
            </w:pPr>
            <w:r>
              <w:t xml:space="preserve">19001</w:t>
            </w:r>
          </w:p>
        </w:tc>
        <w:tc>
          <w:tcPr/>
          <w:p>
            <w:pPr>
              <w:pStyle w:val="918"/>
              <w:jc w:val="left"/>
            </w:pPr>
            <w:r>
              <w:t xml:space="preserve">SECRETARIA MUNICIPAL DE SAUDE DE PALMAS</w:t>
            </w:r>
          </w:p>
        </w:tc>
        <w:tc>
          <w:tcPr/>
          <w:p>
            <w:pPr>
              <w:pStyle w:val="918"/>
              <w:jc w:val="left"/>
            </w:pPr>
            <w:r>
              <w:t xml:space="preserve">2023-05-17</w:t>
            </w:r>
          </w:p>
        </w:tc>
      </w:tr>
      <w:tr>
        <w:tc>
          <w:tcPr/>
          <w:p>
            <w:pPr>
              <w:pStyle w:val="918"/>
              <w:jc w:val="left"/>
            </w:pPr>
            <w:r>
              <w:t xml:space="preserve">19038</w:t>
            </w:r>
          </w:p>
        </w:tc>
        <w:tc>
          <w:tcPr/>
          <w:p>
            <w:pPr>
              <w:pStyle w:val="918"/>
              <w:jc w:val="left"/>
            </w:pPr>
            <w:r>
              <w:t xml:space="preserve">SMSBES DE ITAGUAI</w:t>
            </w:r>
          </w:p>
        </w:tc>
        <w:tc>
          <w:tcPr/>
          <w:p>
            <w:pPr>
              <w:pStyle w:val="918"/>
              <w:jc w:val="left"/>
            </w:pPr>
            <w:r>
              <w:t xml:space="preserve">2023-04-13</w:t>
            </w:r>
          </w:p>
        </w:tc>
      </w:tr>
      <w:tr>
        <w:tc>
          <w:tcPr/>
          <w:p>
            <w:pPr>
              <w:pStyle w:val="918"/>
              <w:jc w:val="left"/>
            </w:pPr>
            <w:r>
              <w:t xml:space="preserve">19060</w:t>
            </w:r>
          </w:p>
        </w:tc>
        <w:tc>
          <w:tcPr/>
          <w:p>
            <w:pPr>
              <w:pStyle w:val="918"/>
              <w:jc w:val="left"/>
            </w:pPr>
            <w:r>
              <w:t xml:space="preserve">SECRETARIA MUNICIPAL DE SAUDE DE MARILIA</w:t>
            </w:r>
          </w:p>
        </w:tc>
        <w:tc>
          <w:tcPr/>
          <w:p>
            <w:pPr>
              <w:pStyle w:val="918"/>
              <w:jc w:val="left"/>
            </w:pPr>
            <w:r>
              <w:t xml:space="preserve">2023-06-28</w:t>
            </w:r>
          </w:p>
        </w:tc>
      </w:tr>
      <w:tr>
        <w:tc>
          <w:tcPr/>
          <w:p>
            <w:pPr>
              <w:pStyle w:val="918"/>
              <w:jc w:val="left"/>
            </w:pPr>
            <w:r>
              <w:t xml:space="preserve">19072</w:t>
            </w:r>
          </w:p>
        </w:tc>
        <w:tc>
          <w:tcPr/>
          <w:p>
            <w:pPr>
              <w:pStyle w:val="918"/>
              <w:jc w:val="left"/>
            </w:pPr>
            <w:r>
              <w:t xml:space="preserve">SECRETARIA MUNICIPAL DE SAÚDE</w:t>
            </w:r>
          </w:p>
        </w:tc>
        <w:tc>
          <w:tcPr/>
          <w:p>
            <w:pPr>
              <w:pStyle w:val="918"/>
              <w:jc w:val="left"/>
            </w:pPr>
            <w:r>
              <w:t xml:space="preserve">2023-04-10</w:t>
            </w:r>
          </w:p>
        </w:tc>
      </w:tr>
      <w:tr>
        <w:tc>
          <w:tcPr/>
          <w:p>
            <w:pPr>
              <w:pStyle w:val="918"/>
              <w:jc w:val="left"/>
            </w:pPr>
            <w:r>
              <w:t xml:space="preserve">19087</w:t>
            </w:r>
          </w:p>
        </w:tc>
        <w:tc>
          <w:tcPr/>
          <w:p>
            <w:pPr>
              <w:pStyle w:val="918"/>
              <w:jc w:val="left"/>
            </w:pPr>
            <w:r>
              <w:t xml:space="preserve">SECRETARIA MUNICIPAL DE SAUDE DE AMPARO</w:t>
            </w:r>
          </w:p>
        </w:tc>
        <w:tc>
          <w:tcPr/>
          <w:p>
            <w:pPr>
              <w:pStyle w:val="918"/>
              <w:jc w:val="left"/>
            </w:pPr>
            <w:r>
              <w:t xml:space="preserve">2023-12-20</w:t>
            </w:r>
          </w:p>
        </w:tc>
      </w:tr>
    </w:tbl>
    <w:p>
      <w:pPr>
        <w:pStyle w:val="916"/>
      </w:pPr>
      <w:r>
        <w:t xml:space="preserve">Nos dados apresentados, os campos</w:t>
      </w:r>
      <w:r>
        <w:t xml:space="preserve"> </w:t>
      </w:r>
      <w:r>
        <w:t xml:space="preserve">“Órgão”</w:t>
      </w:r>
      <w:r>
        <w:t xml:space="preserve"> </w:t>
      </w:r>
      <w:r>
        <w:t xml:space="preserve">e</w:t>
      </w:r>
      <w:r>
        <w:t xml:space="preserve"> </w:t>
      </w:r>
      <w:r>
        <w:t xml:space="preserve">“Atividade”</w:t>
      </w:r>
      <w:r>
        <w:t xml:space="preserve"> </w:t>
      </w:r>
      <w:r>
        <w:t xml:space="preserve">foram ocultados por limitação de espaço. Observa-se que as auditorias são identificadas pelo número da atividade. Com base nessa informação, utilizou-se o script abaixo, em conjunto com a extensão UI.Vision, para automatizar o download dos relatórios.</w:t>
      </w:r>
    </w:p>
    <w:p>
      <w:pPr>
        <w:pStyle w:val="SourceCode"/>
      </w:pPr>
      <w:r>
        <w:rPr>
          <w:rStyle w:val="949"/>
        </w:rPr>
        <w:t xml:space="preserve"> {</w:t>
      </w:r>
      <w:r>
        <w:br/>
      </w:r>
      <w:r>
        <w:rPr>
          <w:rStyle w:val="949"/>
        </w:rPr>
        <w:t xml:space="preserve">  "Name": "download_relatorios",</w:t>
      </w:r>
      <w:r>
        <w:br/>
      </w:r>
      <w:r>
        <w:rPr>
          <w:rStyle w:val="949"/>
        </w:rPr>
        <w:t xml:space="preserve">  "CreationDate": "2025-9-17",</w:t>
      </w:r>
      <w:r>
        <w:br/>
      </w:r>
      <w:r>
        <w:rPr>
          <w:rStyle w:val="949"/>
        </w:rPr>
        <w:t xml:space="preserve">  "Commands": [</w:t>
      </w:r>
      <w:r>
        <w:br/>
      </w:r>
      <w:r>
        <w:rPr>
          <w:rStyle w:val="949"/>
        </w:rPr>
        <w:t xml:space="preserve">    {</w:t>
      </w:r>
      <w:r>
        <w:br/>
      </w:r>
      <w:r>
        <w:rPr>
          <w:rStyle w:val="949"/>
        </w:rPr>
        <w:t xml:space="preserve">      "Command": "store",</w:t>
      </w:r>
      <w:r>
        <w:br/>
      </w:r>
      <w:r>
        <w:rPr>
          <w:rStyle w:val="949"/>
        </w:rPr>
        <w:t xml:space="preserve">      "Target": "19762|19763|19764|19765|19766|19768|19769|19770|19771|19772|19773|19774|19775|19776|19777|19778|19779|19780|19781|19783|19784|19785|19787|19788|19790|19791|19792",</w:t>
      </w:r>
      <w:r>
        <w:br/>
      </w:r>
      <w:r>
        <w:rPr>
          <w:rStyle w:val="949"/>
        </w:rPr>
        <w:t xml:space="preserve">      "Value": "lista_concatenada",</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"executeScript",</w:t>
      </w:r>
      <w:r>
        <w:br/>
      </w:r>
      <w:r>
        <w:rPr>
          <w:rStyle w:val="949"/>
        </w:rPr>
        <w:t xml:space="preserve">      "Target": "return ${lista_concatenada}.split('|')",</w:t>
      </w:r>
      <w:r>
        <w:br/>
      </w:r>
      <w:r>
        <w:rPr>
          <w:rStyle w:val="949"/>
        </w:rPr>
        <w:t xml:space="preserve">      "Value": "itens",</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"forEach",</w:t>
      </w:r>
      <w:r>
        <w:br/>
      </w:r>
      <w:r>
        <w:rPr>
          <w:rStyle w:val="949"/>
        </w:rPr>
        <w:t xml:space="preserve">      "Target": "itens",</w:t>
      </w:r>
      <w:r>
        <w:br/>
      </w:r>
      <w:r>
        <w:rPr>
          <w:rStyle w:val="949"/>
        </w:rPr>
        <w:t xml:space="preserve">      "Value": "item",</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"waitForElementPresent",</w:t>
      </w:r>
      <w:r>
        <w:br/>
      </w:r>
      <w:r>
        <w:rPr>
          <w:rStyle w:val="949"/>
        </w:rPr>
        <w:t xml:space="preserve">      "Target": "css=input[name=\"campoNumero\"]",</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"type",</w:t>
      </w:r>
      <w:r>
        <w:br/>
      </w:r>
      <w:r>
        <w:rPr>
          <w:rStyle w:val="949"/>
        </w:rPr>
        <w:t xml:space="preserve">      "Target": "css=input[name=\"campoNumero\"]",</w:t>
      </w:r>
      <w:r>
        <w:br/>
      </w:r>
      <w:r>
        <w:rPr>
          <w:rStyle w:val="949"/>
        </w:rPr>
        <w:t xml:space="preserve">      "Value": "${item}",</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"click",</w:t>
      </w:r>
      <w:r>
        <w:br/>
      </w:r>
      <w:r>
        <w:rPr>
          <w:rStyle w:val="949"/>
        </w:rPr>
        <w:t xml:space="preserve">      "Target": "css=input[type=\"submit\"]",</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"waitForElementPresent",</w:t>
      </w:r>
      <w:r>
        <w:br/>
      </w:r>
      <w:r>
        <w:rPr>
          <w:rStyle w:val="949"/>
        </w:rPr>
        <w:t xml:space="preserve">      "Target": "xpath=//td/span[contains(text(),\"${item}\")]",</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"click",</w:t>
      </w:r>
      <w:r>
        <w:br/>
      </w:r>
      <w:r>
        <w:rPr>
          <w:rStyle w:val="949"/>
        </w:rPr>
        <w:t xml:space="preserve">      "Target": "xpath=//a[contains(text(), \"Relatório\")]",</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"waitForPageToLoad",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"comment",</w:t>
      </w:r>
      <w:r>
        <w:br/>
      </w:r>
      <w:r>
        <w:rPr>
          <w:rStyle w:val="949"/>
        </w:rPr>
        <w:t xml:space="preserve">      "Target": "waitForElementPresent // xpath=//td/a[contains(@href, \"linkDownload\")]",</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"storeXpathCount",</w:t>
      </w:r>
      <w:r>
        <w:br/>
      </w:r>
      <w:r>
        <w:rPr>
          <w:rStyle w:val="949"/>
        </w:rPr>
        <w:t xml:space="preserve">      "Target": "xpath=//td/a[contains(@href, \"linkDownload\")]",</w:t>
      </w:r>
      <w:r>
        <w:br/>
      </w:r>
      <w:r>
        <w:rPr>
          <w:rStyle w:val="949"/>
        </w:rPr>
        <w:t xml:space="preserve">      "Value": "str_qtd_relatorios",</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"executeScript",</w:t>
      </w:r>
      <w:r>
        <w:br/>
      </w:r>
      <w:r>
        <w:rPr>
          <w:rStyle w:val="949"/>
        </w:rPr>
        <w:t xml:space="preserve">      "Target": "return parseInt(${str_qtd_relatorios})",</w:t>
      </w:r>
      <w:r>
        <w:br/>
      </w:r>
      <w:r>
        <w:rPr>
          <w:rStyle w:val="949"/>
        </w:rPr>
        <w:t xml:space="preserve">      "Value": "qtd_relatorios",</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"times",</w:t>
      </w:r>
      <w:r>
        <w:br/>
      </w:r>
      <w:r>
        <w:rPr>
          <w:rStyle w:val="949"/>
        </w:rPr>
        <w:t xml:space="preserve">      "Target": "${qtd_relatorios}",</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"onDownload",</w:t>
      </w:r>
      <w:r>
        <w:br/>
      </w:r>
      <w:r>
        <w:rPr>
          <w:rStyle w:val="949"/>
        </w:rPr>
        <w:t xml:space="preserve">      "Target": "${item}_${!times}.pdf",</w:t>
      </w:r>
      <w:r>
        <w:br/>
      </w:r>
      <w:r>
        <w:rPr>
          <w:rStyle w:val="949"/>
        </w:rPr>
        <w:t xml:space="preserve">      "Value": "true",</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"click",</w:t>
      </w:r>
      <w:r>
        <w:br/>
      </w:r>
      <w:r>
        <w:rPr>
          <w:rStyle w:val="949"/>
        </w:rPr>
        <w:t xml:space="preserve">      "Target": "xpath=(//td/a[contains(@href, \"linkDownload\")])[${!times}]",</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"end",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"click",</w:t>
      </w:r>
      <w:r>
        <w:br/>
      </w:r>
      <w:r>
        <w:rPr>
          <w:rStyle w:val="949"/>
        </w:rPr>
        <w:t xml:space="preserve">      "Target": "xpath=//input[@name=\"voltar\"]",</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"waitForPageToLoad",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"verifyElementNotPresent",</w:t>
      </w:r>
      <w:r>
        <w:br/>
      </w:r>
      <w:r>
        <w:rPr>
          <w:rStyle w:val="949"/>
        </w:rPr>
        <w:t xml:space="preserve">      "Target": "xpath=//span[contains(text(), \"Erro inesperado\")]",</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"if",</w:t>
      </w:r>
      <w:r>
        <w:br/>
      </w:r>
      <w:r>
        <w:rPr>
          <w:rStyle w:val="949"/>
        </w:rPr>
        <w:t xml:space="preserve">      "Target": "${!statusOK} == false",</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"click",</w:t>
      </w:r>
      <w:r>
        <w:br/>
      </w:r>
      <w:r>
        <w:rPr>
          <w:rStyle w:val="949"/>
        </w:rPr>
        <w:t xml:space="preserve">      "Target": "xpath=//a[contains(text(), \"Inicial\")]",</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"waitForPageToLoad",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"end",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"Command": "end",</w:t>
      </w:r>
      <w:r>
        <w:br/>
      </w:r>
      <w:r>
        <w:rPr>
          <w:rStyle w:val="949"/>
        </w:rPr>
        <w:t xml:space="preserve">      "Target": "",</w:t>
      </w:r>
      <w:r>
        <w:br/>
      </w:r>
      <w:r>
        <w:rPr>
          <w:rStyle w:val="949"/>
        </w:rPr>
        <w:t xml:space="preserve">      "Value": "",</w:t>
      </w:r>
      <w:r>
        <w:br/>
      </w:r>
      <w:r>
        <w:rPr>
          <w:rStyle w:val="949"/>
        </w:rPr>
        <w:t xml:space="preserve">      "Description": ""</w:t>
      </w:r>
      <w:r>
        <w:br/>
      </w:r>
      <w:r>
        <w:rPr>
          <w:rStyle w:val="949"/>
        </w:rPr>
        <w:t xml:space="preserve">    }</w:t>
      </w:r>
      <w:r>
        <w:br/>
      </w:r>
      <w:r>
        <w:rPr>
          <w:rStyle w:val="949"/>
        </w:rPr>
        <w:t xml:space="preserve">  ]</w:t>
      </w:r>
      <w:r>
        <w:br/>
      </w:r>
      <w:r>
        <w:rPr>
          <w:rStyle w:val="949"/>
        </w:rPr>
        <w:t xml:space="preserve">} </w:t>
      </w:r>
    </w:p>
    <w:p>
      <w:pPr>
        <w:pStyle w:val="917"/>
      </w:pPr>
      <w:r>
        <w:t xml:space="preserve">O processo gerou 399 arquivos. Além disso, observou-se que algumas auditorias possuem mais de um relatório registrado.</w:t>
      </w:r>
    </w:p>
    <w:bookmarkEnd w:id="87"/>
    <w:bookmarkStart w:id="88" w:name="extração-de-texto"/>
    <w:p>
      <w:pPr>
        <w:pStyle w:val="906"/>
      </w:pPr>
      <w:r>
        <w:t xml:space="preserve">7.0.3 Extração de Texto</w:t>
      </w:r>
    </w:p>
    <w:p>
      <w:pPr>
        <w:pStyle w:val="917"/>
      </w:pPr>
      <w:r>
        <w:t xml:space="preserve">Com os arquivos baixados, usou-se o pacote</w:t>
      </w:r>
      <w:r>
        <w:t xml:space="preserve"> </w:t>
      </w:r>
      <w:r>
        <w:rPr>
          <w:i/>
          <w:iCs/>
        </w:rPr>
        <w:t xml:space="preserve">pdftools</w:t>
      </w:r>
      <w:r>
        <w:t xml:space="preserve"> </w:t>
      </w:r>
      <w:r>
        <w:t xml:space="preserve">(OOMS, 2025) para extrair os textos e consolidá-los em uma</w:t>
      </w:r>
      <w:r>
        <w:t xml:space="preserve"> </w:t>
      </w:r>
      <w:r>
        <w:rPr>
          <w:i/>
          <w:iCs/>
        </w:rPr>
        <w:t xml:space="preserve">dataframe</w:t>
      </w:r>
      <w:r>
        <w:t xml:space="preserve"> </w:t>
      </w:r>
      <w:r>
        <w:t xml:space="preserve">único, com um registro por linha extraída e as seguintes informações de controle:</w:t>
      </w:r>
    </w:p>
    <w:p>
      <w:pPr>
        <w:pStyle w:val="918"/>
        <w:numPr>
          <w:ilvl w:val="0"/>
          <w:numId w:val="1002"/>
        </w:numPr>
      </w:pPr>
      <w:r>
        <w:t xml:space="preserve">Nome do arquivo,</w:t>
      </w:r>
    </w:p>
    <w:p>
      <w:pPr>
        <w:pStyle w:val="918"/>
        <w:numPr>
          <w:ilvl w:val="0"/>
          <w:numId w:val="1002"/>
        </w:numPr>
      </w:pPr>
      <w:r>
        <w:t xml:space="preserve">Número da página,</w:t>
      </w:r>
    </w:p>
    <w:p>
      <w:pPr>
        <w:pStyle w:val="918"/>
        <w:numPr>
          <w:ilvl w:val="0"/>
          <w:numId w:val="1002"/>
        </w:numPr>
      </w:pPr>
      <w:r>
        <w:t xml:space="preserve">Número da linha na página,</w:t>
      </w:r>
    </w:p>
    <w:p>
      <w:pPr>
        <w:pStyle w:val="918"/>
        <w:numPr>
          <w:ilvl w:val="0"/>
          <w:numId w:val="1002"/>
        </w:numPr>
      </w:pPr>
      <w:r>
        <w:t xml:space="preserve">Número da linha geral,</w:t>
      </w:r>
    </w:p>
    <w:p>
      <w:pPr>
        <w:pStyle w:val="918"/>
        <w:numPr>
          <w:ilvl w:val="0"/>
          <w:numId w:val="1002"/>
        </w:numPr>
      </w:pPr>
      <w:r>
        <w:t xml:space="preserve">Linha original (linha de texto na forma como extraída do arquivo)</w:t>
      </w:r>
    </w:p>
    <w:p>
      <w:pPr>
        <w:pStyle w:val="918"/>
        <w:numPr>
          <w:ilvl w:val="0"/>
          <w:numId w:val="1002"/>
        </w:numPr>
      </w:pPr>
      <w:r>
        <w:t xml:space="preserve">Linha (linha de texto com espaços duplicados retirados e sem espaços no começo e no final)</w:t>
      </w:r>
    </w:p>
    <w:p>
      <w:pPr>
        <w:pStyle w:val="SourceCode"/>
      </w:pPr>
      <w:r>
        <w:rPr>
          <w:rStyle w:val="949"/>
        </w:rPr>
        <w:t xml:space="preserve">converte_pdf_dataframe &lt;- function(nome_do_arquivo) {</w:t>
      </w:r>
      <w:r>
        <w:br/>
      </w:r>
      <w:r>
        <w:rPr>
          <w:rStyle w:val="949"/>
        </w:rPr>
        <w:t xml:space="preserve">    print(str_glue("Convertendo arquivo {nome_do_arquivo}"))</w:t>
      </w:r>
      <w:r>
        <w:br/>
      </w:r>
      <w:r>
        <w:br/>
      </w:r>
      <w:r>
        <w:rPr>
          <w:rStyle w:val="949"/>
        </w:rPr>
        <w:t xml:space="preserve">    texto_pdf &lt;- pdftools::pdf_text(nome_do_arquivo)</w:t>
      </w:r>
      <w:r>
        <w:br/>
      </w:r>
      <w:r>
        <w:br/>
      </w:r>
      <w:r>
        <w:rPr>
          <w:rStyle w:val="949"/>
        </w:rPr>
        <w:t xml:space="preserve">    total_paginas &lt;- length(texto_pdf)</w:t>
      </w:r>
      <w:r>
        <w:br/>
      </w:r>
      <w:r>
        <w:br/>
      </w:r>
      <w:r>
        <w:rPr>
          <w:rStyle w:val="949"/>
        </w:rPr>
        <w:t xml:space="preserve">    tibble(</w:t>
      </w:r>
      <w:r>
        <w:br/>
      </w:r>
      <w:r>
        <w:rPr>
          <w:rStyle w:val="949"/>
        </w:rPr>
        <w:t xml:space="preserve">        `Arquivo` = basename(nome_do_arquivo),</w:t>
      </w:r>
      <w:r>
        <w:br/>
      </w:r>
      <w:r>
        <w:rPr>
          <w:rStyle w:val="949"/>
        </w:rPr>
        <w:t xml:space="preserve">        `# Página` = 1:total_paginas,</w:t>
      </w:r>
      <w:r>
        <w:br/>
      </w:r>
      <w:r>
        <w:rPr>
          <w:rStyle w:val="949"/>
        </w:rPr>
        <w:t xml:space="preserve">        pagina_original = texto_pdf</w:t>
      </w:r>
      <w:r>
        <w:br/>
      </w:r>
      <w:r>
        <w:rPr>
          <w:rStyle w:val="949"/>
        </w:rPr>
        <w:t xml:space="preserve">    ) |&gt;</w:t>
      </w:r>
      <w:r>
        <w:br/>
      </w:r>
      <w:r>
        <w:rPr>
          <w:rStyle w:val="949"/>
        </w:rPr>
        <w:t xml:space="preserve">    separate_longer_delim(pagina_original, delim = "\n") |&gt;</w:t>
      </w:r>
      <w:r>
        <w:br/>
      </w:r>
      <w:r>
        <w:rPr>
          <w:rStyle w:val="949"/>
        </w:rPr>
        <w:t xml:space="preserve">    mutate(`Linha Original` = pagina_original,</w:t>
      </w:r>
      <w:r>
        <w:br/>
      </w:r>
      <w:r>
        <w:rPr>
          <w:rStyle w:val="949"/>
        </w:rPr>
        <w:t xml:space="preserve">           `Linha` = pagina_original |&gt;</w:t>
      </w:r>
      <w:r>
        <w:br/>
      </w:r>
      <w:r>
        <w:rPr>
          <w:rStyle w:val="949"/>
        </w:rPr>
        <w:t xml:space="preserve">                   str_replace_all(" {2,}", " ") |&gt;</w:t>
      </w:r>
      <w:r>
        <w:br/>
      </w:r>
      <w:r>
        <w:rPr>
          <w:rStyle w:val="949"/>
        </w:rPr>
        <w:t xml:space="preserve">                   str_trim(), </w:t>
      </w:r>
      <w:r>
        <w:br/>
      </w:r>
      <w:r>
        <w:rPr>
          <w:rStyle w:val="949"/>
        </w:rPr>
        <w:t xml:space="preserve">           .keep = "unused") |&gt;</w:t>
      </w:r>
      <w:r>
        <w:br/>
      </w:r>
      <w:r>
        <w:rPr>
          <w:rStyle w:val="949"/>
        </w:rPr>
        <w:t xml:space="preserve">    mutate(`# Linha` = row_number(), .by = "# Página") |&gt;</w:t>
      </w:r>
      <w:r>
        <w:br/>
      </w:r>
      <w:r>
        <w:rPr>
          <w:rStyle w:val="949"/>
        </w:rPr>
        <w:t xml:space="preserve">    mutate(`# Linha Geral` = row_number()) |&gt;</w:t>
      </w:r>
      <w:r>
        <w:br/>
      </w:r>
      <w:r>
        <w:rPr>
          <w:rStyle w:val="949"/>
        </w:rPr>
        <w:t xml:space="preserve">    mutate(`Qtd Páginas` = total_paginas) |&gt;</w:t>
      </w:r>
      <w:r>
        <w:br/>
      </w:r>
      <w:r>
        <w:rPr>
          <w:rStyle w:val="949"/>
        </w:rPr>
        <w:t xml:space="preserve">    mutate(`# Linha Fim Página` = max(`# Linha`), .by = `# Página`)</w:t>
      </w:r>
      <w:r>
        <w:br/>
      </w:r>
      <w:r>
        <w:rPr>
          <w:rStyle w:val="949"/>
        </w:rPr>
        <w:t xml:space="preserve">}</w:t>
      </w:r>
      <w:r>
        <w:br/>
      </w:r>
      <w:r>
        <w:br/>
      </w:r>
      <w:r>
        <w:rPr>
          <w:rStyle w:val="949"/>
        </w:rPr>
        <w:t xml:space="preserve">lista_arquivos |&gt;</w:t>
      </w:r>
      <w:r>
        <w:br/>
      </w:r>
      <w:r>
        <w:rPr>
          <w:rStyle w:val="949"/>
        </w:rPr>
        <w:t xml:space="preserve">map(converte_pdf_dataframe) |&gt;</w:t>
      </w:r>
      <w:r>
        <w:br/>
      </w:r>
      <w:r>
        <w:rPr>
          <w:rStyle w:val="949"/>
        </w:rPr>
        <w:t xml:space="preserve">bind_rows() |&gt;</w:t>
      </w:r>
      <w:r>
        <w:br/>
      </w:r>
      <w:r>
        <w:rPr>
          <w:rStyle w:val="949"/>
        </w:rPr>
        <w:t xml:space="preserve">write_rds("./Dados Gerados/textos_relatorios.rds")</w:t>
      </w:r>
    </w:p>
    <w:p>
      <w:pPr>
        <w:pStyle w:val="944"/>
      </w:pPr>
      <w:r>
        <w:t xml:space="preserve">Amostra da tabela com textos consolidados</w:t>
      </w:r>
    </w:p>
    <w:tbl>
      <w:tblPr>
        <w:tblStyle w:val="Table"/>
        <w:tblW w:type="pct" w:w="4877"/>
        <w:tblLayout w:type="fixed"/>
        <w:tblLook w:firstRow="1" w:lastRow="0" w:firstColumn="0" w:lastColumn="0" w:noHBand="0" w:noVBand="0" w:val="0020"/>
        <w:tblCaption w:val="Amostra da tabela com textos consolidados"/>
      </w:tblPr>
      <w:tblGrid>
        <w:gridCol w:w="684"/>
        <w:gridCol w:w="4888"/>
        <w:gridCol w:w="782"/>
        <w:gridCol w:w="1368"/>
      </w:tblGrid>
      <w:tr>
        <w:trPr>
          <w:tblHeader w:val="on"/>
        </w:trPr>
        <w:tc>
          <w:tcPr/>
          <w:p>
            <w:pPr>
              <w:pStyle w:val="918"/>
              <w:jc w:val="right"/>
            </w:pPr>
            <w:r>
              <w:t xml:space="preserve">Pág.</w:t>
            </w:r>
          </w:p>
        </w:tc>
        <w:tc>
          <w:tcPr/>
          <w:p>
            <w:pPr>
              <w:pStyle w:val="918"/>
              <w:jc w:val="left"/>
            </w:pPr>
            <w:r>
              <w:t xml:space="preserve">Linha</w:t>
            </w:r>
          </w:p>
        </w:tc>
        <w:tc>
          <w:tcPr/>
          <w:p>
            <w:pPr>
              <w:pStyle w:val="918"/>
              <w:jc w:val="right"/>
            </w:pPr>
            <w:r>
              <w:t xml:space="preserve"># Ln</w:t>
            </w:r>
          </w:p>
        </w:tc>
        <w:tc>
          <w:tcPr/>
          <w:p>
            <w:pPr>
              <w:pStyle w:val="918"/>
              <w:jc w:val="right"/>
            </w:pPr>
            <w:r>
              <w:t xml:space="preserve"># Ln Geral</w:t>
            </w:r>
          </w:p>
        </w:tc>
      </w:tr>
      <w:tr>
        <w:tc>
          <w:tcPr/>
          <w:p>
            <w:pPr>
              <w:pStyle w:val="918"/>
              <w:jc w:val="right"/>
            </w:pPr>
            <w:r>
              <w:t xml:space="preserve">3</w:t>
            </w:r>
          </w:p>
        </w:tc>
        <w:tc>
          <w:tcPr/>
          <w:p>
            <w:pPr>
              <w:pStyle w:val="918"/>
              <w:jc w:val="left"/>
            </w:pPr>
            <w:r>
              <w:t xml:space="preserve">SNA - Sistema Nacional de Auditoria do SUS</w:t>
            </w:r>
          </w:p>
        </w:tc>
        <w:tc>
          <w:tcPr/>
          <w:p>
            <w:pPr>
              <w:pStyle w:val="918"/>
              <w:jc w:val="right"/>
            </w:pPr>
            <w:r>
              <w:t xml:space="preserve">1</w:t>
            </w:r>
          </w:p>
        </w:tc>
        <w:tc>
          <w:tcPr/>
          <w:p>
            <w:pPr>
              <w:pStyle w:val="918"/>
              <w:jc w:val="right"/>
            </w:pPr>
            <w:r>
              <w:t xml:space="preserve">42</w:t>
            </w:r>
          </w:p>
        </w:tc>
      </w:tr>
      <w:tr>
        <w:tc>
          <w:tcPr/>
          <w:p>
            <w:pPr>
              <w:pStyle w:val="918"/>
              <w:jc w:val="right"/>
            </w:pPr>
            <w:r>
              <w:t xml:space="preserve">3</w:t>
            </w:r>
          </w:p>
        </w:tc>
        <w:tc>
          <w:tcPr/>
          <w:p>
            <w:pPr>
              <w:pStyle w:val="918"/>
              <w:jc w:val="left"/>
            </w:pPr>
            <w:r>
              <w:t xml:space="preserve">MS/SGEP/Departamento Nacional de Auditoria d…</w:t>
            </w:r>
          </w:p>
        </w:tc>
        <w:tc>
          <w:tcPr/>
          <w:p>
            <w:pPr>
              <w:pStyle w:val="918"/>
              <w:jc w:val="right"/>
            </w:pPr>
            <w:r>
              <w:t xml:space="preserve">2</w:t>
            </w:r>
          </w:p>
        </w:tc>
        <w:tc>
          <w:tcPr/>
          <w:p>
            <w:pPr>
              <w:pStyle w:val="918"/>
              <w:jc w:val="right"/>
            </w:pPr>
            <w:r>
              <w:t xml:space="preserve">43</w:t>
            </w:r>
          </w:p>
        </w:tc>
      </w:tr>
      <w:tr>
        <w:tc>
          <w:tcPr/>
          <w:p>
            <w:pPr>
              <w:pStyle w:val="918"/>
              <w:jc w:val="right"/>
            </w:pPr>
            <w:r>
              <w:t xml:space="preserve">3</w:t>
            </w:r>
          </w:p>
        </w:tc>
        <w:tc>
          <w:tcPr/>
          <w:p>
            <w:pPr>
              <w:pStyle w:val="918"/>
              <w:jc w:val="left"/>
            </w:pPr>
            <w:r>
              <w:t xml:space="preserve">Relatório</w:t>
            </w:r>
          </w:p>
        </w:tc>
        <w:tc>
          <w:tcPr/>
          <w:p>
            <w:pPr>
              <w:pStyle w:val="918"/>
              <w:jc w:val="right"/>
            </w:pPr>
            <w:r>
              <w:t xml:space="preserve">3</w:t>
            </w:r>
          </w:p>
        </w:tc>
        <w:tc>
          <w:tcPr/>
          <w:p>
            <w:pPr>
              <w:pStyle w:val="918"/>
              <w:jc w:val="right"/>
            </w:pPr>
            <w:r>
              <w:t xml:space="preserve">44</w:t>
            </w:r>
          </w:p>
        </w:tc>
      </w:tr>
      <w:tr>
        <w:tc>
          <w:tcPr/>
          <w:p>
            <w:pPr>
              <w:pStyle w:val="918"/>
              <w:jc w:val="right"/>
            </w:pPr>
            <w:r>
              <w:t xml:space="preserve">3</w:t>
            </w:r>
          </w:p>
        </w:tc>
        <w:tc>
          <w:tcPr/>
          <w:p>
            <w:pPr>
              <w:pStyle w:val="918"/>
            </w:pPr>
          </w:p>
        </w:tc>
        <w:tc>
          <w:tcPr/>
          <w:p>
            <w:pPr>
              <w:pStyle w:val="918"/>
              <w:jc w:val="right"/>
            </w:pPr>
            <w:r>
              <w:t xml:space="preserve">4</w:t>
            </w:r>
          </w:p>
        </w:tc>
        <w:tc>
          <w:tcPr/>
          <w:p>
            <w:pPr>
              <w:pStyle w:val="918"/>
              <w:jc w:val="right"/>
            </w:pPr>
            <w:r>
              <w:t xml:space="preserve">45</w:t>
            </w:r>
          </w:p>
        </w:tc>
      </w:tr>
      <w:tr>
        <w:tc>
          <w:tcPr/>
          <w:p>
            <w:pPr>
              <w:pStyle w:val="918"/>
              <w:jc w:val="right"/>
            </w:pPr>
            <w:r>
              <w:t xml:space="preserve">3</w:t>
            </w:r>
          </w:p>
        </w:tc>
        <w:tc>
          <w:tcPr/>
          <w:p>
            <w:pPr>
              <w:pStyle w:val="918"/>
              <w:jc w:val="left"/>
            </w:pPr>
            <w:r>
              <w:t xml:space="preserve">I - DADOS BÁSICOS</w:t>
            </w:r>
          </w:p>
        </w:tc>
        <w:tc>
          <w:tcPr/>
          <w:p>
            <w:pPr>
              <w:pStyle w:val="918"/>
              <w:jc w:val="right"/>
            </w:pPr>
            <w:r>
              <w:t xml:space="preserve">5</w:t>
            </w:r>
          </w:p>
        </w:tc>
        <w:tc>
          <w:tcPr/>
          <w:p>
            <w:pPr>
              <w:pStyle w:val="918"/>
              <w:jc w:val="right"/>
            </w:pPr>
            <w:r>
              <w:t xml:space="preserve">46</w:t>
            </w:r>
          </w:p>
        </w:tc>
      </w:tr>
      <w:tr>
        <w:tc>
          <w:tcPr/>
          <w:p>
            <w:pPr>
              <w:pStyle w:val="918"/>
              <w:jc w:val="right"/>
            </w:pPr>
            <w:r>
              <w:t xml:space="preserve">3</w:t>
            </w:r>
          </w:p>
        </w:tc>
        <w:tc>
          <w:tcPr/>
          <w:p>
            <w:pPr>
              <w:pStyle w:val="918"/>
            </w:pPr>
          </w:p>
        </w:tc>
        <w:tc>
          <w:tcPr/>
          <w:p>
            <w:pPr>
              <w:pStyle w:val="918"/>
              <w:jc w:val="right"/>
            </w:pPr>
            <w:r>
              <w:t xml:space="preserve">6</w:t>
            </w:r>
          </w:p>
        </w:tc>
        <w:tc>
          <w:tcPr/>
          <w:p>
            <w:pPr>
              <w:pStyle w:val="918"/>
              <w:jc w:val="right"/>
            </w:pPr>
            <w:r>
              <w:t xml:space="preserve">47</w:t>
            </w:r>
          </w:p>
        </w:tc>
      </w:tr>
      <w:tr>
        <w:tc>
          <w:tcPr/>
          <w:p>
            <w:pPr>
              <w:pStyle w:val="918"/>
              <w:jc w:val="right"/>
            </w:pPr>
            <w:r>
              <w:t xml:space="preserve">3</w:t>
            </w:r>
          </w:p>
        </w:tc>
        <w:tc>
          <w:tcPr/>
          <w:p>
            <w:pPr>
              <w:pStyle w:val="918"/>
            </w:pPr>
          </w:p>
        </w:tc>
        <w:tc>
          <w:tcPr/>
          <w:p>
            <w:pPr>
              <w:pStyle w:val="918"/>
              <w:jc w:val="right"/>
            </w:pPr>
            <w:r>
              <w:t xml:space="preserve">7</w:t>
            </w:r>
          </w:p>
        </w:tc>
        <w:tc>
          <w:tcPr/>
          <w:p>
            <w:pPr>
              <w:pStyle w:val="918"/>
              <w:jc w:val="right"/>
            </w:pPr>
            <w:r>
              <w:t xml:space="preserve">48</w:t>
            </w:r>
          </w:p>
        </w:tc>
      </w:tr>
      <w:tr>
        <w:tc>
          <w:tcPr/>
          <w:p>
            <w:pPr>
              <w:pStyle w:val="918"/>
              <w:jc w:val="right"/>
            </w:pPr>
            <w:r>
              <w:t xml:space="preserve">3</w:t>
            </w:r>
          </w:p>
        </w:tc>
        <w:tc>
          <w:tcPr/>
          <w:p>
            <w:pPr>
              <w:pStyle w:val="918"/>
              <w:jc w:val="left"/>
            </w:pPr>
            <w:r>
              <w:t xml:space="preserve">Finalidade: Verificar se a SMS possui contro…</w:t>
            </w:r>
          </w:p>
        </w:tc>
        <w:tc>
          <w:tcPr/>
          <w:p>
            <w:pPr>
              <w:pStyle w:val="918"/>
              <w:jc w:val="right"/>
            </w:pPr>
            <w:r>
              <w:t xml:space="preserve">8</w:t>
            </w:r>
          </w:p>
        </w:tc>
        <w:tc>
          <w:tcPr/>
          <w:p>
            <w:pPr>
              <w:pStyle w:val="918"/>
              <w:jc w:val="right"/>
            </w:pPr>
            <w:r>
              <w:t xml:space="preserve">49</w:t>
            </w:r>
          </w:p>
        </w:tc>
      </w:tr>
      <w:tr>
        <w:tc>
          <w:tcPr/>
          <w:p>
            <w:pPr>
              <w:pStyle w:val="918"/>
              <w:jc w:val="right"/>
            </w:pPr>
            <w:r>
              <w:t xml:space="preserve">3</w:t>
            </w:r>
          </w:p>
        </w:tc>
        <w:tc>
          <w:tcPr/>
          <w:p>
            <w:pPr>
              <w:pStyle w:val="918"/>
              <w:jc w:val="left"/>
            </w:pPr>
            <w:r>
              <w:t xml:space="preserve">adequadamente a Cadeia de Frio.</w:t>
            </w:r>
          </w:p>
        </w:tc>
        <w:tc>
          <w:tcPr/>
          <w:p>
            <w:pPr>
              <w:pStyle w:val="918"/>
              <w:jc w:val="right"/>
            </w:pPr>
            <w:r>
              <w:t xml:space="preserve">9</w:t>
            </w:r>
          </w:p>
        </w:tc>
        <w:tc>
          <w:tcPr/>
          <w:p>
            <w:pPr>
              <w:pStyle w:val="918"/>
              <w:jc w:val="right"/>
            </w:pPr>
            <w:r>
              <w:t xml:space="preserve">50</w:t>
            </w:r>
          </w:p>
        </w:tc>
      </w:tr>
      <w:tr>
        <w:tc>
          <w:tcPr/>
          <w:p>
            <w:pPr>
              <w:pStyle w:val="918"/>
              <w:jc w:val="right"/>
            </w:pPr>
            <w:r>
              <w:t xml:space="preserve">3</w:t>
            </w:r>
          </w:p>
        </w:tc>
        <w:tc>
          <w:tcPr/>
          <w:p>
            <w:pPr>
              <w:pStyle w:val="918"/>
              <w:jc w:val="left"/>
            </w:pPr>
            <w:r>
              <w:t xml:space="preserve">Entidade Responsável: SMSPC</w:t>
            </w:r>
          </w:p>
        </w:tc>
        <w:tc>
          <w:tcPr/>
          <w:p>
            <w:pPr>
              <w:pStyle w:val="918"/>
              <w:jc w:val="right"/>
            </w:pPr>
            <w:r>
              <w:t xml:space="preserve">10</w:t>
            </w:r>
          </w:p>
        </w:tc>
        <w:tc>
          <w:tcPr/>
          <w:p>
            <w:pPr>
              <w:pStyle w:val="918"/>
              <w:jc w:val="right"/>
            </w:pPr>
            <w:r>
              <w:t xml:space="preserve">51</w:t>
            </w:r>
          </w:p>
        </w:tc>
      </w:tr>
      <w:tr>
        <w:tc>
          <w:tcPr/>
          <w:p>
            <w:pPr>
              <w:pStyle w:val="918"/>
              <w:jc w:val="right"/>
            </w:pPr>
            <w:r>
              <w:t xml:space="preserve">3</w:t>
            </w:r>
          </w:p>
        </w:tc>
        <w:tc>
          <w:tcPr/>
          <w:p>
            <w:pPr>
              <w:pStyle w:val="918"/>
              <w:jc w:val="left"/>
            </w:pPr>
            <w:r>
              <w:t xml:space="preserve">CPF/CNPJ:</w:t>
            </w:r>
            <w:r>
              <w:t xml:space="preserve"> </w:t>
            </w:r>
            <w:r>
              <w:rPr>
                <w:b/>
                <w:bCs/>
              </w:rPr>
              <w:t xml:space="preserve">.629.840/-</w:t>
            </w:r>
          </w:p>
        </w:tc>
        <w:tc>
          <w:tcPr/>
          <w:p>
            <w:pPr>
              <w:pStyle w:val="918"/>
              <w:jc w:val="right"/>
            </w:pPr>
            <w:r>
              <w:t xml:space="preserve">11</w:t>
            </w:r>
          </w:p>
        </w:tc>
        <w:tc>
          <w:tcPr/>
          <w:p>
            <w:pPr>
              <w:pStyle w:val="918"/>
              <w:jc w:val="right"/>
            </w:pPr>
            <w:r>
              <w:t xml:space="preserve">52</w:t>
            </w:r>
          </w:p>
        </w:tc>
      </w:tr>
      <w:tr>
        <w:tc>
          <w:tcPr/>
          <w:p>
            <w:pPr>
              <w:pStyle w:val="918"/>
              <w:jc w:val="right"/>
            </w:pPr>
            <w:r>
              <w:t xml:space="preserve">3</w:t>
            </w:r>
          </w:p>
        </w:tc>
        <w:tc>
          <w:tcPr/>
          <w:p>
            <w:pPr>
              <w:pStyle w:val="918"/>
              <w:jc w:val="left"/>
            </w:pPr>
            <w:r>
              <w:t xml:space="preserve">Munícipio/UF: POÇOS DE CALDAS-MG</w:t>
            </w:r>
          </w:p>
        </w:tc>
        <w:tc>
          <w:tcPr/>
          <w:p>
            <w:pPr>
              <w:pStyle w:val="918"/>
              <w:jc w:val="right"/>
            </w:pPr>
            <w:r>
              <w:t xml:space="preserve">12</w:t>
            </w:r>
          </w:p>
        </w:tc>
        <w:tc>
          <w:tcPr/>
          <w:p>
            <w:pPr>
              <w:pStyle w:val="918"/>
              <w:jc w:val="right"/>
            </w:pPr>
            <w:r>
              <w:t xml:space="preserve">53</w:t>
            </w:r>
          </w:p>
        </w:tc>
      </w:tr>
      <w:tr>
        <w:tc>
          <w:tcPr/>
          <w:p>
            <w:pPr>
              <w:pStyle w:val="918"/>
              <w:jc w:val="right"/>
            </w:pPr>
            <w:r>
              <w:t xml:space="preserve">3</w:t>
            </w:r>
          </w:p>
        </w:tc>
        <w:tc>
          <w:tcPr/>
          <w:p>
            <w:pPr>
              <w:pStyle w:val="918"/>
              <w:jc w:val="left"/>
            </w:pPr>
            <w:r>
              <w:t xml:space="preserve">Fase(s):</w:t>
            </w:r>
          </w:p>
        </w:tc>
        <w:tc>
          <w:tcPr/>
          <w:p>
            <w:pPr>
              <w:pStyle w:val="918"/>
              <w:jc w:val="right"/>
            </w:pPr>
            <w:r>
              <w:t xml:space="preserve">13</w:t>
            </w:r>
          </w:p>
        </w:tc>
        <w:tc>
          <w:tcPr/>
          <w:p>
            <w:pPr>
              <w:pStyle w:val="918"/>
              <w:jc w:val="right"/>
            </w:pPr>
            <w:r>
              <w:t xml:space="preserve">54</w:t>
            </w:r>
          </w:p>
        </w:tc>
      </w:tr>
      <w:tr>
        <w:tc>
          <w:tcPr/>
          <w:p>
            <w:pPr>
              <w:pStyle w:val="918"/>
              <w:jc w:val="right"/>
            </w:pPr>
            <w:r>
              <w:t xml:space="preserve">3</w:t>
            </w:r>
          </w:p>
        </w:tc>
        <w:tc>
          <w:tcPr/>
          <w:p>
            <w:pPr>
              <w:pStyle w:val="918"/>
              <w:jc w:val="left"/>
            </w:pPr>
            <w:r>
              <w:t xml:space="preserve">Tipo da Fase Data Início Data Término</w:t>
            </w:r>
          </w:p>
        </w:tc>
        <w:tc>
          <w:tcPr/>
          <w:p>
            <w:pPr>
              <w:pStyle w:val="918"/>
              <w:jc w:val="right"/>
            </w:pPr>
            <w:r>
              <w:t xml:space="preserve">14</w:t>
            </w:r>
          </w:p>
        </w:tc>
        <w:tc>
          <w:tcPr/>
          <w:p>
            <w:pPr>
              <w:pStyle w:val="918"/>
              <w:jc w:val="right"/>
            </w:pPr>
            <w:r>
              <w:t xml:space="preserve">55</w:t>
            </w:r>
          </w:p>
        </w:tc>
      </w:tr>
      <w:tr>
        <w:tc>
          <w:tcPr/>
          <w:p>
            <w:pPr>
              <w:pStyle w:val="918"/>
              <w:jc w:val="right"/>
            </w:pPr>
            <w:r>
              <w:t xml:space="preserve">3</w:t>
            </w:r>
          </w:p>
        </w:tc>
        <w:tc>
          <w:tcPr/>
          <w:p>
            <w:pPr>
              <w:pStyle w:val="918"/>
              <w:jc w:val="left"/>
            </w:pPr>
            <w:r>
              <w:t xml:space="preserve">Analítica 01/07/2024 12/07/2024</w:t>
            </w:r>
          </w:p>
        </w:tc>
        <w:tc>
          <w:tcPr/>
          <w:p>
            <w:pPr>
              <w:pStyle w:val="918"/>
              <w:jc w:val="right"/>
            </w:pPr>
            <w:r>
              <w:t xml:space="preserve">15</w:t>
            </w:r>
          </w:p>
        </w:tc>
        <w:tc>
          <w:tcPr/>
          <w:p>
            <w:pPr>
              <w:pStyle w:val="918"/>
              <w:jc w:val="right"/>
            </w:pPr>
            <w:r>
              <w:t xml:space="preserve">56</w:t>
            </w:r>
          </w:p>
        </w:tc>
      </w:tr>
    </w:tbl>
    <w:p>
      <w:pPr>
        <w:pStyle w:val="916"/>
      </w:pPr>
      <w:r>
        <w:t xml:space="preserve">Optou-se pelo arquivo 19764_1.pdf como exemplo inicial para formular hipóteses sobre a estrutura básica dos relatórios. A partir dessa escolha, o processo de extração de dados estruturados referentes às auditorias e constatações foi conduzido de forma interativa, envolvendo a formulação de hipóteses sobre a organização dos documentos, sua verificação empírica e a construção progressiva de etapas para a sistematização dos dados com base nas hipóteses confirmadas.</w:t>
      </w:r>
    </w:p>
    <w:bookmarkEnd w:id="88"/>
    <w:bookmarkStart w:id="89" w:name="estrutura-básica-cabeçalhos-e-rodapés"/>
    <w:p>
      <w:pPr>
        <w:pStyle w:val="906"/>
      </w:pPr>
      <w:r>
        <w:t xml:space="preserve">7.0.4 Estrutura Básica, Cabeçalhos e Rodapés</w:t>
      </w:r>
    </w:p>
    <w:p>
      <w:pPr>
        <w:pStyle w:val="917"/>
      </w:pPr>
      <w:r>
        <w:t xml:space="preserve">A partir da análise da primeira página do documento de exemplo, listada abaixo, foi possível extrair alguns dados essenciais, a começar pelo número da auditoria, unidade e município.</w:t>
      </w:r>
    </w:p>
    <w:p>
      <w:pPr>
        <w:pStyle w:val="SourceCode"/>
      </w:pPr>
      <w:r>
        <w:rPr>
          <w:rStyle w:val="949"/>
        </w:rPr>
        <w:t xml:space="preserve">mostra_pagina &lt;- \(arquivo, pagina)</w:t>
      </w:r>
      <w:r>
        <w:br/>
      </w:r>
      <w:r>
        <w:rPr>
          <w:rStyle w:val="949"/>
        </w:rPr>
        <w:t xml:space="preserve">    textos_relatorios |&gt; </w:t>
      </w:r>
      <w:r>
        <w:br/>
      </w:r>
      <w:r>
        <w:rPr>
          <w:rStyle w:val="949"/>
        </w:rPr>
        <w:t xml:space="preserve">    filter(`Arquivo` == arquivo) |&gt;</w:t>
      </w:r>
      <w:r>
        <w:br/>
      </w:r>
      <w:r>
        <w:rPr>
          <w:rStyle w:val="949"/>
        </w:rPr>
        <w:t xml:space="preserve">    filter(`# Página` == pagina) |&gt;</w:t>
      </w:r>
      <w:r>
        <w:br/>
      </w:r>
      <w:r>
        <w:rPr>
          <w:rStyle w:val="949"/>
        </w:rPr>
        <w:t xml:space="preserve">    select(`# Linha`, Linha) |&gt;</w:t>
      </w:r>
      <w:r>
        <w:br/>
      </w:r>
      <w:r>
        <w:rPr>
          <w:rStyle w:val="949"/>
        </w:rPr>
        <w:t xml:space="preserve">    rename(`# Linha` = `# Linha`) |&gt;</w:t>
      </w:r>
      <w:r>
        <w:br/>
      </w:r>
      <w:r>
        <w:rPr>
          <w:rStyle w:val="949"/>
        </w:rPr>
        <w:t xml:space="preserve">    mutate(Linha = str_trunc(Linha, 70, ellipsis = "…")) |&gt;</w:t>
      </w:r>
      <w:r>
        <w:br/>
      </w:r>
      <w:r>
        <w:rPr>
          <w:rStyle w:val="949"/>
        </w:rPr>
        <w:t xml:space="preserve">    knitr::kable()</w:t>
      </w:r>
      <w:r>
        <w:br/>
      </w:r>
      <w:r>
        <w:br/>
      </w:r>
      <w:r>
        <w:rPr>
          <w:rStyle w:val="949"/>
        </w:rPr>
        <w:t xml:space="preserve">mostra_pagina(arquivo_teste, 1)</w:t>
      </w:r>
    </w:p>
    <w:p>
      <w:pPr>
        <w:pStyle w:val="944"/>
      </w:pPr>
      <w:r>
        <w:t xml:space="preserve">Amostra página 1 relatório</w:t>
      </w:r>
    </w:p>
    <w:tbl>
      <w:tblPr>
        <w:tblStyle w:val="Table"/>
        <w:tblW w:type="pct" w:w="4868"/>
        <w:tblLayout w:type="fixed"/>
        <w:tblLook w:firstRow="1" w:lastRow="0" w:firstColumn="0" w:lastColumn="0" w:noHBand="0" w:noVBand="0" w:val="0020"/>
        <w:tblCaption w:val="Amostra página 1 relatório"/>
      </w:tblPr>
      <w:tblGrid>
        <w:gridCol w:w="1146"/>
        <w:gridCol w:w="6565"/>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MS/SGEP/Departamento Nacional de Auditoria do SUS</w:t>
            </w:r>
          </w:p>
        </w:tc>
      </w:tr>
      <w:tr>
        <w:tc>
          <w:tcPr/>
          <w:p>
            <w:pPr>
              <w:pStyle w:val="918"/>
              <w:jc w:val="right"/>
            </w:pPr>
            <w:r>
              <w:t xml:space="preserve">2</w:t>
            </w:r>
          </w:p>
        </w:tc>
        <w:tc>
          <w:tcPr/>
          <w:p>
            <w:pPr>
              <w:pStyle w:val="918"/>
            </w:pPr>
          </w:p>
        </w:tc>
      </w:tr>
      <w:tr>
        <w:tc>
          <w:tcPr/>
          <w:p>
            <w:pPr>
              <w:pStyle w:val="918"/>
              <w:jc w:val="right"/>
            </w:pPr>
            <w:r>
              <w:t xml:space="preserve">3</w:t>
            </w:r>
          </w:p>
        </w:tc>
        <w:tc>
          <w:tcPr/>
          <w:p>
            <w:pPr>
              <w:pStyle w:val="918"/>
            </w:pP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pPr>
          </w:p>
        </w:tc>
      </w:tr>
      <w:tr>
        <w:tc>
          <w:tcPr/>
          <w:p>
            <w:pPr>
              <w:pStyle w:val="918"/>
              <w:jc w:val="right"/>
            </w:pPr>
            <w:r>
              <w:t xml:space="preserve">6</w:t>
            </w:r>
          </w:p>
        </w:tc>
        <w:tc>
          <w:tcPr/>
          <w:p>
            <w:pPr>
              <w:pStyle w:val="918"/>
              <w:jc w:val="left"/>
            </w:pPr>
            <w:r>
              <w:t xml:space="preserve">Auditoria nº 19764</w:t>
            </w:r>
          </w:p>
        </w:tc>
      </w:tr>
      <w:tr>
        <w:tc>
          <w:tcPr/>
          <w:p>
            <w:pPr>
              <w:pStyle w:val="918"/>
              <w:jc w:val="right"/>
            </w:pPr>
            <w:r>
              <w:t xml:space="preserve">7</w:t>
            </w:r>
          </w:p>
        </w:tc>
        <w:tc>
          <w:tcPr/>
          <w:p>
            <w:pPr>
              <w:pStyle w:val="918"/>
            </w:pPr>
          </w:p>
        </w:tc>
      </w:tr>
      <w:tr>
        <w:tc>
          <w:tcPr/>
          <w:p>
            <w:pPr>
              <w:pStyle w:val="918"/>
              <w:jc w:val="right"/>
            </w:pPr>
            <w:r>
              <w:t xml:space="preserve">8</w:t>
            </w:r>
          </w:p>
        </w:tc>
        <w:tc>
          <w:tcPr/>
          <w:p>
            <w:pPr>
              <w:pStyle w:val="918"/>
            </w:pPr>
          </w:p>
        </w:tc>
      </w:tr>
      <w:tr>
        <w:tc>
          <w:tcPr/>
          <w:p>
            <w:pPr>
              <w:pStyle w:val="918"/>
              <w:jc w:val="right"/>
            </w:pPr>
            <w:r>
              <w:t xml:space="preserve">9</w:t>
            </w:r>
          </w:p>
        </w:tc>
        <w:tc>
          <w:tcPr/>
          <w:p>
            <w:pPr>
              <w:pStyle w:val="918"/>
            </w:pPr>
          </w:p>
        </w:tc>
      </w:tr>
      <w:tr>
        <w:tc>
          <w:tcPr/>
          <w:p>
            <w:pPr>
              <w:pStyle w:val="918"/>
              <w:jc w:val="right"/>
            </w:pPr>
            <w:r>
              <w:t xml:space="preserve">10</w:t>
            </w:r>
          </w:p>
        </w:tc>
        <w:tc>
          <w:tcPr/>
          <w:p>
            <w:pPr>
              <w:pStyle w:val="918"/>
            </w:pPr>
          </w:p>
        </w:tc>
      </w:tr>
      <w:tr>
        <w:tc>
          <w:tcPr/>
          <w:p>
            <w:pPr>
              <w:pStyle w:val="918"/>
              <w:jc w:val="right"/>
            </w:pPr>
            <w:r>
              <w:t xml:space="preserve">11</w:t>
            </w:r>
          </w:p>
        </w:tc>
        <w:tc>
          <w:tcPr/>
          <w:p>
            <w:pPr>
              <w:pStyle w:val="918"/>
              <w:jc w:val="left"/>
            </w:pPr>
            <w:r>
              <w:t xml:space="preserve">Relatório</w:t>
            </w:r>
          </w:p>
        </w:tc>
      </w:tr>
      <w:tr>
        <w:tc>
          <w:tcPr/>
          <w:p>
            <w:pPr>
              <w:pStyle w:val="918"/>
              <w:jc w:val="right"/>
            </w:pPr>
            <w:r>
              <w:t xml:space="preserve">12</w:t>
            </w:r>
          </w:p>
        </w:tc>
        <w:tc>
          <w:tcPr/>
          <w:p>
            <w:pPr>
              <w:pStyle w:val="918"/>
            </w:pPr>
          </w:p>
        </w:tc>
      </w:tr>
      <w:tr>
        <w:tc>
          <w:tcPr/>
          <w:p>
            <w:pPr>
              <w:pStyle w:val="918"/>
              <w:jc w:val="right"/>
            </w:pPr>
            <w:r>
              <w:t xml:space="preserve">13</w:t>
            </w:r>
          </w:p>
        </w:tc>
        <w:tc>
          <w:tcPr/>
          <w:p>
            <w:pPr>
              <w:pStyle w:val="918"/>
            </w:pPr>
          </w:p>
        </w:tc>
      </w:tr>
      <w:tr>
        <w:tc>
          <w:tcPr/>
          <w:p>
            <w:pPr>
              <w:pStyle w:val="918"/>
              <w:jc w:val="right"/>
            </w:pPr>
            <w:r>
              <w:t xml:space="preserve">14</w:t>
            </w:r>
          </w:p>
        </w:tc>
        <w:tc>
          <w:tcPr/>
          <w:p>
            <w:pPr>
              <w:pStyle w:val="918"/>
            </w:pPr>
          </w:p>
        </w:tc>
      </w:tr>
      <w:tr>
        <w:tc>
          <w:tcPr/>
          <w:p>
            <w:pPr>
              <w:pStyle w:val="918"/>
              <w:jc w:val="right"/>
            </w:pPr>
            <w:r>
              <w:t xml:space="preserve">15</w:t>
            </w:r>
          </w:p>
        </w:tc>
        <w:tc>
          <w:tcPr/>
          <w:p>
            <w:pPr>
              <w:pStyle w:val="918"/>
            </w:pPr>
          </w:p>
        </w:tc>
      </w:tr>
      <w:tr>
        <w:tc>
          <w:tcPr/>
          <w:p>
            <w:pPr>
              <w:pStyle w:val="918"/>
              <w:jc w:val="right"/>
            </w:pPr>
            <w:r>
              <w:t xml:space="preserve">16</w:t>
            </w:r>
          </w:p>
        </w:tc>
        <w:tc>
          <w:tcPr/>
          <w:p>
            <w:pPr>
              <w:pStyle w:val="918"/>
              <w:jc w:val="left"/>
            </w:pPr>
            <w:r>
              <w:t xml:space="preserve">Unidade: SECRETARIA MUNICIPAL DE SAUDE DE POCOS DE CALDAS</w:t>
            </w:r>
          </w:p>
        </w:tc>
      </w:tr>
      <w:tr>
        <w:tc>
          <w:tcPr/>
          <w:p>
            <w:pPr>
              <w:pStyle w:val="918"/>
              <w:jc w:val="right"/>
            </w:pPr>
            <w:r>
              <w:t xml:space="preserve">17</w:t>
            </w:r>
          </w:p>
        </w:tc>
        <w:tc>
          <w:tcPr/>
          <w:p>
            <w:pPr>
              <w:pStyle w:val="918"/>
            </w:pPr>
          </w:p>
        </w:tc>
      </w:tr>
      <w:tr>
        <w:tc>
          <w:tcPr/>
          <w:p>
            <w:pPr>
              <w:pStyle w:val="918"/>
              <w:jc w:val="right"/>
            </w:pPr>
            <w:r>
              <w:t xml:space="preserve">18</w:t>
            </w:r>
          </w:p>
        </w:tc>
        <w:tc>
          <w:tcPr/>
          <w:p>
            <w:pPr>
              <w:pStyle w:val="918"/>
              <w:jc w:val="left"/>
            </w:pPr>
            <w:r>
              <w:t xml:space="preserve">Munícipio: POÇOS DE CALDAS/MG</w:t>
            </w:r>
          </w:p>
        </w:tc>
      </w:tr>
      <w:tr>
        <w:tc>
          <w:tcPr/>
          <w:p>
            <w:pPr>
              <w:pStyle w:val="918"/>
              <w:jc w:val="right"/>
            </w:pPr>
            <w:r>
              <w:t xml:space="preserve">19</w:t>
            </w:r>
          </w:p>
        </w:tc>
        <w:tc>
          <w:tcPr/>
          <w:p>
            <w:pPr>
              <w:pStyle w:val="918"/>
            </w:pPr>
          </w:p>
        </w:tc>
      </w:tr>
    </w:tbl>
    <w:p>
      <w:pPr>
        <w:pStyle w:val="916"/>
      </w:pPr>
      <w:r>
        <w:t xml:space="preserve">Já na página 2, tem-se o sumário do relatório.</w:t>
      </w:r>
    </w:p>
    <w:p>
      <w:pPr>
        <w:pStyle w:val="944"/>
      </w:pPr>
      <w:r>
        <w:t xml:space="preserve">Amostra página 2 relatório</w:t>
      </w:r>
    </w:p>
    <w:tbl>
      <w:tblPr>
        <w:tblStyle w:val="Table"/>
        <w:tblW w:type="pct" w:w="4877"/>
        <w:tblLayout w:type="fixed"/>
        <w:tblLook w:firstRow="1" w:lastRow="0" w:firstColumn="0" w:lastColumn="0" w:noHBand="0" w:noVBand="0" w:val="0020"/>
        <w:tblCaption w:val="Amostra página 2 relatório"/>
      </w:tblPr>
      <w:tblGrid>
        <w:gridCol w:w="1075"/>
        <w:gridCol w:w="6648"/>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SNA - Sistema Nacional de Auditoria do SUS</w:t>
            </w:r>
          </w:p>
        </w:tc>
      </w:tr>
      <w:tr>
        <w:tc>
          <w:tcPr/>
          <w:p>
            <w:pPr>
              <w:pStyle w:val="918"/>
              <w:jc w:val="right"/>
            </w:pPr>
            <w:r>
              <w:t xml:space="preserve">2</w:t>
            </w:r>
          </w:p>
        </w:tc>
        <w:tc>
          <w:tcPr/>
          <w:p>
            <w:pPr>
              <w:pStyle w:val="918"/>
              <w:jc w:val="left"/>
            </w:pPr>
            <w:r>
              <w:t xml:space="preserve">MS/SGEP/Departamento Nacional de Auditoria do SUS</w:t>
            </w:r>
          </w:p>
        </w:tc>
      </w:tr>
      <w:tr>
        <w:tc>
          <w:tcPr/>
          <w:p>
            <w:pPr>
              <w:pStyle w:val="918"/>
              <w:jc w:val="right"/>
            </w:pPr>
            <w:r>
              <w:t xml:space="preserve">3</w:t>
            </w:r>
          </w:p>
        </w:tc>
        <w:tc>
          <w:tcPr/>
          <w:p>
            <w:pPr>
              <w:pStyle w:val="918"/>
              <w:jc w:val="left"/>
            </w:pPr>
            <w:r>
              <w:t xml:space="preserve">Relatório</w:t>
            </w: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jc w:val="left"/>
            </w:pPr>
            <w:r>
              <w:t xml:space="preserve">Sumário</w:t>
            </w:r>
          </w:p>
        </w:tc>
      </w:tr>
      <w:tr>
        <w:tc>
          <w:tcPr/>
          <w:p>
            <w:pPr>
              <w:pStyle w:val="918"/>
              <w:jc w:val="right"/>
            </w:pPr>
            <w:r>
              <w:t xml:space="preserve">6</w:t>
            </w:r>
          </w:p>
        </w:tc>
        <w:tc>
          <w:tcPr/>
          <w:p>
            <w:pPr>
              <w:pStyle w:val="918"/>
            </w:pPr>
          </w:p>
        </w:tc>
      </w:tr>
      <w:tr>
        <w:tc>
          <w:tcPr/>
          <w:p>
            <w:pPr>
              <w:pStyle w:val="918"/>
              <w:jc w:val="right"/>
            </w:pPr>
            <w:r>
              <w:t xml:space="preserve">7</w:t>
            </w:r>
          </w:p>
        </w:tc>
        <w:tc>
          <w:tcPr/>
          <w:p>
            <w:pPr>
              <w:pStyle w:val="918"/>
              <w:jc w:val="left"/>
            </w:pPr>
            <w:r>
              <w:t xml:space="preserve">I - DADOS BÁSICOS 3</w:t>
            </w:r>
          </w:p>
        </w:tc>
      </w:tr>
      <w:tr>
        <w:tc>
          <w:tcPr/>
          <w:p>
            <w:pPr>
              <w:pStyle w:val="918"/>
              <w:jc w:val="right"/>
            </w:pPr>
            <w:r>
              <w:t xml:space="preserve">8</w:t>
            </w:r>
          </w:p>
        </w:tc>
        <w:tc>
          <w:tcPr/>
          <w:p>
            <w:pPr>
              <w:pStyle w:val="918"/>
              <w:jc w:val="left"/>
            </w:pPr>
            <w:r>
              <w:t xml:space="preserve">II - INTRODUÇÃO 3</w:t>
            </w:r>
          </w:p>
        </w:tc>
      </w:tr>
      <w:tr>
        <w:tc>
          <w:tcPr/>
          <w:p>
            <w:pPr>
              <w:pStyle w:val="918"/>
              <w:jc w:val="right"/>
            </w:pPr>
            <w:r>
              <w:t xml:space="preserve">9</w:t>
            </w:r>
          </w:p>
        </w:tc>
        <w:tc>
          <w:tcPr/>
          <w:p>
            <w:pPr>
              <w:pStyle w:val="918"/>
              <w:jc w:val="left"/>
            </w:pPr>
            <w:r>
              <w:t xml:space="preserve">III - METODOLOGIA 6</w:t>
            </w:r>
          </w:p>
        </w:tc>
      </w:tr>
      <w:tr>
        <w:tc>
          <w:tcPr/>
          <w:p>
            <w:pPr>
              <w:pStyle w:val="918"/>
              <w:jc w:val="right"/>
            </w:pPr>
            <w:r>
              <w:t xml:space="preserve">10</w:t>
            </w:r>
          </w:p>
        </w:tc>
        <w:tc>
          <w:tcPr/>
          <w:p>
            <w:pPr>
              <w:pStyle w:val="918"/>
              <w:jc w:val="left"/>
            </w:pPr>
            <w:r>
              <w:t xml:space="preserve">IV - CONSTATAÇÕES 8</w:t>
            </w:r>
          </w:p>
        </w:tc>
      </w:tr>
      <w:tr>
        <w:tc>
          <w:tcPr/>
          <w:p>
            <w:pPr>
              <w:pStyle w:val="918"/>
              <w:jc w:val="right"/>
            </w:pPr>
            <w:r>
              <w:t xml:space="preserve">11</w:t>
            </w:r>
          </w:p>
        </w:tc>
        <w:tc>
          <w:tcPr/>
          <w:p>
            <w:pPr>
              <w:pStyle w:val="918"/>
              <w:jc w:val="left"/>
            </w:pPr>
            <w:r>
              <w:t xml:space="preserve">Tópico: PROGRAMA NACIONAL DE IMUNIZAÇÃO 8</w:t>
            </w:r>
          </w:p>
        </w:tc>
      </w:tr>
      <w:tr>
        <w:tc>
          <w:tcPr/>
          <w:p>
            <w:pPr>
              <w:pStyle w:val="918"/>
              <w:jc w:val="right"/>
            </w:pPr>
            <w:r>
              <w:t xml:space="preserve">12</w:t>
            </w:r>
          </w:p>
        </w:tc>
        <w:tc>
          <w:tcPr/>
          <w:p>
            <w:pPr>
              <w:pStyle w:val="918"/>
              <w:jc w:val="left"/>
            </w:pPr>
            <w:r>
              <w:t xml:space="preserve">V - CONCLUSÃO 15</w:t>
            </w:r>
          </w:p>
        </w:tc>
      </w:tr>
      <w:tr>
        <w:tc>
          <w:tcPr/>
          <w:p>
            <w:pPr>
              <w:pStyle w:val="918"/>
              <w:jc w:val="right"/>
            </w:pPr>
            <w:r>
              <w:t xml:space="preserve">13</w:t>
            </w:r>
          </w:p>
        </w:tc>
        <w:tc>
          <w:tcPr/>
          <w:p>
            <w:pPr>
              <w:pStyle w:val="918"/>
              <w:jc w:val="left"/>
            </w:pPr>
            <w:r>
              <w:t xml:space="preserve">VI - ANEXOS 17</w:t>
            </w:r>
          </w:p>
        </w:tc>
      </w:tr>
      <w:tr>
        <w:tc>
          <w:tcPr/>
          <w:p>
            <w:pPr>
              <w:pStyle w:val="918"/>
              <w:jc w:val="right"/>
            </w:pPr>
            <w:r>
              <w:t xml:space="preserve">14</w:t>
            </w:r>
          </w:p>
        </w:tc>
        <w:tc>
          <w:tcPr/>
          <w:p>
            <w:pPr>
              <w:pStyle w:val="918"/>
            </w:pPr>
          </w:p>
        </w:tc>
      </w:tr>
      <w:tr>
        <w:tc>
          <w:tcPr/>
          <w:p>
            <w:pPr>
              <w:pStyle w:val="918"/>
              <w:jc w:val="right"/>
            </w:pPr>
            <w:r>
              <w:t xml:space="preserve">15</w:t>
            </w:r>
          </w:p>
        </w:tc>
        <w:tc>
          <w:tcPr/>
          <w:p>
            <w:pPr>
              <w:pStyle w:val="918"/>
            </w:pPr>
          </w:p>
        </w:tc>
      </w:tr>
      <w:tr>
        <w:tc>
          <w:tcPr/>
          <w:p>
            <w:pPr>
              <w:pStyle w:val="918"/>
              <w:jc w:val="right"/>
            </w:pPr>
            <w:r>
              <w:t xml:space="preserve">16</w:t>
            </w:r>
          </w:p>
        </w:tc>
        <w:tc>
          <w:tcPr/>
          <w:p>
            <w:pPr>
              <w:pStyle w:val="918"/>
            </w:pPr>
          </w:p>
        </w:tc>
      </w:tr>
      <w:tr>
        <w:tc>
          <w:tcPr/>
          <w:p>
            <w:pPr>
              <w:pStyle w:val="918"/>
              <w:jc w:val="right"/>
            </w:pPr>
            <w:r>
              <w:t xml:space="preserve">17</w:t>
            </w:r>
          </w:p>
        </w:tc>
        <w:tc>
          <w:tcPr/>
          <w:p>
            <w:pPr>
              <w:pStyle w:val="918"/>
            </w:pPr>
          </w:p>
        </w:tc>
      </w:tr>
      <w:tr>
        <w:tc>
          <w:tcPr/>
          <w:p>
            <w:pPr>
              <w:pStyle w:val="918"/>
              <w:jc w:val="right"/>
            </w:pPr>
            <w:r>
              <w:t xml:space="preserve">18</w:t>
            </w:r>
          </w:p>
        </w:tc>
        <w:tc>
          <w:tcPr/>
          <w:p>
            <w:pPr>
              <w:pStyle w:val="918"/>
              <w:jc w:val="left"/>
            </w:pPr>
            <w:r>
              <w:t xml:space="preserve">Gerado em: 27/11/2024 - 23:13:23 Página 2 de 25 Fonte: Sisaud/SUS</w:t>
            </w:r>
          </w:p>
        </w:tc>
      </w:tr>
      <w:tr>
        <w:tc>
          <w:tcPr/>
          <w:p>
            <w:pPr>
              <w:pStyle w:val="918"/>
              <w:jc w:val="right"/>
            </w:pPr>
            <w:r>
              <w:t xml:space="preserve">19</w:t>
            </w:r>
          </w:p>
        </w:tc>
        <w:tc>
          <w:tcPr/>
          <w:p>
            <w:pPr>
              <w:pStyle w:val="918"/>
            </w:pPr>
          </w:p>
        </w:tc>
      </w:tr>
      <w:tr>
        <w:tc>
          <w:tcPr/>
          <w:p>
            <w:pPr>
              <w:pStyle w:val="918"/>
              <w:jc w:val="right"/>
            </w:pPr>
            <w:r>
              <w:t xml:space="preserve">20</w:t>
            </w:r>
          </w:p>
        </w:tc>
        <w:tc>
          <w:tcPr/>
          <w:p>
            <w:pPr>
              <w:pStyle w:val="918"/>
              <w:jc w:val="left"/>
            </w:pPr>
            <w:r>
              <w:t xml:space="preserve">Auditoria nº</w:t>
            </w:r>
          </w:p>
        </w:tc>
      </w:tr>
      <w:tr>
        <w:tc>
          <w:tcPr/>
          <w:p>
            <w:pPr>
              <w:pStyle w:val="918"/>
              <w:jc w:val="right"/>
            </w:pPr>
            <w:r>
              <w:t xml:space="preserve">21</w:t>
            </w:r>
          </w:p>
        </w:tc>
        <w:tc>
          <w:tcPr/>
          <w:p>
            <w:pPr>
              <w:pStyle w:val="918"/>
              <w:jc w:val="left"/>
            </w:pPr>
            <w:r>
              <w:t xml:space="preserve">19764</w:t>
            </w:r>
          </w:p>
        </w:tc>
      </w:tr>
      <w:tr>
        <w:tc>
          <w:tcPr/>
          <w:p>
            <w:pPr>
              <w:pStyle w:val="918"/>
              <w:jc w:val="right"/>
            </w:pPr>
            <w:r>
              <w:t xml:space="preserve">22</w:t>
            </w:r>
          </w:p>
        </w:tc>
        <w:tc>
          <w:tcPr/>
          <w:p>
            <w:pPr>
              <w:pStyle w:val="918"/>
            </w:pPr>
          </w:p>
        </w:tc>
      </w:tr>
    </w:tbl>
    <w:p>
      <w:pPr>
        <w:pStyle w:val="916"/>
      </w:pPr>
      <w:r>
        <w:t xml:space="preserve">Observou-se, a partir do sumário, a presença de um cabeçalho aparentemente padronizado e de um rodapé contendo a data de geração do arquivo, a numeração das páginas e o número da auditoria. Constatou-se, ainda, que o sumário estava delimitado por duas linhas em branco.</w:t>
      </w:r>
    </w:p>
    <w:p>
      <w:pPr>
        <w:pStyle w:val="SourceCode"/>
      </w:pPr>
      <w:r>
        <w:rPr>
          <w:rStyle w:val="949"/>
        </w:rPr>
        <w:t xml:space="preserve">detecta_sumario &lt;- \(df)</w:t>
      </w:r>
      <w:r>
        <w:br/>
      </w:r>
      <w:r>
        <w:rPr>
          <w:rStyle w:val="949"/>
        </w:rPr>
        <w:t xml:space="preserve">  df |&gt;</w:t>
      </w:r>
      <w:r>
        <w:br/>
      </w:r>
      <w:r>
        <w:rPr>
          <w:rStyle w:val="949"/>
        </w:rPr>
        <w:t xml:space="preserve">  mutate(</w:t>
      </w:r>
      <w:r>
        <w:br/>
      </w:r>
      <w:r>
        <w:rPr>
          <w:rStyle w:val="949"/>
        </w:rPr>
        <w:t xml:space="preserve">      `Sumário?` = lag(Linha) == "" &amp; </w:t>
      </w:r>
      <w:r>
        <w:br/>
      </w:r>
      <w:r>
        <w:rPr>
          <w:rStyle w:val="949"/>
        </w:rPr>
        <w:t xml:space="preserve">                  Linha == "Sumário" &amp; </w:t>
      </w:r>
      <w:r>
        <w:br/>
      </w:r>
      <w:r>
        <w:rPr>
          <w:rStyle w:val="949"/>
        </w:rPr>
        <w:t xml:space="preserve">                  lead(Linha) == "")</w:t>
      </w:r>
      <w:r>
        <w:br/>
      </w:r>
      <w:r>
        <w:br/>
      </w:r>
      <w:r>
        <w:rPr>
          <w:rStyle w:val="949"/>
        </w:rPr>
        <w:t xml:space="preserve">textos_sumarios_detectados &lt;- textos_relatorios |&gt; </w:t>
      </w:r>
      <w:r>
        <w:br/>
      </w:r>
      <w:r>
        <w:rPr>
          <w:rStyle w:val="949"/>
        </w:rPr>
        <w:t xml:space="preserve">    detecta_sumario() |&gt;</w:t>
      </w:r>
      <w:r>
        <w:br/>
      </w:r>
      <w:r>
        <w:rPr>
          <w:rStyle w:val="949"/>
        </w:rPr>
        <w:t xml:space="preserve">    filter(`Sumário?`) |&gt;</w:t>
      </w:r>
      <w:r>
        <w:br/>
      </w:r>
      <w:r>
        <w:rPr>
          <w:rStyle w:val="949"/>
        </w:rPr>
        <w:t xml:space="preserve">    summarise(</w:t>
      </w:r>
      <w:r>
        <w:br/>
      </w:r>
      <w:r>
        <w:rPr>
          <w:rStyle w:val="949"/>
        </w:rPr>
        <w:t xml:space="preserve">        Arquivos = n_distinct(Arquivo),</w:t>
      </w:r>
      <w:r>
        <w:br/>
      </w:r>
      <w:r>
        <w:rPr>
          <w:rStyle w:val="949"/>
        </w:rPr>
        <w:t xml:space="preserve">        .by = `# Página`</w:t>
      </w:r>
      <w:r>
        <w:br/>
      </w:r>
      <w:r>
        <w:rPr>
          <w:rStyle w:val="949"/>
        </w:rPr>
        <w:t xml:space="preserve">    )</w:t>
      </w:r>
    </w:p>
    <w:p>
      <w:pPr>
        <w:pStyle w:val="944"/>
      </w:pPr>
      <w:r>
        <w:t xml:space="preserve">Quantidade de arquivos com sumário detectado por página</w:t>
      </w:r>
    </w:p>
    <w:tbl>
      <w:tblPr>
        <w:tblStyle w:val="Table"/>
        <w:tblW w:type="pct" w:w="4865"/>
        <w:tblLayout w:type="fixed"/>
        <w:tblLook w:firstRow="1" w:lastRow="0" w:firstColumn="0" w:lastColumn="0" w:noHBand="0" w:noVBand="0" w:val="0020"/>
        <w:tblCaption w:val="Quantidade de arquivos com sumário detectado por página"/>
      </w:tblPr>
      <w:tblGrid>
        <w:gridCol w:w="3745"/>
        <w:gridCol w:w="3960"/>
      </w:tblGrid>
      <w:tr>
        <w:trPr>
          <w:tblHeader w:val="on"/>
        </w:trPr>
        <w:tc>
          <w:tcPr/>
          <w:p>
            <w:pPr>
              <w:pStyle w:val="918"/>
              <w:jc w:val="right"/>
            </w:pPr>
            <w:r>
              <w:t xml:space="preserve"># Página</w:t>
            </w:r>
          </w:p>
        </w:tc>
        <w:tc>
          <w:tcPr/>
          <w:p>
            <w:pPr>
              <w:pStyle w:val="918"/>
              <w:jc w:val="right"/>
            </w:pPr>
            <w:r>
              <w:t xml:space="preserve">Arquivos</w:t>
            </w:r>
          </w:p>
        </w:tc>
      </w:tr>
      <w:tr>
        <w:tc>
          <w:tcPr/>
          <w:p>
            <w:pPr>
              <w:pStyle w:val="918"/>
              <w:jc w:val="right"/>
            </w:pPr>
            <w:r>
              <w:t xml:space="preserve">2</w:t>
            </w:r>
          </w:p>
        </w:tc>
        <w:tc>
          <w:tcPr/>
          <w:p>
            <w:pPr>
              <w:pStyle w:val="918"/>
              <w:jc w:val="right"/>
            </w:pPr>
            <w:r>
              <w:t xml:space="preserve">398</w:t>
            </w:r>
          </w:p>
        </w:tc>
      </w:tr>
    </w:tbl>
    <w:p>
      <w:pPr>
        <w:pStyle w:val="916"/>
      </w:pPr>
      <w:r>
        <w:t xml:space="preserve">Na tabela acima, observou-se que a página "Sumário" apareceu em 398 dos 399 arquivos analisados, sempre localizada na segunda página. Isso indica que, em um dos relatórios, o sumário não seguiu o padrão identificado.</w:t>
      </w:r>
    </w:p>
    <w:p>
      <w:pPr>
        <w:pStyle w:val="916"/>
      </w:pPr>
      <w:r>
        <w:t xml:space="preserve">O código apresentado a seguir foi utilizado para verificar qual arquivo destoava desse padrão.</w:t>
      </w:r>
    </w:p>
    <w:p>
      <w:pPr>
        <w:pStyle w:val="SourceCode"/>
      </w:pPr>
      <w:r>
        <w:rPr>
          <w:rStyle w:val="949"/>
        </w:rPr>
        <w:t xml:space="preserve">arquivo_sem_sumario &lt;- textos_relatorios |&gt; </w:t>
      </w:r>
      <w:r>
        <w:br/>
      </w:r>
      <w:r>
        <w:rPr>
          <w:rStyle w:val="949"/>
        </w:rPr>
        <w:t xml:space="preserve">    detecta_sumario() |&gt;</w:t>
      </w:r>
      <w:r>
        <w:br/>
      </w:r>
      <w:r>
        <w:rPr>
          <w:rStyle w:val="949"/>
        </w:rPr>
        <w:t xml:space="preserve">    mutate(`Página Sumário` = if_else(`Sumário?`, `# Página`, 0)) |&gt;</w:t>
      </w:r>
      <w:r>
        <w:br/>
      </w:r>
      <w:r>
        <w:rPr>
          <w:rStyle w:val="949"/>
        </w:rPr>
        <w:t xml:space="preserve">    summarise(</w:t>
      </w:r>
      <w:r>
        <w:br/>
      </w:r>
      <w:r>
        <w:rPr>
          <w:rStyle w:val="949"/>
        </w:rPr>
        <w:t xml:space="preserve">        `Max Página Sumário` = max(`Página Sumário`),</w:t>
      </w:r>
      <w:r>
        <w:br/>
      </w:r>
      <w:r>
        <w:rPr>
          <w:rStyle w:val="949"/>
        </w:rPr>
        <w:t xml:space="preserve">        .by = `Arquivo`</w:t>
      </w:r>
      <w:r>
        <w:br/>
      </w:r>
      <w:r>
        <w:rPr>
          <w:rStyle w:val="949"/>
        </w:rPr>
        <w:t xml:space="preserve">    ) |&gt;</w:t>
      </w:r>
      <w:r>
        <w:br/>
      </w:r>
      <w:r>
        <w:rPr>
          <w:rStyle w:val="949"/>
        </w:rPr>
        <w:t xml:space="preserve">    filter(`Max Página Sumário` == 0) |&gt;</w:t>
      </w:r>
      <w:r>
        <w:br/>
      </w:r>
      <w:r>
        <w:rPr>
          <w:rStyle w:val="949"/>
        </w:rPr>
        <w:t xml:space="preserve">    chuck("Arquivo") |&gt;</w:t>
      </w:r>
      <w:r>
        <w:br/>
      </w:r>
      <w:r>
        <w:rPr>
          <w:rStyle w:val="949"/>
        </w:rPr>
        <w:t xml:space="preserve">    pluck(1)</w:t>
      </w:r>
      <w:r>
        <w:br/>
      </w:r>
      <w:r>
        <w:br/>
      </w:r>
      <w:r>
        <w:rPr>
          <w:rStyle w:val="949"/>
        </w:rPr>
        <w:t xml:space="preserve">mostra_pagina(arquivo_sem_sumario, 1)</w:t>
      </w:r>
    </w:p>
    <w:p>
      <w:pPr>
        <w:pStyle w:val="944"/>
      </w:pPr>
      <w:r>
        <w:t xml:space="preserve">Página 1 arquivo sem sumário</w:t>
      </w:r>
    </w:p>
    <w:tbl>
      <w:tblPr>
        <w:tblStyle w:val="Table"/>
        <w:tblW w:type="pct" w:w="4888"/>
        <w:tblLayout w:type="fixed"/>
        <w:tblLook w:firstRow="1" w:lastRow="0" w:firstColumn="0" w:lastColumn="0" w:noHBand="0" w:noVBand="0" w:val="0020"/>
        <w:tblCaption w:val="Página 1 arquivo sem sumário"/>
      </w:tblPr>
      <w:tblGrid>
        <w:gridCol w:w="978"/>
        <w:gridCol w:w="6763"/>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SNA - Sistema Nacional de Auditoria do SUS</w:t>
            </w:r>
          </w:p>
        </w:tc>
      </w:tr>
      <w:tr>
        <w:tc>
          <w:tcPr/>
          <w:p>
            <w:pPr>
              <w:pStyle w:val="918"/>
              <w:jc w:val="right"/>
            </w:pPr>
            <w:r>
              <w:t xml:space="preserve">2</w:t>
            </w:r>
          </w:p>
        </w:tc>
        <w:tc>
          <w:tcPr/>
          <w:p>
            <w:pPr>
              <w:pStyle w:val="918"/>
              <w:jc w:val="left"/>
            </w:pPr>
            <w:r>
              <w:t xml:space="preserve">MS/SGEP/Departamento Nacional de Auditoria do SUS</w:t>
            </w:r>
          </w:p>
        </w:tc>
      </w:tr>
      <w:tr>
        <w:tc>
          <w:tcPr/>
          <w:p>
            <w:pPr>
              <w:pStyle w:val="918"/>
              <w:jc w:val="right"/>
            </w:pPr>
            <w:r>
              <w:t xml:space="preserve">3</w:t>
            </w:r>
          </w:p>
        </w:tc>
        <w:tc>
          <w:tcPr/>
          <w:p>
            <w:pPr>
              <w:pStyle w:val="918"/>
              <w:jc w:val="left"/>
            </w:pPr>
            <w:r>
              <w:t xml:space="preserve">Relatório</w:t>
            </w: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jc w:val="left"/>
            </w:pPr>
            <w:r>
              <w:t xml:space="preserve">I - DADOS BÁSICOS</w:t>
            </w:r>
          </w:p>
        </w:tc>
      </w:tr>
      <w:tr>
        <w:tc>
          <w:tcPr/>
          <w:p>
            <w:pPr>
              <w:pStyle w:val="918"/>
              <w:jc w:val="right"/>
            </w:pPr>
            <w:r>
              <w:t xml:space="preserve">6</w:t>
            </w:r>
          </w:p>
        </w:tc>
        <w:tc>
          <w:tcPr/>
          <w:p>
            <w:pPr>
              <w:pStyle w:val="918"/>
            </w:pPr>
          </w:p>
        </w:tc>
      </w:tr>
      <w:tr>
        <w:tc>
          <w:tcPr/>
          <w:p>
            <w:pPr>
              <w:pStyle w:val="918"/>
              <w:jc w:val="right"/>
            </w:pPr>
            <w:r>
              <w:t xml:space="preserve">7</w:t>
            </w:r>
          </w:p>
        </w:tc>
        <w:tc>
          <w:tcPr/>
          <w:p>
            <w:pPr>
              <w:pStyle w:val="918"/>
            </w:pPr>
          </w:p>
        </w:tc>
      </w:tr>
      <w:tr>
        <w:tc>
          <w:tcPr/>
          <w:p>
            <w:pPr>
              <w:pStyle w:val="918"/>
              <w:jc w:val="right"/>
            </w:pPr>
            <w:r>
              <w:t xml:space="preserve">8</w:t>
            </w:r>
          </w:p>
        </w:tc>
        <w:tc>
          <w:tcPr/>
          <w:p>
            <w:pPr>
              <w:pStyle w:val="918"/>
              <w:jc w:val="left"/>
            </w:pPr>
            <w:r>
              <w:t xml:space="preserve">Finalidade: Verificar se a SMS possui controles internos capazes de a…</w:t>
            </w:r>
          </w:p>
        </w:tc>
      </w:tr>
      <w:tr>
        <w:tc>
          <w:tcPr/>
          <w:p>
            <w:pPr>
              <w:pStyle w:val="918"/>
              <w:jc w:val="right"/>
            </w:pPr>
            <w:r>
              <w:t xml:space="preserve">9</w:t>
            </w:r>
          </w:p>
        </w:tc>
        <w:tc>
          <w:tcPr/>
          <w:p>
            <w:pPr>
              <w:pStyle w:val="918"/>
              <w:jc w:val="left"/>
            </w:pPr>
            <w:r>
              <w:t xml:space="preserve">Entidade Responsável: SECRETARIA MUNICIPAL DE SAÚDE DE LAURO DE FREIT…</w:t>
            </w:r>
          </w:p>
        </w:tc>
      </w:tr>
      <w:tr>
        <w:tc>
          <w:tcPr/>
          <w:p>
            <w:pPr>
              <w:pStyle w:val="918"/>
              <w:jc w:val="right"/>
            </w:pPr>
            <w:r>
              <w:t xml:space="preserve">10</w:t>
            </w:r>
          </w:p>
        </w:tc>
        <w:tc>
          <w:tcPr/>
          <w:p>
            <w:pPr>
              <w:pStyle w:val="918"/>
              <w:jc w:val="left"/>
            </w:pPr>
            <w:r>
              <w:t xml:space="preserve">CPF/CNPJ: 13.927.819/0001-40</w:t>
            </w:r>
          </w:p>
        </w:tc>
      </w:tr>
      <w:tr>
        <w:tc>
          <w:tcPr/>
          <w:p>
            <w:pPr>
              <w:pStyle w:val="918"/>
              <w:jc w:val="right"/>
            </w:pPr>
            <w:r>
              <w:t xml:space="preserve">11</w:t>
            </w:r>
          </w:p>
        </w:tc>
        <w:tc>
          <w:tcPr/>
          <w:p>
            <w:pPr>
              <w:pStyle w:val="918"/>
              <w:jc w:val="left"/>
            </w:pPr>
            <w:r>
              <w:t xml:space="preserve">Munícipio/UF: LAURO DE FREITAS-BA</w:t>
            </w:r>
          </w:p>
        </w:tc>
      </w:tr>
      <w:tr>
        <w:tc>
          <w:tcPr/>
          <w:p>
            <w:pPr>
              <w:pStyle w:val="918"/>
              <w:jc w:val="right"/>
            </w:pPr>
            <w:r>
              <w:t xml:space="preserve">12</w:t>
            </w:r>
          </w:p>
        </w:tc>
        <w:tc>
          <w:tcPr/>
          <w:p>
            <w:pPr>
              <w:pStyle w:val="918"/>
              <w:jc w:val="left"/>
            </w:pPr>
            <w:r>
              <w:t xml:space="preserve">Fase(s):</w:t>
            </w:r>
          </w:p>
        </w:tc>
      </w:tr>
      <w:tr>
        <w:tc>
          <w:tcPr/>
          <w:p>
            <w:pPr>
              <w:pStyle w:val="918"/>
              <w:jc w:val="right"/>
            </w:pPr>
            <w:r>
              <w:t xml:space="preserve">13</w:t>
            </w:r>
          </w:p>
        </w:tc>
        <w:tc>
          <w:tcPr/>
          <w:p>
            <w:pPr>
              <w:pStyle w:val="918"/>
              <w:jc w:val="left"/>
            </w:pPr>
            <w:r>
              <w:t xml:space="preserve">Tipo da Fase Data Início Data Término</w:t>
            </w:r>
          </w:p>
        </w:tc>
      </w:tr>
      <w:tr>
        <w:tc>
          <w:tcPr/>
          <w:p>
            <w:pPr>
              <w:pStyle w:val="918"/>
              <w:jc w:val="right"/>
            </w:pPr>
            <w:r>
              <w:t xml:space="preserve">14</w:t>
            </w:r>
          </w:p>
        </w:tc>
        <w:tc>
          <w:tcPr/>
          <w:p>
            <w:pPr>
              <w:pStyle w:val="918"/>
              <w:jc w:val="left"/>
            </w:pPr>
            <w:r>
              <w:t xml:space="preserve">Analítica 29/07/2024 30/07/2024</w:t>
            </w:r>
          </w:p>
        </w:tc>
      </w:tr>
      <w:tr>
        <w:tc>
          <w:tcPr/>
          <w:p>
            <w:pPr>
              <w:pStyle w:val="918"/>
              <w:jc w:val="right"/>
            </w:pPr>
            <w:r>
              <w:t xml:space="preserve">15</w:t>
            </w:r>
          </w:p>
        </w:tc>
        <w:tc>
          <w:tcPr/>
          <w:p>
            <w:pPr>
              <w:pStyle w:val="918"/>
              <w:jc w:val="left"/>
            </w:pPr>
            <w:r>
              <w:t xml:space="preserve">Execução - In loco 20/08/2024 21/08/2024</w:t>
            </w:r>
          </w:p>
        </w:tc>
      </w:tr>
      <w:tr>
        <w:tc>
          <w:tcPr/>
          <w:p>
            <w:pPr>
              <w:pStyle w:val="918"/>
              <w:jc w:val="right"/>
            </w:pPr>
            <w:r>
              <w:t xml:space="preserve">16</w:t>
            </w:r>
          </w:p>
        </w:tc>
        <w:tc>
          <w:tcPr/>
          <w:p>
            <w:pPr>
              <w:pStyle w:val="918"/>
              <w:jc w:val="left"/>
            </w:pPr>
            <w:r>
              <w:t xml:space="preserve">Relatório 26/08/2024 02/09/2024</w:t>
            </w:r>
          </w:p>
        </w:tc>
      </w:tr>
      <w:tr>
        <w:tc>
          <w:tcPr/>
          <w:p>
            <w:pPr>
              <w:pStyle w:val="918"/>
              <w:jc w:val="right"/>
            </w:pPr>
            <w:r>
              <w:t xml:space="preserve">17</w:t>
            </w:r>
          </w:p>
        </w:tc>
        <w:tc>
          <w:tcPr/>
          <w:p>
            <w:pPr>
              <w:pStyle w:val="918"/>
            </w:pPr>
          </w:p>
        </w:tc>
      </w:tr>
      <w:tr>
        <w:tc>
          <w:tcPr/>
          <w:p>
            <w:pPr>
              <w:pStyle w:val="918"/>
              <w:jc w:val="right"/>
            </w:pPr>
            <w:r>
              <w:t xml:space="preserve">18</w:t>
            </w:r>
          </w:p>
        </w:tc>
        <w:tc>
          <w:tcPr/>
          <w:p>
            <w:pPr>
              <w:pStyle w:val="918"/>
            </w:pPr>
          </w:p>
        </w:tc>
      </w:tr>
      <w:tr>
        <w:tc>
          <w:tcPr/>
          <w:p>
            <w:pPr>
              <w:pStyle w:val="918"/>
              <w:jc w:val="right"/>
            </w:pPr>
            <w:r>
              <w:t xml:space="preserve">19</w:t>
            </w:r>
          </w:p>
        </w:tc>
        <w:tc>
          <w:tcPr/>
          <w:p>
            <w:pPr>
              <w:pStyle w:val="918"/>
              <w:jc w:val="left"/>
            </w:pPr>
            <w:r>
              <w:t xml:space="preserve">Gestão do Prestador: Plena</w:t>
            </w:r>
          </w:p>
        </w:tc>
      </w:tr>
      <w:tr>
        <w:tc>
          <w:tcPr/>
          <w:p>
            <w:pPr>
              <w:pStyle w:val="918"/>
              <w:jc w:val="right"/>
            </w:pPr>
            <w:r>
              <w:t xml:space="preserve">20</w:t>
            </w:r>
          </w:p>
        </w:tc>
        <w:tc>
          <w:tcPr/>
          <w:p>
            <w:pPr>
              <w:pStyle w:val="918"/>
              <w:jc w:val="left"/>
            </w:pPr>
            <w:r>
              <w:t xml:space="preserve">Demandante: Componente Federal do SNA</w:t>
            </w:r>
          </w:p>
        </w:tc>
      </w:tr>
      <w:tr>
        <w:tc>
          <w:tcPr/>
          <w:p>
            <w:pPr>
              <w:pStyle w:val="918"/>
              <w:jc w:val="right"/>
            </w:pPr>
            <w:r>
              <w:t xml:space="preserve">21</w:t>
            </w:r>
          </w:p>
        </w:tc>
        <w:tc>
          <w:tcPr/>
          <w:p>
            <w:pPr>
              <w:pStyle w:val="918"/>
              <w:jc w:val="left"/>
            </w:pPr>
            <w:r>
              <w:t xml:space="preserve">Forma: Direta</w:t>
            </w:r>
          </w:p>
        </w:tc>
      </w:tr>
      <w:tr>
        <w:tc>
          <w:tcPr/>
          <w:p>
            <w:pPr>
              <w:pStyle w:val="918"/>
              <w:jc w:val="right"/>
            </w:pPr>
            <w:r>
              <w:t xml:space="preserve">22</w:t>
            </w:r>
          </w:p>
        </w:tc>
        <w:tc>
          <w:tcPr/>
          <w:p>
            <w:pPr>
              <w:pStyle w:val="918"/>
              <w:jc w:val="left"/>
            </w:pPr>
            <w:r>
              <w:t xml:space="preserve">Objeto: .Fora de bloco|Rede de Frio</w:t>
            </w:r>
          </w:p>
        </w:tc>
      </w:tr>
      <w:tr>
        <w:tc>
          <w:tcPr/>
          <w:p>
            <w:pPr>
              <w:pStyle w:val="918"/>
              <w:jc w:val="right"/>
            </w:pPr>
            <w:r>
              <w:t xml:space="preserve">23</w:t>
            </w:r>
          </w:p>
        </w:tc>
        <w:tc>
          <w:tcPr/>
          <w:p>
            <w:pPr>
              <w:pStyle w:val="918"/>
              <w:jc w:val="left"/>
            </w:pPr>
            <w:r>
              <w:t xml:space="preserve">Abrangência: Janeiro/2022 a Junho/2024</w:t>
            </w:r>
          </w:p>
        </w:tc>
      </w:tr>
      <w:tr>
        <w:tc>
          <w:tcPr/>
          <w:p>
            <w:pPr>
              <w:pStyle w:val="918"/>
              <w:jc w:val="right"/>
            </w:pPr>
            <w:r>
              <w:t xml:space="preserve">24</w:t>
            </w:r>
          </w:p>
        </w:tc>
        <w:tc>
          <w:tcPr/>
          <w:p>
            <w:pPr>
              <w:pStyle w:val="918"/>
              <w:jc w:val="left"/>
            </w:pPr>
            <w:r>
              <w:t xml:space="preserve">Nº Protocolo: 25000.109921/2024-43</w:t>
            </w:r>
          </w:p>
        </w:tc>
      </w:tr>
      <w:tr>
        <w:tc>
          <w:tcPr/>
          <w:p>
            <w:pPr>
              <w:pStyle w:val="918"/>
              <w:jc w:val="right"/>
            </w:pPr>
            <w:r>
              <w:t xml:space="preserve">25</w:t>
            </w:r>
          </w:p>
        </w:tc>
        <w:tc>
          <w:tcPr/>
          <w:p>
            <w:pPr>
              <w:pStyle w:val="918"/>
            </w:pPr>
          </w:p>
        </w:tc>
      </w:tr>
      <w:tr>
        <w:tc>
          <w:tcPr/>
          <w:p>
            <w:pPr>
              <w:pStyle w:val="918"/>
              <w:jc w:val="right"/>
            </w:pPr>
            <w:r>
              <w:t xml:space="preserve">26</w:t>
            </w:r>
          </w:p>
        </w:tc>
        <w:tc>
          <w:tcPr/>
          <w:p>
            <w:pPr>
              <w:pStyle w:val="918"/>
            </w:pPr>
          </w:p>
        </w:tc>
      </w:tr>
      <w:tr>
        <w:tc>
          <w:tcPr/>
          <w:p>
            <w:pPr>
              <w:pStyle w:val="918"/>
              <w:jc w:val="right"/>
            </w:pPr>
            <w:r>
              <w:t xml:space="preserve">27</w:t>
            </w:r>
          </w:p>
        </w:tc>
        <w:tc>
          <w:tcPr/>
          <w:p>
            <w:pPr>
              <w:pStyle w:val="918"/>
              <w:jc w:val="left"/>
            </w:pPr>
            <w:r>
              <w:t xml:space="preserve">II - INTRODUÇÃO</w:t>
            </w:r>
          </w:p>
        </w:tc>
      </w:tr>
      <w:tr>
        <w:tc>
          <w:tcPr/>
          <w:p>
            <w:pPr>
              <w:pStyle w:val="918"/>
              <w:jc w:val="right"/>
            </w:pPr>
            <w:r>
              <w:t xml:space="preserve">28</w:t>
            </w:r>
          </w:p>
        </w:tc>
        <w:tc>
          <w:tcPr/>
          <w:p>
            <w:pPr>
              <w:pStyle w:val="918"/>
            </w:pPr>
          </w:p>
        </w:tc>
      </w:tr>
      <w:tr>
        <w:tc>
          <w:tcPr/>
          <w:p>
            <w:pPr>
              <w:pStyle w:val="918"/>
              <w:jc w:val="right"/>
            </w:pPr>
            <w:r>
              <w:t xml:space="preserve">29</w:t>
            </w:r>
          </w:p>
        </w:tc>
        <w:tc>
          <w:tcPr/>
          <w:p>
            <w:pPr>
              <w:pStyle w:val="918"/>
            </w:pPr>
          </w:p>
        </w:tc>
      </w:tr>
      <w:tr>
        <w:tc>
          <w:tcPr/>
          <w:p>
            <w:pPr>
              <w:pStyle w:val="918"/>
              <w:jc w:val="right"/>
            </w:pPr>
            <w:r>
              <w:t xml:space="preserve">30</w:t>
            </w:r>
          </w:p>
        </w:tc>
        <w:tc>
          <w:tcPr/>
          <w:p>
            <w:pPr>
              <w:pStyle w:val="918"/>
            </w:pPr>
          </w:p>
        </w:tc>
      </w:tr>
      <w:tr>
        <w:tc>
          <w:tcPr/>
          <w:p>
            <w:pPr>
              <w:pStyle w:val="918"/>
              <w:jc w:val="right"/>
            </w:pPr>
            <w:r>
              <w:t xml:space="preserve">31</w:t>
            </w:r>
          </w:p>
        </w:tc>
        <w:tc>
          <w:tcPr/>
          <w:p>
            <w:pPr>
              <w:pStyle w:val="918"/>
              <w:jc w:val="left"/>
            </w:pPr>
            <w:r>
              <w:t xml:space="preserve">Esta atividade de auditoria visa atender à demanda do Plano Anual de …</w:t>
            </w:r>
          </w:p>
        </w:tc>
      </w:tr>
      <w:tr>
        <w:tc>
          <w:tcPr/>
          <w:p>
            <w:pPr>
              <w:pStyle w:val="918"/>
              <w:jc w:val="right"/>
            </w:pPr>
            <w:r>
              <w:t xml:space="preserve">32</w:t>
            </w:r>
          </w:p>
        </w:tc>
        <w:tc>
          <w:tcPr/>
          <w:p>
            <w:pPr>
              <w:pStyle w:val="918"/>
              <w:jc w:val="left"/>
            </w:pPr>
            <w:r>
              <w:t xml:space="preserve">Único de Saúde– DenaSUS/MS, realizada na Secretaria Municipal de Saúd…</w:t>
            </w:r>
          </w:p>
        </w:tc>
      </w:tr>
      <w:tr>
        <w:tc>
          <w:tcPr/>
          <w:p>
            <w:pPr>
              <w:pStyle w:val="918"/>
              <w:jc w:val="right"/>
            </w:pPr>
            <w:r>
              <w:t xml:space="preserve">33</w:t>
            </w:r>
          </w:p>
        </w:tc>
        <w:tc>
          <w:tcPr/>
          <w:p>
            <w:pPr>
              <w:pStyle w:val="918"/>
              <w:jc w:val="left"/>
            </w:pPr>
            <w:r>
              <w:t xml:space="preserve">meio de instrumento de trabalho padronizado que visa verificar o Proc…</w:t>
            </w:r>
          </w:p>
        </w:tc>
      </w:tr>
      <w:tr>
        <w:tc>
          <w:tcPr/>
          <w:p>
            <w:pPr>
              <w:pStyle w:val="918"/>
              <w:jc w:val="right"/>
            </w:pPr>
            <w:r>
              <w:t xml:space="preserve">34</w:t>
            </w:r>
          </w:p>
        </w:tc>
        <w:tc>
          <w:tcPr/>
          <w:p>
            <w:pPr>
              <w:pStyle w:val="918"/>
              <w:jc w:val="left"/>
            </w:pPr>
            <w:r>
              <w:t xml:space="preserve">PNI no Município.</w:t>
            </w:r>
          </w:p>
        </w:tc>
      </w:tr>
      <w:tr>
        <w:tc>
          <w:tcPr/>
          <w:p>
            <w:pPr>
              <w:pStyle w:val="918"/>
              <w:jc w:val="right"/>
            </w:pPr>
            <w:r>
              <w:t xml:space="preserve">35</w:t>
            </w:r>
          </w:p>
        </w:tc>
        <w:tc>
          <w:tcPr/>
          <w:p>
            <w:pPr>
              <w:pStyle w:val="918"/>
            </w:pPr>
          </w:p>
        </w:tc>
      </w:tr>
      <w:tr>
        <w:tc>
          <w:tcPr/>
          <w:p>
            <w:pPr>
              <w:pStyle w:val="918"/>
              <w:jc w:val="right"/>
            </w:pPr>
            <w:r>
              <w:t xml:space="preserve">36</w:t>
            </w:r>
          </w:p>
        </w:tc>
        <w:tc>
          <w:tcPr/>
          <w:p>
            <w:pPr>
              <w:pStyle w:val="918"/>
              <w:jc w:val="left"/>
            </w:pPr>
            <w:r>
              <w:t xml:space="preserve">O Programa Nacional de Imunizações - PNI tem como missão reduzir a mo…</w:t>
            </w:r>
          </w:p>
        </w:tc>
      </w:tr>
      <w:tr>
        <w:tc>
          <w:tcPr/>
          <w:p>
            <w:pPr>
              <w:pStyle w:val="918"/>
              <w:jc w:val="right"/>
            </w:pPr>
            <w:r>
              <w:t xml:space="preserve">37</w:t>
            </w:r>
          </w:p>
        </w:tc>
        <w:tc>
          <w:tcPr/>
          <w:p>
            <w:pPr>
              <w:pStyle w:val="918"/>
              <w:jc w:val="left"/>
            </w:pPr>
            <w:r>
              <w:t xml:space="preserve">fortalecimento de ações integradas de vigilância em saúde para promoç…</w:t>
            </w:r>
          </w:p>
        </w:tc>
      </w:tr>
      <w:tr>
        <w:tc>
          <w:tcPr/>
          <w:p>
            <w:pPr>
              <w:pStyle w:val="918"/>
              <w:jc w:val="right"/>
            </w:pPr>
            <w:r>
              <w:t xml:space="preserve">38</w:t>
            </w:r>
          </w:p>
        </w:tc>
        <w:tc>
          <w:tcPr/>
          <w:p>
            <w:pPr>
              <w:pStyle w:val="918"/>
              <w:jc w:val="left"/>
            </w:pPr>
            <w:r>
              <w:t xml:space="preserve">Programa vigente desde 1973, normatizado pela Lei nº 6.259, de 30/10/…</w:t>
            </w:r>
          </w:p>
        </w:tc>
      </w:tr>
      <w:tr>
        <w:tc>
          <w:tcPr/>
          <w:p>
            <w:pPr>
              <w:pStyle w:val="918"/>
              <w:jc w:val="right"/>
            </w:pPr>
            <w:r>
              <w:t xml:space="preserve">39</w:t>
            </w:r>
          </w:p>
        </w:tc>
        <w:tc>
          <w:tcPr/>
          <w:p>
            <w:pPr>
              <w:pStyle w:val="918"/>
              <w:jc w:val="left"/>
            </w:pPr>
            <w:r>
              <w:t xml:space="preserve">das características marcantes do programa é sua abordagem inclusiva, …</w:t>
            </w:r>
          </w:p>
        </w:tc>
      </w:tr>
      <w:tr>
        <w:tc>
          <w:tcPr/>
          <w:p>
            <w:pPr>
              <w:pStyle w:val="918"/>
              <w:jc w:val="right"/>
            </w:pPr>
            <w:r>
              <w:t xml:space="preserve">40</w:t>
            </w:r>
          </w:p>
        </w:tc>
        <w:tc>
          <w:tcPr/>
          <w:p>
            <w:pPr>
              <w:pStyle w:val="918"/>
            </w:pPr>
          </w:p>
        </w:tc>
      </w:tr>
      <w:tr>
        <w:tc>
          <w:tcPr/>
          <w:p>
            <w:pPr>
              <w:pStyle w:val="918"/>
              <w:jc w:val="right"/>
            </w:pPr>
            <w:r>
              <w:t xml:space="preserve">41</w:t>
            </w:r>
          </w:p>
        </w:tc>
        <w:tc>
          <w:tcPr/>
          <w:p>
            <w:pPr>
              <w:pStyle w:val="918"/>
              <w:jc w:val="left"/>
            </w:pPr>
            <w:r>
              <w:t xml:space="preserve">A Rede de Frio é um sistema amplo, inclui estrutura técnico-administr…</w:t>
            </w:r>
          </w:p>
        </w:tc>
      </w:tr>
      <w:tr>
        <w:tc>
          <w:tcPr/>
          <w:p>
            <w:pPr>
              <w:pStyle w:val="918"/>
              <w:jc w:val="right"/>
            </w:pPr>
            <w:r>
              <w:t xml:space="preserve">42</w:t>
            </w:r>
          </w:p>
        </w:tc>
        <w:tc>
          <w:tcPr/>
          <w:p>
            <w:pPr>
              <w:pStyle w:val="918"/>
              <w:jc w:val="left"/>
            </w:pPr>
            <w:r>
              <w:t xml:space="preserve">avaliação e financiamento que visa à manutenção adequada da Cadeia de…</w:t>
            </w:r>
          </w:p>
        </w:tc>
      </w:tr>
      <w:tr>
        <w:tc>
          <w:tcPr/>
          <w:p>
            <w:pPr>
              <w:pStyle w:val="918"/>
              <w:jc w:val="right"/>
            </w:pPr>
            <w:r>
              <w:t xml:space="preserve">43</w:t>
            </w:r>
          </w:p>
        </w:tc>
        <w:tc>
          <w:tcPr/>
          <w:p>
            <w:pPr>
              <w:pStyle w:val="918"/>
              <w:jc w:val="left"/>
            </w:pPr>
            <w:r>
              <w:t xml:space="preserve">desempenha papel primordial para garantir que os imunobiológicos seja…</w:t>
            </w:r>
          </w:p>
        </w:tc>
      </w:tr>
      <w:tr>
        <w:tc>
          <w:tcPr/>
          <w:p>
            <w:pPr>
              <w:pStyle w:val="918"/>
              <w:jc w:val="right"/>
            </w:pPr>
            <w:r>
              <w:t xml:space="preserve">44</w:t>
            </w:r>
          </w:p>
        </w:tc>
        <w:tc>
          <w:tcPr/>
          <w:p>
            <w:pPr>
              <w:pStyle w:val="918"/>
              <w:jc w:val="left"/>
            </w:pPr>
            <w:r>
              <w:t xml:space="preserve">é o processo logístico da Rede de Frio para conservação dos imunobiol…</w:t>
            </w:r>
          </w:p>
        </w:tc>
      </w:tr>
      <w:tr>
        <w:tc>
          <w:tcPr/>
          <w:p>
            <w:pPr>
              <w:pStyle w:val="918"/>
              <w:jc w:val="right"/>
            </w:pPr>
            <w:r>
              <w:t xml:space="preserve">45</w:t>
            </w:r>
          </w:p>
        </w:tc>
        <w:tc>
          <w:tcPr/>
          <w:p>
            <w:pPr>
              <w:pStyle w:val="918"/>
              <w:jc w:val="left"/>
            </w:pPr>
            <w:r>
              <w:t xml:space="preserve">de recebimento, armazenamento, distribuição e transporte, de forma op…</w:t>
            </w:r>
          </w:p>
        </w:tc>
      </w:tr>
      <w:tr>
        <w:tc>
          <w:tcPr/>
          <w:p>
            <w:pPr>
              <w:pStyle w:val="918"/>
              <w:jc w:val="right"/>
            </w:pPr>
            <w:r>
              <w:t xml:space="preserve">46</w:t>
            </w:r>
          </w:p>
        </w:tc>
        <w:tc>
          <w:tcPr/>
          <w:p>
            <w:pPr>
              <w:pStyle w:val="918"/>
              <w:jc w:val="left"/>
            </w:pPr>
            <w:r>
              <w:t xml:space="preserve">características originais. A estrutura de distribuição é apoiada na p…</w:t>
            </w:r>
          </w:p>
        </w:tc>
      </w:tr>
      <w:tr>
        <w:tc>
          <w:tcPr/>
          <w:p>
            <w:pPr>
              <w:pStyle w:val="918"/>
              <w:jc w:val="right"/>
            </w:pPr>
            <w:r>
              <w:t xml:space="preserve">47</w:t>
            </w:r>
          </w:p>
        </w:tc>
        <w:tc>
          <w:tcPr/>
          <w:p>
            <w:pPr>
              <w:pStyle w:val="918"/>
              <w:jc w:val="left"/>
            </w:pPr>
            <w:r>
              <w:t xml:space="preserve">adequado e a distribuição tempestiva das vacinas e demais imunobiológ…</w:t>
            </w:r>
          </w:p>
        </w:tc>
      </w:tr>
      <w:tr>
        <w:tc>
          <w:tcPr/>
          <w:p>
            <w:pPr>
              <w:pStyle w:val="918"/>
              <w:jc w:val="right"/>
            </w:pPr>
            <w:r>
              <w:t xml:space="preserve">48</w:t>
            </w:r>
          </w:p>
        </w:tc>
        <w:tc>
          <w:tcPr/>
          <w:p>
            <w:pPr>
              <w:pStyle w:val="918"/>
            </w:pPr>
          </w:p>
        </w:tc>
      </w:tr>
      <w:tr>
        <w:tc>
          <w:tcPr/>
          <w:p>
            <w:pPr>
              <w:pStyle w:val="918"/>
              <w:jc w:val="right"/>
            </w:pPr>
            <w:r>
              <w:t xml:space="preserve">49</w:t>
            </w:r>
          </w:p>
        </w:tc>
        <w:tc>
          <w:tcPr/>
          <w:p>
            <w:pPr>
              <w:pStyle w:val="918"/>
              <w:jc w:val="left"/>
            </w:pPr>
            <w:r>
              <w:t xml:space="preserve">O Município de Lauro de Freitas/BA alçou à categoria de município em …</w:t>
            </w:r>
          </w:p>
        </w:tc>
      </w:tr>
      <w:tr>
        <w:tc>
          <w:tcPr/>
          <w:p>
            <w:pPr>
              <w:pStyle w:val="918"/>
              <w:jc w:val="right"/>
            </w:pPr>
            <w:r>
              <w:t xml:space="preserve">50</w:t>
            </w:r>
          </w:p>
        </w:tc>
        <w:tc>
          <w:tcPr/>
          <w:p>
            <w:pPr>
              <w:pStyle w:val="918"/>
              <w:jc w:val="left"/>
            </w:pPr>
            <w:r>
              <w:t xml:space="preserve">região do Litoral Norte da Bahia, divisa com a capital do Estado, Sal…</w:t>
            </w:r>
          </w:p>
        </w:tc>
      </w:tr>
      <w:tr>
        <w:tc>
          <w:tcPr/>
          <w:p>
            <w:pPr>
              <w:pStyle w:val="918"/>
              <w:jc w:val="right"/>
            </w:pPr>
            <w:r>
              <w:t xml:space="preserve">51</w:t>
            </w:r>
          </w:p>
        </w:tc>
        <w:tc>
          <w:tcPr/>
          <w:p>
            <w:pPr>
              <w:pStyle w:val="918"/>
              <w:jc w:val="left"/>
            </w:pPr>
            <w:r>
              <w:t xml:space="preserve">junto aos municípios de Camaçari, Entre Rios, Jandaíra, Conde e Mata …</w:t>
            </w:r>
          </w:p>
        </w:tc>
      </w:tr>
      <w:tr>
        <w:tc>
          <w:tcPr/>
          <w:p>
            <w:pPr>
              <w:pStyle w:val="918"/>
              <w:jc w:val="right"/>
            </w:pPr>
            <w:r>
              <w:t xml:space="preserve">52</w:t>
            </w:r>
          </w:p>
        </w:tc>
        <w:tc>
          <w:tcPr/>
          <w:p>
            <w:pPr>
              <w:pStyle w:val="918"/>
              <w:jc w:val="left"/>
            </w:pPr>
            <w:r>
              <w:t xml:space="preserve">densidade demográfica (número de habitantes pela área territorial) é …</w:t>
            </w:r>
          </w:p>
        </w:tc>
      </w:tr>
      <w:tr>
        <w:tc>
          <w:tcPr/>
          <w:p>
            <w:pPr>
              <w:pStyle w:val="918"/>
              <w:jc w:val="right"/>
            </w:pPr>
            <w:r>
              <w:t xml:space="preserve">53</w:t>
            </w:r>
          </w:p>
        </w:tc>
        <w:tc>
          <w:tcPr/>
          <w:p>
            <w:pPr>
              <w:pStyle w:val="918"/>
              <w:jc w:val="left"/>
            </w:pPr>
            <w:r>
              <w:t xml:space="preserve">km²) quase a mesma da Capital Salvador com 3.486,49 habitantes por Km…</w:t>
            </w:r>
          </w:p>
        </w:tc>
      </w:tr>
      <w:tr>
        <w:tc>
          <w:tcPr/>
          <w:p>
            <w:pPr>
              <w:pStyle w:val="918"/>
              <w:jc w:val="right"/>
            </w:pPr>
            <w:r>
              <w:t xml:space="preserve">54</w:t>
            </w:r>
          </w:p>
        </w:tc>
        <w:tc>
          <w:tcPr/>
          <w:p>
            <w:pPr>
              <w:pStyle w:val="918"/>
              <w:jc w:val="left"/>
            </w:pPr>
            <w:r>
              <w:t xml:space="preserve">ocupando a 416ª colocação dentre os 417 municípios (Apêndice A).</w:t>
            </w:r>
          </w:p>
        </w:tc>
      </w:tr>
      <w:tr>
        <w:tc>
          <w:tcPr/>
          <w:p>
            <w:pPr>
              <w:pStyle w:val="918"/>
              <w:jc w:val="right"/>
            </w:pPr>
            <w:r>
              <w:t xml:space="preserve">55</w:t>
            </w:r>
          </w:p>
        </w:tc>
        <w:tc>
          <w:tcPr/>
          <w:p>
            <w:pPr>
              <w:pStyle w:val="918"/>
            </w:pPr>
          </w:p>
        </w:tc>
      </w:tr>
      <w:tr>
        <w:tc>
          <w:tcPr/>
          <w:p>
            <w:pPr>
              <w:pStyle w:val="918"/>
              <w:jc w:val="right"/>
            </w:pPr>
            <w:r>
              <w:t xml:space="preserve">56</w:t>
            </w:r>
          </w:p>
        </w:tc>
        <w:tc>
          <w:tcPr/>
          <w:p>
            <w:pPr>
              <w:pStyle w:val="918"/>
              <w:jc w:val="left"/>
            </w:pPr>
            <w:r>
              <w:t xml:space="preserve">A Central Municipal de Rede de Frio (CMRF) integra fisicamente a Cent…</w:t>
            </w:r>
          </w:p>
        </w:tc>
      </w:tr>
      <w:tr>
        <w:tc>
          <w:tcPr/>
          <w:p>
            <w:pPr>
              <w:pStyle w:val="918"/>
              <w:jc w:val="right"/>
            </w:pPr>
            <w:r>
              <w:t xml:space="preserve">57</w:t>
            </w:r>
          </w:p>
        </w:tc>
        <w:tc>
          <w:tcPr/>
          <w:p>
            <w:pPr>
              <w:pStyle w:val="918"/>
              <w:jc w:val="left"/>
            </w:pPr>
            <w:r>
              <w:t xml:space="preserve">do Secretário, o Conselho Municipal de Saúde, a Regulação, a Ouvidori…</w:t>
            </w:r>
          </w:p>
        </w:tc>
      </w:tr>
      <w:tr>
        <w:tc>
          <w:tcPr/>
          <w:p>
            <w:pPr>
              <w:pStyle w:val="918"/>
              <w:jc w:val="right"/>
            </w:pPr>
            <w:r>
              <w:t xml:space="preserve">58</w:t>
            </w:r>
          </w:p>
        </w:tc>
        <w:tc>
          <w:tcPr/>
          <w:p>
            <w:pPr>
              <w:pStyle w:val="918"/>
              <w:jc w:val="left"/>
            </w:pPr>
            <w:r>
              <w:t xml:space="preserve">própria com gerador elétrico, e recebeu recursos para aquisição de eq…</w:t>
            </w:r>
          </w:p>
        </w:tc>
      </w:tr>
      <w:tr>
        <w:tc>
          <w:tcPr/>
          <w:p>
            <w:pPr>
              <w:pStyle w:val="918"/>
              <w:jc w:val="right"/>
            </w:pPr>
            <w:r>
              <w:t xml:space="preserve">59</w:t>
            </w:r>
          </w:p>
        </w:tc>
        <w:tc>
          <w:tcPr/>
          <w:p>
            <w:pPr>
              <w:pStyle w:val="918"/>
            </w:pPr>
          </w:p>
        </w:tc>
      </w:tr>
      <w:tr>
        <w:tc>
          <w:tcPr/>
          <w:p>
            <w:pPr>
              <w:pStyle w:val="918"/>
              <w:jc w:val="right"/>
            </w:pPr>
            <w:r>
              <w:t xml:space="preserve">60</w:t>
            </w:r>
          </w:p>
        </w:tc>
        <w:tc>
          <w:tcPr/>
          <w:p>
            <w:pPr>
              <w:pStyle w:val="918"/>
            </w:pPr>
          </w:p>
        </w:tc>
      </w:tr>
      <w:tr>
        <w:tc>
          <w:tcPr/>
          <w:p>
            <w:pPr>
              <w:pStyle w:val="918"/>
              <w:jc w:val="right"/>
            </w:pPr>
            <w:r>
              <w:t xml:space="preserve">61</w:t>
            </w:r>
          </w:p>
        </w:tc>
        <w:tc>
          <w:tcPr/>
          <w:p>
            <w:pPr>
              <w:pStyle w:val="918"/>
              <w:jc w:val="left"/>
            </w:pPr>
            <w:r>
              <w:t xml:space="preserve">Gerado em: 20/12/2024 - 10:59:00 Página 1 de 30 Fonte: Sisaud/SUS</w:t>
            </w:r>
          </w:p>
        </w:tc>
      </w:tr>
      <w:tr>
        <w:tc>
          <w:tcPr/>
          <w:p>
            <w:pPr>
              <w:pStyle w:val="918"/>
              <w:jc w:val="right"/>
            </w:pPr>
            <w:r>
              <w:t xml:space="preserve">62</w:t>
            </w:r>
          </w:p>
        </w:tc>
        <w:tc>
          <w:tcPr/>
          <w:p>
            <w:pPr>
              <w:pStyle w:val="918"/>
            </w:pPr>
          </w:p>
        </w:tc>
      </w:tr>
      <w:tr>
        <w:tc>
          <w:tcPr/>
          <w:p>
            <w:pPr>
              <w:pStyle w:val="918"/>
              <w:jc w:val="right"/>
            </w:pPr>
            <w:r>
              <w:t xml:space="preserve">63</w:t>
            </w:r>
          </w:p>
        </w:tc>
        <w:tc>
          <w:tcPr/>
          <w:p>
            <w:pPr>
              <w:pStyle w:val="918"/>
              <w:jc w:val="left"/>
            </w:pPr>
            <w:r>
              <w:t xml:space="preserve">Auditoria nº</w:t>
            </w:r>
          </w:p>
        </w:tc>
      </w:tr>
      <w:tr>
        <w:tc>
          <w:tcPr/>
          <w:p>
            <w:pPr>
              <w:pStyle w:val="918"/>
              <w:jc w:val="right"/>
            </w:pPr>
            <w:r>
              <w:t xml:space="preserve">64</w:t>
            </w:r>
          </w:p>
        </w:tc>
        <w:tc>
          <w:tcPr/>
          <w:p>
            <w:pPr>
              <w:pStyle w:val="918"/>
              <w:jc w:val="left"/>
            </w:pPr>
            <w:r>
              <w:t xml:space="preserve">Atividade homologada e encerrada em: 20/12/2024 por Sidney Richardson…</w:t>
            </w:r>
          </w:p>
        </w:tc>
      </w:tr>
      <w:tr>
        <w:tc>
          <w:tcPr/>
          <w:p>
            <w:pPr>
              <w:pStyle w:val="918"/>
              <w:jc w:val="right"/>
            </w:pPr>
            <w:r>
              <w:t xml:space="preserve">65</w:t>
            </w:r>
          </w:p>
        </w:tc>
        <w:tc>
          <w:tcPr/>
          <w:p>
            <w:pPr>
              <w:pStyle w:val="918"/>
              <w:jc w:val="left"/>
            </w:pPr>
            <w:r>
              <w:t xml:space="preserve">19783</w:t>
            </w:r>
          </w:p>
        </w:tc>
      </w:tr>
      <w:tr>
        <w:tc>
          <w:tcPr/>
          <w:p>
            <w:pPr>
              <w:pStyle w:val="918"/>
              <w:jc w:val="right"/>
            </w:pPr>
            <w:r>
              <w:t xml:space="preserve">66</w:t>
            </w:r>
          </w:p>
        </w:tc>
        <w:tc>
          <w:tcPr/>
          <w:p>
            <w:pPr>
              <w:pStyle w:val="918"/>
            </w:pPr>
          </w:p>
        </w:tc>
      </w:tr>
    </w:tbl>
    <w:p>
      <w:pPr>
        <w:pStyle w:val="916"/>
      </w:pPr>
      <w:r>
        <w:t xml:space="preserve">A tabela acima demonstra que o arquivo 19783_1.pdf iniciava diretamente na seção</w:t>
      </w:r>
      <w:r>
        <w:t xml:space="preserve"> </w:t>
      </w:r>
      <w:r>
        <w:t xml:space="preserve">“I — DADOS BÁSICOS”</w:t>
      </w:r>
      <w:r>
        <w:t xml:space="preserve">, a qual parece compor uma estrutura padronizada nos relatórios. No rodapé dessa página, identificou-se que ela correspondia à página 1. Observou-se ainda que essa seção apresentava informações como o município auditado e a entidade responsável, enquanto o número da auditoria constava apenas no rodapé.</w:t>
      </w:r>
    </w:p>
    <w:p>
      <w:pPr>
        <w:pStyle w:val="916"/>
      </w:pPr>
      <w:r>
        <w:t xml:space="preserve">Com isso, confirmou-se que apenas esse documento não continha a seção de sumário, que, nos demais casos, aparecia consistentemente na segunda página. Dessa forma, pôde-se inferir com segurança que o arquivo 19783_1.pdf era o único, entre os analisados, que não dispunha de uma capa.</w:t>
      </w:r>
    </w:p>
    <w:p>
      <w:pPr>
        <w:pStyle w:val="SourceCode"/>
      </w:pPr>
      <w:r>
        <w:rPr>
          <w:rStyle w:val="949"/>
        </w:rPr>
        <w:t xml:space="preserve">textos_relatorios |&gt; </w:t>
      </w:r>
      <w:r>
        <w:br/>
      </w:r>
      <w:r>
        <w:rPr>
          <w:rStyle w:val="949"/>
        </w:rPr>
        <w:t xml:space="preserve">mutate(`Página Dados Básicos` = if_else(Linha == "I - DADOS BÁSICOS", `# Página`, 0)) |&gt;</w:t>
      </w:r>
      <w:r>
        <w:br/>
      </w:r>
      <w:r>
        <w:rPr>
          <w:rStyle w:val="949"/>
        </w:rPr>
        <w:t xml:space="preserve">summarise(</w:t>
      </w:r>
      <w:r>
        <w:br/>
      </w:r>
      <w:r>
        <w:rPr>
          <w:rStyle w:val="949"/>
        </w:rPr>
        <w:t xml:space="preserve">    `Max Página Dados Básicos` = max(`Página Dados Básicos`),</w:t>
      </w:r>
      <w:r>
        <w:br/>
      </w:r>
      <w:r>
        <w:rPr>
          <w:rStyle w:val="949"/>
        </w:rPr>
        <w:t xml:space="preserve">    .by = `Arquivo`</w:t>
      </w:r>
      <w:r>
        <w:br/>
      </w:r>
      <w:r>
        <w:rPr>
          <w:rStyle w:val="949"/>
        </w:rPr>
        <w:t xml:space="preserve">) |&gt;</w:t>
      </w:r>
      <w:r>
        <w:br/>
      </w:r>
      <w:r>
        <w:rPr>
          <w:rStyle w:val="949"/>
        </w:rPr>
        <w:t xml:space="preserve">summarise(</w:t>
      </w:r>
      <w:r>
        <w:br/>
      </w:r>
      <w:r>
        <w:rPr>
          <w:rStyle w:val="949"/>
        </w:rPr>
        <w:t xml:space="preserve">    Arquivos = n_distinct(Arquivo),</w:t>
      </w:r>
      <w:r>
        <w:br/>
      </w:r>
      <w:r>
        <w:rPr>
          <w:rStyle w:val="949"/>
        </w:rPr>
        <w:t xml:space="preserve">    .by = `Max Página Dados Básicos`</w:t>
      </w:r>
      <w:r>
        <w:br/>
      </w:r>
      <w:r>
        <w:rPr>
          <w:rStyle w:val="949"/>
        </w:rPr>
        <w:t xml:space="preserve">) |&gt;</w:t>
      </w:r>
      <w:r>
        <w:br/>
      </w:r>
      <w:r>
        <w:rPr>
          <w:rStyle w:val="949"/>
        </w:rPr>
        <w:t xml:space="preserve">knitr::kable()</w:t>
      </w:r>
    </w:p>
    <w:p>
      <w:pPr>
        <w:pStyle w:val="944"/>
      </w:pPr>
      <w:r>
        <w:t xml:space="preserve">Página ocorrência seção DADOS BÁSICOS</w:t>
      </w:r>
    </w:p>
    <w:tbl>
      <w:tblPr>
        <w:tblStyle w:val="Table"/>
        <w:tblW w:type="pct" w:w="4865"/>
        <w:tblLayout w:type="fixed"/>
        <w:tblLook w:firstRow="1" w:lastRow="0" w:firstColumn="0" w:lastColumn="0" w:noHBand="0" w:noVBand="0" w:val="0020"/>
        <w:tblCaption w:val="Página ocorrência seção DADOS BÁSICOS"/>
      </w:tblPr>
      <w:tblGrid>
        <w:gridCol w:w="5458"/>
        <w:gridCol w:w="2247"/>
      </w:tblGrid>
      <w:tr>
        <w:trPr>
          <w:tblHeader w:val="on"/>
        </w:trPr>
        <w:tc>
          <w:tcPr/>
          <w:p>
            <w:pPr>
              <w:pStyle w:val="918"/>
              <w:jc w:val="right"/>
            </w:pPr>
            <w:r>
              <w:t xml:space="preserve">Max Página Dados Básicos</w:t>
            </w:r>
          </w:p>
        </w:tc>
        <w:tc>
          <w:tcPr/>
          <w:p>
            <w:pPr>
              <w:pStyle w:val="918"/>
              <w:jc w:val="right"/>
            </w:pPr>
            <w:r>
              <w:t xml:space="preserve">Arquivos</w:t>
            </w:r>
          </w:p>
        </w:tc>
      </w:tr>
      <w:tr>
        <w:tc>
          <w:tcPr/>
          <w:p>
            <w:pPr>
              <w:pStyle w:val="918"/>
              <w:jc w:val="right"/>
            </w:pPr>
            <w:r>
              <w:t xml:space="preserve">3</w:t>
            </w:r>
          </w:p>
        </w:tc>
        <w:tc>
          <w:tcPr/>
          <w:p>
            <w:pPr>
              <w:pStyle w:val="918"/>
              <w:jc w:val="right"/>
            </w:pPr>
            <w:r>
              <w:t xml:space="preserve">398</w:t>
            </w:r>
          </w:p>
        </w:tc>
      </w:tr>
      <w:tr>
        <w:tc>
          <w:tcPr/>
          <w:p>
            <w:pPr>
              <w:pStyle w:val="918"/>
              <w:jc w:val="right"/>
            </w:pPr>
            <w:r>
              <w:t xml:space="preserve">1</w:t>
            </w:r>
          </w:p>
        </w:tc>
        <w:tc>
          <w:tcPr/>
          <w:p>
            <w:pPr>
              <w:pStyle w:val="918"/>
              <w:jc w:val="right"/>
            </w:pPr>
            <w:r>
              <w:t xml:space="preserve">1</w:t>
            </w:r>
          </w:p>
        </w:tc>
      </w:tr>
    </w:tbl>
    <w:p>
      <w:pPr>
        <w:pStyle w:val="916"/>
      </w:pPr>
      <w:r>
        <w:t xml:space="preserve">Conforme evidenciado na tabela acima, a seção</w:t>
      </w:r>
      <w:r>
        <w:t xml:space="preserve"> </w:t>
      </w:r>
      <w:r>
        <w:t xml:space="preserve">“I — DADOS BÁSICOS”</w:t>
      </w:r>
      <w:r>
        <w:t xml:space="preserve"> </w:t>
      </w:r>
      <w:r>
        <w:t xml:space="preserve">foi identificada em todos os arquivos, sempre localizada na página 3 — com exceção do documento sem sumário, no qual essa seção apareceu já na página 1.</w:t>
      </w:r>
    </w:p>
    <w:p>
      <w:pPr>
        <w:pStyle w:val="916"/>
      </w:pPr>
      <w:r>
        <w:t xml:space="preserve">Em relação ao sumário, cuja estrutura se mostrou consistente entre os arquivos, foi possível extrair a data de geração do arquivo, que é útil para fins de reprodutibilidade (partindo-se da hipótese de que esses arquivos podem ser corrigidos e regerados em uma data posterior), bem como o número da auditoria, necessário para validar que o nome do arquivo está consistente com seu conteúdo, além da paginação lógica, que pode servir para validar a inexistência de páginas faltantes nos arquivos.</w:t>
      </w:r>
    </w:p>
    <w:p>
      <w:pPr>
        <w:pStyle w:val="SourceCode"/>
      </w:pPr>
      <w:r>
        <w:rPr>
          <w:rStyle w:val="949"/>
        </w:rPr>
        <w:t xml:space="preserve">regex_dados_rodape &lt;- stringr::regex("^Gerado em\\: ([0-9/]{10}) \\- ([0-9\\:]{8}) P.gina (\\d{1,}) de (\\d{1,}).*")</w:t>
      </w:r>
      <w:r>
        <w:br/>
      </w:r>
      <w:r>
        <w:br/>
      </w:r>
      <w:r>
        <w:rPr>
          <w:rStyle w:val="949"/>
        </w:rPr>
        <w:t xml:space="preserve">detecta_rodape &lt;- \(df)</w:t>
      </w:r>
      <w:r>
        <w:br/>
      </w:r>
      <w:r>
        <w:rPr>
          <w:rStyle w:val="949"/>
        </w:rPr>
        <w:t xml:space="preserve">    df |&gt;</w:t>
      </w:r>
      <w:r>
        <w:br/>
      </w:r>
      <w:r>
        <w:rPr>
          <w:rStyle w:val="949"/>
        </w:rPr>
        <w:t xml:space="preserve">    mutate(</w:t>
      </w:r>
      <w:r>
        <w:br/>
      </w:r>
      <w:r>
        <w:rPr>
          <w:rStyle w:val="949"/>
        </w:rPr>
        <w:t xml:space="preserve">      `Rodapé?` = str_detect(Linha, regex_dados_rodape),</w:t>
      </w:r>
      <w:r>
        <w:br/>
      </w:r>
      <w:r>
        <w:rPr>
          <w:rStyle w:val="949"/>
        </w:rPr>
        <w:t xml:space="preserve">      `Linha Início Rodapé` = if_else(`Rodapé?`, `# Linha`, 0)) |&gt;</w:t>
      </w:r>
      <w:r>
        <w:br/>
      </w:r>
      <w:r>
        <w:rPr>
          <w:rStyle w:val="949"/>
        </w:rPr>
        <w:t xml:space="preserve">    mutate(</w:t>
      </w:r>
      <w:r>
        <w:br/>
      </w:r>
      <w:r>
        <w:rPr>
          <w:rStyle w:val="949"/>
        </w:rPr>
        <w:t xml:space="preserve">      `Rodapé?` = cummax(`Rodapé?`), </w:t>
      </w:r>
      <w:r>
        <w:br/>
      </w:r>
      <w:r>
        <w:rPr>
          <w:rStyle w:val="949"/>
        </w:rPr>
        <w:t xml:space="preserve">      `Rodapé?` = `Rodapé?` == 1,</w:t>
      </w:r>
      <w:r>
        <w:br/>
      </w:r>
      <w:r>
        <w:rPr>
          <w:rStyle w:val="949"/>
        </w:rPr>
        <w:t xml:space="preserve">      .by = c(Arquivo, `# Página`))</w:t>
      </w:r>
      <w:r>
        <w:br/>
      </w:r>
      <w:r>
        <w:br/>
      </w:r>
      <w:r>
        <w:rPr>
          <w:rStyle w:val="949"/>
        </w:rPr>
        <w:t xml:space="preserve">dados_rodape &lt;- textos_relatorios |&gt; </w:t>
      </w:r>
      <w:r>
        <w:br/>
      </w:r>
      <w:r>
        <w:rPr>
          <w:rStyle w:val="949"/>
        </w:rPr>
        <w:t xml:space="preserve">    detecta_rodape() |&gt;</w:t>
      </w:r>
      <w:r>
        <w:br/>
      </w:r>
      <w:r>
        <w:rPr>
          <w:rStyle w:val="949"/>
        </w:rPr>
        <w:t xml:space="preserve">    filter(`Linha Início Rodapé` &gt; 0) |&gt;</w:t>
      </w:r>
      <w:r>
        <w:br/>
      </w:r>
      <w:r>
        <w:rPr>
          <w:rStyle w:val="949"/>
        </w:rPr>
        <w:t xml:space="preserve">    select(Arquivo, Linha) |&gt;</w:t>
      </w:r>
      <w:r>
        <w:br/>
      </w:r>
      <w:r>
        <w:rPr>
          <w:rStyle w:val="949"/>
        </w:rPr>
        <w:t xml:space="preserve">    separate_wider_regex(Linha, patterns = c(</w:t>
      </w:r>
      <w:r>
        <w:br/>
      </w:r>
      <w:r>
        <w:rPr>
          <w:rStyle w:val="949"/>
        </w:rPr>
        <w:t xml:space="preserve">        ".*?",</w:t>
      </w:r>
      <w:r>
        <w:br/>
      </w:r>
      <w:r>
        <w:rPr>
          <w:rStyle w:val="949"/>
        </w:rPr>
        <w:t xml:space="preserve">        Data = "[0-9/]{10}", </w:t>
      </w:r>
      <w:r>
        <w:br/>
      </w:r>
      <w:r>
        <w:rPr>
          <w:rStyle w:val="949"/>
        </w:rPr>
        <w:t xml:space="preserve">        " - ", </w:t>
      </w:r>
      <w:r>
        <w:br/>
      </w:r>
      <w:r>
        <w:rPr>
          <w:rStyle w:val="949"/>
        </w:rPr>
        <w:t xml:space="preserve">        Hora = "[0-9\\:]{8}",</w:t>
      </w:r>
      <w:r>
        <w:br/>
      </w:r>
      <w:r>
        <w:rPr>
          <w:rStyle w:val="949"/>
        </w:rPr>
        <w:t xml:space="preserve">        " P.gina ",</w:t>
      </w:r>
      <w:r>
        <w:br/>
      </w:r>
      <w:r>
        <w:rPr>
          <w:rStyle w:val="949"/>
        </w:rPr>
        <w:t xml:space="preserve">        `# Página Lógica` = "\\d{1,}",</w:t>
      </w:r>
      <w:r>
        <w:br/>
      </w:r>
      <w:r>
        <w:rPr>
          <w:rStyle w:val="949"/>
        </w:rPr>
        <w:t xml:space="preserve">        " de ",</w:t>
      </w:r>
      <w:r>
        <w:br/>
      </w:r>
      <w:r>
        <w:rPr>
          <w:rStyle w:val="949"/>
        </w:rPr>
        <w:t xml:space="preserve">        `Total Páginas Lógicas` = "\\d{1,}",</w:t>
      </w:r>
      <w:r>
        <w:br/>
      </w:r>
      <w:r>
        <w:rPr>
          <w:rStyle w:val="949"/>
        </w:rPr>
        <w:t xml:space="preserve">        ".*")) |&gt;</w:t>
      </w:r>
      <w:r>
        <w:br/>
      </w:r>
      <w:r>
        <w:rPr>
          <w:rStyle w:val="949"/>
        </w:rPr>
        <w:t xml:space="preserve">    mutate(</w:t>
      </w:r>
      <w:r>
        <w:br/>
      </w:r>
      <w:r>
        <w:rPr>
          <w:rStyle w:val="949"/>
        </w:rPr>
        <w:t xml:space="preserve">      Data = dmy(Data),</w:t>
      </w:r>
      <w:r>
        <w:br/>
      </w:r>
      <w:r>
        <w:rPr>
          <w:rStyle w:val="949"/>
        </w:rPr>
        <w:t xml:space="preserve">      Hora = hms(Hora),</w:t>
      </w:r>
      <w:r>
        <w:br/>
      </w:r>
      <w:r>
        <w:rPr>
          <w:rStyle w:val="949"/>
        </w:rPr>
        <w:t xml:space="preserve">      `# Página Lógica` = as.integer(`# Página Lógica`),</w:t>
      </w:r>
      <w:r>
        <w:br/>
      </w:r>
      <w:r>
        <w:rPr>
          <w:rStyle w:val="949"/>
        </w:rPr>
        <w:t xml:space="preserve">      `Qtd Páginas Lógicas` = as.integer(`Total Páginas Lógicas`)</w:t>
      </w:r>
      <w:r>
        <w:br/>
      </w:r>
      <w:r>
        <w:rPr>
          <w:rStyle w:val="949"/>
        </w:rPr>
        <w:t xml:space="preserve">    )</w:t>
      </w:r>
      <w:r>
        <w:br/>
      </w:r>
      <w:r>
        <w:br/>
      </w:r>
      <w:r>
        <w:rPr>
          <w:rStyle w:val="949"/>
        </w:rPr>
        <w:t xml:space="preserve">arquivos_paginas_inconsistentes &lt;- textos_relatorios |&gt;</w:t>
      </w:r>
      <w:r>
        <w:br/>
      </w:r>
      <w:r>
        <w:rPr>
          <w:rStyle w:val="949"/>
        </w:rPr>
        <w:t xml:space="preserve">    select(Arquivo, `# Página`, `Qtd Páginas`) |&gt;</w:t>
      </w:r>
      <w:r>
        <w:br/>
      </w:r>
      <w:r>
        <w:rPr>
          <w:rStyle w:val="949"/>
        </w:rPr>
        <w:t xml:space="preserve">    filter(`# Página` &gt; 1 | Arquivo == arquivo_sem_sumario) |&gt;</w:t>
      </w:r>
      <w:r>
        <w:br/>
      </w:r>
      <w:r>
        <w:rPr>
          <w:rStyle w:val="949"/>
        </w:rPr>
        <w:t xml:space="preserve">    distinct() |&gt;</w:t>
      </w:r>
      <w:r>
        <w:br/>
      </w:r>
      <w:r>
        <w:rPr>
          <w:rStyle w:val="949"/>
        </w:rPr>
        <w:t xml:space="preserve">    left_join(</w:t>
      </w:r>
      <w:r>
        <w:br/>
      </w:r>
      <w:r>
        <w:rPr>
          <w:rStyle w:val="949"/>
        </w:rPr>
        <w:t xml:space="preserve">        dados_rodape,</w:t>
      </w:r>
      <w:r>
        <w:br/>
      </w:r>
      <w:r>
        <w:rPr>
          <w:rStyle w:val="949"/>
        </w:rPr>
        <w:t xml:space="preserve">        by = c(</w:t>
      </w:r>
      <w:r>
        <w:br/>
      </w:r>
      <w:r>
        <w:rPr>
          <w:rStyle w:val="949"/>
        </w:rPr>
        <w:t xml:space="preserve">            "Arquivo",</w:t>
      </w:r>
      <w:r>
        <w:br/>
      </w:r>
      <w:r>
        <w:rPr>
          <w:rStyle w:val="949"/>
        </w:rPr>
        <w:t xml:space="preserve">            "# Página" = "# Página Lógica"</w:t>
      </w:r>
      <w:r>
        <w:br/>
      </w:r>
      <w:r>
        <w:rPr>
          <w:rStyle w:val="949"/>
        </w:rPr>
        <w:t xml:space="preserve">        )</w:t>
      </w:r>
      <w:r>
        <w:br/>
      </w:r>
      <w:r>
        <w:rPr>
          <w:rStyle w:val="949"/>
        </w:rPr>
        <w:t xml:space="preserve">    ) |&gt;</w:t>
      </w:r>
      <w:r>
        <w:br/>
      </w:r>
      <w:r>
        <w:rPr>
          <w:rStyle w:val="949"/>
        </w:rPr>
        <w:t xml:space="preserve">    filter(is.na(`Qtd Páginas Lógicas`))</w:t>
      </w:r>
      <w:r>
        <w:br/>
      </w:r>
      <w:r>
        <w:br/>
      </w:r>
      <w:r>
        <w:rPr>
          <w:rStyle w:val="949"/>
        </w:rPr>
        <w:t xml:space="preserve">arquivos_inconsistentes &lt;- textos_relatorios |&gt;</w:t>
      </w:r>
      <w:r>
        <w:br/>
      </w:r>
      <w:r>
        <w:rPr>
          <w:rStyle w:val="949"/>
        </w:rPr>
        <w:t xml:space="preserve">    select(Arquivo, `Qtd Páginas`) |&gt;</w:t>
      </w:r>
      <w:r>
        <w:br/>
      </w:r>
      <w:r>
        <w:rPr>
          <w:rStyle w:val="949"/>
        </w:rPr>
        <w:t xml:space="preserve">    distinct() |&gt;</w:t>
      </w:r>
      <w:r>
        <w:br/>
      </w:r>
      <w:r>
        <w:rPr>
          <w:rStyle w:val="949"/>
        </w:rPr>
        <w:t xml:space="preserve">    left_join(</w:t>
      </w:r>
      <w:r>
        <w:br/>
      </w:r>
      <w:r>
        <w:rPr>
          <w:rStyle w:val="949"/>
        </w:rPr>
        <w:t xml:space="preserve">        dados_rodape |&gt;</w:t>
      </w:r>
      <w:r>
        <w:br/>
      </w:r>
      <w:r>
        <w:rPr>
          <w:rStyle w:val="949"/>
        </w:rPr>
        <w:t xml:space="preserve">        select(Arquivo, `Qtd Páginas Lógicas`) |&gt;</w:t>
      </w:r>
      <w:r>
        <w:br/>
      </w:r>
      <w:r>
        <w:rPr>
          <w:rStyle w:val="949"/>
        </w:rPr>
        <w:t xml:space="preserve">        distinct(),</w:t>
      </w:r>
      <w:r>
        <w:br/>
      </w:r>
      <w:r>
        <w:rPr>
          <w:rStyle w:val="949"/>
        </w:rPr>
        <w:t xml:space="preserve">        by = c("Arquivo")</w:t>
      </w:r>
      <w:r>
        <w:br/>
      </w:r>
      <w:r>
        <w:rPr>
          <w:rStyle w:val="949"/>
        </w:rPr>
        <w:t xml:space="preserve">    ) |&gt;</w:t>
      </w:r>
      <w:r>
        <w:br/>
      </w:r>
      <w:r>
        <w:rPr>
          <w:rStyle w:val="949"/>
        </w:rPr>
        <w:t xml:space="preserve">    filter(`Qtd Páginas` != `Qtd Páginas Lógicas`)</w:t>
      </w:r>
      <w:r>
        <w:br/>
      </w:r>
      <w:r>
        <w:br/>
      </w:r>
      <w:r>
        <w:br/>
      </w:r>
      <w:r>
        <w:rPr>
          <w:rStyle w:val="949"/>
        </w:rPr>
        <w:t xml:space="preserve">paginas_sem_rodape &lt;- textos_relatorios |&gt;</w:t>
      </w:r>
      <w:r>
        <w:br/>
      </w:r>
      <w:r>
        <w:rPr>
          <w:rStyle w:val="949"/>
        </w:rPr>
        <w:t xml:space="preserve">    detecta_rodape() |&gt;</w:t>
      </w:r>
      <w:r>
        <w:br/>
      </w:r>
      <w:r>
        <w:rPr>
          <w:rStyle w:val="949"/>
        </w:rPr>
        <w:t xml:space="preserve">    summarise(</w:t>
      </w:r>
      <w:r>
        <w:br/>
      </w:r>
      <w:r>
        <w:rPr>
          <w:rStyle w:val="949"/>
        </w:rPr>
        <w:t xml:space="preserve">        `Max Linha Rodapé` = max(`Linha Início Rodapé`),</w:t>
      </w:r>
      <w:r>
        <w:br/>
      </w:r>
      <w:r>
        <w:rPr>
          <w:rStyle w:val="949"/>
        </w:rPr>
        <w:t xml:space="preserve">        .by = c(Arquivo, `# Página`)</w:t>
      </w:r>
      <w:r>
        <w:br/>
      </w:r>
      <w:r>
        <w:rPr>
          <w:rStyle w:val="949"/>
        </w:rPr>
        <w:t xml:space="preserve">    ) |&gt;</w:t>
      </w:r>
      <w:r>
        <w:br/>
      </w:r>
      <w:r>
        <w:rPr>
          <w:rStyle w:val="949"/>
        </w:rPr>
        <w:t xml:space="preserve">    filter(</w:t>
      </w:r>
      <w:r>
        <w:br/>
      </w:r>
      <w:r>
        <w:rPr>
          <w:rStyle w:val="949"/>
        </w:rPr>
        <w:t xml:space="preserve">      `Max Linha Rodapé` == 0 &amp;</w:t>
      </w:r>
      <w:r>
        <w:br/>
      </w:r>
      <w:r>
        <w:rPr>
          <w:rStyle w:val="949"/>
        </w:rPr>
        <w:t xml:space="preserve">      (`# Página` &gt; 1 | Arquivo == arquivo_sem_sumario))</w:t>
      </w:r>
    </w:p>
    <w:p>
      <w:pPr>
        <w:pStyle w:val="917"/>
      </w:pPr>
      <w:r>
        <w:t xml:space="preserve">No código apresentado, o dataframe paginas_sem_rodape retornou zero linhas, o que indica que todas as páginas analisadas possuem rodapé e seguem um padrão consistente de formatação.</w:t>
      </w:r>
    </w:p>
    <w:p>
      <w:pPr>
        <w:pStyle w:val="916"/>
      </w:pPr>
      <w:r>
        <w:t xml:space="preserve">O dataframe arquivos_paginas_inconsistentes, por sua vez, foi utilizado para identificar possíveis divergências entre a numeração física das páginas dos arquivos PDF e a numeração lógica extraída dos rodapés. Assim como no caso anterior, não foram encontradas inconsistências, uma vez que esse dataframe também não apresentou registros.</w:t>
      </w:r>
    </w:p>
    <w:p>
      <w:pPr>
        <w:pStyle w:val="916"/>
      </w:pPr>
      <w:r>
        <w:t xml:space="preserve">Já o dataframe arquivos_inconsistentes concentrou os casos em que a quantidade total de páginas indicada no rodapé difere da contagem real de páginas do arquivo. Os dados a seguir apresentam essas ocorrências específicas:</w:t>
      </w:r>
    </w:p>
    <w:p>
      <w:pPr>
        <w:pStyle w:val="944"/>
      </w:pPr>
      <w:r>
        <w:t xml:space="preserve">Arquivos inconsistentes</w:t>
      </w:r>
    </w:p>
    <w:tbl>
      <w:tblPr>
        <w:tblStyle w:val="Table"/>
        <w:tblW w:type="pct" w:w="4865"/>
        <w:tblLayout w:type="fixed"/>
        <w:tblLook w:firstRow="1" w:lastRow="0" w:firstColumn="0" w:lastColumn="0" w:noHBand="0" w:noVBand="0" w:val="0020"/>
        <w:tblCaption w:val="Arquivos inconsistentes"/>
      </w:tblPr>
      <w:tblGrid>
        <w:gridCol w:w="2247"/>
        <w:gridCol w:w="2140"/>
        <w:gridCol w:w="3317"/>
      </w:tblGrid>
      <w:tr>
        <w:trPr>
          <w:tblHeader w:val="on"/>
        </w:trPr>
        <w:tc>
          <w:tcPr/>
          <w:p>
            <w:pPr>
              <w:pStyle w:val="918"/>
              <w:jc w:val="left"/>
            </w:pPr>
            <w:r>
              <w:t xml:space="preserve">Arquivo</w:t>
            </w:r>
          </w:p>
        </w:tc>
        <w:tc>
          <w:tcPr/>
          <w:p>
            <w:pPr>
              <w:pStyle w:val="918"/>
              <w:jc w:val="right"/>
            </w:pPr>
            <w:r>
              <w:t xml:space="preserve">Qtd Páginas</w:t>
            </w:r>
          </w:p>
        </w:tc>
        <w:tc>
          <w:tcPr/>
          <w:p>
            <w:pPr>
              <w:pStyle w:val="918"/>
              <w:jc w:val="right"/>
            </w:pPr>
            <w:r>
              <w:t xml:space="preserve">Qtd Páginas Lógicas</w:t>
            </w:r>
          </w:p>
        </w:tc>
      </w:tr>
      <w:tr>
        <w:tc>
          <w:tcPr/>
          <w:p>
            <w:pPr>
              <w:pStyle w:val="918"/>
              <w:jc w:val="left"/>
            </w:pPr>
            <w:r>
              <w:t xml:space="preserve">19610_1.pdf</w:t>
            </w:r>
          </w:p>
        </w:tc>
        <w:tc>
          <w:tcPr/>
          <w:p>
            <w:pPr>
              <w:pStyle w:val="918"/>
              <w:jc w:val="right"/>
            </w:pPr>
            <w:r>
              <w:t xml:space="preserve">181</w:t>
            </w:r>
          </w:p>
        </w:tc>
        <w:tc>
          <w:tcPr/>
          <w:p>
            <w:pPr>
              <w:pStyle w:val="918"/>
              <w:jc w:val="right"/>
            </w:pPr>
            <w:r>
              <w:t xml:space="preserve">182</w:t>
            </w:r>
          </w:p>
        </w:tc>
      </w:tr>
      <w:tr>
        <w:tc>
          <w:tcPr/>
          <w:p>
            <w:pPr>
              <w:pStyle w:val="918"/>
              <w:jc w:val="left"/>
            </w:pPr>
            <w:r>
              <w:t xml:space="preserve">19614_1.pdf</w:t>
            </w:r>
          </w:p>
        </w:tc>
        <w:tc>
          <w:tcPr/>
          <w:p>
            <w:pPr>
              <w:pStyle w:val="918"/>
              <w:jc w:val="right"/>
            </w:pPr>
            <w:r>
              <w:t xml:space="preserve">89</w:t>
            </w:r>
          </w:p>
        </w:tc>
        <w:tc>
          <w:tcPr/>
          <w:p>
            <w:pPr>
              <w:pStyle w:val="918"/>
              <w:jc w:val="right"/>
            </w:pPr>
            <w:r>
              <w:t xml:space="preserve">90</w:t>
            </w:r>
          </w:p>
        </w:tc>
      </w:tr>
      <w:tr>
        <w:tc>
          <w:tcPr/>
          <w:p>
            <w:pPr>
              <w:pStyle w:val="918"/>
              <w:jc w:val="left"/>
            </w:pPr>
            <w:r>
              <w:t xml:space="preserve">19683_1.pdf</w:t>
            </w:r>
          </w:p>
        </w:tc>
        <w:tc>
          <w:tcPr/>
          <w:p>
            <w:pPr>
              <w:pStyle w:val="918"/>
              <w:jc w:val="right"/>
            </w:pPr>
            <w:r>
              <w:t xml:space="preserve">74</w:t>
            </w:r>
          </w:p>
        </w:tc>
        <w:tc>
          <w:tcPr/>
          <w:p>
            <w:pPr>
              <w:pStyle w:val="918"/>
              <w:jc w:val="right"/>
            </w:pPr>
            <w:r>
              <w:t xml:space="preserve">75</w:t>
            </w:r>
          </w:p>
        </w:tc>
      </w:tr>
      <w:tr>
        <w:tc>
          <w:tcPr/>
          <w:p>
            <w:pPr>
              <w:pStyle w:val="918"/>
              <w:jc w:val="left"/>
            </w:pPr>
            <w:r>
              <w:t xml:space="preserve">19882_1.pdf</w:t>
            </w:r>
          </w:p>
        </w:tc>
        <w:tc>
          <w:tcPr/>
          <w:p>
            <w:pPr>
              <w:pStyle w:val="918"/>
              <w:jc w:val="right"/>
            </w:pPr>
            <w:r>
              <w:t xml:space="preserve">64</w:t>
            </w:r>
          </w:p>
        </w:tc>
        <w:tc>
          <w:tcPr/>
          <w:p>
            <w:pPr>
              <w:pStyle w:val="918"/>
              <w:jc w:val="right"/>
            </w:pPr>
            <w:r>
              <w:t xml:space="preserve">65</w:t>
            </w:r>
          </w:p>
        </w:tc>
      </w:tr>
    </w:tbl>
    <w:p>
      <w:pPr>
        <w:pStyle w:val="916"/>
      </w:pPr>
      <w:r>
        <w:t xml:space="preserve">Abaixo, tem-se a última página do arquivo 19610_1.pdf.</w:t>
      </w:r>
    </w:p>
    <w:tbl>
      <w:tblPr>
        <w:tblStyle w:val="Table"/>
        <w:tblW w:type="pct" w:w="4881"/>
        <w:tblLayout w:type="fixed"/>
        <w:tblLook w:firstRow="1" w:lastRow="0" w:firstColumn="0" w:lastColumn="0" w:noHBand="0" w:noVBand="0" w:val="0020"/>
      </w:tblPr>
      <w:tblGrid>
        <w:gridCol w:w="1037"/>
        <w:gridCol w:w="6694"/>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SNA - Sistema Nacional de Auditoria do SUS</w:t>
            </w:r>
          </w:p>
        </w:tc>
      </w:tr>
      <w:tr>
        <w:tc>
          <w:tcPr/>
          <w:p>
            <w:pPr>
              <w:pStyle w:val="918"/>
              <w:jc w:val="right"/>
            </w:pPr>
            <w:r>
              <w:t xml:space="preserve">2</w:t>
            </w:r>
          </w:p>
        </w:tc>
        <w:tc>
          <w:tcPr/>
          <w:p>
            <w:pPr>
              <w:pStyle w:val="918"/>
              <w:jc w:val="left"/>
            </w:pPr>
            <w:r>
              <w:t xml:space="preserve">MS/SGEP/Departamento Nacional de Auditoria do SUS</w:t>
            </w:r>
          </w:p>
        </w:tc>
      </w:tr>
      <w:tr>
        <w:tc>
          <w:tcPr/>
          <w:p>
            <w:pPr>
              <w:pStyle w:val="918"/>
              <w:jc w:val="right"/>
            </w:pPr>
            <w:r>
              <w:t xml:space="preserve">3</w:t>
            </w:r>
          </w:p>
        </w:tc>
        <w:tc>
          <w:tcPr/>
          <w:p>
            <w:pPr>
              <w:pStyle w:val="918"/>
              <w:jc w:val="left"/>
            </w:pPr>
            <w:r>
              <w:t xml:space="preserve">Relatório</w:t>
            </w: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jc w:val="left"/>
            </w:pPr>
            <w:r>
              <w:t xml:space="preserve">ANEXO XIX - TABELAS-OFÍCIO Nº 03/2024-IOM</w:t>
            </w:r>
          </w:p>
        </w:tc>
      </w:tr>
      <w:tr>
        <w:tc>
          <w:tcPr/>
          <w:p>
            <w:pPr>
              <w:pStyle w:val="918"/>
              <w:jc w:val="right"/>
            </w:pPr>
            <w:r>
              <w:t xml:space="preserve">6</w:t>
            </w:r>
          </w:p>
        </w:tc>
        <w:tc>
          <w:tcPr/>
          <w:p>
            <w:pPr>
              <w:pStyle w:val="918"/>
            </w:pPr>
          </w:p>
        </w:tc>
      </w:tr>
      <w:tr>
        <w:tc>
          <w:tcPr/>
          <w:p>
            <w:pPr>
              <w:pStyle w:val="918"/>
              <w:jc w:val="right"/>
            </w:pPr>
            <w:r>
              <w:t xml:space="preserve">7</w:t>
            </w:r>
          </w:p>
        </w:tc>
        <w:tc>
          <w:tcPr/>
          <w:p>
            <w:pPr>
              <w:pStyle w:val="918"/>
            </w:pPr>
          </w:p>
        </w:tc>
      </w:tr>
      <w:tr>
        <w:tc>
          <w:tcPr/>
          <w:p>
            <w:pPr>
              <w:pStyle w:val="918"/>
              <w:jc w:val="right"/>
            </w:pPr>
            <w:r>
              <w:t xml:space="preserve">8</w:t>
            </w:r>
          </w:p>
        </w:tc>
        <w:tc>
          <w:tcPr/>
          <w:p>
            <w:pPr>
              <w:pStyle w:val="918"/>
            </w:pPr>
          </w:p>
        </w:tc>
      </w:tr>
      <w:tr>
        <w:tc>
          <w:tcPr/>
          <w:p>
            <w:pPr>
              <w:pStyle w:val="918"/>
              <w:jc w:val="right"/>
            </w:pPr>
            <w:r>
              <w:t xml:space="preserve">9</w:t>
            </w:r>
          </w:p>
        </w:tc>
        <w:tc>
          <w:tcPr/>
          <w:p>
            <w:pPr>
              <w:pStyle w:val="918"/>
            </w:pPr>
          </w:p>
        </w:tc>
      </w:tr>
      <w:tr>
        <w:tc>
          <w:tcPr/>
          <w:p>
            <w:pPr>
              <w:pStyle w:val="918"/>
              <w:jc w:val="right"/>
            </w:pPr>
            <w:r>
              <w:t xml:space="preserve">10</w:t>
            </w:r>
          </w:p>
        </w:tc>
        <w:tc>
          <w:tcPr/>
          <w:p>
            <w:pPr>
              <w:pStyle w:val="918"/>
              <w:jc w:val="left"/>
            </w:pPr>
            <w:r>
              <w:t xml:space="preserve">Gerado em: 28/11/2024 - 15:47:32 Página 181 de 182 Fonte: Sisaud/SUS</w:t>
            </w:r>
          </w:p>
        </w:tc>
      </w:tr>
      <w:tr>
        <w:tc>
          <w:tcPr/>
          <w:p>
            <w:pPr>
              <w:pStyle w:val="918"/>
              <w:jc w:val="right"/>
            </w:pPr>
            <w:r>
              <w:t xml:space="preserve">11</w:t>
            </w:r>
          </w:p>
        </w:tc>
        <w:tc>
          <w:tcPr/>
          <w:p>
            <w:pPr>
              <w:pStyle w:val="918"/>
            </w:pPr>
          </w:p>
        </w:tc>
      </w:tr>
      <w:tr>
        <w:tc>
          <w:tcPr/>
          <w:p>
            <w:pPr>
              <w:pStyle w:val="918"/>
              <w:jc w:val="right"/>
            </w:pPr>
            <w:r>
              <w:t xml:space="preserve">12</w:t>
            </w:r>
          </w:p>
        </w:tc>
        <w:tc>
          <w:tcPr/>
          <w:p>
            <w:pPr>
              <w:pStyle w:val="918"/>
              <w:jc w:val="left"/>
            </w:pPr>
            <w:r>
              <w:t xml:space="preserve">Auditoria nº</w:t>
            </w:r>
          </w:p>
        </w:tc>
      </w:tr>
      <w:tr>
        <w:tc>
          <w:tcPr/>
          <w:p>
            <w:pPr>
              <w:pStyle w:val="918"/>
              <w:jc w:val="right"/>
            </w:pPr>
            <w:r>
              <w:t xml:space="preserve">13</w:t>
            </w:r>
          </w:p>
        </w:tc>
        <w:tc>
          <w:tcPr/>
          <w:p>
            <w:pPr>
              <w:pStyle w:val="918"/>
              <w:jc w:val="left"/>
            </w:pPr>
            <w:r>
              <w:t xml:space="preserve">19610</w:t>
            </w:r>
          </w:p>
        </w:tc>
      </w:tr>
      <w:tr>
        <w:tc>
          <w:tcPr/>
          <w:p>
            <w:pPr>
              <w:pStyle w:val="918"/>
              <w:jc w:val="right"/>
            </w:pPr>
            <w:r>
              <w:t xml:space="preserve">14</w:t>
            </w:r>
          </w:p>
        </w:tc>
        <w:tc>
          <w:tcPr/>
          <w:p>
            <w:pPr>
              <w:pStyle w:val="918"/>
            </w:pPr>
          </w:p>
        </w:tc>
      </w:tr>
    </w:tbl>
    <w:p>
      <w:pPr>
        <w:pStyle w:val="916"/>
      </w:pPr>
      <w:r>
        <w:t xml:space="preserve">Ao abrir o arquivo pdf diretamente, conclui-se que a extração está correta e que o arquivo não contém a última página.</w:t>
      </w:r>
    </w:p>
    <w:p>
      <w:pPr>
        <w:pStyle w:val="916"/>
      </w:pPr>
      <w:r>
        <w:t xml:space="preserve">Agora, o arquivo 19614_1.pdf.</w:t>
      </w:r>
    </w:p>
    <w:tbl>
      <w:tblPr>
        <w:tblStyle w:val="Table"/>
        <w:tblW w:type="pct" w:w="4878"/>
        <w:tblLayout w:type="fixed"/>
        <w:tblLook w:firstRow="1" w:lastRow="0" w:firstColumn="0" w:lastColumn="0" w:noHBand="0" w:noVBand="0" w:val="0020"/>
      </w:tblPr>
      <w:tblGrid>
        <w:gridCol w:w="1062"/>
        <w:gridCol w:w="6664"/>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SNA - Sistema Nacional de Auditoria do SUS</w:t>
            </w:r>
          </w:p>
        </w:tc>
      </w:tr>
      <w:tr>
        <w:tc>
          <w:tcPr/>
          <w:p>
            <w:pPr>
              <w:pStyle w:val="918"/>
              <w:jc w:val="right"/>
            </w:pPr>
            <w:r>
              <w:t xml:space="preserve">2</w:t>
            </w:r>
          </w:p>
        </w:tc>
        <w:tc>
          <w:tcPr/>
          <w:p>
            <w:pPr>
              <w:pStyle w:val="918"/>
              <w:jc w:val="left"/>
            </w:pPr>
            <w:r>
              <w:t xml:space="preserve">MS/SGEP/Departamento Nacional de Auditoria do SUS</w:t>
            </w:r>
          </w:p>
        </w:tc>
      </w:tr>
      <w:tr>
        <w:tc>
          <w:tcPr/>
          <w:p>
            <w:pPr>
              <w:pStyle w:val="918"/>
              <w:jc w:val="right"/>
            </w:pPr>
            <w:r>
              <w:t xml:space="preserve">3</w:t>
            </w:r>
          </w:p>
        </w:tc>
        <w:tc>
          <w:tcPr/>
          <w:p>
            <w:pPr>
              <w:pStyle w:val="918"/>
              <w:jc w:val="left"/>
            </w:pPr>
            <w:r>
              <w:t xml:space="preserve">Relatório</w:t>
            </w: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jc w:val="left"/>
            </w:pPr>
            <w:r>
              <w:t xml:space="preserve">ANEXO IX - PROPOSTAS DE EMPRESAS PARA A COTAÇÃO DE PREÇOS 06/2022</w:t>
            </w:r>
          </w:p>
        </w:tc>
      </w:tr>
      <w:tr>
        <w:tc>
          <w:tcPr/>
          <w:p>
            <w:pPr>
              <w:pStyle w:val="918"/>
              <w:jc w:val="right"/>
            </w:pPr>
            <w:r>
              <w:t xml:space="preserve">6</w:t>
            </w:r>
          </w:p>
        </w:tc>
        <w:tc>
          <w:tcPr/>
          <w:p>
            <w:pPr>
              <w:pStyle w:val="918"/>
            </w:pPr>
          </w:p>
        </w:tc>
      </w:tr>
      <w:tr>
        <w:tc>
          <w:tcPr/>
          <w:p>
            <w:pPr>
              <w:pStyle w:val="918"/>
              <w:jc w:val="right"/>
            </w:pPr>
            <w:r>
              <w:t xml:space="preserve">7</w:t>
            </w:r>
          </w:p>
        </w:tc>
        <w:tc>
          <w:tcPr/>
          <w:p>
            <w:pPr>
              <w:pStyle w:val="918"/>
            </w:pPr>
          </w:p>
        </w:tc>
      </w:tr>
      <w:tr>
        <w:tc>
          <w:tcPr/>
          <w:p>
            <w:pPr>
              <w:pStyle w:val="918"/>
              <w:jc w:val="right"/>
            </w:pPr>
            <w:r>
              <w:t xml:space="preserve">8</w:t>
            </w:r>
          </w:p>
        </w:tc>
        <w:tc>
          <w:tcPr/>
          <w:p>
            <w:pPr>
              <w:pStyle w:val="918"/>
            </w:pPr>
          </w:p>
        </w:tc>
      </w:tr>
      <w:tr>
        <w:tc>
          <w:tcPr/>
          <w:p>
            <w:pPr>
              <w:pStyle w:val="918"/>
              <w:jc w:val="right"/>
            </w:pPr>
            <w:r>
              <w:t xml:space="preserve">9</w:t>
            </w:r>
          </w:p>
        </w:tc>
        <w:tc>
          <w:tcPr/>
          <w:p>
            <w:pPr>
              <w:pStyle w:val="918"/>
            </w:pPr>
          </w:p>
        </w:tc>
      </w:tr>
      <w:tr>
        <w:tc>
          <w:tcPr/>
          <w:p>
            <w:pPr>
              <w:pStyle w:val="918"/>
              <w:jc w:val="right"/>
            </w:pPr>
            <w:r>
              <w:t xml:space="preserve">10</w:t>
            </w:r>
          </w:p>
        </w:tc>
        <w:tc>
          <w:tcPr/>
          <w:p>
            <w:pPr>
              <w:pStyle w:val="918"/>
              <w:jc w:val="left"/>
            </w:pPr>
            <w:r>
              <w:t xml:space="preserve">Gerado em: 29/11/2024 - 08:49:12 Página 89 de 90 Fonte: Sisaud/SUS</w:t>
            </w:r>
          </w:p>
        </w:tc>
      </w:tr>
      <w:tr>
        <w:tc>
          <w:tcPr/>
          <w:p>
            <w:pPr>
              <w:pStyle w:val="918"/>
              <w:jc w:val="right"/>
            </w:pPr>
            <w:r>
              <w:t xml:space="preserve">11</w:t>
            </w:r>
          </w:p>
        </w:tc>
        <w:tc>
          <w:tcPr/>
          <w:p>
            <w:pPr>
              <w:pStyle w:val="918"/>
            </w:pPr>
          </w:p>
        </w:tc>
      </w:tr>
      <w:tr>
        <w:tc>
          <w:tcPr/>
          <w:p>
            <w:pPr>
              <w:pStyle w:val="918"/>
              <w:jc w:val="right"/>
            </w:pPr>
            <w:r>
              <w:t xml:space="preserve">12</w:t>
            </w:r>
          </w:p>
        </w:tc>
        <w:tc>
          <w:tcPr/>
          <w:p>
            <w:pPr>
              <w:pStyle w:val="918"/>
              <w:jc w:val="left"/>
            </w:pPr>
            <w:r>
              <w:t xml:space="preserve">Auditoria nº</w:t>
            </w:r>
          </w:p>
        </w:tc>
      </w:tr>
      <w:tr>
        <w:tc>
          <w:tcPr/>
          <w:p>
            <w:pPr>
              <w:pStyle w:val="918"/>
              <w:jc w:val="right"/>
            </w:pPr>
            <w:r>
              <w:t xml:space="preserve">13</w:t>
            </w:r>
          </w:p>
        </w:tc>
        <w:tc>
          <w:tcPr/>
          <w:p>
            <w:pPr>
              <w:pStyle w:val="918"/>
              <w:jc w:val="left"/>
            </w:pPr>
            <w:r>
              <w:t xml:space="preserve">19614</w:t>
            </w:r>
          </w:p>
        </w:tc>
      </w:tr>
      <w:tr>
        <w:tc>
          <w:tcPr/>
          <w:p>
            <w:pPr>
              <w:pStyle w:val="918"/>
              <w:jc w:val="right"/>
            </w:pPr>
            <w:r>
              <w:t xml:space="preserve">14</w:t>
            </w:r>
          </w:p>
        </w:tc>
        <w:tc>
          <w:tcPr/>
          <w:p>
            <w:pPr>
              <w:pStyle w:val="918"/>
            </w:pPr>
          </w:p>
        </w:tc>
      </w:tr>
    </w:tbl>
    <w:p>
      <w:pPr>
        <w:pStyle w:val="916"/>
      </w:pPr>
      <w:r>
        <w:t xml:space="preserve">Observou-se a mesma situação identificada no arquivo anterior, o que reforça a conclusão de que o problema decorre de inconsistências nos próprios arquivos.</w:t>
      </w:r>
    </w:p>
    <w:p>
      <w:pPr>
        <w:pStyle w:val="916"/>
      </w:pPr>
      <w:r>
        <w:t xml:space="preserve">Diante disso, foi possível realizar a primeira transformação nos dados: a extração do número da auditoria a partir da capa dos documentos. Para o caso específico do único arquivo sem capa, utilizou-se o próprio nome do arquivo, cuja correspondência com o número registrado no rodapé já havia sido previamente confirmada.</w:t>
      </w:r>
    </w:p>
    <w:p>
      <w:pPr>
        <w:pStyle w:val="916"/>
      </w:pPr>
      <w:r>
        <w:t xml:space="preserve">Considerando que os demais dados presentes na capa também estão reproduzidos na seção "I — DADOS BÁSICOS", optou-se por descartar as duas primeiras páginas (capa e sumário) de todos os arquivos — com exceção do arquivo que já não apresenta sumário.</w:t>
      </w:r>
    </w:p>
    <w:p>
      <w:pPr>
        <w:pStyle w:val="916"/>
      </w:pPr>
      <w:r>
        <w:t xml:space="preserve">Além disso, agregou-se ao dataframe a</w:t>
      </w:r>
      <w:r>
        <w:t xml:space="preserve"> </w:t>
      </w:r>
      <w:r>
        <w:rPr>
          <w:rStyle w:val="949"/>
        </w:rPr>
        <w:t xml:space="preserve">Data de Geração</w:t>
      </w:r>
      <w:r>
        <w:t xml:space="preserve">, extraída de forma padronizada dos rodapés dos arquivos.</w:t>
      </w:r>
    </w:p>
    <w:p>
      <w:pPr>
        <w:pStyle w:val="SourceCode"/>
      </w:pPr>
      <w:r>
        <w:rPr>
          <w:rStyle w:val="949"/>
        </w:rPr>
        <w:t xml:space="preserve">rel_com_num_auditoria &lt;- textos_relatorios |&gt;</w:t>
      </w:r>
      <w:r>
        <w:br/>
      </w:r>
      <w:r>
        <w:rPr>
          <w:rStyle w:val="949"/>
        </w:rPr>
        <w:t xml:space="preserve">    mutate(</w:t>
      </w:r>
      <w:r>
        <w:br/>
      </w:r>
      <w:r>
        <w:rPr>
          <w:rStyle w:val="949"/>
        </w:rPr>
        <w:t xml:space="preserve">        `No. Auditoria` = if_else(</w:t>
      </w:r>
      <w:r>
        <w:br/>
      </w:r>
      <w:r>
        <w:rPr>
          <w:rStyle w:val="949"/>
        </w:rPr>
        <w:t xml:space="preserve">              `# Página` == 1, </w:t>
      </w:r>
      <w:r>
        <w:br/>
      </w:r>
      <w:r>
        <w:rPr>
          <w:rStyle w:val="949"/>
        </w:rPr>
        <w:t xml:space="preserve">              str_extract(`Linha`, "^Auditoria n. (\\d{3,10}).*$", 1), </w:t>
      </w:r>
      <w:r>
        <w:br/>
      </w:r>
      <w:r>
        <w:rPr>
          <w:rStyle w:val="949"/>
        </w:rPr>
        <w:t xml:space="preserve">              NA) , </w:t>
      </w:r>
      <w:r>
        <w:br/>
      </w:r>
      <w:r>
        <w:rPr>
          <w:rStyle w:val="949"/>
        </w:rPr>
        <w:t xml:space="preserve">        `No. Auditoria (Nome)` =  str_extract(`Arquivo`, "(\\d{1,})_", 1)) |&gt;</w:t>
      </w:r>
      <w:r>
        <w:br/>
      </w:r>
      <w:r>
        <w:rPr>
          <w:rStyle w:val="949"/>
        </w:rPr>
        <w:t xml:space="preserve">    group_by(Arquivo) |&gt;</w:t>
      </w:r>
      <w:r>
        <w:br/>
      </w:r>
      <w:r>
        <w:rPr>
          <w:rStyle w:val="949"/>
        </w:rPr>
        <w:t xml:space="preserve">    fill(`No. Auditoria`, .direction = "downup") |&gt;</w:t>
      </w:r>
      <w:r>
        <w:br/>
      </w:r>
      <w:r>
        <w:rPr>
          <w:rStyle w:val="949"/>
        </w:rPr>
        <w:t xml:space="preserve">    ungroup()</w:t>
      </w:r>
      <w:r>
        <w:br/>
      </w:r>
      <w:r>
        <w:br/>
      </w:r>
      <w:r>
        <w:br/>
      </w:r>
      <w:r>
        <w:rPr>
          <w:rStyle w:val="949"/>
        </w:rPr>
        <w:t xml:space="preserve">rel_num_inconsistente_nome &lt;- rel_com_num_auditoria |&gt;</w:t>
      </w:r>
      <w:r>
        <w:br/>
      </w:r>
      <w:r>
        <w:rPr>
          <w:rStyle w:val="949"/>
        </w:rPr>
        <w:t xml:space="preserve">    filter(`No. Auditoria` != `No. Auditoria (Nome)`) |&gt;</w:t>
      </w:r>
      <w:r>
        <w:br/>
      </w:r>
      <w:r>
        <w:rPr>
          <w:rStyle w:val="949"/>
        </w:rPr>
        <w:t xml:space="preserve">    select(Arquivo, `No. Auditoria`, `No. Auditoria (Nome)`) |&gt;</w:t>
      </w:r>
      <w:r>
        <w:br/>
      </w:r>
      <w:r>
        <w:rPr>
          <w:rStyle w:val="949"/>
        </w:rPr>
        <w:t xml:space="preserve">    distinct()</w:t>
      </w:r>
      <w:r>
        <w:br/>
      </w:r>
      <w:r>
        <w:br/>
      </w:r>
      <w:r>
        <w:rPr>
          <w:rStyle w:val="949"/>
        </w:rPr>
        <w:t xml:space="preserve">rel_sem_sumario_rodape &lt;- rel_com_num_auditoria |&gt;</w:t>
      </w:r>
      <w:r>
        <w:br/>
      </w:r>
      <w:r>
        <w:rPr>
          <w:rStyle w:val="949"/>
        </w:rPr>
        <w:t xml:space="preserve">    detecta_rodape() |&gt;</w:t>
      </w:r>
      <w:r>
        <w:br/>
      </w:r>
      <w:r>
        <w:rPr>
          <w:rStyle w:val="949"/>
        </w:rPr>
        <w:t xml:space="preserve">    filter(`# Página` &gt; 2 | Arquivo == arquivo_sem_sumario) |&gt;</w:t>
      </w:r>
      <w:r>
        <w:br/>
      </w:r>
      <w:r>
        <w:rPr>
          <w:rStyle w:val="949"/>
        </w:rPr>
        <w:t xml:space="preserve">    filter(!`Rodapé?`) |&gt;</w:t>
      </w:r>
      <w:r>
        <w:br/>
      </w:r>
      <w:r>
        <w:rPr>
          <w:rStyle w:val="949"/>
        </w:rPr>
        <w:t xml:space="preserve">    select(-`Linha Início Rodapé`, -`Rodapé?`) |&gt;</w:t>
      </w:r>
      <w:r>
        <w:br/>
      </w:r>
      <w:r>
        <w:rPr>
          <w:rStyle w:val="949"/>
        </w:rPr>
        <w:t xml:space="preserve">    left_join(</w:t>
      </w:r>
      <w:r>
        <w:br/>
      </w:r>
      <w:r>
        <w:rPr>
          <w:rStyle w:val="949"/>
        </w:rPr>
        <w:t xml:space="preserve">        dados_rodape |&gt;</w:t>
      </w:r>
      <w:r>
        <w:br/>
      </w:r>
      <w:r>
        <w:rPr>
          <w:rStyle w:val="949"/>
        </w:rPr>
        <w:t xml:space="preserve">        select(Arquivo, Data) |&gt;</w:t>
      </w:r>
      <w:r>
        <w:br/>
      </w:r>
      <w:r>
        <w:rPr>
          <w:rStyle w:val="949"/>
        </w:rPr>
        <w:t xml:space="preserve">        rename(`Data Geração` = Data) |&gt;</w:t>
      </w:r>
      <w:r>
        <w:br/>
      </w:r>
      <w:r>
        <w:rPr>
          <w:rStyle w:val="949"/>
        </w:rPr>
        <w:t xml:space="preserve">        distinct(),</w:t>
      </w:r>
      <w:r>
        <w:br/>
      </w:r>
      <w:r>
        <w:rPr>
          <w:rStyle w:val="949"/>
        </w:rPr>
        <w:t xml:space="preserve">        by = "Arquivo"</w:t>
      </w:r>
      <w:r>
        <w:br/>
      </w:r>
      <w:r>
        <w:rPr>
          <w:rStyle w:val="949"/>
        </w:rPr>
        <w:t xml:space="preserve">    ) |&gt;</w:t>
      </w:r>
      <w:r>
        <w:br/>
      </w:r>
      <w:r>
        <w:rPr>
          <w:rStyle w:val="949"/>
        </w:rPr>
        <w:t xml:space="preserve">    mutate(</w:t>
      </w:r>
      <w:r>
        <w:br/>
      </w:r>
      <w:r>
        <w:rPr>
          <w:rStyle w:val="949"/>
        </w:rPr>
        <w:t xml:space="preserve">        `No. Auditoria` = coalesce(`No. Auditoria`, `No. Auditoria (Nome)`) |&gt;</w:t>
      </w:r>
      <w:r>
        <w:br/>
      </w:r>
      <w:r>
        <w:rPr>
          <w:rStyle w:val="949"/>
        </w:rPr>
        <w:t xml:space="preserve">                          as.integer(),</w:t>
      </w:r>
      <w:r>
        <w:br/>
      </w:r>
      <w:r>
        <w:rPr>
          <w:rStyle w:val="949"/>
        </w:rPr>
        <w:t xml:space="preserve">        .keep = "unused"</w:t>
      </w:r>
      <w:r>
        <w:br/>
      </w:r>
      <w:r>
        <w:rPr>
          <w:rStyle w:val="949"/>
        </w:rPr>
        <w:t xml:space="preserve">    )</w:t>
      </w:r>
    </w:p>
    <w:p>
      <w:pPr>
        <w:pStyle w:val="917"/>
      </w:pPr>
      <w:r>
        <w:t xml:space="preserve">No passo anterior, o dataframe rel_num_inconsistente_nome registrou os casos em que o número da auditoria extraído da capa diferia daquele identificado a partir do nome do arquivo. Contudo, esse dataframe resultou vazio, indicando que não foram encontradas inconsistências entre essas duas fontes de informação.</w:t>
      </w:r>
    </w:p>
    <w:bookmarkEnd w:id="89"/>
    <w:bookmarkStart w:id="90" w:name="validação-completude-arquivos"/>
    <w:p>
      <w:pPr>
        <w:pStyle w:val="906"/>
      </w:pPr>
      <w:r>
        <w:t xml:space="preserve">7.0.5 Validação Completude Arquivos</w:t>
      </w:r>
    </w:p>
    <w:p>
      <w:pPr>
        <w:pStyle w:val="917"/>
      </w:pPr>
      <w:r>
        <w:t xml:space="preserve">De posse dos números das auditorias extraídos dos documentos, foi possível prosseguir com a validação da completude dos arquivos, comparando-os com a planilha de referência utilizada originalmente para o download dos relatórios.</w:t>
      </w:r>
    </w:p>
    <w:p>
      <w:pPr>
        <w:pStyle w:val="SourceCode"/>
      </w:pPr>
      <w:r>
        <w:rPr>
          <w:rStyle w:val="949"/>
        </w:rPr>
        <w:t xml:space="preserve">qtd_relatorios_faltantes &lt;- lista_relatorios |&gt;</w:t>
      </w:r>
      <w:r>
        <w:br/>
      </w:r>
      <w:r>
        <w:rPr>
          <w:rStyle w:val="949"/>
        </w:rPr>
        <w:t xml:space="preserve">  anti_join(</w:t>
      </w:r>
      <w:r>
        <w:br/>
      </w:r>
      <w:r>
        <w:rPr>
          <w:rStyle w:val="949"/>
        </w:rPr>
        <w:t xml:space="preserve">    rel_sem_sumario_rodape,</w:t>
      </w:r>
      <w:r>
        <w:br/>
      </w:r>
      <w:r>
        <w:rPr>
          <w:rStyle w:val="949"/>
        </w:rPr>
        <w:t xml:space="preserve">    by = c("Nº" = "No. Auditoria")) |&gt;</w:t>
      </w:r>
      <w:r>
        <w:br/>
      </w:r>
      <w:r>
        <w:rPr>
          <w:rStyle w:val="949"/>
        </w:rPr>
        <w:t xml:space="preserve">  nrow()</w:t>
      </w:r>
      <w:r>
        <w:br/>
      </w:r>
      <w:r>
        <w:br/>
      </w:r>
      <w:r>
        <w:rPr>
          <w:rStyle w:val="949"/>
        </w:rPr>
        <w:t xml:space="preserve">qtd_relatorios_sobrando &lt;- rel_sem_sumario_rodape |&gt;</w:t>
      </w:r>
      <w:r>
        <w:br/>
      </w:r>
      <w:r>
        <w:rPr>
          <w:rStyle w:val="949"/>
        </w:rPr>
        <w:t xml:space="preserve">  anti_join(</w:t>
      </w:r>
      <w:r>
        <w:br/>
      </w:r>
      <w:r>
        <w:rPr>
          <w:rStyle w:val="949"/>
        </w:rPr>
        <w:t xml:space="preserve">    lista_relatorios,</w:t>
      </w:r>
      <w:r>
        <w:br/>
      </w:r>
      <w:r>
        <w:rPr>
          <w:rStyle w:val="949"/>
        </w:rPr>
        <w:t xml:space="preserve">    by = c("No. Auditoria" = "Nº")) |&gt;</w:t>
      </w:r>
      <w:r>
        <w:br/>
      </w:r>
      <w:r>
        <w:rPr>
          <w:rStyle w:val="949"/>
        </w:rPr>
        <w:t xml:space="preserve">    nrow()</w:t>
      </w:r>
    </w:p>
    <w:p>
      <w:pPr>
        <w:pStyle w:val="917"/>
      </w:pPr>
      <w:r>
        <w:t xml:space="preserve">Verificou-se 0 relatórios faltando e 0 relatórios sobrando, confirmando-se, assim, a completude dos dados.</w:t>
      </w:r>
    </w:p>
    <w:bookmarkEnd w:id="90"/>
    <w:bookmarkStart w:id="91" w:name="limpeza"/>
    <w:p>
      <w:pPr>
        <w:pStyle w:val="906"/>
      </w:pPr>
      <w:r>
        <w:t xml:space="preserve">7.0.6 Limpeza</w:t>
      </w:r>
    </w:p>
    <w:p>
      <w:pPr>
        <w:pStyle w:val="917"/>
      </w:pPr>
      <w:r>
        <w:t xml:space="preserve">A seguir, a título de exemplo, tem-se o texto extraído da 4ª página do arquivo 19764_1.pdf.</w:t>
      </w:r>
    </w:p>
    <w:p>
      <w:pPr>
        <w:pStyle w:val="944"/>
      </w:pPr>
      <w:r>
        <w:t xml:space="preserve">4ª Página do Arquivo de Referência</w:t>
      </w:r>
    </w:p>
    <w:tbl>
      <w:tblPr>
        <w:tblStyle w:val="Table"/>
        <w:tblW w:type="pct" w:w="4888"/>
        <w:tblLayout w:type="fixed"/>
        <w:tblLook w:firstRow="1" w:lastRow="0" w:firstColumn="0" w:lastColumn="0" w:noHBand="0" w:noVBand="0" w:val="0020"/>
        <w:tblCaption w:val="4ª Página do Arquivo de Referência"/>
      </w:tblPr>
      <w:tblGrid>
        <w:gridCol w:w="978"/>
        <w:gridCol w:w="6763"/>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w:t>
            </w:r>
          </w:p>
        </w:tc>
        <w:tc>
          <w:tcPr/>
          <w:p>
            <w:pPr>
              <w:pStyle w:val="918"/>
              <w:jc w:val="left"/>
            </w:pPr>
            <w:r>
              <w:t xml:space="preserve">SNA - Sistema Nacional de Auditoria do SUS</w:t>
            </w:r>
          </w:p>
        </w:tc>
      </w:tr>
      <w:tr>
        <w:tc>
          <w:tcPr/>
          <w:p>
            <w:pPr>
              <w:pStyle w:val="918"/>
              <w:jc w:val="right"/>
            </w:pPr>
            <w:r>
              <w:t xml:space="preserve">2</w:t>
            </w:r>
          </w:p>
        </w:tc>
        <w:tc>
          <w:tcPr/>
          <w:p>
            <w:pPr>
              <w:pStyle w:val="918"/>
              <w:jc w:val="left"/>
            </w:pPr>
            <w:r>
              <w:t xml:space="preserve">MS/SGEP/Departamento Nacional de Auditoria do SUS</w:t>
            </w:r>
          </w:p>
        </w:tc>
      </w:tr>
      <w:tr>
        <w:tc>
          <w:tcPr/>
          <w:p>
            <w:pPr>
              <w:pStyle w:val="918"/>
              <w:jc w:val="right"/>
            </w:pPr>
            <w:r>
              <w:t xml:space="preserve">3</w:t>
            </w:r>
          </w:p>
        </w:tc>
        <w:tc>
          <w:tcPr/>
          <w:p>
            <w:pPr>
              <w:pStyle w:val="918"/>
              <w:jc w:val="left"/>
            </w:pPr>
            <w:r>
              <w:t xml:space="preserve">Relatório</w:t>
            </w:r>
          </w:p>
        </w:tc>
      </w:tr>
      <w:tr>
        <w:tc>
          <w:tcPr/>
          <w:p>
            <w:pPr>
              <w:pStyle w:val="918"/>
              <w:jc w:val="right"/>
            </w:pPr>
            <w:r>
              <w:t xml:space="preserve">4</w:t>
            </w:r>
          </w:p>
        </w:tc>
        <w:tc>
          <w:tcPr/>
          <w:p>
            <w:pPr>
              <w:pStyle w:val="918"/>
            </w:pPr>
          </w:p>
        </w:tc>
      </w:tr>
      <w:tr>
        <w:tc>
          <w:tcPr/>
          <w:p>
            <w:pPr>
              <w:pStyle w:val="918"/>
              <w:jc w:val="right"/>
            </w:pPr>
            <w:r>
              <w:t xml:space="preserve">5</w:t>
            </w:r>
          </w:p>
        </w:tc>
        <w:tc>
          <w:tcPr/>
          <w:p>
            <w:pPr>
              <w:pStyle w:val="918"/>
              <w:jc w:val="left"/>
            </w:pPr>
            <w:r>
              <w:t xml:space="preserve">A estrutura e o funcionamento do Conselho garantem autonomia administ…</w:t>
            </w:r>
          </w:p>
        </w:tc>
      </w:tr>
      <w:tr>
        <w:tc>
          <w:tcPr/>
          <w:p>
            <w:pPr>
              <w:pStyle w:val="918"/>
              <w:jc w:val="right"/>
            </w:pPr>
            <w:r>
              <w:t xml:space="preserve">6</w:t>
            </w:r>
          </w:p>
        </w:tc>
        <w:tc>
          <w:tcPr/>
          <w:p>
            <w:pPr>
              <w:pStyle w:val="918"/>
              <w:jc w:val="left"/>
            </w:pPr>
            <w:r>
              <w:t xml:space="preserve">dotação orçamentária, autonomia financeira e organização da secretari…</w:t>
            </w:r>
          </w:p>
        </w:tc>
      </w:tr>
      <w:tr>
        <w:tc>
          <w:tcPr/>
          <w:p>
            <w:pPr>
              <w:pStyle w:val="918"/>
              <w:jc w:val="right"/>
            </w:pPr>
            <w:r>
              <w:t xml:space="preserve">7</w:t>
            </w:r>
          </w:p>
        </w:tc>
        <w:tc>
          <w:tcPr/>
          <w:p>
            <w:pPr>
              <w:pStyle w:val="918"/>
            </w:pPr>
          </w:p>
        </w:tc>
      </w:tr>
      <w:tr>
        <w:tc>
          <w:tcPr/>
          <w:p>
            <w:pPr>
              <w:pStyle w:val="918"/>
              <w:jc w:val="right"/>
            </w:pPr>
            <w:r>
              <w:t xml:space="preserve">8</w:t>
            </w:r>
          </w:p>
        </w:tc>
        <w:tc>
          <w:tcPr/>
          <w:p>
            <w:pPr>
              <w:pStyle w:val="918"/>
              <w:jc w:val="left"/>
            </w:pPr>
            <w:r>
              <w:t xml:space="preserve">3.3 Não Escopo</w:t>
            </w:r>
          </w:p>
        </w:tc>
      </w:tr>
      <w:tr>
        <w:tc>
          <w:tcPr/>
          <w:p>
            <w:pPr>
              <w:pStyle w:val="918"/>
              <w:jc w:val="right"/>
            </w:pPr>
            <w:r>
              <w:t xml:space="preserve">9</w:t>
            </w:r>
          </w:p>
        </w:tc>
        <w:tc>
          <w:tcPr/>
          <w:p>
            <w:pPr>
              <w:pStyle w:val="918"/>
            </w:pPr>
          </w:p>
        </w:tc>
      </w:tr>
      <w:tr>
        <w:tc>
          <w:tcPr/>
          <w:p>
            <w:pPr>
              <w:pStyle w:val="918"/>
              <w:jc w:val="right"/>
            </w:pPr>
            <w:r>
              <w:t xml:space="preserve">10</w:t>
            </w:r>
          </w:p>
        </w:tc>
        <w:tc>
          <w:tcPr/>
          <w:p>
            <w:pPr>
              <w:pStyle w:val="918"/>
              <w:jc w:val="left"/>
            </w:pPr>
            <w:r>
              <w:t xml:space="preserve">Nesta auditoria foi estipulado que não seria escopo deste trabalho os…</w:t>
            </w:r>
          </w:p>
        </w:tc>
      </w:tr>
      <w:tr>
        <w:tc>
          <w:tcPr/>
          <w:p>
            <w:pPr>
              <w:pStyle w:val="918"/>
              <w:jc w:val="right"/>
            </w:pPr>
            <w:r>
              <w:t xml:space="preserve">11</w:t>
            </w:r>
          </w:p>
        </w:tc>
        <w:tc>
          <w:tcPr/>
          <w:p>
            <w:pPr>
              <w:pStyle w:val="918"/>
            </w:pPr>
          </w:p>
        </w:tc>
      </w:tr>
      <w:tr>
        <w:tc>
          <w:tcPr/>
          <w:p>
            <w:pPr>
              <w:pStyle w:val="918"/>
              <w:jc w:val="right"/>
            </w:pPr>
            <w:r>
              <w:t xml:space="preserve">12</w:t>
            </w:r>
          </w:p>
        </w:tc>
        <w:tc>
          <w:tcPr/>
          <w:p>
            <w:pPr>
              <w:pStyle w:val="918"/>
              <w:jc w:val="left"/>
            </w:pPr>
            <w:r>
              <w:t xml:space="preserve">Avaliação de outros programas de saúde não relacionados à Rede de Fri…</w:t>
            </w:r>
          </w:p>
        </w:tc>
      </w:tr>
      <w:tr>
        <w:tc>
          <w:tcPr/>
          <w:p>
            <w:pPr>
              <w:pStyle w:val="918"/>
              <w:jc w:val="right"/>
            </w:pPr>
            <w:r>
              <w:t xml:space="preserve">13</w:t>
            </w:r>
          </w:p>
        </w:tc>
        <w:tc>
          <w:tcPr/>
          <w:p>
            <w:pPr>
              <w:pStyle w:val="918"/>
              <w:jc w:val="left"/>
            </w:pPr>
            <w:r>
              <w:t xml:space="preserve">Auditoria de unidades de saúde não vinculadas diretamente à CMRF.</w:t>
            </w:r>
          </w:p>
        </w:tc>
      </w:tr>
      <w:tr>
        <w:tc>
          <w:tcPr/>
          <w:p>
            <w:pPr>
              <w:pStyle w:val="918"/>
              <w:jc w:val="right"/>
            </w:pPr>
            <w:r>
              <w:t xml:space="preserve">14</w:t>
            </w:r>
          </w:p>
        </w:tc>
        <w:tc>
          <w:tcPr/>
          <w:p>
            <w:pPr>
              <w:pStyle w:val="918"/>
              <w:jc w:val="left"/>
            </w:pPr>
            <w:r>
              <w:t xml:space="preserve">Avaliação de políticas e regulamentações não relacionadas à gestão de…</w:t>
            </w:r>
          </w:p>
        </w:tc>
      </w:tr>
      <w:tr>
        <w:tc>
          <w:tcPr/>
          <w:p>
            <w:pPr>
              <w:pStyle w:val="918"/>
              <w:jc w:val="right"/>
            </w:pPr>
            <w:r>
              <w:t xml:space="preserve">15</w:t>
            </w:r>
          </w:p>
        </w:tc>
        <w:tc>
          <w:tcPr/>
          <w:p>
            <w:pPr>
              <w:pStyle w:val="918"/>
            </w:pPr>
          </w:p>
        </w:tc>
      </w:tr>
      <w:tr>
        <w:tc>
          <w:tcPr/>
          <w:p>
            <w:pPr>
              <w:pStyle w:val="918"/>
              <w:jc w:val="right"/>
            </w:pPr>
            <w:r>
              <w:t xml:space="preserve">16</w:t>
            </w:r>
          </w:p>
        </w:tc>
        <w:tc>
          <w:tcPr/>
          <w:p>
            <w:pPr>
              <w:pStyle w:val="918"/>
              <w:jc w:val="left"/>
            </w:pPr>
            <w:r>
              <w:t xml:space="preserve">3.4. Visão Geral do Objeto</w:t>
            </w:r>
          </w:p>
        </w:tc>
      </w:tr>
      <w:tr>
        <w:tc>
          <w:tcPr/>
          <w:p>
            <w:pPr>
              <w:pStyle w:val="918"/>
              <w:jc w:val="right"/>
            </w:pPr>
            <w:r>
              <w:t xml:space="preserve">17</w:t>
            </w:r>
          </w:p>
        </w:tc>
        <w:tc>
          <w:tcPr/>
          <w:p>
            <w:pPr>
              <w:pStyle w:val="918"/>
            </w:pPr>
          </w:p>
        </w:tc>
      </w:tr>
      <w:tr>
        <w:tc>
          <w:tcPr/>
          <w:p>
            <w:pPr>
              <w:pStyle w:val="918"/>
              <w:jc w:val="right"/>
            </w:pPr>
            <w:r>
              <w:t xml:space="preserve">18</w:t>
            </w:r>
          </w:p>
        </w:tc>
        <w:tc>
          <w:tcPr/>
          <w:p>
            <w:pPr>
              <w:pStyle w:val="918"/>
              <w:jc w:val="left"/>
            </w:pPr>
            <w:r>
              <w:t xml:space="preserve">Com o intuito de seguir um padrão de controle na Cadeia de Frio, foi …</w:t>
            </w:r>
          </w:p>
        </w:tc>
      </w:tr>
      <w:tr>
        <w:tc>
          <w:tcPr/>
          <w:p>
            <w:pPr>
              <w:pStyle w:val="918"/>
              <w:jc w:val="right"/>
            </w:pPr>
            <w:r>
              <w:t xml:space="preserve">19</w:t>
            </w:r>
          </w:p>
        </w:tc>
        <w:tc>
          <w:tcPr/>
          <w:p>
            <w:pPr>
              <w:pStyle w:val="918"/>
              <w:jc w:val="left"/>
            </w:pPr>
            <w:r>
              <w:t xml:space="preserve">Nacional de Imunização. Esse instrumento elenca as medidas necessária…</w:t>
            </w:r>
          </w:p>
        </w:tc>
      </w:tr>
      <w:tr>
        <w:tc>
          <w:tcPr/>
          <w:p>
            <w:pPr>
              <w:pStyle w:val="918"/>
              <w:jc w:val="right"/>
            </w:pPr>
            <w:r>
              <w:t xml:space="preserve">20</w:t>
            </w:r>
          </w:p>
        </w:tc>
        <w:tc>
          <w:tcPr/>
          <w:p>
            <w:pPr>
              <w:pStyle w:val="918"/>
              <w:jc w:val="left"/>
            </w:pPr>
            <w:r>
              <w:t xml:space="preserve">de Frio, mesmo em regiões remotas.</w:t>
            </w:r>
          </w:p>
        </w:tc>
      </w:tr>
      <w:tr>
        <w:tc>
          <w:tcPr/>
          <w:p>
            <w:pPr>
              <w:pStyle w:val="918"/>
              <w:jc w:val="right"/>
            </w:pPr>
            <w:r>
              <w:t xml:space="preserve">21</w:t>
            </w:r>
          </w:p>
        </w:tc>
        <w:tc>
          <w:tcPr/>
          <w:p>
            <w:pPr>
              <w:pStyle w:val="918"/>
              <w:jc w:val="left"/>
            </w:pPr>
            <w:r>
              <w:t xml:space="preserve">O Manual de Rede de Frio do PNI, elaborado pela Secretaria de Vigilân…</w:t>
            </w:r>
          </w:p>
        </w:tc>
      </w:tr>
      <w:tr>
        <w:tc>
          <w:tcPr/>
          <w:p>
            <w:pPr>
              <w:pStyle w:val="918"/>
              <w:jc w:val="right"/>
            </w:pPr>
            <w:r>
              <w:t xml:space="preserve">22</w:t>
            </w:r>
          </w:p>
        </w:tc>
        <w:tc>
          <w:tcPr/>
          <w:p>
            <w:pPr>
              <w:pStyle w:val="918"/>
              <w:jc w:val="left"/>
            </w:pPr>
            <w:r>
              <w:t xml:space="preserve">práticas ao longo da cadeia de frio por meio de diversas diretrizes e…</w:t>
            </w:r>
          </w:p>
        </w:tc>
      </w:tr>
      <w:tr>
        <w:tc>
          <w:tcPr/>
          <w:p>
            <w:pPr>
              <w:pStyle w:val="918"/>
              <w:jc w:val="right"/>
            </w:pPr>
            <w:r>
              <w:t xml:space="preserve">23</w:t>
            </w:r>
          </w:p>
        </w:tc>
        <w:tc>
          <w:tcPr/>
          <w:p>
            <w:pPr>
              <w:pStyle w:val="918"/>
              <w:jc w:val="left"/>
            </w:pPr>
            <w:r>
              <w:t xml:space="preserve">• Armazenamento Adequado: Estabelece as condições ideais de armazenam…</w:t>
            </w:r>
          </w:p>
        </w:tc>
      </w:tr>
      <w:tr>
        <w:tc>
          <w:tcPr/>
          <w:p>
            <w:pPr>
              <w:pStyle w:val="918"/>
              <w:jc w:val="right"/>
            </w:pPr>
            <w:r>
              <w:t xml:space="preserve">24</w:t>
            </w:r>
          </w:p>
        </w:tc>
        <w:tc>
          <w:tcPr/>
          <w:p>
            <w:pPr>
              <w:pStyle w:val="918"/>
              <w:jc w:val="left"/>
            </w:pPr>
            <w:r>
              <w:t xml:space="preserve">diferentes tipos de imunobiológicos.</w:t>
            </w:r>
          </w:p>
        </w:tc>
      </w:tr>
      <w:tr>
        <w:tc>
          <w:tcPr/>
          <w:p>
            <w:pPr>
              <w:pStyle w:val="918"/>
              <w:jc w:val="right"/>
            </w:pPr>
            <w:r>
              <w:t xml:space="preserve">25</w:t>
            </w:r>
          </w:p>
        </w:tc>
        <w:tc>
          <w:tcPr/>
          <w:p>
            <w:pPr>
              <w:pStyle w:val="918"/>
              <w:jc w:val="left"/>
            </w:pPr>
            <w:r>
              <w:t xml:space="preserve">• Transporte Seguro: Define as práticas seguras para o transporte de …</w:t>
            </w:r>
          </w:p>
        </w:tc>
      </w:tr>
      <w:tr>
        <w:tc>
          <w:tcPr/>
          <w:p>
            <w:pPr>
              <w:pStyle w:val="918"/>
              <w:jc w:val="right"/>
            </w:pPr>
            <w:r>
              <w:t xml:space="preserve">26</w:t>
            </w:r>
          </w:p>
        </w:tc>
        <w:tc>
          <w:tcPr/>
          <w:p>
            <w:pPr>
              <w:pStyle w:val="918"/>
              <w:jc w:val="left"/>
            </w:pPr>
            <w:r>
              <w:t xml:space="preserve">percurso.</w:t>
            </w:r>
          </w:p>
        </w:tc>
      </w:tr>
      <w:tr>
        <w:tc>
          <w:tcPr/>
          <w:p>
            <w:pPr>
              <w:pStyle w:val="918"/>
              <w:jc w:val="right"/>
            </w:pPr>
            <w:r>
              <w:t xml:space="preserve">27</w:t>
            </w:r>
          </w:p>
        </w:tc>
        <w:tc>
          <w:tcPr/>
          <w:p>
            <w:pPr>
              <w:pStyle w:val="918"/>
              <w:jc w:val="left"/>
            </w:pPr>
            <w:r>
              <w:t xml:space="preserve">• Monitoramento Contínuo: Recomenda a utilização de sistemas de monit…</w:t>
            </w:r>
          </w:p>
        </w:tc>
      </w:tr>
      <w:tr>
        <w:tc>
          <w:tcPr/>
          <w:p>
            <w:pPr>
              <w:pStyle w:val="918"/>
              <w:jc w:val="right"/>
            </w:pPr>
            <w:r>
              <w:t xml:space="preserve">28</w:t>
            </w:r>
          </w:p>
        </w:tc>
        <w:tc>
          <w:tcPr/>
          <w:p>
            <w:pPr>
              <w:pStyle w:val="918"/>
              <w:jc w:val="left"/>
            </w:pPr>
            <w:r>
              <w:t xml:space="preserve">garantir o controle constante ao longo da cadeia.</w:t>
            </w:r>
          </w:p>
        </w:tc>
      </w:tr>
      <w:tr>
        <w:tc>
          <w:tcPr/>
          <w:p>
            <w:pPr>
              <w:pStyle w:val="918"/>
              <w:jc w:val="right"/>
            </w:pPr>
            <w:r>
              <w:t xml:space="preserve">29</w:t>
            </w:r>
          </w:p>
        </w:tc>
        <w:tc>
          <w:tcPr/>
          <w:p>
            <w:pPr>
              <w:pStyle w:val="918"/>
              <w:jc w:val="left"/>
            </w:pPr>
            <w:r>
              <w:t xml:space="preserve">• Manutenção Preventiva: Orienta sobre a importância da manutenção pr…</w:t>
            </w:r>
          </w:p>
        </w:tc>
      </w:tr>
      <w:tr>
        <w:tc>
          <w:tcPr/>
          <w:p>
            <w:pPr>
              <w:pStyle w:val="918"/>
              <w:jc w:val="right"/>
            </w:pPr>
            <w:r>
              <w:t xml:space="preserve">30</w:t>
            </w:r>
          </w:p>
        </w:tc>
        <w:tc>
          <w:tcPr/>
          <w:p>
            <w:pPr>
              <w:pStyle w:val="918"/>
              <w:jc w:val="left"/>
            </w:pPr>
            <w:r>
              <w:t xml:space="preserve">de câmaras refrigeradas, freezers e outros dispositivos.</w:t>
            </w:r>
          </w:p>
        </w:tc>
      </w:tr>
      <w:tr>
        <w:tc>
          <w:tcPr/>
          <w:p>
            <w:pPr>
              <w:pStyle w:val="918"/>
              <w:jc w:val="right"/>
            </w:pPr>
            <w:r>
              <w:t xml:space="preserve">31</w:t>
            </w:r>
          </w:p>
        </w:tc>
        <w:tc>
          <w:tcPr/>
          <w:p>
            <w:pPr>
              <w:pStyle w:val="918"/>
              <w:jc w:val="left"/>
            </w:pPr>
            <w:r>
              <w:t xml:space="preserve">• Treinamento de Profissionais: Inclui diretrizes de treinamento para…</w:t>
            </w:r>
          </w:p>
        </w:tc>
      </w:tr>
      <w:tr>
        <w:tc>
          <w:tcPr/>
          <w:p>
            <w:pPr>
              <w:pStyle w:val="918"/>
              <w:jc w:val="right"/>
            </w:pPr>
            <w:r>
              <w:t xml:space="preserve">32</w:t>
            </w:r>
          </w:p>
        </w:tc>
        <w:tc>
          <w:tcPr/>
          <w:p>
            <w:pPr>
              <w:pStyle w:val="918"/>
              <w:jc w:val="left"/>
            </w:pPr>
            <w:r>
              <w:t xml:space="preserve">compreendam e sigam as práticas recomendadas.</w:t>
            </w:r>
          </w:p>
        </w:tc>
      </w:tr>
      <w:tr>
        <w:tc>
          <w:tcPr/>
          <w:p>
            <w:pPr>
              <w:pStyle w:val="918"/>
              <w:jc w:val="right"/>
            </w:pPr>
            <w:r>
              <w:t xml:space="preserve">33</w:t>
            </w:r>
          </w:p>
        </w:tc>
        <w:tc>
          <w:tcPr/>
          <w:p>
            <w:pPr>
              <w:pStyle w:val="918"/>
              <w:jc w:val="left"/>
            </w:pPr>
            <w:r>
              <w:t xml:space="preserve">• Procedimentos em Caso de Emergência: Define procedimentos a serem s…</w:t>
            </w:r>
          </w:p>
        </w:tc>
      </w:tr>
      <w:tr>
        <w:tc>
          <w:tcPr/>
          <w:p>
            <w:pPr>
              <w:pStyle w:val="918"/>
              <w:jc w:val="right"/>
            </w:pPr>
            <w:r>
              <w:t xml:space="preserve">34</w:t>
            </w:r>
          </w:p>
        </w:tc>
        <w:tc>
          <w:tcPr/>
          <w:p>
            <w:pPr>
              <w:pStyle w:val="918"/>
              <w:jc w:val="left"/>
            </w:pPr>
            <w:r>
              <w:t xml:space="preserve">uma resposta rápida para evitar perdas.</w:t>
            </w:r>
          </w:p>
        </w:tc>
      </w:tr>
      <w:tr>
        <w:tc>
          <w:tcPr/>
          <w:p>
            <w:pPr>
              <w:pStyle w:val="918"/>
              <w:jc w:val="right"/>
            </w:pPr>
            <w:r>
              <w:t xml:space="preserve">35</w:t>
            </w:r>
          </w:p>
        </w:tc>
        <w:tc>
          <w:tcPr/>
          <w:p>
            <w:pPr>
              <w:pStyle w:val="918"/>
              <w:jc w:val="left"/>
            </w:pPr>
            <w:r>
              <w:t xml:space="preserve">Registra-se que, de acordo com informações fornecidas pela área técni…</w:t>
            </w:r>
          </w:p>
        </w:tc>
      </w:tr>
      <w:tr>
        <w:tc>
          <w:tcPr/>
          <w:p>
            <w:pPr>
              <w:pStyle w:val="918"/>
              <w:jc w:val="right"/>
            </w:pPr>
            <w:r>
              <w:t xml:space="preserve">36</w:t>
            </w:r>
          </w:p>
        </w:tc>
        <w:tc>
          <w:tcPr/>
          <w:p>
            <w:pPr>
              <w:pStyle w:val="918"/>
              <w:jc w:val="left"/>
            </w:pPr>
            <w:r>
              <w:t xml:space="preserve">Frio do PNI está em processo de atualização, com previsão de conclusã…</w:t>
            </w:r>
          </w:p>
        </w:tc>
      </w:tr>
      <w:tr>
        <w:tc>
          <w:tcPr/>
          <w:p>
            <w:pPr>
              <w:pStyle w:val="918"/>
              <w:jc w:val="right"/>
            </w:pPr>
            <w:r>
              <w:t xml:space="preserve">37</w:t>
            </w:r>
          </w:p>
        </w:tc>
        <w:tc>
          <w:tcPr/>
          <w:p>
            <w:pPr>
              <w:pStyle w:val="918"/>
              <w:jc w:val="left"/>
            </w:pPr>
            <w:r>
              <w:t xml:space="preserve">publicada no ano de 2017.</w:t>
            </w:r>
          </w:p>
        </w:tc>
      </w:tr>
      <w:tr>
        <w:tc>
          <w:tcPr/>
          <w:p>
            <w:pPr>
              <w:pStyle w:val="918"/>
              <w:jc w:val="right"/>
            </w:pPr>
            <w:r>
              <w:t xml:space="preserve">38</w:t>
            </w:r>
          </w:p>
        </w:tc>
        <w:tc>
          <w:tcPr/>
          <w:p>
            <w:pPr>
              <w:pStyle w:val="918"/>
            </w:pPr>
          </w:p>
        </w:tc>
      </w:tr>
      <w:tr>
        <w:tc>
          <w:tcPr/>
          <w:p>
            <w:pPr>
              <w:pStyle w:val="918"/>
              <w:jc w:val="right"/>
            </w:pPr>
            <w:r>
              <w:t xml:space="preserve">39</w:t>
            </w:r>
          </w:p>
        </w:tc>
        <w:tc>
          <w:tcPr/>
          <w:p>
            <w:pPr>
              <w:pStyle w:val="918"/>
              <w:jc w:val="left"/>
            </w:pPr>
            <w:r>
              <w:t xml:space="preserve">3.5 A Rede de Frio do Programa Nacional de Imunizações - PNI</w:t>
            </w:r>
          </w:p>
        </w:tc>
      </w:tr>
      <w:tr>
        <w:tc>
          <w:tcPr/>
          <w:p>
            <w:pPr>
              <w:pStyle w:val="918"/>
              <w:jc w:val="right"/>
            </w:pPr>
            <w:r>
              <w:t xml:space="preserve">40</w:t>
            </w:r>
          </w:p>
        </w:tc>
        <w:tc>
          <w:tcPr/>
          <w:p>
            <w:pPr>
              <w:pStyle w:val="918"/>
            </w:pPr>
          </w:p>
        </w:tc>
      </w:tr>
      <w:tr>
        <w:tc>
          <w:tcPr/>
          <w:p>
            <w:pPr>
              <w:pStyle w:val="918"/>
              <w:jc w:val="right"/>
            </w:pPr>
            <w:r>
              <w:t xml:space="preserve">41</w:t>
            </w:r>
          </w:p>
        </w:tc>
        <w:tc>
          <w:tcPr/>
          <w:p>
            <w:pPr>
              <w:pStyle w:val="918"/>
              <w:jc w:val="left"/>
            </w:pPr>
            <w:r>
              <w:t xml:space="preserve">O Programa Nacional de Imunizações tem o objetivo de promover a garan…</w:t>
            </w:r>
          </w:p>
        </w:tc>
      </w:tr>
      <w:tr>
        <w:tc>
          <w:tcPr/>
          <w:p>
            <w:pPr>
              <w:pStyle w:val="918"/>
              <w:jc w:val="right"/>
            </w:pPr>
            <w:r>
              <w:t xml:space="preserve">42</w:t>
            </w:r>
          </w:p>
        </w:tc>
        <w:tc>
          <w:tcPr/>
          <w:p>
            <w:pPr>
              <w:pStyle w:val="918"/>
              <w:jc w:val="left"/>
            </w:pPr>
            <w:r>
              <w:t xml:space="preserve">população, para isso conta com uma Rede Nacional constituída por uma …</w:t>
            </w:r>
          </w:p>
        </w:tc>
      </w:tr>
      <w:tr>
        <w:tc>
          <w:tcPr/>
          <w:p>
            <w:pPr>
              <w:pStyle w:val="918"/>
              <w:jc w:val="right"/>
            </w:pPr>
            <w:r>
              <w:t xml:space="preserve">43</w:t>
            </w:r>
          </w:p>
        </w:tc>
        <w:tc>
          <w:tcPr/>
          <w:p>
            <w:pPr>
              <w:pStyle w:val="918"/>
              <w:jc w:val="left"/>
            </w:pPr>
            <w:r>
              <w:t xml:space="preserve">Cadeia de Frio, conforme definições a seguir:</w:t>
            </w:r>
          </w:p>
        </w:tc>
      </w:tr>
      <w:tr>
        <w:tc>
          <w:tcPr/>
          <w:p>
            <w:pPr>
              <w:pStyle w:val="918"/>
              <w:jc w:val="right"/>
            </w:pPr>
            <w:r>
              <w:t xml:space="preserve">44</w:t>
            </w:r>
          </w:p>
        </w:tc>
        <w:tc>
          <w:tcPr/>
          <w:p>
            <w:pPr>
              <w:pStyle w:val="918"/>
              <w:jc w:val="left"/>
            </w:pPr>
            <w:r>
              <w:t xml:space="preserve">a) Rede de Frio: É um sistema amplo, inclui estrutura técnico-adminis…</w:t>
            </w:r>
          </w:p>
        </w:tc>
      </w:tr>
      <w:tr>
        <w:tc>
          <w:tcPr/>
          <w:p>
            <w:pPr>
              <w:pStyle w:val="918"/>
              <w:jc w:val="right"/>
            </w:pPr>
            <w:r>
              <w:t xml:space="preserve">45</w:t>
            </w:r>
          </w:p>
        </w:tc>
        <w:tc>
          <w:tcPr/>
          <w:p>
            <w:pPr>
              <w:pStyle w:val="918"/>
              <w:jc w:val="left"/>
            </w:pPr>
            <w:r>
              <w:t xml:space="preserve">avaliação e financiamento que visa à manutenção adequada da Cadeia de…</w:t>
            </w:r>
          </w:p>
        </w:tc>
      </w:tr>
      <w:tr>
        <w:tc>
          <w:tcPr/>
          <w:p>
            <w:pPr>
              <w:pStyle w:val="918"/>
              <w:jc w:val="right"/>
            </w:pPr>
            <w:r>
              <w:t xml:space="preserve">46</w:t>
            </w:r>
          </w:p>
        </w:tc>
        <w:tc>
          <w:tcPr/>
          <w:p>
            <w:pPr>
              <w:pStyle w:val="918"/>
              <w:jc w:val="left"/>
            </w:pPr>
            <w:r>
              <w:t xml:space="preserve">Estados, Distrito Federal e Municípios, e tem como propósito principa…</w:t>
            </w:r>
          </w:p>
        </w:tc>
      </w:tr>
      <w:tr>
        <w:tc>
          <w:tcPr/>
          <w:p>
            <w:pPr>
              <w:pStyle w:val="918"/>
              <w:jc w:val="right"/>
            </w:pPr>
            <w:r>
              <w:t xml:space="preserve">47</w:t>
            </w:r>
          </w:p>
        </w:tc>
        <w:tc>
          <w:tcPr/>
          <w:p>
            <w:pPr>
              <w:pStyle w:val="918"/>
              <w:jc w:val="left"/>
            </w:pPr>
            <w:r>
              <w:t xml:space="preserve">especialmente imunobiológicos, ao longo de sua cadeia de distribuição.</w:t>
            </w:r>
          </w:p>
        </w:tc>
      </w:tr>
      <w:tr>
        <w:tc>
          <w:tcPr/>
          <w:p>
            <w:pPr>
              <w:pStyle w:val="918"/>
              <w:jc w:val="right"/>
            </w:pPr>
            <w:r>
              <w:t xml:space="preserve">48</w:t>
            </w:r>
          </w:p>
        </w:tc>
        <w:tc>
          <w:tcPr/>
          <w:p>
            <w:pPr>
              <w:pStyle w:val="918"/>
              <w:jc w:val="left"/>
            </w:pPr>
            <w:r>
              <w:t xml:space="preserve">b) Cadeia de Frio: É o processo logístico da Rede de Frio para conser…</w:t>
            </w:r>
          </w:p>
        </w:tc>
      </w:tr>
      <w:tr>
        <w:tc>
          <w:tcPr/>
          <w:p>
            <w:pPr>
              <w:pStyle w:val="918"/>
              <w:jc w:val="right"/>
            </w:pPr>
            <w:r>
              <w:t xml:space="preserve">49</w:t>
            </w:r>
          </w:p>
        </w:tc>
        <w:tc>
          <w:tcPr/>
          <w:p>
            <w:pPr>
              <w:pStyle w:val="918"/>
              <w:jc w:val="left"/>
            </w:pPr>
            <w:r>
              <w:t xml:space="preserve">incluindo as etapas de recebimento, armazenamento, distribuição e tra…</w:t>
            </w:r>
          </w:p>
        </w:tc>
      </w:tr>
      <w:tr>
        <w:tc>
          <w:tcPr/>
          <w:p>
            <w:pPr>
              <w:pStyle w:val="918"/>
              <w:jc w:val="right"/>
            </w:pPr>
            <w:r>
              <w:t xml:space="preserve">50</w:t>
            </w:r>
          </w:p>
        </w:tc>
        <w:tc>
          <w:tcPr/>
          <w:p>
            <w:pPr>
              <w:pStyle w:val="918"/>
              <w:jc w:val="left"/>
            </w:pPr>
            <w:r>
              <w:t xml:space="preserve">suas características originais.</w:t>
            </w:r>
          </w:p>
        </w:tc>
      </w:tr>
      <w:tr>
        <w:tc>
          <w:tcPr/>
          <w:p>
            <w:pPr>
              <w:pStyle w:val="918"/>
              <w:jc w:val="right"/>
            </w:pPr>
            <w:r>
              <w:t xml:space="preserve">51</w:t>
            </w:r>
          </w:p>
        </w:tc>
        <w:tc>
          <w:tcPr/>
          <w:p>
            <w:pPr>
              <w:pStyle w:val="918"/>
            </w:pPr>
          </w:p>
        </w:tc>
      </w:tr>
      <w:tr>
        <w:tc>
          <w:tcPr/>
          <w:p>
            <w:pPr>
              <w:pStyle w:val="918"/>
              <w:jc w:val="right"/>
            </w:pPr>
            <w:r>
              <w:t xml:space="preserve">52</w:t>
            </w:r>
          </w:p>
        </w:tc>
        <w:tc>
          <w:tcPr/>
          <w:p>
            <w:pPr>
              <w:pStyle w:val="918"/>
              <w:jc w:val="left"/>
            </w:pPr>
            <w:r>
              <w:t xml:space="preserve">3.6 O Processo Logístico na Rede de Frio</w:t>
            </w:r>
          </w:p>
        </w:tc>
      </w:tr>
      <w:tr>
        <w:tc>
          <w:tcPr/>
          <w:p>
            <w:pPr>
              <w:pStyle w:val="918"/>
              <w:jc w:val="right"/>
            </w:pPr>
            <w:r>
              <w:t xml:space="preserve">53</w:t>
            </w:r>
          </w:p>
        </w:tc>
        <w:tc>
          <w:tcPr/>
          <w:p>
            <w:pPr>
              <w:pStyle w:val="918"/>
            </w:pPr>
          </w:p>
        </w:tc>
      </w:tr>
      <w:tr>
        <w:tc>
          <w:tcPr/>
          <w:p>
            <w:pPr>
              <w:pStyle w:val="918"/>
              <w:jc w:val="right"/>
            </w:pPr>
            <w:r>
              <w:t xml:space="preserve">54</w:t>
            </w:r>
          </w:p>
        </w:tc>
        <w:tc>
          <w:tcPr/>
          <w:p>
            <w:pPr>
              <w:pStyle w:val="918"/>
              <w:jc w:val="left"/>
            </w:pPr>
            <w:r>
              <w:t xml:space="preserve">O controle da temperatura dos imunobiológicos é fator fundamental, da…</w:t>
            </w:r>
          </w:p>
        </w:tc>
      </w:tr>
      <w:tr>
        <w:tc>
          <w:tcPr/>
          <w:p>
            <w:pPr>
              <w:pStyle w:val="918"/>
              <w:jc w:val="right"/>
            </w:pPr>
            <w:r>
              <w:t xml:space="preserve">55</w:t>
            </w:r>
          </w:p>
        </w:tc>
        <w:tc>
          <w:tcPr/>
          <w:p>
            <w:pPr>
              <w:pStyle w:val="918"/>
              <w:jc w:val="left"/>
            </w:pPr>
            <w:r>
              <w:t xml:space="preserve">ideais dos insumos, da mesma forma os equipamentos utilizados, o acon…</w:t>
            </w:r>
          </w:p>
        </w:tc>
      </w:tr>
      <w:tr>
        <w:tc>
          <w:tcPr/>
          <w:p>
            <w:pPr>
              <w:pStyle w:val="918"/>
              <w:jc w:val="right"/>
            </w:pPr>
            <w:r>
              <w:t xml:space="preserve">56</w:t>
            </w:r>
          </w:p>
        </w:tc>
        <w:tc>
          <w:tcPr/>
          <w:p>
            <w:pPr>
              <w:pStyle w:val="918"/>
              <w:jc w:val="left"/>
            </w:pPr>
            <w:r>
              <w:t xml:space="preserve">Os imunobiológicos transportados devem ser separados por tipo, de aco…</w:t>
            </w:r>
          </w:p>
        </w:tc>
      </w:tr>
      <w:tr>
        <w:tc>
          <w:tcPr/>
          <w:p>
            <w:pPr>
              <w:pStyle w:val="918"/>
              <w:jc w:val="right"/>
            </w:pPr>
            <w:r>
              <w:t xml:space="preserve">57</w:t>
            </w:r>
          </w:p>
        </w:tc>
        <w:tc>
          <w:tcPr/>
          <w:p>
            <w:pPr>
              <w:pStyle w:val="918"/>
              <w:jc w:val="left"/>
            </w:pPr>
            <w:r>
              <w:t xml:space="preserve">monitoramento de temperatura ao longo do percurso. Independente da vi…</w:t>
            </w:r>
          </w:p>
        </w:tc>
      </w:tr>
      <w:tr>
        <w:tc>
          <w:tcPr/>
          <w:p>
            <w:pPr>
              <w:pStyle w:val="918"/>
              <w:jc w:val="right"/>
            </w:pPr>
            <w:r>
              <w:t xml:space="preserve">58</w:t>
            </w:r>
          </w:p>
        </w:tc>
        <w:tc>
          <w:tcPr/>
          <w:p>
            <w:pPr>
              <w:pStyle w:val="918"/>
            </w:pPr>
          </w:p>
        </w:tc>
      </w:tr>
      <w:tr>
        <w:tc>
          <w:tcPr/>
          <w:p>
            <w:pPr>
              <w:pStyle w:val="918"/>
              <w:jc w:val="right"/>
            </w:pPr>
            <w:r>
              <w:t xml:space="preserve">59</w:t>
            </w:r>
          </w:p>
        </w:tc>
        <w:tc>
          <w:tcPr/>
          <w:p>
            <w:pPr>
              <w:pStyle w:val="918"/>
            </w:pPr>
          </w:p>
        </w:tc>
      </w:tr>
    </w:tbl>
    <w:p>
      <w:pPr>
        <w:pStyle w:val="916"/>
      </w:pPr>
      <w:r>
        <w:t xml:space="preserve">Conforme observado, foi possível identificar, até a linha 3, a presença de um texto que se assemelha a um cabeçalho.</w:t>
      </w:r>
    </w:p>
    <w:p>
      <w:pPr>
        <w:pStyle w:val="916"/>
      </w:pPr>
      <w:r>
        <w:t xml:space="preserve">A seguir, procedeu-se à análise das três primeiras linhas de todas as páginas de todos os relatórios, com o objetivo de verificar se esse cabeçalho apresenta um padrão recorrente entre os documentos.</w:t>
      </w:r>
    </w:p>
    <w:p>
      <w:pPr>
        <w:pStyle w:val="SourceCode"/>
      </w:pPr>
      <w:r>
        <w:rPr>
          <w:rStyle w:val="949"/>
        </w:rPr>
        <w:t xml:space="preserve">rel_sem_sumario_rodape |&gt;</w:t>
      </w:r>
      <w:r>
        <w:br/>
      </w:r>
      <w:r>
        <w:rPr>
          <w:rStyle w:val="949"/>
        </w:rPr>
        <w:t xml:space="preserve">filter(`# Linha` &lt;= 3) |&gt;</w:t>
      </w:r>
      <w:r>
        <w:br/>
      </w:r>
      <w:r>
        <w:rPr>
          <w:rStyle w:val="949"/>
        </w:rPr>
        <w:t xml:space="preserve">summarise(</w:t>
      </w:r>
      <w:r>
        <w:br/>
      </w:r>
      <w:r>
        <w:rPr>
          <w:rStyle w:val="949"/>
        </w:rPr>
        <w:t xml:space="preserve">  Contagem = n(),</w:t>
      </w:r>
      <w:r>
        <w:br/>
      </w:r>
      <w:r>
        <w:rPr>
          <w:rStyle w:val="949"/>
        </w:rPr>
        <w:t xml:space="preserve">  .by = Linha</w:t>
      </w:r>
      <w:r>
        <w:br/>
      </w:r>
      <w:r>
        <w:rPr>
          <w:rStyle w:val="949"/>
        </w:rPr>
        <w:t xml:space="preserve">) |&gt;</w:t>
      </w:r>
      <w:r>
        <w:br/>
      </w:r>
      <w:r>
        <w:rPr>
          <w:rStyle w:val="949"/>
        </w:rPr>
        <w:t xml:space="preserve">knitr::kable()</w:t>
      </w:r>
    </w:p>
    <w:p>
      <w:pPr>
        <w:pStyle w:val="944"/>
      </w:pPr>
      <w:r>
        <w:t xml:space="preserve">Contagem de Ocorrências de Linhas de Cabeçalho</w:t>
      </w:r>
    </w:p>
    <w:tbl>
      <w:tblPr>
        <w:tblStyle w:val="Table"/>
        <w:tblW w:type="pct" w:w="4865"/>
        <w:tblLayout w:type="fixed"/>
        <w:tblLook w:firstRow="1" w:lastRow="0" w:firstColumn="0" w:lastColumn="0" w:noHBand="0" w:noVBand="0" w:val="0020"/>
        <w:tblCaption w:val="Contagem de Ocorrências de Linhas de Cabeçalho"/>
      </w:tblPr>
      <w:tblGrid>
        <w:gridCol w:w="6314"/>
        <w:gridCol w:w="1391"/>
      </w:tblGrid>
      <w:tr>
        <w:trPr>
          <w:tblHeader w:val="on"/>
        </w:trPr>
        <w:tc>
          <w:tcPr/>
          <w:p>
            <w:pPr>
              <w:pStyle w:val="918"/>
              <w:jc w:val="left"/>
            </w:pPr>
            <w:r>
              <w:t xml:space="preserve">Linha</w:t>
            </w:r>
          </w:p>
        </w:tc>
        <w:tc>
          <w:tcPr/>
          <w:p>
            <w:pPr>
              <w:pStyle w:val="918"/>
              <w:jc w:val="right"/>
            </w:pPr>
            <w:r>
              <w:t xml:space="preserve">Contagem</w:t>
            </w:r>
          </w:p>
        </w:tc>
      </w:tr>
      <w:tr>
        <w:tc>
          <w:tcPr/>
          <w:p>
            <w:pPr>
              <w:pStyle w:val="918"/>
              <w:jc w:val="left"/>
            </w:pPr>
            <w:r>
              <w:t xml:space="preserve">SNA - Sistema Nacional de Auditoria do SUS</w:t>
            </w:r>
          </w:p>
        </w:tc>
        <w:tc>
          <w:tcPr/>
          <w:p>
            <w:pPr>
              <w:pStyle w:val="918"/>
              <w:jc w:val="right"/>
            </w:pPr>
            <w:r>
              <w:t xml:space="preserve">18191</w:t>
            </w:r>
          </w:p>
        </w:tc>
      </w:tr>
      <w:tr>
        <w:tc>
          <w:tcPr/>
          <w:p>
            <w:pPr>
              <w:pStyle w:val="918"/>
              <w:jc w:val="left"/>
            </w:pPr>
            <w:r>
              <w:t xml:space="preserve">MS/SGEP/Departamento Nacional de Auditoria do SUS</w:t>
            </w:r>
          </w:p>
        </w:tc>
        <w:tc>
          <w:tcPr/>
          <w:p>
            <w:pPr>
              <w:pStyle w:val="918"/>
              <w:jc w:val="right"/>
            </w:pPr>
            <w:r>
              <w:t xml:space="preserve">18191</w:t>
            </w:r>
          </w:p>
        </w:tc>
      </w:tr>
      <w:tr>
        <w:tc>
          <w:tcPr/>
          <w:p>
            <w:pPr>
              <w:pStyle w:val="918"/>
              <w:jc w:val="left"/>
            </w:pPr>
            <w:r>
              <w:t xml:space="preserve">Relatório</w:t>
            </w:r>
          </w:p>
        </w:tc>
        <w:tc>
          <w:tcPr/>
          <w:p>
            <w:pPr>
              <w:pStyle w:val="918"/>
              <w:jc w:val="right"/>
            </w:pPr>
            <w:r>
              <w:t xml:space="preserve">18046</w:t>
            </w:r>
          </w:p>
        </w:tc>
      </w:tr>
      <w:tr>
        <w:tc>
          <w:tcPr/>
          <w:p>
            <w:pPr>
              <w:pStyle w:val="918"/>
              <w:jc w:val="left"/>
            </w:pPr>
            <w:r>
              <w:t xml:space="preserve">Relatório Complementar</w:t>
            </w:r>
          </w:p>
        </w:tc>
        <w:tc>
          <w:tcPr/>
          <w:p>
            <w:pPr>
              <w:pStyle w:val="918"/>
              <w:jc w:val="right"/>
            </w:pPr>
            <w:r>
              <w:t xml:space="preserve">145</w:t>
            </w:r>
          </w:p>
        </w:tc>
      </w:tr>
    </w:tbl>
    <w:p>
      <w:pPr>
        <w:pStyle w:val="916"/>
      </w:pPr>
      <w:r>
        <w:t xml:space="preserve">Conforme demonstrado anteriormente, constatou-se que as três primeiras linhas de todas as páginas correspondem, de fato, a um cabeçalho padronizado. Com base nessa evidência, concluiu-se a etapa de limpeza dos dados, a qual consistiu na remoção dos cabeçalhos, de linhas órfãs e de linhas desprovidas de qualquer caractere alfanumérico. Adicionalmente, foram excluídas as colunas</w:t>
      </w:r>
      <w:r>
        <w:t xml:space="preserve"> </w:t>
      </w:r>
      <w:r>
        <w:rPr>
          <w:rStyle w:val="949"/>
        </w:rPr>
        <w:t xml:space="preserve">Qtd`` Páginas</w:t>
      </w:r>
      <w:r>
        <w:t xml:space="preserve"> </w:t>
      </w:r>
      <w:r>
        <w:t xml:space="preserve">e</w:t>
      </w:r>
      <w:r>
        <w:t xml:space="preserve"> </w:t>
      </w:r>
      <w:r>
        <w:rPr>
          <w:rStyle w:val="949"/>
        </w:rPr>
        <w:t xml:space="preserve"># Linha Fim Página</w:t>
      </w:r>
      <w:r>
        <w:t xml:space="preserve">, por não serem mais necessárias para as etapas subsequentes da análise.</w:t>
      </w:r>
    </w:p>
    <w:p>
      <w:pPr>
        <w:pStyle w:val="SourceCode"/>
      </w:pPr>
      <w:r>
        <w:rPr>
          <w:rStyle w:val="949"/>
        </w:rPr>
        <w:t xml:space="preserve">rel_texto_limpo &lt;- rel_sem_sumario_rodape |&gt;</w:t>
      </w:r>
      <w:r>
        <w:br/>
      </w:r>
      <w:r>
        <w:rPr>
          <w:rStyle w:val="949"/>
        </w:rPr>
        <w:t xml:space="preserve">filter(</w:t>
      </w:r>
      <w:r>
        <w:br/>
      </w:r>
      <w:r>
        <w:rPr>
          <w:rStyle w:val="949"/>
        </w:rPr>
        <w:t xml:space="preserve">    `# Linha` &gt; 3 &amp;</w:t>
      </w:r>
      <w:r>
        <w:br/>
      </w:r>
      <w:r>
        <w:rPr>
          <w:rStyle w:val="949"/>
        </w:rPr>
        <w:t xml:space="preserve">    str_detect(Linha, "[[:alnum:]]")</w:t>
      </w:r>
      <w:r>
        <w:br/>
      </w:r>
      <w:r>
        <w:rPr>
          <w:rStyle w:val="949"/>
        </w:rPr>
        <w:t xml:space="preserve">) |&gt;</w:t>
      </w:r>
      <w:r>
        <w:br/>
      </w:r>
      <w:r>
        <w:rPr>
          <w:rStyle w:val="949"/>
        </w:rPr>
        <w:t xml:space="preserve">select(-`Qtd Páginas`, -`# Linha Fim Página`) </w:t>
      </w:r>
    </w:p>
    <w:bookmarkEnd w:id="91"/>
    <w:bookmarkStart w:id="92" w:name="seções"/>
    <w:p>
      <w:pPr>
        <w:pStyle w:val="906"/>
      </w:pPr>
      <w:r>
        <w:t xml:space="preserve">7.0.7 Seções</w:t>
      </w:r>
    </w:p>
    <w:p>
      <w:pPr>
        <w:pStyle w:val="917"/>
      </w:pPr>
      <w:r>
        <w:t xml:space="preserve">Como este trabalho tem especial interesse nos metadados das auditorias, bem como nas constatações e recomendações nelas registradas, tornou-se necessário investigar a estrutura das seções que compõem os relatórios. Conforme já observado, essas seções seguem, em geral, um padrão de identificação baseado em algarismos romanos seguidos de um traço (</w:t>
      </w:r>
      <w:r>
        <w:rPr>
          <w:rStyle w:val="949"/>
        </w:rPr>
        <w:t xml:space="preserve">-</w:t>
      </w:r>
      <w:r>
        <w:t xml:space="preserve">) separando a numeração do título.</w:t>
      </w:r>
    </w:p>
    <w:p>
      <w:pPr>
        <w:pStyle w:val="916"/>
      </w:pPr>
      <w:r>
        <w:t xml:space="preserve">Parte-se da hipótese de que, embora a numeração das seções possa variar entre os documentos, os títulos dessas seções são razoavelmente padronizados. Com base nessa premissa, filtraram-se as linhas que aderem ao padrão esperado, separando-se a numeração do título, e contabilizou-se a frequência de ocorrência de cada título ao longo do conjunto de documentos. Caso os títulos se repitam em quantidades compatíveis com o número de relatórios analisados, considera-se válida a hipótese de padronização. Assim, torna-se possível utilizar essas marcações como referência confiável para a identificação das seções nos relatórios de auditoria.</w:t>
      </w:r>
    </w:p>
    <w:p>
      <w:pPr>
        <w:pStyle w:val="SourceCode"/>
      </w:pPr>
      <w:r>
        <w:rPr>
          <w:rStyle w:val="949"/>
        </w:rPr>
        <w:t xml:space="preserve">letras &lt;- "[a-záàâãçéêíóôõú]"</w:t>
      </w:r>
      <w:r>
        <w:br/>
      </w:r>
      <w:r>
        <w:rPr>
          <w:rStyle w:val="949"/>
        </w:rPr>
        <w:t xml:space="preserve">letras_ &lt;- str_replace(letras, fixed("]"), " ]")</w:t>
      </w:r>
      <w:r>
        <w:br/>
      </w:r>
      <w:r>
        <w:rPr>
          <w:rStyle w:val="949"/>
        </w:rPr>
        <w:t xml:space="preserve">LETRAS_ &lt;- str_to_upper(letras_)</w:t>
      </w:r>
      <w:r>
        <w:br/>
      </w:r>
      <w:r>
        <w:br/>
      </w:r>
      <w:r>
        <w:rPr>
          <w:rStyle w:val="949"/>
        </w:rPr>
        <w:t xml:space="preserve">regex_secoes &lt;- regex(str_glue("^[IVX]{{1,4}} \\- {LETRAS_}{{5,50}}")) </w:t>
      </w:r>
      <w:r>
        <w:br/>
      </w:r>
      <w:r>
        <w:br/>
      </w:r>
      <w:r>
        <w:rPr>
          <w:rStyle w:val="949"/>
        </w:rPr>
        <w:t xml:space="preserve">secoes_possiveis &lt;- rel_texto_limpo |&gt;</w:t>
      </w:r>
      <w:r>
        <w:br/>
      </w:r>
      <w:r>
        <w:rPr>
          <w:rStyle w:val="949"/>
        </w:rPr>
        <w:t xml:space="preserve">    filter(str_detect(`Linha`, regex_secoes)) |&gt;</w:t>
      </w:r>
      <w:r>
        <w:br/>
      </w:r>
      <w:r>
        <w:rPr>
          <w:rStyle w:val="949"/>
        </w:rPr>
        <w:t xml:space="preserve">    separate_wider_delim(</w:t>
      </w:r>
      <w:r>
        <w:br/>
      </w:r>
      <w:r>
        <w:rPr>
          <w:rStyle w:val="949"/>
        </w:rPr>
        <w:t xml:space="preserve">        `Linha`, </w:t>
      </w:r>
      <w:r>
        <w:br/>
      </w:r>
      <w:r>
        <w:rPr>
          <w:rStyle w:val="949"/>
        </w:rPr>
        <w:t xml:space="preserve">        delim = "-",</w:t>
      </w:r>
      <w:r>
        <w:br/>
      </w:r>
      <w:r>
        <w:rPr>
          <w:rStyle w:val="949"/>
        </w:rPr>
        <w:t xml:space="preserve">        names = c("Numeração", "Seção"),</w:t>
      </w:r>
      <w:r>
        <w:br/>
      </w:r>
      <w:r>
        <w:rPr>
          <w:rStyle w:val="949"/>
        </w:rPr>
        <w:t xml:space="preserve">        too_many = "merge",</w:t>
      </w:r>
      <w:r>
        <w:br/>
      </w:r>
      <w:r>
        <w:rPr>
          <w:rStyle w:val="949"/>
        </w:rPr>
        <w:t xml:space="preserve">        too_few = "error",</w:t>
      </w:r>
      <w:r>
        <w:br/>
      </w:r>
      <w:r>
        <w:rPr>
          <w:rStyle w:val="949"/>
        </w:rPr>
        <w:t xml:space="preserve">        cols_remove = FALSE) |&gt;</w:t>
      </w:r>
      <w:r>
        <w:br/>
      </w:r>
      <w:r>
        <w:rPr>
          <w:rStyle w:val="949"/>
        </w:rPr>
        <w:t xml:space="preserve">    mutate(across(c("Numeração", "Seção"), str_trim)) </w:t>
      </w:r>
      <w:r>
        <w:br/>
      </w:r>
      <w:r>
        <w:rPr>
          <w:rStyle w:val="949"/>
        </w:rPr>
        <w:t xml:space="preserve">    </w:t>
      </w:r>
      <w:r>
        <w:br/>
      </w:r>
      <w:r>
        <w:rPr>
          <w:rStyle w:val="949"/>
        </w:rPr>
        <w:t xml:space="preserve">secoes_candidatas &lt;- secoes_possiveis |&gt;</w:t>
      </w:r>
      <w:r>
        <w:br/>
      </w:r>
      <w:r>
        <w:rPr>
          <w:rStyle w:val="949"/>
        </w:rPr>
        <w:t xml:space="preserve">    summarise(</w:t>
      </w:r>
      <w:r>
        <w:br/>
      </w:r>
      <w:r>
        <w:rPr>
          <w:rStyle w:val="949"/>
        </w:rPr>
        <w:t xml:space="preserve">        `Ocorrências` = n(),</w:t>
      </w:r>
      <w:r>
        <w:br/>
      </w:r>
      <w:r>
        <w:rPr>
          <w:rStyle w:val="949"/>
        </w:rPr>
        <w:t xml:space="preserve">        `Numerações Possíveis` = str_flatten(</w:t>
      </w:r>
      <w:r>
        <w:br/>
      </w:r>
      <w:r>
        <w:rPr>
          <w:rStyle w:val="949"/>
        </w:rPr>
        <w:t xml:space="preserve">                unique(`Numeração`), </w:t>
      </w:r>
      <w:r>
        <w:br/>
      </w:r>
      <w:r>
        <w:rPr>
          <w:rStyle w:val="949"/>
        </w:rPr>
        <w:t xml:space="preserve">                collapse=", "),</w:t>
      </w:r>
      <w:r>
        <w:br/>
      </w:r>
      <w:r>
        <w:rPr>
          <w:rStyle w:val="949"/>
        </w:rPr>
        <w:t xml:space="preserve">        .by = `Seção`</w:t>
      </w:r>
      <w:r>
        <w:br/>
      </w:r>
      <w:r>
        <w:rPr>
          <w:rStyle w:val="949"/>
        </w:rPr>
        <w:t xml:space="preserve">    ) |&gt;</w:t>
      </w:r>
      <w:r>
        <w:br/>
      </w:r>
      <w:r>
        <w:rPr>
          <w:rStyle w:val="949"/>
        </w:rPr>
        <w:t xml:space="preserve">    arrange(desc(`Ocorrências`)) |&gt;</w:t>
      </w:r>
      <w:r>
        <w:br/>
      </w:r>
      <w:r>
        <w:rPr>
          <w:rStyle w:val="949"/>
        </w:rPr>
        <w:t xml:space="preserve">    head(15)</w:t>
      </w:r>
      <w:r>
        <w:br/>
      </w:r>
      <w:r>
        <w:br/>
      </w:r>
      <w:r>
        <w:rPr>
          <w:rStyle w:val="949"/>
        </w:rPr>
        <w:t xml:space="preserve">secoes_candidatas |&gt;</w:t>
      </w:r>
      <w:r>
        <w:br/>
      </w:r>
      <w:r>
        <w:rPr>
          <w:rStyle w:val="949"/>
        </w:rPr>
        <w:t xml:space="preserve">knitr::kable()</w:t>
      </w:r>
    </w:p>
    <w:p>
      <w:pPr>
        <w:pStyle w:val="944"/>
      </w:pPr>
      <w:r>
        <w:t xml:space="preserve">Amostra de seções com diferentes numerações</w:t>
      </w:r>
    </w:p>
    <w:tbl>
      <w:tblPr>
        <w:tblStyle w:val="Table"/>
        <w:tblW w:type="pct" w:w="4884"/>
        <w:tblLayout w:type="fixed"/>
        <w:tblLook w:firstRow="1" w:lastRow="0" w:firstColumn="0" w:lastColumn="0" w:noHBand="0" w:noVBand="0" w:val="0020"/>
        <w:tblCaption w:val="Amostra de seções com diferentes numerações"/>
      </w:tblPr>
      <w:tblGrid>
        <w:gridCol w:w="3960"/>
        <w:gridCol w:w="1289"/>
        <w:gridCol w:w="2486"/>
      </w:tblGrid>
      <w:tr>
        <w:trPr>
          <w:tblHeader w:val="on"/>
        </w:trPr>
        <w:tc>
          <w:tcPr/>
          <w:p>
            <w:pPr>
              <w:pStyle w:val="918"/>
              <w:jc w:val="left"/>
            </w:pPr>
            <w:r>
              <w:t xml:space="preserve">Seção</w:t>
            </w:r>
          </w:p>
        </w:tc>
        <w:tc>
          <w:tcPr/>
          <w:p>
            <w:pPr>
              <w:pStyle w:val="918"/>
              <w:jc w:val="right"/>
            </w:pPr>
            <w:r>
              <w:t xml:space="preserve">Ocorrências</w:t>
            </w:r>
          </w:p>
        </w:tc>
        <w:tc>
          <w:tcPr/>
          <w:p>
            <w:pPr>
              <w:pStyle w:val="918"/>
              <w:jc w:val="left"/>
            </w:pPr>
            <w:r>
              <w:t xml:space="preserve">Numerações Possíveis</w:t>
            </w:r>
          </w:p>
        </w:tc>
      </w:tr>
      <w:tr>
        <w:tc>
          <w:tcPr/>
          <w:p>
            <w:pPr>
              <w:pStyle w:val="918"/>
              <w:jc w:val="left"/>
            </w:pPr>
            <w:r>
              <w:t xml:space="preserve">DADOS BÁSICOS</w:t>
            </w:r>
          </w:p>
        </w:tc>
        <w:tc>
          <w:tcPr/>
          <w:p>
            <w:pPr>
              <w:pStyle w:val="918"/>
              <w:jc w:val="right"/>
            </w:pPr>
            <w:r>
              <w:t xml:space="preserve">399</w:t>
            </w:r>
          </w:p>
        </w:tc>
        <w:tc>
          <w:tcPr/>
          <w:p>
            <w:pPr>
              <w:pStyle w:val="918"/>
              <w:jc w:val="left"/>
            </w:pPr>
            <w:r>
              <w:t xml:space="preserve">I</w:t>
            </w:r>
          </w:p>
        </w:tc>
      </w:tr>
      <w:tr>
        <w:tc>
          <w:tcPr/>
          <w:p>
            <w:pPr>
              <w:pStyle w:val="918"/>
              <w:jc w:val="left"/>
            </w:pPr>
            <w:r>
              <w:t xml:space="preserve">INTRODUÇÃO</w:t>
            </w:r>
          </w:p>
        </w:tc>
        <w:tc>
          <w:tcPr/>
          <w:p>
            <w:pPr>
              <w:pStyle w:val="918"/>
              <w:jc w:val="right"/>
            </w:pPr>
            <w:r>
              <w:t xml:space="preserve">349</w:t>
            </w:r>
          </w:p>
        </w:tc>
        <w:tc>
          <w:tcPr/>
          <w:p>
            <w:pPr>
              <w:pStyle w:val="918"/>
              <w:jc w:val="left"/>
            </w:pPr>
            <w:r>
              <w:t xml:space="preserve">II</w:t>
            </w:r>
          </w:p>
        </w:tc>
      </w:tr>
      <w:tr>
        <w:tc>
          <w:tcPr/>
          <w:p>
            <w:pPr>
              <w:pStyle w:val="918"/>
              <w:jc w:val="left"/>
            </w:pPr>
            <w:r>
              <w:t xml:space="preserve">CONSTATAÇÕES</w:t>
            </w:r>
          </w:p>
        </w:tc>
        <w:tc>
          <w:tcPr/>
          <w:p>
            <w:pPr>
              <w:pStyle w:val="918"/>
              <w:jc w:val="right"/>
            </w:pPr>
            <w:r>
              <w:t xml:space="preserve">347</w:t>
            </w:r>
          </w:p>
        </w:tc>
        <w:tc>
          <w:tcPr/>
          <w:p>
            <w:pPr>
              <w:pStyle w:val="918"/>
              <w:jc w:val="left"/>
            </w:pPr>
            <w:r>
              <w:t xml:space="preserve">IV, III, II</w:t>
            </w:r>
          </w:p>
        </w:tc>
      </w:tr>
      <w:tr>
        <w:tc>
          <w:tcPr/>
          <w:p>
            <w:pPr>
              <w:pStyle w:val="918"/>
              <w:jc w:val="left"/>
            </w:pPr>
            <w:r>
              <w:t xml:space="preserve">CONCLUSÃO</w:t>
            </w:r>
          </w:p>
        </w:tc>
        <w:tc>
          <w:tcPr/>
          <w:p>
            <w:pPr>
              <w:pStyle w:val="918"/>
              <w:jc w:val="right"/>
            </w:pPr>
            <w:r>
              <w:t xml:space="preserve">347</w:t>
            </w:r>
          </w:p>
        </w:tc>
        <w:tc>
          <w:tcPr/>
          <w:p>
            <w:pPr>
              <w:pStyle w:val="918"/>
              <w:jc w:val="left"/>
            </w:pPr>
            <w:r>
              <w:t xml:space="preserve">V, VI, IV</w:t>
            </w:r>
          </w:p>
        </w:tc>
      </w:tr>
      <w:tr>
        <w:tc>
          <w:tcPr/>
          <w:p>
            <w:pPr>
              <w:pStyle w:val="918"/>
              <w:jc w:val="left"/>
            </w:pPr>
            <w:r>
              <w:t xml:space="preserve">METODOLOGIA</w:t>
            </w:r>
          </w:p>
        </w:tc>
        <w:tc>
          <w:tcPr/>
          <w:p>
            <w:pPr>
              <w:pStyle w:val="918"/>
              <w:jc w:val="right"/>
            </w:pPr>
            <w:r>
              <w:t xml:space="preserve">343</w:t>
            </w:r>
          </w:p>
        </w:tc>
        <w:tc>
          <w:tcPr/>
          <w:p>
            <w:pPr>
              <w:pStyle w:val="918"/>
              <w:jc w:val="left"/>
            </w:pPr>
            <w:r>
              <w:t xml:space="preserve">III</w:t>
            </w:r>
          </w:p>
        </w:tc>
      </w:tr>
      <w:tr>
        <w:tc>
          <w:tcPr/>
          <w:p>
            <w:pPr>
              <w:pStyle w:val="918"/>
              <w:jc w:val="left"/>
            </w:pPr>
            <w:r>
              <w:t xml:space="preserve">ANEXOS</w:t>
            </w:r>
          </w:p>
        </w:tc>
        <w:tc>
          <w:tcPr/>
          <w:p>
            <w:pPr>
              <w:pStyle w:val="918"/>
              <w:jc w:val="right"/>
            </w:pPr>
            <w:r>
              <w:t xml:space="preserve">299</w:t>
            </w:r>
          </w:p>
        </w:tc>
        <w:tc>
          <w:tcPr/>
          <w:p>
            <w:pPr>
              <w:pStyle w:val="918"/>
              <w:jc w:val="left"/>
            </w:pPr>
            <w:r>
              <w:t xml:space="preserve">VII, II, VI, VIII, V, IV</w:t>
            </w:r>
          </w:p>
        </w:tc>
      </w:tr>
      <w:tr>
        <w:tc>
          <w:tcPr/>
          <w:p>
            <w:pPr>
              <w:pStyle w:val="918"/>
              <w:jc w:val="left"/>
            </w:pPr>
            <w:r>
              <w:t xml:space="preserve">PROPOSIÇÃO DA DEVOLUÇÃO</w:t>
            </w:r>
          </w:p>
        </w:tc>
        <w:tc>
          <w:tcPr/>
          <w:p>
            <w:pPr>
              <w:pStyle w:val="918"/>
              <w:jc w:val="right"/>
            </w:pPr>
            <w:r>
              <w:t xml:space="preserve">149</w:t>
            </w:r>
          </w:p>
        </w:tc>
        <w:tc>
          <w:tcPr/>
          <w:p>
            <w:pPr>
              <w:pStyle w:val="918"/>
              <w:jc w:val="left"/>
            </w:pPr>
            <w:r>
              <w:t xml:space="preserve">VI, VII, V</w:t>
            </w:r>
          </w:p>
        </w:tc>
      </w:tr>
      <w:tr>
        <w:tc>
          <w:tcPr/>
          <w:p>
            <w:pPr>
              <w:pStyle w:val="918"/>
              <w:jc w:val="left"/>
            </w:pPr>
            <w:r>
              <w:t xml:space="preserve">DA CONCLUSÃO</w:t>
            </w:r>
          </w:p>
        </w:tc>
        <w:tc>
          <w:tcPr/>
          <w:p>
            <w:pPr>
              <w:pStyle w:val="918"/>
              <w:jc w:val="right"/>
            </w:pPr>
            <w:r>
              <w:t xml:space="preserve">9</w:t>
            </w:r>
          </w:p>
        </w:tc>
        <w:tc>
          <w:tcPr/>
          <w:p>
            <w:pPr>
              <w:pStyle w:val="918"/>
              <w:jc w:val="left"/>
            </w:pPr>
            <w:r>
              <w:t xml:space="preserve">II</w:t>
            </w:r>
          </w:p>
        </w:tc>
      </w:tr>
      <w:tr>
        <w:tc>
          <w:tcPr/>
          <w:p>
            <w:pPr>
              <w:pStyle w:val="918"/>
              <w:jc w:val="left"/>
            </w:pPr>
            <w:r>
              <w:t xml:space="preserve">RESULTADO DA DENÚNCIA</w:t>
            </w:r>
          </w:p>
        </w:tc>
        <w:tc>
          <w:tcPr/>
          <w:p>
            <w:pPr>
              <w:pStyle w:val="918"/>
              <w:jc w:val="right"/>
            </w:pPr>
            <w:r>
              <w:t xml:space="preserve">1</w:t>
            </w:r>
          </w:p>
        </w:tc>
        <w:tc>
          <w:tcPr/>
          <w:p>
            <w:pPr>
              <w:pStyle w:val="918"/>
              <w:jc w:val="left"/>
            </w:pPr>
            <w:r>
              <w:t xml:space="preserve">V</w:t>
            </w:r>
          </w:p>
        </w:tc>
      </w:tr>
      <w:tr>
        <w:tc>
          <w:tcPr/>
          <w:p>
            <w:pPr>
              <w:pStyle w:val="918"/>
              <w:jc w:val="left"/>
            </w:pPr>
            <w:r>
              <w:t xml:space="preserve">LIMITAÇÕES</w:t>
            </w:r>
          </w:p>
        </w:tc>
        <w:tc>
          <w:tcPr/>
          <w:p>
            <w:pPr>
              <w:pStyle w:val="918"/>
              <w:jc w:val="right"/>
            </w:pPr>
            <w:r>
              <w:t xml:space="preserve">1</w:t>
            </w:r>
          </w:p>
        </w:tc>
        <w:tc>
          <w:tcPr/>
          <w:p>
            <w:pPr>
              <w:pStyle w:val="918"/>
              <w:jc w:val="left"/>
            </w:pPr>
            <w:r>
              <w:t xml:space="preserve">III</w:t>
            </w:r>
          </w:p>
        </w:tc>
      </w:tr>
      <w:tr>
        <w:tc>
          <w:tcPr/>
          <w:p>
            <w:pPr>
              <w:pStyle w:val="918"/>
              <w:jc w:val="left"/>
            </w:pPr>
            <w:r>
              <w:t xml:space="preserve">AÇÕES ANALÍTICAS</w:t>
            </w:r>
          </w:p>
        </w:tc>
        <w:tc>
          <w:tcPr/>
          <w:p>
            <w:pPr>
              <w:pStyle w:val="918"/>
              <w:jc w:val="right"/>
            </w:pPr>
            <w:r>
              <w:t xml:space="preserve">1</w:t>
            </w:r>
          </w:p>
        </w:tc>
        <w:tc>
          <w:tcPr/>
          <w:p>
            <w:pPr>
              <w:pStyle w:val="918"/>
              <w:jc w:val="left"/>
            </w:pPr>
            <w:r>
              <w:t xml:space="preserve">I</w:t>
            </w:r>
          </w:p>
        </w:tc>
      </w:tr>
      <w:tr>
        <w:tc>
          <w:tcPr/>
          <w:p>
            <w:pPr>
              <w:pStyle w:val="918"/>
              <w:jc w:val="left"/>
            </w:pPr>
            <w:r>
              <w:t xml:space="preserve">AÇÕES OPERATIVAS</w:t>
            </w:r>
          </w:p>
        </w:tc>
        <w:tc>
          <w:tcPr/>
          <w:p>
            <w:pPr>
              <w:pStyle w:val="918"/>
              <w:jc w:val="right"/>
            </w:pPr>
            <w:r>
              <w:t xml:space="preserve">1</w:t>
            </w:r>
          </w:p>
        </w:tc>
        <w:tc>
          <w:tcPr/>
          <w:p>
            <w:pPr>
              <w:pStyle w:val="918"/>
              <w:jc w:val="left"/>
            </w:pPr>
            <w:r>
              <w:t xml:space="preserve">II</w:t>
            </w:r>
          </w:p>
        </w:tc>
      </w:tr>
      <w:tr>
        <w:tc>
          <w:tcPr/>
          <w:p>
            <w:pPr>
              <w:pStyle w:val="918"/>
              <w:jc w:val="left"/>
            </w:pPr>
            <w:r>
              <w:t xml:space="preserve">ESCOPO E NÃO ESCOPO</w:t>
            </w:r>
          </w:p>
        </w:tc>
        <w:tc>
          <w:tcPr/>
          <w:p>
            <w:pPr>
              <w:pStyle w:val="918"/>
              <w:jc w:val="right"/>
            </w:pPr>
            <w:r>
              <w:t xml:space="preserve">1</w:t>
            </w:r>
          </w:p>
        </w:tc>
        <w:tc>
          <w:tcPr/>
          <w:p>
            <w:pPr>
              <w:pStyle w:val="918"/>
              <w:jc w:val="left"/>
            </w:pPr>
            <w:r>
              <w:t xml:space="preserve">XIV</w:t>
            </w:r>
          </w:p>
        </w:tc>
      </w:tr>
      <w:tr>
        <w:tc>
          <w:tcPr/>
          <w:p>
            <w:pPr>
              <w:pStyle w:val="918"/>
              <w:jc w:val="left"/>
            </w:pPr>
            <w:r>
              <w:t xml:space="preserve">CRONOGRAMA DE TRABALHO DA FASE OPERATIVA</w:t>
            </w:r>
          </w:p>
        </w:tc>
        <w:tc>
          <w:tcPr/>
          <w:p>
            <w:pPr>
              <w:pStyle w:val="918"/>
              <w:jc w:val="right"/>
            </w:pPr>
            <w:r>
              <w:t xml:space="preserve">1</w:t>
            </w:r>
          </w:p>
        </w:tc>
        <w:tc>
          <w:tcPr/>
          <w:p>
            <w:pPr>
              <w:pStyle w:val="918"/>
              <w:jc w:val="left"/>
            </w:pPr>
            <w:r>
              <w:t xml:space="preserve">III</w:t>
            </w:r>
          </w:p>
        </w:tc>
      </w:tr>
      <w:tr>
        <w:tc>
          <w:tcPr/>
          <w:p>
            <w:pPr>
              <w:pStyle w:val="918"/>
              <w:jc w:val="left"/>
            </w:pPr>
            <w:r>
              <w:t xml:space="preserve">CONSIDERAÇÕES DA FASE OPERACIONAL</w:t>
            </w:r>
          </w:p>
        </w:tc>
        <w:tc>
          <w:tcPr/>
          <w:p>
            <w:pPr>
              <w:pStyle w:val="918"/>
              <w:jc w:val="right"/>
            </w:pPr>
            <w:r>
              <w:t xml:space="preserve">1</w:t>
            </w:r>
          </w:p>
        </w:tc>
        <w:tc>
          <w:tcPr/>
          <w:p>
            <w:pPr>
              <w:pStyle w:val="918"/>
              <w:jc w:val="left"/>
            </w:pPr>
            <w:r>
              <w:t xml:space="preserve">IV</w:t>
            </w:r>
          </w:p>
        </w:tc>
      </w:tr>
    </w:tbl>
    <w:p>
      <w:pPr>
        <w:pStyle w:val="916"/>
      </w:pPr>
      <w:r>
        <w:t xml:space="preserve">Conforme observado acima, a hipótese foi confirmada: detectou-se um padrão consistente de ocorrência dos títulos de seções nos relatórios, o que reforça a ideia de padronização estrutural. Verificou-se, inclusive, que o título</w:t>
      </w:r>
      <w:r>
        <w:t xml:space="preserve"> </w:t>
      </w:r>
      <w:r>
        <w:t xml:space="preserve">“PROPOSIÇÃO DA DEVOLUÇÃO”</w:t>
      </w:r>
      <w:r>
        <w:t xml:space="preserve"> </w:t>
      </w:r>
      <w:r>
        <w:t xml:space="preserve">apresenta um número expressivo de repetições, o que indica sua recorrência. Por outro lado, o título</w:t>
      </w:r>
      <w:r>
        <w:t xml:space="preserve"> </w:t>
      </w:r>
      <w:r>
        <w:t xml:space="preserve">“DA CONCLUSÃO”</w:t>
      </w:r>
      <w:r>
        <w:t xml:space="preserve"> </w:t>
      </w:r>
      <w:r>
        <w:t xml:space="preserve">foi identificado em apenas nove documentos, sugerindo tratar-se de uma seção não padronizada.</w:t>
      </w:r>
    </w:p>
    <w:p>
      <w:pPr>
        <w:pStyle w:val="916"/>
      </w:pPr>
      <w:r>
        <w:t xml:space="preserve">Com base nessa análise, consolidou-se a seguinte lista de seções possíveis:</w:t>
      </w:r>
    </w:p>
    <w:p>
      <w:pPr>
        <w:pStyle w:val="SourceCode"/>
      </w:pPr>
      <w:r>
        <w:rPr>
          <w:rStyle w:val="949"/>
        </w:rPr>
        <w:t xml:space="preserve">secoes &lt;- secoes_possiveis |&gt;</w:t>
      </w:r>
      <w:r>
        <w:br/>
      </w:r>
      <w:r>
        <w:rPr>
          <w:rStyle w:val="949"/>
        </w:rPr>
        <w:t xml:space="preserve">    semi_join(</w:t>
      </w:r>
      <w:r>
        <w:br/>
      </w:r>
      <w:r>
        <w:rPr>
          <w:rStyle w:val="949"/>
        </w:rPr>
        <w:t xml:space="preserve">        secoes_candidatas |&gt;</w:t>
      </w:r>
      <w:r>
        <w:br/>
      </w:r>
      <w:r>
        <w:rPr>
          <w:rStyle w:val="949"/>
        </w:rPr>
        <w:t xml:space="preserve">        filter(`Ocorrências` &gt; 140),</w:t>
      </w:r>
      <w:r>
        <w:br/>
      </w:r>
      <w:r>
        <w:rPr>
          <w:rStyle w:val="949"/>
        </w:rPr>
        <w:t xml:space="preserve">        by = "Seção"</w:t>
      </w:r>
      <w:r>
        <w:br/>
      </w:r>
      <w:r>
        <w:rPr>
          <w:rStyle w:val="949"/>
        </w:rPr>
        <w:t xml:space="preserve">    ) |&gt;</w:t>
      </w:r>
      <w:r>
        <w:br/>
      </w:r>
      <w:r>
        <w:rPr>
          <w:rStyle w:val="949"/>
        </w:rPr>
        <w:t xml:space="preserve">    select(`Linha`, `Seção`) |&gt;</w:t>
      </w:r>
      <w:r>
        <w:br/>
      </w:r>
      <w:r>
        <w:rPr>
          <w:rStyle w:val="949"/>
        </w:rPr>
        <w:t xml:space="preserve">    distinct() </w:t>
      </w:r>
      <w:r>
        <w:br/>
      </w:r>
      <w:r>
        <w:br/>
      </w:r>
      <w:r>
        <w:rPr>
          <w:rStyle w:val="949"/>
        </w:rPr>
        <w:t xml:space="preserve">unique(secoes$`Seção`) |&gt;</w:t>
      </w:r>
      <w:r>
        <w:br/>
      </w:r>
      <w:r>
        <w:rPr>
          <w:rStyle w:val="949"/>
        </w:rPr>
        <w:t xml:space="preserve">walk(\(secao) cat("- ", secao, "\n"))</w:t>
      </w:r>
    </w:p>
    <w:p>
      <w:pPr>
        <w:pStyle w:val="918"/>
        <w:numPr>
          <w:ilvl w:val="0"/>
          <w:numId w:val="1003"/>
        </w:numPr>
      </w:pPr>
      <w:r>
        <w:t xml:space="preserve">DADOS BÁSICOS</w:t>
      </w:r>
    </w:p>
    <w:p>
      <w:pPr>
        <w:pStyle w:val="918"/>
        <w:numPr>
          <w:ilvl w:val="0"/>
          <w:numId w:val="1003"/>
        </w:numPr>
      </w:pPr>
      <w:r>
        <w:t xml:space="preserve">INTRODUÇÃO</w:t>
      </w:r>
    </w:p>
    <w:p>
      <w:pPr>
        <w:pStyle w:val="918"/>
        <w:numPr>
          <w:ilvl w:val="0"/>
          <w:numId w:val="1003"/>
        </w:numPr>
      </w:pPr>
      <w:r>
        <w:t xml:space="preserve">METODOLOGIA</w:t>
      </w:r>
    </w:p>
    <w:p>
      <w:pPr>
        <w:pStyle w:val="918"/>
        <w:numPr>
          <w:ilvl w:val="0"/>
          <w:numId w:val="1003"/>
        </w:numPr>
      </w:pPr>
      <w:r>
        <w:t xml:space="preserve">CONSTATAÇÕES</w:t>
      </w:r>
    </w:p>
    <w:p>
      <w:pPr>
        <w:pStyle w:val="918"/>
        <w:numPr>
          <w:ilvl w:val="0"/>
          <w:numId w:val="1003"/>
        </w:numPr>
      </w:pPr>
      <w:r>
        <w:t xml:space="preserve">CONCLUSÃO</w:t>
      </w:r>
    </w:p>
    <w:p>
      <w:pPr>
        <w:pStyle w:val="918"/>
        <w:numPr>
          <w:ilvl w:val="0"/>
          <w:numId w:val="1003"/>
        </w:numPr>
      </w:pPr>
      <w:r>
        <w:t xml:space="preserve">PROPOSIÇÃO DA DEVOLUÇÃO</w:t>
      </w:r>
    </w:p>
    <w:p>
      <w:pPr>
        <w:pStyle w:val="918"/>
        <w:numPr>
          <w:ilvl w:val="0"/>
          <w:numId w:val="1003"/>
        </w:numPr>
      </w:pPr>
      <w:r>
        <w:t xml:space="preserve">ANEXOS</w:t>
      </w:r>
    </w:p>
    <w:p>
      <w:pPr>
        <w:pStyle w:val="917"/>
      </w:pPr>
      <w:r>
        <w:t xml:space="preserve">A lista de seções identificadas foi utilizada para marcar todas as linhas correspondentes nos documentos. Como a correta delimitação das seções é fundamental para a organização e extração dos dados, numeraram-se as ocorrências de cada seção por arquivo, garantindo que eventuais repetições não comprometessem a estruturação das informações. Após essa etapa de junção, as linhas que representam os títulos das seções puderam ser descartadas, uma vez que sua função de demarcação estrutural já havia sido cumprida.</w:t>
      </w:r>
    </w:p>
    <w:p>
      <w:pPr>
        <w:pStyle w:val="SourceCode"/>
      </w:pPr>
      <w:r>
        <w:rPr>
          <w:rStyle w:val="949"/>
        </w:rPr>
        <w:t xml:space="preserve">rel_com_secoes &lt;- rel_texto_limpo |&gt;</w:t>
      </w:r>
      <w:r>
        <w:br/>
      </w:r>
      <w:r>
        <w:rPr>
          <w:rStyle w:val="949"/>
        </w:rPr>
        <w:t xml:space="preserve">    left_join(secoes, by = "Linha") |&gt;</w:t>
      </w:r>
      <w:r>
        <w:br/>
      </w:r>
      <w:r>
        <w:rPr>
          <w:rStyle w:val="949"/>
        </w:rPr>
        <w:t xml:space="preserve">    mutate(</w:t>
      </w:r>
      <w:r>
        <w:br/>
      </w:r>
      <w:r>
        <w:rPr>
          <w:rStyle w:val="949"/>
        </w:rPr>
        <w:t xml:space="preserve">      `# Seção` = if_else(!is.na(`Seção`), 1, 0),</w:t>
      </w:r>
      <w:r>
        <w:br/>
      </w:r>
      <w:r>
        <w:rPr>
          <w:rStyle w:val="949"/>
        </w:rPr>
        <w:t xml:space="preserve">      `Início Seção?` = !is.na(`Seção`)</w:t>
      </w:r>
      <w:r>
        <w:br/>
      </w:r>
      <w:r>
        <w:rPr>
          <w:rStyle w:val="949"/>
        </w:rPr>
        <w:t xml:space="preserve">    ) |&gt;</w:t>
      </w:r>
      <w:r>
        <w:br/>
      </w:r>
      <w:r>
        <w:rPr>
          <w:rStyle w:val="949"/>
        </w:rPr>
        <w:t xml:space="preserve">    group_by(Arquivo) |&gt;</w:t>
      </w:r>
      <w:r>
        <w:br/>
      </w:r>
      <w:r>
        <w:rPr>
          <w:rStyle w:val="949"/>
        </w:rPr>
        <w:t xml:space="preserve">    mutate(</w:t>
      </w:r>
      <w:r>
        <w:br/>
      </w:r>
      <w:r>
        <w:rPr>
          <w:rStyle w:val="949"/>
        </w:rPr>
        <w:t xml:space="preserve">      `# Seção` = cumsum(`# Seção`),</w:t>
      </w:r>
      <w:r>
        <w:br/>
      </w:r>
      <w:r>
        <w:rPr>
          <w:rStyle w:val="949"/>
        </w:rPr>
        <w:t xml:space="preserve">    ) |&gt;</w:t>
      </w:r>
      <w:r>
        <w:br/>
      </w:r>
      <w:r>
        <w:rPr>
          <w:rStyle w:val="949"/>
        </w:rPr>
        <w:t xml:space="preserve">    fill(Seção, .direction = "down") |&gt;</w:t>
      </w:r>
      <w:r>
        <w:br/>
      </w:r>
      <w:r>
        <w:rPr>
          <w:rStyle w:val="949"/>
        </w:rPr>
        <w:t xml:space="preserve">    ungroup() |&gt;</w:t>
      </w:r>
      <w:r>
        <w:br/>
      </w:r>
      <w:r>
        <w:rPr>
          <w:rStyle w:val="949"/>
        </w:rPr>
        <w:t xml:space="preserve">    filter(!`Início Seção?`) |&gt;</w:t>
      </w:r>
      <w:r>
        <w:br/>
      </w:r>
      <w:r>
        <w:rPr>
          <w:rStyle w:val="949"/>
        </w:rPr>
        <w:t xml:space="preserve">    select(-`Início Seção?`)</w:t>
      </w:r>
      <w:r>
        <w:br/>
      </w:r>
      <w:r>
        <w:br/>
      </w:r>
      <w:r>
        <w:rPr>
          <w:rStyle w:val="949"/>
        </w:rPr>
        <w:t xml:space="preserve">qtd_linhas_sem_secao &lt;- rel_com_secoes |&gt; </w:t>
      </w:r>
      <w:r>
        <w:br/>
      </w:r>
      <w:r>
        <w:rPr>
          <w:rStyle w:val="949"/>
        </w:rPr>
        <w:t xml:space="preserve">    filter(is.na(`Seção`)) |&gt;</w:t>
      </w:r>
      <w:r>
        <w:br/>
      </w:r>
      <w:r>
        <w:rPr>
          <w:rStyle w:val="949"/>
        </w:rPr>
        <w:t xml:space="preserve">    nrow()</w:t>
      </w:r>
    </w:p>
    <w:p>
      <w:pPr>
        <w:pStyle w:val="917"/>
      </w:pPr>
      <w:r>
        <w:t xml:space="preserve">O código acima gerou um novo</w:t>
      </w:r>
      <w:r>
        <w:t xml:space="preserve"> </w:t>
      </w:r>
      <w:r>
        <w:rPr>
          <w:i/>
          <w:iCs/>
        </w:rPr>
        <w:t xml:space="preserve">dataframe,</w:t>
      </w:r>
      <w:r>
        <w:t xml:space="preserve"> </w:t>
      </w:r>
      <w:r>
        <w:t xml:space="preserve">no qual todas as linhas foram associadas corretamente a uma seção identificada, conforme os padrões previamente definidos. Como resultado, confirmou-se que não houve nenhuma linha restante sem associação a uma seção.</w:t>
      </w:r>
    </w:p>
    <w:bookmarkEnd w:id="92"/>
    <w:bookmarkStart w:id="95" w:name="tabulação-de-dados"/>
    <w:p>
      <w:pPr>
        <w:pStyle w:val="906"/>
      </w:pPr>
      <w:r>
        <w:t xml:space="preserve">7.0.8 Tabulação de Dados</w:t>
      </w:r>
    </w:p>
    <w:bookmarkStart w:id="93" w:name="rótulos-de-campos"/>
    <w:p>
      <w:pPr>
        <w:pStyle w:val="907"/>
      </w:pPr>
      <w:r>
        <w:t xml:space="preserve">7.0.8.1 Rótulos de Campos</w:t>
      </w:r>
    </w:p>
    <w:p>
      <w:pPr>
        <w:pStyle w:val="917"/>
      </w:pPr>
      <w:r>
        <w:t xml:space="preserve">Abaixo, apresenta-se o texto extraído da seção</w:t>
      </w:r>
      <w:r>
        <w:t xml:space="preserve"> </w:t>
      </w:r>
      <w:r>
        <w:t xml:space="preserve">“DADOS BÁSICOS”</w:t>
      </w:r>
      <w:r>
        <w:t xml:space="preserve"> </w:t>
      </w:r>
      <w:r>
        <w:t xml:space="preserve">do arquivo 19796_1.pdf, que serviu de referência para orientar o processo de identificação dos dados dessa seção.</w:t>
      </w:r>
    </w:p>
    <w:p>
      <w:pPr>
        <w:pStyle w:val="944"/>
      </w:pPr>
      <w:r>
        <w:t xml:space="preserve">Página Contendo Seção</w:t>
      </w:r>
      <w:r>
        <w:t xml:space="preserve"> </w:t>
      </w:r>
      <w:r>
        <w:t xml:space="preserve">‘Dados Básicos’</w:t>
      </w:r>
    </w:p>
    <w:tbl>
      <w:tblPr>
        <w:tblStyle w:val="Table"/>
        <w:tblW w:type="pct" w:w="4886"/>
        <w:tblLayout w:type="fixed"/>
        <w:tblLook w:firstRow="1" w:lastRow="0" w:firstColumn="0" w:lastColumn="0" w:noHBand="0" w:noVBand="0" w:val="0020"/>
        <w:tblCaption w:val="Página Contendo Seção ‘Dados Básicos’"/>
      </w:tblPr>
      <w:tblGrid>
        <w:gridCol w:w="990"/>
        <w:gridCol w:w="6750"/>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8</w:t>
            </w:r>
          </w:p>
        </w:tc>
        <w:tc>
          <w:tcPr/>
          <w:p>
            <w:pPr>
              <w:pStyle w:val="918"/>
              <w:jc w:val="left"/>
            </w:pPr>
            <w:r>
              <w:t xml:space="preserve">Finalidade: Verificar regulação do acesso/ref/contra referência p/ ex…</w:t>
            </w:r>
          </w:p>
        </w:tc>
      </w:tr>
      <w:tr>
        <w:tc>
          <w:tcPr/>
          <w:p>
            <w:pPr>
              <w:pStyle w:val="918"/>
              <w:jc w:val="right"/>
            </w:pPr>
            <w:r>
              <w:t xml:space="preserve">9</w:t>
            </w:r>
          </w:p>
        </w:tc>
        <w:tc>
          <w:tcPr/>
          <w:p>
            <w:pPr>
              <w:pStyle w:val="918"/>
              <w:jc w:val="left"/>
            </w:pPr>
            <w:r>
              <w:t xml:space="preserve">cirurg.revascularização</w:t>
            </w:r>
          </w:p>
        </w:tc>
      </w:tr>
      <w:tr>
        <w:tc>
          <w:tcPr/>
          <w:p>
            <w:pPr>
              <w:pStyle w:val="918"/>
              <w:jc w:val="right"/>
            </w:pPr>
            <w:r>
              <w:t xml:space="preserve">10</w:t>
            </w:r>
          </w:p>
        </w:tc>
        <w:tc>
          <w:tcPr/>
          <w:p>
            <w:pPr>
              <w:pStyle w:val="918"/>
              <w:jc w:val="left"/>
            </w:pPr>
            <w:r>
              <w:t xml:space="preserve">Entidade Responsável: SMSJP</w:t>
            </w:r>
          </w:p>
        </w:tc>
      </w:tr>
      <w:tr>
        <w:tc>
          <w:tcPr/>
          <w:p>
            <w:pPr>
              <w:pStyle w:val="918"/>
              <w:jc w:val="right"/>
            </w:pPr>
            <w:r>
              <w:t xml:space="preserve">11</w:t>
            </w:r>
          </w:p>
        </w:tc>
        <w:tc>
          <w:tcPr/>
          <w:p>
            <w:pPr>
              <w:pStyle w:val="918"/>
              <w:jc w:val="left"/>
            </w:pPr>
            <w:r>
              <w:t xml:space="preserve">CPF/CNPJ:</w:t>
            </w:r>
            <w:r>
              <w:t xml:space="preserve"> </w:t>
            </w:r>
            <w:r>
              <w:rPr>
                <w:b/>
                <w:bCs/>
              </w:rPr>
              <w:t xml:space="preserve">.806.754/-</w:t>
            </w:r>
          </w:p>
        </w:tc>
      </w:tr>
      <w:tr>
        <w:tc>
          <w:tcPr/>
          <w:p>
            <w:pPr>
              <w:pStyle w:val="918"/>
              <w:jc w:val="right"/>
            </w:pPr>
            <w:r>
              <w:t xml:space="preserve">12</w:t>
            </w:r>
          </w:p>
        </w:tc>
        <w:tc>
          <w:tcPr/>
          <w:p>
            <w:pPr>
              <w:pStyle w:val="918"/>
              <w:jc w:val="left"/>
            </w:pPr>
            <w:r>
              <w:t xml:space="preserve">Munícipio/UF: JOÃO PESSOA-PB</w:t>
            </w:r>
          </w:p>
        </w:tc>
      </w:tr>
      <w:tr>
        <w:tc>
          <w:tcPr/>
          <w:p>
            <w:pPr>
              <w:pStyle w:val="918"/>
              <w:jc w:val="right"/>
            </w:pPr>
            <w:r>
              <w:t xml:space="preserve">13</w:t>
            </w:r>
          </w:p>
        </w:tc>
        <w:tc>
          <w:tcPr/>
          <w:p>
            <w:pPr>
              <w:pStyle w:val="918"/>
              <w:jc w:val="left"/>
            </w:pPr>
            <w:r>
              <w:t xml:space="preserve">Fase(s):</w:t>
            </w:r>
          </w:p>
        </w:tc>
      </w:tr>
      <w:tr>
        <w:tc>
          <w:tcPr/>
          <w:p>
            <w:pPr>
              <w:pStyle w:val="918"/>
              <w:jc w:val="right"/>
            </w:pPr>
            <w:r>
              <w:t xml:space="preserve">14</w:t>
            </w:r>
          </w:p>
        </w:tc>
        <w:tc>
          <w:tcPr/>
          <w:p>
            <w:pPr>
              <w:pStyle w:val="918"/>
              <w:jc w:val="left"/>
            </w:pPr>
            <w:r>
              <w:t xml:space="preserve">Tipo da Fase Data Início Data Término</w:t>
            </w:r>
          </w:p>
        </w:tc>
      </w:tr>
      <w:tr>
        <w:tc>
          <w:tcPr/>
          <w:p>
            <w:pPr>
              <w:pStyle w:val="918"/>
              <w:jc w:val="right"/>
            </w:pPr>
            <w:r>
              <w:t xml:space="preserve">15</w:t>
            </w:r>
          </w:p>
        </w:tc>
        <w:tc>
          <w:tcPr/>
          <w:p>
            <w:pPr>
              <w:pStyle w:val="918"/>
              <w:jc w:val="left"/>
            </w:pPr>
            <w:r>
              <w:t xml:space="preserve">Analítica 09/07/2024 26/07/2024</w:t>
            </w:r>
          </w:p>
        </w:tc>
      </w:tr>
      <w:tr>
        <w:tc>
          <w:tcPr/>
          <w:p>
            <w:pPr>
              <w:pStyle w:val="918"/>
              <w:jc w:val="right"/>
            </w:pPr>
            <w:r>
              <w:t xml:space="preserve">16</w:t>
            </w:r>
          </w:p>
        </w:tc>
        <w:tc>
          <w:tcPr/>
          <w:p>
            <w:pPr>
              <w:pStyle w:val="918"/>
              <w:jc w:val="left"/>
            </w:pPr>
            <w:r>
              <w:t xml:space="preserve">Execução - In loco 23/09/2024 27/09/2024</w:t>
            </w:r>
          </w:p>
        </w:tc>
      </w:tr>
      <w:tr>
        <w:tc>
          <w:tcPr/>
          <w:p>
            <w:pPr>
              <w:pStyle w:val="918"/>
              <w:jc w:val="right"/>
            </w:pPr>
            <w:r>
              <w:t xml:space="preserve">17</w:t>
            </w:r>
          </w:p>
        </w:tc>
        <w:tc>
          <w:tcPr/>
          <w:p>
            <w:pPr>
              <w:pStyle w:val="918"/>
              <w:jc w:val="left"/>
            </w:pPr>
            <w:r>
              <w:t xml:space="preserve">Relatório 07/10/2024 25/10/2024</w:t>
            </w:r>
          </w:p>
        </w:tc>
      </w:tr>
      <w:tr>
        <w:tc>
          <w:tcPr/>
          <w:p>
            <w:pPr>
              <w:pStyle w:val="918"/>
              <w:jc w:val="right"/>
            </w:pPr>
            <w:r>
              <w:t xml:space="preserve">20</w:t>
            </w:r>
          </w:p>
        </w:tc>
        <w:tc>
          <w:tcPr/>
          <w:p>
            <w:pPr>
              <w:pStyle w:val="918"/>
              <w:jc w:val="left"/>
            </w:pPr>
            <w:r>
              <w:t xml:space="preserve">Gestão do Prestador: Plena</w:t>
            </w:r>
          </w:p>
        </w:tc>
      </w:tr>
      <w:tr>
        <w:tc>
          <w:tcPr/>
          <w:p>
            <w:pPr>
              <w:pStyle w:val="918"/>
              <w:jc w:val="right"/>
            </w:pPr>
            <w:r>
              <w:t xml:space="preserve">21</w:t>
            </w:r>
          </w:p>
        </w:tc>
        <w:tc>
          <w:tcPr/>
          <w:p>
            <w:pPr>
              <w:pStyle w:val="918"/>
              <w:jc w:val="left"/>
            </w:pPr>
            <w:r>
              <w:t xml:space="preserve">Demandante: Ministério Público Federal</w:t>
            </w:r>
          </w:p>
        </w:tc>
      </w:tr>
      <w:tr>
        <w:tc>
          <w:tcPr/>
          <w:p>
            <w:pPr>
              <w:pStyle w:val="918"/>
              <w:jc w:val="right"/>
            </w:pPr>
            <w:r>
              <w:t xml:space="preserve">22</w:t>
            </w:r>
          </w:p>
        </w:tc>
        <w:tc>
          <w:tcPr/>
          <w:p>
            <w:pPr>
              <w:pStyle w:val="918"/>
              <w:jc w:val="left"/>
            </w:pPr>
            <w:r>
              <w:t xml:space="preserve">Forma: Direta</w:t>
            </w:r>
          </w:p>
        </w:tc>
      </w:tr>
      <w:tr>
        <w:tc>
          <w:tcPr/>
          <w:p>
            <w:pPr>
              <w:pStyle w:val="918"/>
              <w:jc w:val="right"/>
            </w:pPr>
            <w:r>
              <w:t xml:space="preserve">23</w:t>
            </w:r>
          </w:p>
        </w:tc>
        <w:tc>
          <w:tcPr/>
          <w:p>
            <w:pPr>
              <w:pStyle w:val="918"/>
              <w:jc w:val="left"/>
            </w:pPr>
            <w:r>
              <w:t xml:space="preserve">Objeto: REGULAÇÃO DO ACESSO ÀS CONSULTAS E EXAMES</w:t>
            </w:r>
          </w:p>
        </w:tc>
      </w:tr>
      <w:tr>
        <w:tc>
          <w:tcPr/>
          <w:p>
            <w:pPr>
              <w:pStyle w:val="918"/>
              <w:jc w:val="right"/>
            </w:pPr>
            <w:r>
              <w:t xml:space="preserve">24</w:t>
            </w:r>
          </w:p>
        </w:tc>
        <w:tc>
          <w:tcPr/>
          <w:p>
            <w:pPr>
              <w:pStyle w:val="918"/>
              <w:jc w:val="left"/>
            </w:pPr>
            <w:r>
              <w:t xml:space="preserve">Abrangência: Janeiro 2019 a Agosto 2024</w:t>
            </w:r>
          </w:p>
        </w:tc>
      </w:tr>
      <w:tr>
        <w:tc>
          <w:tcPr/>
          <w:p>
            <w:pPr>
              <w:pStyle w:val="918"/>
              <w:jc w:val="right"/>
            </w:pPr>
            <w:r>
              <w:t xml:space="preserve">25</w:t>
            </w:r>
          </w:p>
        </w:tc>
        <w:tc>
          <w:tcPr/>
          <w:p>
            <w:pPr>
              <w:pStyle w:val="918"/>
              <w:jc w:val="left"/>
            </w:pPr>
            <w:r>
              <w:t xml:space="preserve">Nº Protocolo: 25000.132815/2024-63</w:t>
            </w:r>
          </w:p>
        </w:tc>
      </w:tr>
    </w:tbl>
    <w:p>
      <w:pPr>
        <w:pStyle w:val="916"/>
      </w:pPr>
      <w:r>
        <w:t xml:space="preserve">A seguir, uma amostra da seção</w:t>
      </w:r>
      <w:r>
        <w:t xml:space="preserve"> </w:t>
      </w:r>
      <w:r>
        <w:t xml:space="preserve">“CONSTATAÇÕES”</w:t>
      </w:r>
      <w:r>
        <w:t xml:space="preserve"> </w:t>
      </w:r>
      <w:r>
        <w:t xml:space="preserve">do mesmo arquivo, exibindo as linhas em sua forma original, sem a remoção dos espaços em branco no início e no final.</w:t>
      </w:r>
    </w:p>
    <w:p>
      <w:pPr>
        <w:pStyle w:val="944"/>
      </w:pPr>
      <w:r>
        <w:t xml:space="preserve">Página Contendo Seção</w:t>
      </w:r>
      <w:r>
        <w:t xml:space="preserve"> </w:t>
      </w:r>
      <w:r>
        <w:t xml:space="preserve">‘CONSTATAÇÕES’</w:t>
      </w:r>
    </w:p>
    <w:tbl>
      <w:tblPr>
        <w:tblStyle w:val="Table"/>
        <w:tblW w:type="pct" w:w="4888"/>
        <w:tblLayout w:type="fixed"/>
        <w:tblLook w:firstRow="1" w:lastRow="0" w:firstColumn="0" w:lastColumn="0" w:noHBand="0" w:noVBand="0" w:val="0020"/>
        <w:tblCaption w:val="Página Contendo Seção ‘CONSTATAÇÕES’"/>
      </w:tblPr>
      <w:tblGrid>
        <w:gridCol w:w="978"/>
        <w:gridCol w:w="6763"/>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38</w:t>
            </w:r>
          </w:p>
        </w:tc>
        <w:tc>
          <w:tcPr/>
          <w:p>
            <w:pPr>
              <w:pStyle w:val="918"/>
              <w:jc w:val="left"/>
            </w:pPr>
            <w:r>
              <w:t xml:space="preserve">Grupo: Regulação Constatação Nº: 693598</w:t>
            </w:r>
          </w:p>
        </w:tc>
      </w:tr>
      <w:tr>
        <w:tc>
          <w:tcPr/>
          <w:p>
            <w:pPr>
              <w:pStyle w:val="918"/>
              <w:jc w:val="right"/>
            </w:pPr>
            <w:r>
              <w:t xml:space="preserve">39</w:t>
            </w:r>
          </w:p>
        </w:tc>
        <w:tc>
          <w:tcPr/>
          <w:p>
            <w:pPr>
              <w:pStyle w:val="918"/>
              <w:jc w:val="left"/>
            </w:pPr>
            <w:r>
              <w:t xml:space="preserve">Subgrupo: Controle e Avaliação</w:t>
            </w:r>
          </w:p>
        </w:tc>
      </w:tr>
      <w:tr>
        <w:tc>
          <w:tcPr/>
          <w:p>
            <w:pPr>
              <w:pStyle w:val="918"/>
              <w:jc w:val="right"/>
            </w:pPr>
            <w:r>
              <w:t xml:space="preserve">40</w:t>
            </w:r>
          </w:p>
        </w:tc>
        <w:tc>
          <w:tcPr/>
          <w:p>
            <w:pPr>
              <w:pStyle w:val="918"/>
              <w:jc w:val="left"/>
            </w:pPr>
            <w:r>
              <w:t xml:space="preserve">Item: Rotinas de Trabalho</w:t>
            </w:r>
          </w:p>
        </w:tc>
      </w:tr>
      <w:tr>
        <w:tc>
          <w:tcPr/>
          <w:p>
            <w:pPr>
              <w:pStyle w:val="918"/>
              <w:jc w:val="right"/>
            </w:pPr>
            <w:r>
              <w:t xml:space="preserve">41</w:t>
            </w:r>
          </w:p>
        </w:tc>
        <w:tc>
          <w:tcPr/>
          <w:p>
            <w:pPr>
              <w:pStyle w:val="918"/>
              <w:jc w:val="left"/>
            </w:pPr>
            <w:r>
              <w:t xml:space="preserve">Constatação: A Secretaria Municipal de Saúde de João Pessoa/PB não ut…</w:t>
            </w:r>
          </w:p>
        </w:tc>
      </w:tr>
      <w:tr>
        <w:tc>
          <w:tcPr/>
          <w:p>
            <w:pPr>
              <w:pStyle w:val="918"/>
              <w:jc w:val="right"/>
            </w:pPr>
            <w:r>
              <w:t xml:space="preserve">42</w:t>
            </w:r>
          </w:p>
        </w:tc>
        <w:tc>
          <w:tcPr/>
          <w:p>
            <w:pPr>
              <w:pStyle w:val="918"/>
              <w:jc w:val="left"/>
            </w:pPr>
            <w:r>
              <w:t xml:space="preserve">para regulação dos pacientes portadores de Diabetes Mellitus e Doença…</w:t>
            </w:r>
          </w:p>
        </w:tc>
      </w:tr>
      <w:tr>
        <w:tc>
          <w:tcPr/>
          <w:p>
            <w:pPr>
              <w:pStyle w:val="918"/>
              <w:jc w:val="right"/>
            </w:pPr>
            <w:r>
              <w:t xml:space="preserve">43</w:t>
            </w:r>
          </w:p>
        </w:tc>
        <w:tc>
          <w:tcPr/>
          <w:p>
            <w:pPr>
              <w:pStyle w:val="918"/>
              <w:jc w:val="left"/>
            </w:pPr>
            <w:r>
              <w:t xml:space="preserve">primária, para outros pontos de atenção.</w:t>
            </w:r>
          </w:p>
        </w:tc>
      </w:tr>
      <w:tr>
        <w:tc>
          <w:tcPr/>
          <w:p>
            <w:pPr>
              <w:pStyle w:val="918"/>
              <w:jc w:val="right"/>
            </w:pPr>
            <w:r>
              <w:t xml:space="preserve">44</w:t>
            </w:r>
          </w:p>
        </w:tc>
        <w:tc>
          <w:tcPr/>
          <w:p>
            <w:pPr>
              <w:pStyle w:val="918"/>
              <w:jc w:val="left"/>
            </w:pPr>
            <w:r>
              <w:t xml:space="preserve">Evidência: Em visita a Unidade Básica de Saúde (UBS) Cruz das Armas I…</w:t>
            </w:r>
          </w:p>
        </w:tc>
      </w:tr>
      <w:tr>
        <w:tc>
          <w:tcPr/>
          <w:p>
            <w:pPr>
              <w:pStyle w:val="918"/>
              <w:jc w:val="right"/>
            </w:pPr>
            <w:r>
              <w:t xml:space="preserve">45</w:t>
            </w:r>
          </w:p>
        </w:tc>
        <w:tc>
          <w:tcPr/>
          <w:p>
            <w:pPr>
              <w:pStyle w:val="918"/>
              <w:jc w:val="left"/>
            </w:pPr>
            <w:r>
              <w:t xml:space="preserve">endereço sem a devida atualização cadastral, em desacordo com o Art. …</w:t>
            </w:r>
          </w:p>
        </w:tc>
      </w:tr>
      <w:tr>
        <w:tc>
          <w:tcPr/>
          <w:p>
            <w:pPr>
              <w:pStyle w:val="918"/>
              <w:jc w:val="right"/>
            </w:pPr>
            <w:r>
              <w:t xml:space="preserve">46</w:t>
            </w:r>
          </w:p>
        </w:tc>
        <w:tc>
          <w:tcPr/>
          <w:p>
            <w:pPr>
              <w:pStyle w:val="918"/>
              <w:jc w:val="left"/>
            </w:pPr>
            <w:r>
              <w:t xml:space="preserve">28/09/2017, a saber: O cadastramento e a manutenção dos dados cadastr…</w:t>
            </w:r>
          </w:p>
        </w:tc>
      </w:tr>
      <w:tr>
        <w:tc>
          <w:tcPr/>
          <w:p>
            <w:pPr>
              <w:pStyle w:val="918"/>
              <w:jc w:val="right"/>
            </w:pPr>
            <w:r>
              <w:t xml:space="preserve">47</w:t>
            </w:r>
          </w:p>
        </w:tc>
        <w:tc>
          <w:tcPr/>
          <w:p>
            <w:pPr>
              <w:pStyle w:val="918"/>
              <w:jc w:val="left"/>
            </w:pPr>
            <w:r>
              <w:t xml:space="preserve">estabelecimento de saúde, através de seus responsáveis técnicos ou re…</w:t>
            </w:r>
          </w:p>
        </w:tc>
      </w:tr>
      <w:tr>
        <w:tc>
          <w:tcPr/>
          <w:p>
            <w:pPr>
              <w:pStyle w:val="918"/>
              <w:jc w:val="right"/>
            </w:pPr>
            <w:r>
              <w:t xml:space="preserve">50</w:t>
            </w:r>
          </w:p>
        </w:tc>
        <w:tc>
          <w:tcPr/>
          <w:p>
            <w:pPr>
              <w:pStyle w:val="918"/>
              <w:jc w:val="left"/>
            </w:pPr>
            <w:r>
              <w:t xml:space="preserve">Durante a visita, a profissional médica, Dra. I. L. T., informou que …</w:t>
            </w:r>
          </w:p>
        </w:tc>
      </w:tr>
      <w:tr>
        <w:tc>
          <w:tcPr/>
          <w:p>
            <w:pPr>
              <w:pStyle w:val="918"/>
              <w:jc w:val="right"/>
            </w:pPr>
            <w:r>
              <w:t xml:space="preserve">51</w:t>
            </w:r>
          </w:p>
        </w:tc>
        <w:tc>
          <w:tcPr/>
          <w:p>
            <w:pPr>
              <w:pStyle w:val="918"/>
              <w:jc w:val="left"/>
            </w:pPr>
            <w:r>
              <w:t xml:space="preserve">pacientes portadores de Diabetes Mellitus e Doença vascular periféric…</w:t>
            </w:r>
          </w:p>
        </w:tc>
      </w:tr>
      <w:tr>
        <w:tc>
          <w:tcPr/>
          <w:p>
            <w:pPr>
              <w:pStyle w:val="918"/>
              <w:jc w:val="right"/>
            </w:pPr>
            <w:r>
              <w:t xml:space="preserve">52</w:t>
            </w:r>
          </w:p>
        </w:tc>
        <w:tc>
          <w:tcPr/>
          <w:p>
            <w:pPr>
              <w:pStyle w:val="918"/>
              <w:jc w:val="left"/>
            </w:pPr>
            <w:r>
              <w:t xml:space="preserve">digital) dos instrumentos de regulação, em desacordo com o §3º do Art…</w:t>
            </w:r>
          </w:p>
        </w:tc>
      </w:tr>
      <w:tr>
        <w:tc>
          <w:tcPr/>
          <w:p>
            <w:pPr>
              <w:pStyle w:val="918"/>
              <w:jc w:val="right"/>
            </w:pPr>
            <w:r>
              <w:t xml:space="preserve">53</w:t>
            </w:r>
          </w:p>
        </w:tc>
        <w:tc>
          <w:tcPr/>
          <w:p>
            <w:pPr>
              <w:pStyle w:val="918"/>
              <w:jc w:val="left"/>
            </w:pPr>
            <w:r>
              <w:t xml:space="preserve">28/09/2017 (Cabe aos Municípios: II- Viabilizar o processo de regulaç…</w:t>
            </w:r>
          </w:p>
        </w:tc>
      </w:tr>
      <w:tr>
        <w:tc>
          <w:tcPr/>
          <w:p>
            <w:pPr>
              <w:pStyle w:val="918"/>
              <w:jc w:val="right"/>
            </w:pPr>
            <w:r>
              <w:t xml:space="preserve">54</w:t>
            </w:r>
          </w:p>
        </w:tc>
        <w:tc>
          <w:tcPr/>
          <w:p>
            <w:pPr>
              <w:pStyle w:val="918"/>
              <w:jc w:val="left"/>
            </w:pPr>
            <w:r>
              <w:t xml:space="preserve">capacitação, ordenação de fluxo, aplicação de protocolos e informatiz…</w:t>
            </w:r>
          </w:p>
        </w:tc>
      </w:tr>
      <w:tr>
        <w:tc>
          <w:tcPr/>
          <w:p>
            <w:pPr>
              <w:pStyle w:val="918"/>
              <w:jc w:val="right"/>
            </w:pPr>
            <w:r>
              <w:t xml:space="preserve">57</w:t>
            </w:r>
          </w:p>
        </w:tc>
        <w:tc>
          <w:tcPr/>
          <w:p>
            <w:pPr>
              <w:pStyle w:val="918"/>
              <w:jc w:val="left"/>
            </w:pPr>
            <w:r>
              <w:t xml:space="preserve">Na análise do prontuário do paciente G.R.S. (CNS 704207747143988), am…</w:t>
            </w:r>
          </w:p>
        </w:tc>
      </w:tr>
      <w:tr>
        <w:tc>
          <w:tcPr/>
          <w:p>
            <w:pPr>
              <w:pStyle w:val="918"/>
              <w:jc w:val="right"/>
            </w:pPr>
            <w:r>
              <w:t xml:space="preserve">58</w:t>
            </w:r>
          </w:p>
        </w:tc>
        <w:tc>
          <w:tcPr/>
          <w:p>
            <w:pPr>
              <w:pStyle w:val="918"/>
              <w:jc w:val="left"/>
            </w:pPr>
            <w:r>
              <w:t xml:space="preserve">17/10/2022, verificou-se:</w:t>
            </w:r>
          </w:p>
        </w:tc>
      </w:tr>
      <w:tr>
        <w:tc>
          <w:tcPr/>
          <w:p>
            <w:pPr>
              <w:pStyle w:val="918"/>
              <w:jc w:val="right"/>
            </w:pPr>
            <w:r>
              <w:t xml:space="preserve">61</w:t>
            </w:r>
          </w:p>
        </w:tc>
        <w:tc>
          <w:tcPr/>
          <w:p>
            <w:pPr>
              <w:pStyle w:val="918"/>
              <w:jc w:val="left"/>
            </w:pPr>
            <w:r>
              <w:t xml:space="preserve">a) falta de anamnese do paciente no período anterior e imediatamente …</w:t>
            </w:r>
          </w:p>
        </w:tc>
      </w:tr>
      <w:tr>
        <w:tc>
          <w:tcPr/>
          <w:p>
            <w:pPr>
              <w:pStyle w:val="918"/>
              <w:jc w:val="right"/>
            </w:pPr>
            <w:r>
              <w:t xml:space="preserve">5</w:t>
            </w:r>
          </w:p>
        </w:tc>
        <w:tc>
          <w:tcPr/>
          <w:p>
            <w:pPr>
              <w:pStyle w:val="918"/>
              <w:jc w:val="left"/>
            </w:pPr>
            <w:r>
              <w:t xml:space="preserve">Resolução nº 2056, de 20/09/2013 (Art. 50 - A realização da anamnese …</w:t>
            </w:r>
          </w:p>
        </w:tc>
      </w:tr>
      <w:tr>
        <w:tc>
          <w:tcPr/>
          <w:p>
            <w:pPr>
              <w:pStyle w:val="918"/>
              <w:jc w:val="right"/>
            </w:pPr>
            <w:r>
              <w:t xml:space="preserve">6</w:t>
            </w:r>
          </w:p>
        </w:tc>
        <w:tc>
          <w:tcPr/>
          <w:p>
            <w:pPr>
              <w:pStyle w:val="918"/>
              <w:jc w:val="left"/>
            </w:pPr>
            <w:r>
              <w:t xml:space="preserve">inclusive em atendimento ambulatorial e nos consultórios);</w:t>
            </w:r>
          </w:p>
        </w:tc>
      </w:tr>
    </w:tbl>
    <w:p>
      <w:pPr>
        <w:pStyle w:val="916"/>
      </w:pPr>
      <w:r>
        <w:t xml:space="preserve">Os relatórios de auditoria pareceram ter sido gerados por meio de um sistema automatizado, o que conferiu um padrão recorrente à organização dos dados. Com base nisso, foi possível executar alguns procedimentos exploratórios para verificar a viabilidade de extração de dados estruturados a partir da identificação de determinados padrões textuais.</w:t>
      </w:r>
    </w:p>
    <w:p>
      <w:pPr>
        <w:pStyle w:val="916"/>
      </w:pPr>
      <w:r>
        <w:t xml:space="preserve">Conforme já visto acima, alguns campos dos relatórios seguem o padrão</w:t>
      </w:r>
      <w:r>
        <w:t xml:space="preserve"> </w:t>
      </w:r>
      <w:r>
        <w:rPr>
          <w:rStyle w:val="949"/>
        </w:rPr>
        <w:t xml:space="preserve">&lt;Rótulo&gt;: &lt;Conteúdo&gt;</w:t>
      </w:r>
      <w:r>
        <w:t xml:space="preserve">. Dessa forma, formulou-se a seguinte hipótese: Dividindo-se as linhas que possuem o caractere dois-pontos (</w:t>
      </w:r>
      <w:r>
        <w:rPr>
          <w:rStyle w:val="949"/>
        </w:rPr>
        <w:t xml:space="preserve">:</w:t>
      </w:r>
      <w:r>
        <w:t xml:space="preserve">) em duas partes, a primeira parte conterá os rótulos candidatos. Mesmo que tal procedimento gere falsos positivos, se esse padrão estiver correto, os rótulos padronizados irão aparecer em quantidades aproximadamente iguais ou superiores à quantidade de documentos.</w:t>
      </w:r>
    </w:p>
    <w:p>
      <w:pPr>
        <w:pStyle w:val="916"/>
      </w:pPr>
      <w:r>
        <w:t xml:space="preserve">Como o corpus objeto do trabalho encontra-se delimitado por seções, e considerando que o interesse principal do trabalho recai sobre os metadados das auditorias, localizados na seção</w:t>
      </w:r>
      <w:r>
        <w:t xml:space="preserve"> </w:t>
      </w:r>
      <w:r>
        <w:t xml:space="preserve">“DADOS BÁSICOS”</w:t>
      </w:r>
      <w:r>
        <w:t xml:space="preserve">, bem como nas constatações e recomendações, presentes na seção</w:t>
      </w:r>
      <w:r>
        <w:t xml:space="preserve"> </w:t>
      </w:r>
      <w:r>
        <w:t xml:space="preserve">“CONSTATAÇÕES”</w:t>
      </w:r>
      <w:r>
        <w:t xml:space="preserve">, a verificação da hipótese foi restringida a essas duas seções.</w:t>
      </w:r>
    </w:p>
    <w:p>
      <w:pPr>
        <w:pStyle w:val="916"/>
      </w:pPr>
      <w:r>
        <w:t xml:space="preserve">A seguir, apresentam-se os rótulos candidatos com maior número de ocorrências em suas respectivas seções, considerando apenas aqueles que foram identificados em mais de 150 registros.</w:t>
      </w:r>
    </w:p>
    <w:p>
      <w:pPr>
        <w:pStyle w:val="SourceCode"/>
      </w:pPr>
      <w:r>
        <w:rPr>
          <w:rStyle w:val="949"/>
        </w:rPr>
        <w:t xml:space="preserve">secoes_interesse &lt;- c("DADOS BÁSICOS", "CONSTATAÇÕES")</w:t>
      </w:r>
      <w:r>
        <w:br/>
      </w:r>
      <w:r>
        <w:br/>
      </w:r>
      <w:r>
        <w:rPr>
          <w:rStyle w:val="949"/>
        </w:rPr>
        <w:t xml:space="preserve">rotulos_candidatos &lt;- rel_com_secoes |&gt;</w:t>
      </w:r>
      <w:r>
        <w:br/>
      </w:r>
      <w:r>
        <w:rPr>
          <w:rStyle w:val="949"/>
        </w:rPr>
        <w:t xml:space="preserve">    filter(`Seção` %in% secoes_interesse) |&gt;</w:t>
      </w:r>
      <w:r>
        <w:br/>
      </w:r>
      <w:r>
        <w:rPr>
          <w:rStyle w:val="949"/>
        </w:rPr>
        <w:t xml:space="preserve">    filter(</w:t>
      </w:r>
      <w:r>
        <w:br/>
      </w:r>
      <w:r>
        <w:rPr>
          <w:rStyle w:val="949"/>
        </w:rPr>
        <w:t xml:space="preserve">        str_detect(`Linha`, fixed(":")) &amp; </w:t>
      </w:r>
      <w:r>
        <w:br/>
      </w:r>
      <w:r>
        <w:rPr>
          <w:rStyle w:val="949"/>
        </w:rPr>
        <w:t xml:space="preserve">        str_starts(`Linha Original`, "[A-Z]")) |&gt;</w:t>
      </w:r>
      <w:r>
        <w:br/>
      </w:r>
      <w:r>
        <w:rPr>
          <w:rStyle w:val="949"/>
        </w:rPr>
        <w:t xml:space="preserve">    separate_wider_delim(</w:t>
      </w:r>
      <w:r>
        <w:br/>
      </w:r>
      <w:r>
        <w:rPr>
          <w:rStyle w:val="949"/>
        </w:rPr>
        <w:t xml:space="preserve">        `Linha`, </w:t>
      </w:r>
      <w:r>
        <w:br/>
      </w:r>
      <w:r>
        <w:rPr>
          <w:rStyle w:val="949"/>
        </w:rPr>
        <w:t xml:space="preserve">        delim = ":",</w:t>
      </w:r>
      <w:r>
        <w:br/>
      </w:r>
      <w:r>
        <w:rPr>
          <w:rStyle w:val="949"/>
        </w:rPr>
        <w:t xml:space="preserve">        names = c("Rótulo", "Conteúdo"), </w:t>
      </w:r>
      <w:r>
        <w:br/>
      </w:r>
      <w:r>
        <w:rPr>
          <w:rStyle w:val="949"/>
        </w:rPr>
        <w:t xml:space="preserve">        too_few = "align_end", </w:t>
      </w:r>
      <w:r>
        <w:br/>
      </w:r>
      <w:r>
        <w:rPr>
          <w:rStyle w:val="949"/>
        </w:rPr>
        <w:t xml:space="preserve">        too_many = "merge") |&gt;</w:t>
      </w:r>
      <w:r>
        <w:br/>
      </w:r>
      <w:r>
        <w:rPr>
          <w:rStyle w:val="949"/>
        </w:rPr>
        <w:t xml:space="preserve">    filter(!is.na(`Rótulo`)) |&gt;</w:t>
      </w:r>
      <w:r>
        <w:br/>
      </w:r>
      <w:r>
        <w:rPr>
          <w:rStyle w:val="949"/>
        </w:rPr>
        <w:t xml:space="preserve">    mutate(across(c("Rótulo", "Conteúdo"), str_trim)) |&gt;</w:t>
      </w:r>
      <w:r>
        <w:br/>
      </w:r>
      <w:r>
        <w:rPr>
          <w:rStyle w:val="949"/>
        </w:rPr>
        <w:t xml:space="preserve">    summarise(</w:t>
      </w:r>
      <w:r>
        <w:br/>
      </w:r>
      <w:r>
        <w:rPr>
          <w:rStyle w:val="949"/>
        </w:rPr>
        <w:t xml:space="preserve">        `Ocorrências` = n(),</w:t>
      </w:r>
      <w:r>
        <w:br/>
      </w:r>
      <w:r>
        <w:rPr>
          <w:rStyle w:val="949"/>
        </w:rPr>
        <w:t xml:space="preserve">        .by = c(`Seção`, `Rótulo`)</w:t>
      </w:r>
      <w:r>
        <w:br/>
      </w:r>
      <w:r>
        <w:rPr>
          <w:rStyle w:val="949"/>
        </w:rPr>
        <w:t xml:space="preserve">    )</w:t>
      </w:r>
      <w:r>
        <w:br/>
      </w:r>
      <w:r>
        <w:br/>
      </w:r>
      <w:r>
        <w:rPr>
          <w:rStyle w:val="949"/>
        </w:rPr>
        <w:t xml:space="preserve">rotulos_candidatos_rankeados &lt;- rotulos_candidatos |&gt;</w:t>
      </w:r>
      <w:r>
        <w:br/>
      </w:r>
      <w:r>
        <w:rPr>
          <w:rStyle w:val="949"/>
        </w:rPr>
        <w:t xml:space="preserve">    group_by(`Seção`) |&gt;</w:t>
      </w:r>
      <w:r>
        <w:br/>
      </w:r>
      <w:r>
        <w:rPr>
          <w:rStyle w:val="949"/>
        </w:rPr>
        <w:t xml:space="preserve">    arrange(desc(`Ocorrências`)) |&gt;</w:t>
      </w:r>
      <w:r>
        <w:br/>
      </w:r>
      <w:r>
        <w:rPr>
          <w:rStyle w:val="949"/>
        </w:rPr>
        <w:t xml:space="preserve">    mutate(`Posição` = row_number()) |&gt;</w:t>
      </w:r>
      <w:r>
        <w:br/>
      </w:r>
      <w:r>
        <w:rPr>
          <w:rStyle w:val="949"/>
        </w:rPr>
        <w:t xml:space="preserve">    filter(`Ocorrências` &gt;= 150)</w:t>
      </w:r>
      <w:r>
        <w:br/>
      </w:r>
      <w:r>
        <w:br/>
      </w:r>
      <w:r>
        <w:rPr>
          <w:rStyle w:val="949"/>
        </w:rPr>
        <w:t xml:space="preserve">rotulos_candidatos_rankeados |&gt;</w:t>
      </w:r>
      <w:r>
        <w:br/>
      </w:r>
      <w:r>
        <w:rPr>
          <w:rStyle w:val="949"/>
        </w:rPr>
        <w:t xml:space="preserve">knitr::kable()</w:t>
      </w:r>
    </w:p>
    <w:p>
      <w:pPr>
        <w:pStyle w:val="944"/>
      </w:pPr>
      <w:r>
        <w:t xml:space="preserve">Amostra de rótulos com maior número de ocorrências</w:t>
      </w:r>
    </w:p>
    <w:tbl>
      <w:tblPr>
        <w:tblStyle w:val="Table"/>
        <w:tblW w:type="pct" w:w="4867"/>
        <w:tblLayout w:type="fixed"/>
        <w:tblLook w:firstRow="1" w:lastRow="0" w:firstColumn="0" w:lastColumn="0" w:noHBand="0" w:noVBand="0" w:val="0020"/>
        <w:tblCaption w:val="Amostra de rótulos com maior número de ocorrências"/>
      </w:tblPr>
      <w:tblGrid>
        <w:gridCol w:w="2006"/>
        <w:gridCol w:w="3168"/>
        <w:gridCol w:w="1478"/>
        <w:gridCol w:w="1056"/>
      </w:tblGrid>
      <w:tr>
        <w:trPr>
          <w:tblHeader w:val="on"/>
        </w:trPr>
        <w:tc>
          <w:tcPr/>
          <w:p>
            <w:pPr>
              <w:pStyle w:val="918"/>
              <w:jc w:val="left"/>
            </w:pPr>
            <w:r>
              <w:t xml:space="preserve">Seção</w:t>
            </w:r>
          </w:p>
        </w:tc>
        <w:tc>
          <w:tcPr/>
          <w:p>
            <w:pPr>
              <w:pStyle w:val="918"/>
              <w:jc w:val="left"/>
            </w:pPr>
            <w:r>
              <w:t xml:space="preserve">Rótulo</w:t>
            </w:r>
          </w:p>
        </w:tc>
        <w:tc>
          <w:tcPr/>
          <w:p>
            <w:pPr>
              <w:pStyle w:val="918"/>
              <w:jc w:val="right"/>
            </w:pPr>
            <w:r>
              <w:t xml:space="preserve">Ocorrências</w:t>
            </w:r>
          </w:p>
        </w:tc>
        <w:tc>
          <w:tcPr/>
          <w:p>
            <w:pPr>
              <w:pStyle w:val="918"/>
              <w:jc w:val="right"/>
            </w:pPr>
            <w:r>
              <w:t xml:space="preserve">Posição</w:t>
            </w:r>
          </w:p>
        </w:tc>
      </w:tr>
      <w:tr>
        <w:tc>
          <w:tcPr/>
          <w:p>
            <w:pPr>
              <w:pStyle w:val="918"/>
              <w:jc w:val="left"/>
            </w:pPr>
            <w:r>
              <w:t xml:space="preserve">CONSTATAÇÕES</w:t>
            </w:r>
          </w:p>
        </w:tc>
        <w:tc>
          <w:tcPr/>
          <w:p>
            <w:pPr>
              <w:pStyle w:val="918"/>
              <w:jc w:val="left"/>
            </w:pPr>
            <w:r>
              <w:t xml:space="preserve">Grupo</w:t>
            </w:r>
          </w:p>
        </w:tc>
        <w:tc>
          <w:tcPr/>
          <w:p>
            <w:pPr>
              <w:pStyle w:val="918"/>
              <w:jc w:val="right"/>
            </w:pPr>
            <w:r>
              <w:t xml:space="preserve">4978</w:t>
            </w:r>
          </w:p>
        </w:tc>
        <w:tc>
          <w:tcPr/>
          <w:p>
            <w:pPr>
              <w:pStyle w:val="918"/>
              <w:jc w:val="right"/>
            </w:pPr>
            <w:r>
              <w:t xml:space="preserve">1</w:t>
            </w:r>
          </w:p>
        </w:tc>
      </w:tr>
      <w:tr>
        <w:tc>
          <w:tcPr/>
          <w:p>
            <w:pPr>
              <w:pStyle w:val="918"/>
              <w:jc w:val="left"/>
            </w:pPr>
            <w:r>
              <w:t xml:space="preserve">CONSTATAÇÕES</w:t>
            </w:r>
          </w:p>
        </w:tc>
        <w:tc>
          <w:tcPr/>
          <w:p>
            <w:pPr>
              <w:pStyle w:val="918"/>
              <w:jc w:val="left"/>
            </w:pPr>
            <w:r>
              <w:t xml:space="preserve">Subgrupo</w:t>
            </w:r>
          </w:p>
        </w:tc>
        <w:tc>
          <w:tcPr/>
          <w:p>
            <w:pPr>
              <w:pStyle w:val="918"/>
              <w:jc w:val="right"/>
            </w:pPr>
            <w:r>
              <w:t xml:space="preserve">4978</w:t>
            </w:r>
          </w:p>
        </w:tc>
        <w:tc>
          <w:tcPr/>
          <w:p>
            <w:pPr>
              <w:pStyle w:val="918"/>
              <w:jc w:val="right"/>
            </w:pPr>
            <w:r>
              <w:t xml:space="preserve">2</w:t>
            </w:r>
          </w:p>
        </w:tc>
      </w:tr>
      <w:tr>
        <w:tc>
          <w:tcPr/>
          <w:p>
            <w:pPr>
              <w:pStyle w:val="918"/>
              <w:jc w:val="left"/>
            </w:pPr>
            <w:r>
              <w:t xml:space="preserve">CONSTATAÇÕES</w:t>
            </w:r>
          </w:p>
        </w:tc>
        <w:tc>
          <w:tcPr/>
          <w:p>
            <w:pPr>
              <w:pStyle w:val="918"/>
              <w:jc w:val="left"/>
            </w:pPr>
            <w:r>
              <w:t xml:space="preserve">Item</w:t>
            </w:r>
          </w:p>
        </w:tc>
        <w:tc>
          <w:tcPr/>
          <w:p>
            <w:pPr>
              <w:pStyle w:val="918"/>
              <w:jc w:val="right"/>
            </w:pPr>
            <w:r>
              <w:t xml:space="preserve">4978</w:t>
            </w:r>
          </w:p>
        </w:tc>
        <w:tc>
          <w:tcPr/>
          <w:p>
            <w:pPr>
              <w:pStyle w:val="918"/>
              <w:jc w:val="right"/>
            </w:pPr>
            <w:r>
              <w:t xml:space="preserve">3</w:t>
            </w:r>
          </w:p>
        </w:tc>
      </w:tr>
      <w:tr>
        <w:tc>
          <w:tcPr/>
          <w:p>
            <w:pPr>
              <w:pStyle w:val="918"/>
              <w:jc w:val="left"/>
            </w:pPr>
            <w:r>
              <w:t xml:space="preserve">CONSTATAÇÕES</w:t>
            </w:r>
          </w:p>
        </w:tc>
        <w:tc>
          <w:tcPr/>
          <w:p>
            <w:pPr>
              <w:pStyle w:val="918"/>
              <w:jc w:val="left"/>
            </w:pPr>
            <w:r>
              <w:t xml:space="preserve">Constatação</w:t>
            </w:r>
          </w:p>
        </w:tc>
        <w:tc>
          <w:tcPr/>
          <w:p>
            <w:pPr>
              <w:pStyle w:val="918"/>
              <w:jc w:val="right"/>
            </w:pPr>
            <w:r>
              <w:t xml:space="preserve">4978</w:t>
            </w:r>
          </w:p>
        </w:tc>
        <w:tc>
          <w:tcPr/>
          <w:p>
            <w:pPr>
              <w:pStyle w:val="918"/>
              <w:jc w:val="right"/>
            </w:pPr>
            <w:r>
              <w:t xml:space="preserve">4</w:t>
            </w:r>
          </w:p>
        </w:tc>
      </w:tr>
      <w:tr>
        <w:tc>
          <w:tcPr/>
          <w:p>
            <w:pPr>
              <w:pStyle w:val="918"/>
              <w:jc w:val="left"/>
            </w:pPr>
            <w:r>
              <w:t xml:space="preserve">CONSTATAÇÕES</w:t>
            </w:r>
          </w:p>
        </w:tc>
        <w:tc>
          <w:tcPr/>
          <w:p>
            <w:pPr>
              <w:pStyle w:val="918"/>
              <w:jc w:val="left"/>
            </w:pPr>
            <w:r>
              <w:t xml:space="preserve">Evidência</w:t>
            </w:r>
          </w:p>
        </w:tc>
        <w:tc>
          <w:tcPr/>
          <w:p>
            <w:pPr>
              <w:pStyle w:val="918"/>
              <w:jc w:val="right"/>
            </w:pPr>
            <w:r>
              <w:t xml:space="preserve">4978</w:t>
            </w:r>
          </w:p>
        </w:tc>
        <w:tc>
          <w:tcPr/>
          <w:p>
            <w:pPr>
              <w:pStyle w:val="918"/>
              <w:jc w:val="right"/>
            </w:pPr>
            <w:r>
              <w:t xml:space="preserve">5</w:t>
            </w:r>
          </w:p>
        </w:tc>
      </w:tr>
      <w:tr>
        <w:tc>
          <w:tcPr/>
          <w:p>
            <w:pPr>
              <w:pStyle w:val="918"/>
              <w:jc w:val="left"/>
            </w:pPr>
            <w:r>
              <w:t xml:space="preserve">CONSTATAÇÕES</w:t>
            </w:r>
          </w:p>
        </w:tc>
        <w:tc>
          <w:tcPr/>
          <w:p>
            <w:pPr>
              <w:pStyle w:val="918"/>
              <w:jc w:val="left"/>
            </w:pPr>
            <w:r>
              <w:t xml:space="preserve">Fonte da Evidência</w:t>
            </w:r>
          </w:p>
        </w:tc>
        <w:tc>
          <w:tcPr/>
          <w:p>
            <w:pPr>
              <w:pStyle w:val="918"/>
              <w:jc w:val="right"/>
            </w:pPr>
            <w:r>
              <w:t xml:space="preserve">4978</w:t>
            </w:r>
          </w:p>
        </w:tc>
        <w:tc>
          <w:tcPr/>
          <w:p>
            <w:pPr>
              <w:pStyle w:val="918"/>
              <w:jc w:val="right"/>
            </w:pPr>
            <w:r>
              <w:t xml:space="preserve">6</w:t>
            </w:r>
          </w:p>
        </w:tc>
      </w:tr>
      <w:tr>
        <w:tc>
          <w:tcPr/>
          <w:p>
            <w:pPr>
              <w:pStyle w:val="918"/>
              <w:jc w:val="left"/>
            </w:pPr>
            <w:r>
              <w:t xml:space="preserve">CONSTATAÇÕES</w:t>
            </w:r>
          </w:p>
        </w:tc>
        <w:tc>
          <w:tcPr/>
          <w:p>
            <w:pPr>
              <w:pStyle w:val="918"/>
              <w:jc w:val="left"/>
            </w:pPr>
            <w:r>
              <w:t xml:space="preserve">Conformidade</w:t>
            </w:r>
          </w:p>
        </w:tc>
        <w:tc>
          <w:tcPr/>
          <w:p>
            <w:pPr>
              <w:pStyle w:val="918"/>
              <w:jc w:val="right"/>
            </w:pPr>
            <w:r>
              <w:t xml:space="preserve">4978</w:t>
            </w:r>
          </w:p>
        </w:tc>
        <w:tc>
          <w:tcPr/>
          <w:p>
            <w:pPr>
              <w:pStyle w:val="918"/>
              <w:jc w:val="right"/>
            </w:pPr>
            <w:r>
              <w:t xml:space="preserve">7</w:t>
            </w:r>
          </w:p>
        </w:tc>
      </w:tr>
      <w:tr>
        <w:tc>
          <w:tcPr/>
          <w:p>
            <w:pPr>
              <w:pStyle w:val="918"/>
              <w:jc w:val="left"/>
            </w:pPr>
            <w:r>
              <w:t xml:space="preserve">CONSTATAÇÕES</w:t>
            </w:r>
          </w:p>
        </w:tc>
        <w:tc>
          <w:tcPr/>
          <w:p>
            <w:pPr>
              <w:pStyle w:val="918"/>
              <w:jc w:val="left"/>
            </w:pPr>
            <w:r>
              <w:t xml:space="preserve">Recomendação</w:t>
            </w:r>
          </w:p>
        </w:tc>
        <w:tc>
          <w:tcPr/>
          <w:p>
            <w:pPr>
              <w:pStyle w:val="918"/>
              <w:jc w:val="right"/>
            </w:pPr>
            <w:r>
              <w:t xml:space="preserve">4289</w:t>
            </w:r>
          </w:p>
        </w:tc>
        <w:tc>
          <w:tcPr/>
          <w:p>
            <w:pPr>
              <w:pStyle w:val="918"/>
              <w:jc w:val="right"/>
            </w:pPr>
            <w:r>
              <w:t xml:space="preserve">8</w:t>
            </w:r>
          </w:p>
        </w:tc>
      </w:tr>
      <w:tr>
        <w:tc>
          <w:tcPr/>
          <w:p>
            <w:pPr>
              <w:pStyle w:val="918"/>
              <w:jc w:val="left"/>
            </w:pPr>
            <w:r>
              <w:t xml:space="preserve">CONSTATAÇÕES</w:t>
            </w:r>
          </w:p>
        </w:tc>
        <w:tc>
          <w:tcPr/>
          <w:p>
            <w:pPr>
              <w:pStyle w:val="918"/>
              <w:jc w:val="left"/>
            </w:pPr>
            <w:r>
              <w:t xml:space="preserve">Acatamento da Justificativa</w:t>
            </w:r>
          </w:p>
        </w:tc>
        <w:tc>
          <w:tcPr/>
          <w:p>
            <w:pPr>
              <w:pStyle w:val="918"/>
              <w:jc w:val="right"/>
            </w:pPr>
            <w:r>
              <w:t xml:space="preserve">3512</w:t>
            </w:r>
          </w:p>
        </w:tc>
        <w:tc>
          <w:tcPr/>
          <w:p>
            <w:pPr>
              <w:pStyle w:val="918"/>
              <w:jc w:val="right"/>
            </w:pPr>
            <w:r>
              <w:t xml:space="preserve">9</w:t>
            </w:r>
          </w:p>
        </w:tc>
      </w:tr>
      <w:tr>
        <w:tc>
          <w:tcPr/>
          <w:p>
            <w:pPr>
              <w:pStyle w:val="918"/>
              <w:jc w:val="left"/>
            </w:pPr>
            <w:r>
              <w:t xml:space="preserve">CONSTATAÇÕES</w:t>
            </w:r>
          </w:p>
        </w:tc>
        <w:tc>
          <w:tcPr/>
          <w:p>
            <w:pPr>
              <w:pStyle w:val="918"/>
              <w:jc w:val="left"/>
            </w:pPr>
            <w:r>
              <w:t xml:space="preserve">Justificativa</w:t>
            </w:r>
          </w:p>
        </w:tc>
        <w:tc>
          <w:tcPr/>
          <w:p>
            <w:pPr>
              <w:pStyle w:val="918"/>
              <w:jc w:val="right"/>
            </w:pPr>
            <w:r>
              <w:t xml:space="preserve">3235</w:t>
            </w:r>
          </w:p>
        </w:tc>
        <w:tc>
          <w:tcPr/>
          <w:p>
            <w:pPr>
              <w:pStyle w:val="918"/>
              <w:jc w:val="right"/>
            </w:pPr>
            <w:r>
              <w:t xml:space="preserve">10</w:t>
            </w:r>
          </w:p>
        </w:tc>
      </w:tr>
      <w:tr>
        <w:tc>
          <w:tcPr/>
          <w:p>
            <w:pPr>
              <w:pStyle w:val="918"/>
              <w:jc w:val="left"/>
            </w:pPr>
            <w:r>
              <w:t xml:space="preserve">CONSTATAÇÕES</w:t>
            </w:r>
          </w:p>
        </w:tc>
        <w:tc>
          <w:tcPr/>
          <w:p>
            <w:pPr>
              <w:pStyle w:val="918"/>
              <w:jc w:val="left"/>
            </w:pPr>
            <w:r>
              <w:t xml:space="preserve">Análise da Justificativa</w:t>
            </w:r>
          </w:p>
        </w:tc>
        <w:tc>
          <w:tcPr/>
          <w:p>
            <w:pPr>
              <w:pStyle w:val="918"/>
              <w:jc w:val="right"/>
            </w:pPr>
            <w:r>
              <w:t xml:space="preserve">3138</w:t>
            </w:r>
          </w:p>
        </w:tc>
        <w:tc>
          <w:tcPr/>
          <w:p>
            <w:pPr>
              <w:pStyle w:val="918"/>
              <w:jc w:val="right"/>
            </w:pPr>
            <w:r>
              <w:t xml:space="preserve">11</w:t>
            </w:r>
          </w:p>
        </w:tc>
      </w:tr>
      <w:tr>
        <w:tc>
          <w:tcPr/>
          <w:p>
            <w:pPr>
              <w:pStyle w:val="918"/>
              <w:jc w:val="left"/>
            </w:pPr>
            <w:r>
              <w:t xml:space="preserve">CONSTATAÇÕES</w:t>
            </w:r>
          </w:p>
        </w:tc>
        <w:tc>
          <w:tcPr/>
          <w:p>
            <w:pPr>
              <w:pStyle w:val="918"/>
              <w:jc w:val="left"/>
            </w:pPr>
            <w:r>
              <w:t xml:space="preserve">Tópico</w:t>
            </w:r>
          </w:p>
        </w:tc>
        <w:tc>
          <w:tcPr/>
          <w:p>
            <w:pPr>
              <w:pStyle w:val="918"/>
              <w:jc w:val="right"/>
            </w:pPr>
            <w:r>
              <w:t xml:space="preserve">717</w:t>
            </w:r>
          </w:p>
        </w:tc>
        <w:tc>
          <w:tcPr/>
          <w:p>
            <w:pPr>
              <w:pStyle w:val="918"/>
              <w:jc w:val="right"/>
            </w:pPr>
            <w:r>
              <w:t xml:space="preserve">12</w:t>
            </w:r>
          </w:p>
        </w:tc>
      </w:tr>
      <w:tr>
        <w:tc>
          <w:tcPr/>
          <w:p>
            <w:pPr>
              <w:pStyle w:val="918"/>
              <w:jc w:val="left"/>
            </w:pPr>
            <w:r>
              <w:t xml:space="preserve">DADOS BÁSICOS</w:t>
            </w:r>
          </w:p>
        </w:tc>
        <w:tc>
          <w:tcPr/>
          <w:p>
            <w:pPr>
              <w:pStyle w:val="918"/>
              <w:jc w:val="left"/>
            </w:pPr>
            <w:r>
              <w:t xml:space="preserve">Finalidade</w:t>
            </w:r>
          </w:p>
        </w:tc>
        <w:tc>
          <w:tcPr/>
          <w:p>
            <w:pPr>
              <w:pStyle w:val="918"/>
              <w:jc w:val="right"/>
            </w:pPr>
            <w:r>
              <w:t xml:space="preserve">399</w:t>
            </w:r>
          </w:p>
        </w:tc>
        <w:tc>
          <w:tcPr/>
          <w:p>
            <w:pPr>
              <w:pStyle w:val="918"/>
              <w:jc w:val="right"/>
            </w:pPr>
            <w:r>
              <w:t xml:space="preserve">1</w:t>
            </w:r>
          </w:p>
        </w:tc>
      </w:tr>
      <w:tr>
        <w:tc>
          <w:tcPr/>
          <w:p>
            <w:pPr>
              <w:pStyle w:val="918"/>
              <w:jc w:val="left"/>
            </w:pPr>
            <w:r>
              <w:t xml:space="preserve">DADOS BÁSICOS</w:t>
            </w:r>
          </w:p>
        </w:tc>
        <w:tc>
          <w:tcPr/>
          <w:p>
            <w:pPr>
              <w:pStyle w:val="918"/>
              <w:jc w:val="left"/>
            </w:pPr>
            <w:r>
              <w:t xml:space="preserve">Entidade Responsável</w:t>
            </w:r>
          </w:p>
        </w:tc>
        <w:tc>
          <w:tcPr/>
          <w:p>
            <w:pPr>
              <w:pStyle w:val="918"/>
              <w:jc w:val="right"/>
            </w:pPr>
            <w:r>
              <w:t xml:space="preserve">399</w:t>
            </w:r>
          </w:p>
        </w:tc>
        <w:tc>
          <w:tcPr/>
          <w:p>
            <w:pPr>
              <w:pStyle w:val="918"/>
              <w:jc w:val="right"/>
            </w:pPr>
            <w:r>
              <w:t xml:space="preserve">2</w:t>
            </w:r>
          </w:p>
        </w:tc>
      </w:tr>
      <w:tr>
        <w:tc>
          <w:tcPr/>
          <w:p>
            <w:pPr>
              <w:pStyle w:val="918"/>
              <w:jc w:val="left"/>
            </w:pPr>
            <w:r>
              <w:t xml:space="preserve">DADOS BÁSICOS</w:t>
            </w:r>
          </w:p>
        </w:tc>
        <w:tc>
          <w:tcPr/>
          <w:p>
            <w:pPr>
              <w:pStyle w:val="918"/>
              <w:jc w:val="left"/>
            </w:pPr>
            <w:r>
              <w:t xml:space="preserve">CPF/CNPJ</w:t>
            </w:r>
          </w:p>
        </w:tc>
        <w:tc>
          <w:tcPr/>
          <w:p>
            <w:pPr>
              <w:pStyle w:val="918"/>
              <w:jc w:val="right"/>
            </w:pPr>
            <w:r>
              <w:t xml:space="preserve">399</w:t>
            </w:r>
          </w:p>
        </w:tc>
        <w:tc>
          <w:tcPr/>
          <w:p>
            <w:pPr>
              <w:pStyle w:val="918"/>
              <w:jc w:val="right"/>
            </w:pPr>
            <w:r>
              <w:t xml:space="preserve">3</w:t>
            </w:r>
          </w:p>
        </w:tc>
      </w:tr>
      <w:tr>
        <w:tc>
          <w:tcPr/>
          <w:p>
            <w:pPr>
              <w:pStyle w:val="918"/>
              <w:jc w:val="left"/>
            </w:pPr>
            <w:r>
              <w:t xml:space="preserve">DADOS BÁSICOS</w:t>
            </w:r>
          </w:p>
        </w:tc>
        <w:tc>
          <w:tcPr/>
          <w:p>
            <w:pPr>
              <w:pStyle w:val="918"/>
              <w:jc w:val="left"/>
            </w:pPr>
            <w:r>
              <w:t xml:space="preserve">Munícipio/UF</w:t>
            </w:r>
          </w:p>
        </w:tc>
        <w:tc>
          <w:tcPr/>
          <w:p>
            <w:pPr>
              <w:pStyle w:val="918"/>
              <w:jc w:val="right"/>
            </w:pPr>
            <w:r>
              <w:t xml:space="preserve">399</w:t>
            </w:r>
          </w:p>
        </w:tc>
        <w:tc>
          <w:tcPr/>
          <w:p>
            <w:pPr>
              <w:pStyle w:val="918"/>
              <w:jc w:val="right"/>
            </w:pPr>
            <w:r>
              <w:t xml:space="preserve">4</w:t>
            </w:r>
          </w:p>
        </w:tc>
      </w:tr>
      <w:tr>
        <w:tc>
          <w:tcPr/>
          <w:p>
            <w:pPr>
              <w:pStyle w:val="918"/>
              <w:jc w:val="left"/>
            </w:pPr>
            <w:r>
              <w:t xml:space="preserve">DADOS BÁSICOS</w:t>
            </w:r>
          </w:p>
        </w:tc>
        <w:tc>
          <w:tcPr/>
          <w:p>
            <w:pPr>
              <w:pStyle w:val="918"/>
              <w:jc w:val="left"/>
            </w:pPr>
            <w:r>
              <w:t xml:space="preserve">Fase(s)</w:t>
            </w:r>
          </w:p>
        </w:tc>
        <w:tc>
          <w:tcPr/>
          <w:p>
            <w:pPr>
              <w:pStyle w:val="918"/>
              <w:jc w:val="right"/>
            </w:pPr>
            <w:r>
              <w:t xml:space="preserve">399</w:t>
            </w:r>
          </w:p>
        </w:tc>
        <w:tc>
          <w:tcPr/>
          <w:p>
            <w:pPr>
              <w:pStyle w:val="918"/>
              <w:jc w:val="right"/>
            </w:pPr>
            <w:r>
              <w:t xml:space="preserve">5</w:t>
            </w:r>
          </w:p>
        </w:tc>
      </w:tr>
      <w:tr>
        <w:tc>
          <w:tcPr/>
          <w:p>
            <w:pPr>
              <w:pStyle w:val="918"/>
              <w:jc w:val="left"/>
            </w:pPr>
            <w:r>
              <w:t xml:space="preserve">DADOS BÁSICOS</w:t>
            </w:r>
          </w:p>
        </w:tc>
        <w:tc>
          <w:tcPr/>
          <w:p>
            <w:pPr>
              <w:pStyle w:val="918"/>
              <w:jc w:val="left"/>
            </w:pPr>
            <w:r>
              <w:t xml:space="preserve">Demandante</w:t>
            </w:r>
          </w:p>
        </w:tc>
        <w:tc>
          <w:tcPr/>
          <w:p>
            <w:pPr>
              <w:pStyle w:val="918"/>
              <w:jc w:val="right"/>
            </w:pPr>
            <w:r>
              <w:t xml:space="preserve">399</w:t>
            </w:r>
          </w:p>
        </w:tc>
        <w:tc>
          <w:tcPr/>
          <w:p>
            <w:pPr>
              <w:pStyle w:val="918"/>
              <w:jc w:val="right"/>
            </w:pPr>
            <w:r>
              <w:t xml:space="preserve">6</w:t>
            </w:r>
          </w:p>
        </w:tc>
      </w:tr>
      <w:tr>
        <w:tc>
          <w:tcPr/>
          <w:p>
            <w:pPr>
              <w:pStyle w:val="918"/>
              <w:jc w:val="left"/>
            </w:pPr>
            <w:r>
              <w:t xml:space="preserve">DADOS BÁSICOS</w:t>
            </w:r>
          </w:p>
        </w:tc>
        <w:tc>
          <w:tcPr/>
          <w:p>
            <w:pPr>
              <w:pStyle w:val="918"/>
              <w:jc w:val="left"/>
            </w:pPr>
            <w:r>
              <w:t xml:space="preserve">Forma</w:t>
            </w:r>
          </w:p>
        </w:tc>
        <w:tc>
          <w:tcPr/>
          <w:p>
            <w:pPr>
              <w:pStyle w:val="918"/>
              <w:jc w:val="right"/>
            </w:pPr>
            <w:r>
              <w:t xml:space="preserve">399</w:t>
            </w:r>
          </w:p>
        </w:tc>
        <w:tc>
          <w:tcPr/>
          <w:p>
            <w:pPr>
              <w:pStyle w:val="918"/>
              <w:jc w:val="right"/>
            </w:pPr>
            <w:r>
              <w:t xml:space="preserve">7</w:t>
            </w:r>
          </w:p>
        </w:tc>
      </w:tr>
      <w:tr>
        <w:tc>
          <w:tcPr/>
          <w:p>
            <w:pPr>
              <w:pStyle w:val="918"/>
              <w:jc w:val="left"/>
            </w:pPr>
            <w:r>
              <w:t xml:space="preserve">DADOS BÁSICOS</w:t>
            </w:r>
          </w:p>
        </w:tc>
        <w:tc>
          <w:tcPr/>
          <w:p>
            <w:pPr>
              <w:pStyle w:val="918"/>
              <w:jc w:val="left"/>
            </w:pPr>
            <w:r>
              <w:t xml:space="preserve">Objeto</w:t>
            </w:r>
          </w:p>
        </w:tc>
        <w:tc>
          <w:tcPr/>
          <w:p>
            <w:pPr>
              <w:pStyle w:val="918"/>
              <w:jc w:val="right"/>
            </w:pPr>
            <w:r>
              <w:t xml:space="preserve">399</w:t>
            </w:r>
          </w:p>
        </w:tc>
        <w:tc>
          <w:tcPr/>
          <w:p>
            <w:pPr>
              <w:pStyle w:val="918"/>
              <w:jc w:val="right"/>
            </w:pPr>
            <w:r>
              <w:t xml:space="preserve">8</w:t>
            </w:r>
          </w:p>
        </w:tc>
      </w:tr>
      <w:tr>
        <w:tc>
          <w:tcPr/>
          <w:p>
            <w:pPr>
              <w:pStyle w:val="918"/>
              <w:jc w:val="left"/>
            </w:pPr>
            <w:r>
              <w:t xml:space="preserve">DADOS BÁSICOS</w:t>
            </w:r>
          </w:p>
        </w:tc>
        <w:tc>
          <w:tcPr/>
          <w:p>
            <w:pPr>
              <w:pStyle w:val="918"/>
              <w:jc w:val="left"/>
            </w:pPr>
            <w:r>
              <w:t xml:space="preserve">Abrangência</w:t>
            </w:r>
          </w:p>
        </w:tc>
        <w:tc>
          <w:tcPr/>
          <w:p>
            <w:pPr>
              <w:pStyle w:val="918"/>
              <w:jc w:val="right"/>
            </w:pPr>
            <w:r>
              <w:t xml:space="preserve">399</w:t>
            </w:r>
          </w:p>
        </w:tc>
        <w:tc>
          <w:tcPr/>
          <w:p>
            <w:pPr>
              <w:pStyle w:val="918"/>
              <w:jc w:val="right"/>
            </w:pPr>
            <w:r>
              <w:t xml:space="preserve">9</w:t>
            </w:r>
          </w:p>
        </w:tc>
      </w:tr>
      <w:tr>
        <w:tc>
          <w:tcPr/>
          <w:p>
            <w:pPr>
              <w:pStyle w:val="918"/>
              <w:jc w:val="left"/>
            </w:pPr>
            <w:r>
              <w:t xml:space="preserve">DADOS BÁSICOS</w:t>
            </w:r>
          </w:p>
        </w:tc>
        <w:tc>
          <w:tcPr/>
          <w:p>
            <w:pPr>
              <w:pStyle w:val="918"/>
              <w:jc w:val="left"/>
            </w:pPr>
            <w:r>
              <w:t xml:space="preserve">Nº Protocolo</w:t>
            </w:r>
          </w:p>
        </w:tc>
        <w:tc>
          <w:tcPr/>
          <w:p>
            <w:pPr>
              <w:pStyle w:val="918"/>
              <w:jc w:val="right"/>
            </w:pPr>
            <w:r>
              <w:t xml:space="preserve">380</w:t>
            </w:r>
          </w:p>
        </w:tc>
        <w:tc>
          <w:tcPr/>
          <w:p>
            <w:pPr>
              <w:pStyle w:val="918"/>
              <w:jc w:val="right"/>
            </w:pPr>
            <w:r>
              <w:t xml:space="preserve">10</w:t>
            </w:r>
          </w:p>
        </w:tc>
      </w:tr>
    </w:tbl>
    <w:p>
      <w:pPr>
        <w:pStyle w:val="916"/>
      </w:pPr>
      <w:r>
        <w:t xml:space="preserve">A tabela acima possui um conjunto de rótulos que é suficiente para a continuação do presente trabalho.</w:t>
      </w:r>
    </w:p>
    <w:bookmarkEnd w:id="93"/>
    <w:bookmarkStart w:id="94" w:name="marcadores"/>
    <w:p>
      <w:pPr>
        <w:pStyle w:val="907"/>
      </w:pPr>
      <w:r>
        <w:t xml:space="preserve">7.0.8.2 Marcadores</w:t>
      </w:r>
    </w:p>
    <w:p>
      <w:pPr>
        <w:pStyle w:val="917"/>
      </w:pPr>
      <w:r>
        <w:t xml:space="preserve">Outra situação observada foi a existência de rótulos que não seguem o padrão explorado na etapa anterior. Um exemplo disso pôde ser identificado na linha 7 da amostra da seção anterior, onde se encontrava o texto</w:t>
      </w:r>
      <w:r>
        <w:t xml:space="preserve"> </w:t>
      </w:r>
      <w:r>
        <w:rPr>
          <w:rStyle w:val="949"/>
        </w:rPr>
        <w:t xml:space="preserve">Tipo da Fase Data Início Data Término</w:t>
      </w:r>
      <w:r>
        <w:t xml:space="preserve">.</w:t>
      </w:r>
    </w:p>
    <w:p>
      <w:pPr>
        <w:pStyle w:val="916"/>
      </w:pPr>
      <w:r>
        <w:t xml:space="preserve">Trata-se de um rótulo que indica a presença de cabeçalhos associados a informações organizadas em formato tabular dentro do corpo do relatório.</w:t>
      </w:r>
    </w:p>
    <w:p>
      <w:pPr>
        <w:pStyle w:val="916"/>
      </w:pPr>
      <w:r>
        <w:t xml:space="preserve">Diante disso, formulou-se a hipótese de que esse tipo de cabeçalho, caso seja padronizado, também apareceria em múltiplos documentos. Para testá-la, aplicou-se uma técnica semelhante à utilizada na seção anterior, conforme descrito anteriormente.</w:t>
      </w:r>
    </w:p>
    <w:p>
      <w:pPr>
        <w:pStyle w:val="SourceCode"/>
      </w:pPr>
      <w:r>
        <w:rPr>
          <w:rStyle w:val="949"/>
        </w:rPr>
        <w:t xml:space="preserve">marcadores_candidatos &lt;- rel_com_secoes |&gt;</w:t>
      </w:r>
      <w:r>
        <w:br/>
      </w:r>
      <w:r>
        <w:rPr>
          <w:rStyle w:val="949"/>
        </w:rPr>
        <w:t xml:space="preserve">    filter(`Seção` %in% secoes_interesse) |&gt;</w:t>
      </w:r>
      <w:r>
        <w:br/>
      </w:r>
      <w:r>
        <w:rPr>
          <w:rStyle w:val="949"/>
        </w:rPr>
        <w:t xml:space="preserve">    filter(!str_detect(`Linha`, fixed(":"))) |&gt;</w:t>
      </w:r>
      <w:r>
        <w:br/>
      </w:r>
      <w:r>
        <w:rPr>
          <w:rStyle w:val="949"/>
        </w:rPr>
        <w:t xml:space="preserve">    summarise(</w:t>
      </w:r>
      <w:r>
        <w:br/>
      </w:r>
      <w:r>
        <w:rPr>
          <w:rStyle w:val="949"/>
        </w:rPr>
        <w:t xml:space="preserve">        `Ocorrências` = n(),</w:t>
      </w:r>
      <w:r>
        <w:br/>
      </w:r>
      <w:r>
        <w:rPr>
          <w:rStyle w:val="949"/>
        </w:rPr>
        <w:t xml:space="preserve">        .by = c(`Seção`, `Linha`)</w:t>
      </w:r>
      <w:r>
        <w:br/>
      </w:r>
      <w:r>
        <w:rPr>
          <w:rStyle w:val="949"/>
        </w:rPr>
        <w:t xml:space="preserve">    ) |&gt;</w:t>
      </w:r>
      <w:r>
        <w:br/>
      </w:r>
      <w:r>
        <w:rPr>
          <w:rStyle w:val="949"/>
        </w:rPr>
        <w:t xml:space="preserve">    filter(`Ocorrências` &gt; 150)</w:t>
      </w:r>
      <w:r>
        <w:br/>
      </w:r>
      <w:r>
        <w:br/>
      </w:r>
      <w:r>
        <w:br/>
      </w:r>
      <w:r>
        <w:rPr>
          <w:rStyle w:val="949"/>
        </w:rPr>
        <w:t xml:space="preserve">marcadores &lt;- marcadores_candidatos |&gt;</w:t>
      </w:r>
      <w:r>
        <w:br/>
      </w:r>
      <w:r>
        <w:rPr>
          <w:rStyle w:val="949"/>
        </w:rPr>
        <w:t xml:space="preserve">    filter(!str_starts(Linha, "S[E/]")) |&gt;</w:t>
      </w:r>
      <w:r>
        <w:br/>
      </w:r>
      <w:r>
        <w:rPr>
          <w:rStyle w:val="949"/>
        </w:rPr>
        <w:t xml:space="preserve">    mutate(Marcador = Linha) |&gt;</w:t>
      </w:r>
      <w:r>
        <w:br/>
      </w:r>
      <w:r>
        <w:rPr>
          <w:rStyle w:val="949"/>
        </w:rPr>
        <w:t xml:space="preserve">    select(-`Ocorrências`)</w:t>
      </w:r>
      <w:r>
        <w:br/>
      </w:r>
      <w:r>
        <w:rPr>
          <w:rStyle w:val="949"/>
        </w:rPr>
        <w:t xml:space="preserve">        </w:t>
      </w:r>
      <w:r>
        <w:br/>
      </w:r>
      <w:r>
        <w:rPr>
          <w:rStyle w:val="949"/>
        </w:rPr>
        <w:t xml:space="preserve">marcadores_candidatos |&gt;</w:t>
      </w:r>
      <w:r>
        <w:br/>
      </w:r>
      <w:r>
        <w:rPr>
          <w:rStyle w:val="949"/>
        </w:rPr>
        <w:t xml:space="preserve">knitr::kable()</w:t>
      </w:r>
    </w:p>
    <w:tbl>
      <w:tblPr>
        <w:tblStyle w:val="Table"/>
        <w:tblW w:type="pct" w:w="4867"/>
        <w:tblLayout w:type="fixed"/>
        <w:tblLook w:firstRow="1" w:lastRow="0" w:firstColumn="0" w:lastColumn="0" w:noHBand="0" w:noVBand="0" w:val="0020"/>
      </w:tblPr>
      <w:tblGrid>
        <w:gridCol w:w="2006"/>
        <w:gridCol w:w="4224"/>
        <w:gridCol w:w="1478"/>
      </w:tblGrid>
      <w:tr>
        <w:trPr>
          <w:tblHeader w:val="on"/>
        </w:trPr>
        <w:tc>
          <w:tcPr/>
          <w:p>
            <w:pPr>
              <w:pStyle w:val="918"/>
              <w:jc w:val="left"/>
            </w:pPr>
            <w:r>
              <w:t xml:space="preserve">Seção</w:t>
            </w:r>
          </w:p>
        </w:tc>
        <w:tc>
          <w:tcPr/>
          <w:p>
            <w:pPr>
              <w:pStyle w:val="918"/>
              <w:jc w:val="left"/>
            </w:pPr>
            <w:r>
              <w:t xml:space="preserve">Linha</w:t>
            </w:r>
          </w:p>
        </w:tc>
        <w:tc>
          <w:tcPr/>
          <w:p>
            <w:pPr>
              <w:pStyle w:val="918"/>
              <w:jc w:val="right"/>
            </w:pPr>
            <w:r>
              <w:t xml:space="preserve">Ocorrências</w:t>
            </w:r>
          </w:p>
        </w:tc>
      </w:tr>
      <w:tr>
        <w:tc>
          <w:tcPr/>
          <w:p>
            <w:pPr>
              <w:pStyle w:val="918"/>
              <w:jc w:val="left"/>
            </w:pPr>
            <w:r>
              <w:t xml:space="preserve">DADOS BÁSICOS</w:t>
            </w:r>
          </w:p>
        </w:tc>
        <w:tc>
          <w:tcPr/>
          <w:p>
            <w:pPr>
              <w:pStyle w:val="918"/>
              <w:jc w:val="left"/>
            </w:pPr>
            <w:r>
              <w:t xml:space="preserve">Tipo da Fase Data Início Data Término</w:t>
            </w:r>
          </w:p>
        </w:tc>
        <w:tc>
          <w:tcPr/>
          <w:p>
            <w:pPr>
              <w:pStyle w:val="918"/>
              <w:jc w:val="right"/>
            </w:pPr>
            <w:r>
              <w:t xml:space="preserve">399</w:t>
            </w:r>
          </w:p>
        </w:tc>
      </w:tr>
      <w:tr>
        <w:tc>
          <w:tcPr/>
          <w:p>
            <w:pPr>
              <w:pStyle w:val="918"/>
              <w:jc w:val="left"/>
            </w:pPr>
            <w:r>
              <w:t xml:space="preserve">CONSTATAÇÕES</w:t>
            </w:r>
          </w:p>
        </w:tc>
        <w:tc>
          <w:tcPr/>
          <w:p>
            <w:pPr>
              <w:pStyle w:val="918"/>
              <w:jc w:val="left"/>
            </w:pPr>
            <w:r>
              <w:t xml:space="preserve">Destinatários da Recomendação</w:t>
            </w:r>
          </w:p>
        </w:tc>
        <w:tc>
          <w:tcPr/>
          <w:p>
            <w:pPr>
              <w:pStyle w:val="918"/>
              <w:jc w:val="right"/>
            </w:pPr>
            <w:r>
              <w:t xml:space="preserve">4095</w:t>
            </w:r>
          </w:p>
        </w:tc>
      </w:tr>
      <w:tr>
        <w:tc>
          <w:tcPr/>
          <w:p>
            <w:pPr>
              <w:pStyle w:val="918"/>
              <w:jc w:val="left"/>
            </w:pPr>
            <w:r>
              <w:t xml:space="preserve">CONSTATAÇÕES</w:t>
            </w:r>
          </w:p>
        </w:tc>
        <w:tc>
          <w:tcPr/>
          <w:p>
            <w:pPr>
              <w:pStyle w:val="918"/>
              <w:jc w:val="left"/>
            </w:pPr>
            <w:r>
              <w:t xml:space="preserve">Nome CPF/CNPJ</w:t>
            </w:r>
          </w:p>
        </w:tc>
        <w:tc>
          <w:tcPr/>
          <w:p>
            <w:pPr>
              <w:pStyle w:val="918"/>
              <w:jc w:val="right"/>
            </w:pPr>
            <w:r>
              <w:t xml:space="preserve">4839</w:t>
            </w:r>
          </w:p>
        </w:tc>
      </w:tr>
      <w:tr>
        <w:tc>
          <w:tcPr/>
          <w:p>
            <w:pPr>
              <w:pStyle w:val="918"/>
              <w:jc w:val="left"/>
            </w:pPr>
            <w:r>
              <w:t xml:space="preserve">CONSTATAÇÕES</w:t>
            </w:r>
          </w:p>
        </w:tc>
        <w:tc>
          <w:tcPr/>
          <w:p>
            <w:pPr>
              <w:pStyle w:val="918"/>
              <w:jc w:val="left"/>
            </w:pPr>
            <w:r>
              <w:t xml:space="preserve">Responsável(eis)</w:t>
            </w:r>
          </w:p>
        </w:tc>
        <w:tc>
          <w:tcPr/>
          <w:p>
            <w:pPr>
              <w:pStyle w:val="918"/>
              <w:jc w:val="right"/>
            </w:pPr>
            <w:r>
              <w:t xml:space="preserve">748</w:t>
            </w:r>
          </w:p>
        </w:tc>
      </w:tr>
      <w:tr>
        <w:tc>
          <w:tcPr/>
          <w:p>
            <w:pPr>
              <w:pStyle w:val="918"/>
              <w:jc w:val="left"/>
            </w:pPr>
            <w:r>
              <w:t xml:space="preserve">CONSTATAÇÕES</w:t>
            </w:r>
          </w:p>
        </w:tc>
        <w:tc>
          <w:tcPr/>
          <w:p>
            <w:pPr>
              <w:pStyle w:val="918"/>
              <w:jc w:val="left"/>
            </w:pPr>
            <w:r>
              <w:t xml:space="preserve">SEST</w:t>
            </w:r>
            <w:r>
              <w:t xml:space="preserve"> </w:t>
            </w:r>
            <w:r>
              <w:rPr>
                <w:b/>
                <w:bCs/>
              </w:rPr>
              <w:t xml:space="preserve">.053.117/-</w:t>
            </w:r>
          </w:p>
        </w:tc>
        <w:tc>
          <w:tcPr/>
          <w:p>
            <w:pPr>
              <w:pStyle w:val="918"/>
              <w:jc w:val="right"/>
            </w:pPr>
            <w:r>
              <w:t xml:space="preserve">181</w:t>
            </w:r>
          </w:p>
        </w:tc>
      </w:tr>
      <w:tr>
        <w:tc>
          <w:tcPr/>
          <w:p>
            <w:pPr>
              <w:pStyle w:val="918"/>
              <w:jc w:val="left"/>
            </w:pPr>
            <w:r>
              <w:t xml:space="preserve">CONSTATAÇÕES</w:t>
            </w:r>
          </w:p>
        </w:tc>
        <w:tc>
          <w:tcPr/>
          <w:p>
            <w:pPr>
              <w:pStyle w:val="918"/>
              <w:jc w:val="left"/>
            </w:pPr>
            <w:r>
              <w:t xml:space="preserve">S/ M- SESI</w:t>
            </w:r>
            <w:r>
              <w:t xml:space="preserve"> </w:t>
            </w:r>
            <w:r>
              <w:rPr>
                <w:b/>
                <w:bCs/>
              </w:rPr>
              <w:t xml:space="preserve">.394.544/-</w:t>
            </w:r>
          </w:p>
        </w:tc>
        <w:tc>
          <w:tcPr/>
          <w:p>
            <w:pPr>
              <w:pStyle w:val="918"/>
              <w:jc w:val="right"/>
            </w:pPr>
            <w:r>
              <w:t xml:space="preserve">888</w:t>
            </w:r>
          </w:p>
        </w:tc>
      </w:tr>
    </w:tbl>
    <w:p>
      <w:pPr>
        <w:pStyle w:val="916"/>
      </w:pPr>
      <w:r>
        <w:t xml:space="preserve">Da lista acima, dois rótulos são claramente falso-positivos. Assim, elege-se os 4 primeiros rótulos da tabela acima como rótulos padronizados.</w:t>
      </w:r>
    </w:p>
    <w:bookmarkEnd w:id="94"/>
    <w:bookmarkEnd w:id="95"/>
    <w:bookmarkStart w:id="96" w:name="estruturação-dos-dados"/>
    <w:p>
      <w:pPr>
        <w:pStyle w:val="906"/>
      </w:pPr>
      <w:r>
        <w:t xml:space="preserve">7.0.9 Estruturação dos Dados</w:t>
      </w:r>
    </w:p>
    <w:p>
      <w:pPr>
        <w:pStyle w:val="917"/>
      </w:pPr>
      <w:r>
        <w:t xml:space="preserve">De posse dos rótulos identificados, procedeu-se à sua associação com as linhas dos textos dos relatórios, de forma que, quando havia correspondência, a linha era classificada como um rótulo ou marcador.</w:t>
      </w:r>
    </w:p>
    <w:p>
      <w:pPr>
        <w:pStyle w:val="916"/>
      </w:pPr>
      <w:r>
        <w:t xml:space="preserve">Considerando que, na etapa anterior, o termo</w:t>
      </w:r>
      <w:r>
        <w:t xml:space="preserve"> </w:t>
      </w:r>
      <w:r>
        <w:t xml:space="preserve">“Marcador”</w:t>
      </w:r>
      <w:r>
        <w:t xml:space="preserve"> </w:t>
      </w:r>
      <w:r>
        <w:t xml:space="preserve">já havia sido utilizado para se referir a esses elementos, optou-se por consolidar essa informação em uma única coluna denominada</w:t>
      </w:r>
      <w:r>
        <w:t xml:space="preserve"> </w:t>
      </w:r>
      <w:r>
        <w:rPr>
          <w:rStyle w:val="949"/>
        </w:rPr>
        <w:t xml:space="preserve">Rótulo</w:t>
      </w:r>
      <w:r>
        <w:t xml:space="preserve">. Além disso, foi criado um campo adicional destinado a numerar a ocorrência de cada rótulo em cada seção de cada documento</w:t>
      </w:r>
    </w:p>
    <w:p>
      <w:pPr>
        <w:pStyle w:val="916"/>
      </w:pPr>
      <w:r>
        <w:t xml:space="preserve">Como estratégia de validação, adotou-se um critério para confirmar se a linha identificada corresponde, de fato, a um rótulo. Para isso, verificou-se se a linha original iniciava com uma letra maiúscula. Quando essa condição não era satisfeita, considerava-se que o conteúdo era, possivelmente, um falso positivo, ou seja, um trecho encontrado no corpo de um texto descritivo (como uma constatação ou justificativa), sem a função estruturante de um marcador informacional.</w:t>
      </w:r>
    </w:p>
    <w:p>
      <w:pPr>
        <w:pStyle w:val="SourceCode"/>
      </w:pPr>
      <w:r>
        <w:rPr>
          <w:rStyle w:val="949"/>
        </w:rPr>
        <w:t xml:space="preserve">rel_com_secoes |&gt;</w:t>
      </w:r>
      <w:r>
        <w:br/>
      </w:r>
      <w:r>
        <w:rPr>
          <w:rStyle w:val="949"/>
        </w:rPr>
        <w:t xml:space="preserve">filter(`Seção` %in% secoes_interesse) |&gt;</w:t>
      </w:r>
      <w:r>
        <w:br/>
      </w:r>
      <w:r>
        <w:rPr>
          <w:rStyle w:val="949"/>
        </w:rPr>
        <w:t xml:space="preserve">separate_wider_delim(</w:t>
      </w:r>
      <w:r>
        <w:br/>
      </w:r>
      <w:r>
        <w:rPr>
          <w:rStyle w:val="949"/>
        </w:rPr>
        <w:t xml:space="preserve">    `Linha`, </w:t>
      </w:r>
      <w:r>
        <w:br/>
      </w:r>
      <w:r>
        <w:rPr>
          <w:rStyle w:val="949"/>
        </w:rPr>
        <w:t xml:space="preserve">    delim = ":",</w:t>
      </w:r>
      <w:r>
        <w:br/>
      </w:r>
      <w:r>
        <w:rPr>
          <w:rStyle w:val="949"/>
        </w:rPr>
        <w:t xml:space="preserve">    names = c("Rótulo Candidato", "Conteúdo"), </w:t>
      </w:r>
      <w:r>
        <w:br/>
      </w:r>
      <w:r>
        <w:rPr>
          <w:rStyle w:val="949"/>
        </w:rPr>
        <w:t xml:space="preserve">    too_few = "align_end", </w:t>
      </w:r>
      <w:r>
        <w:br/>
      </w:r>
      <w:r>
        <w:rPr>
          <w:rStyle w:val="949"/>
        </w:rPr>
        <w:t xml:space="preserve">    too_many = "merge",</w:t>
      </w:r>
      <w:r>
        <w:br/>
      </w:r>
      <w:r>
        <w:rPr>
          <w:rStyle w:val="949"/>
        </w:rPr>
        <w:t xml:space="preserve">    cols_remove = FALSE) |&gt;</w:t>
      </w:r>
      <w:r>
        <w:br/>
      </w:r>
      <w:r>
        <w:rPr>
          <w:rStyle w:val="949"/>
        </w:rPr>
        <w:t xml:space="preserve">mutate(across(c("Rótulo Candidato", "Conteúdo"), str_trim)) |&gt;</w:t>
      </w:r>
      <w:r>
        <w:br/>
      </w:r>
      <w:r>
        <w:rPr>
          <w:rStyle w:val="949"/>
        </w:rPr>
        <w:t xml:space="preserve">mutate(</w:t>
      </w:r>
      <w:r>
        <w:br/>
      </w:r>
      <w:r>
        <w:rPr>
          <w:rStyle w:val="949"/>
        </w:rPr>
        <w:t xml:space="preserve">    `Rótulo Candidato` = if_else(</w:t>
      </w:r>
      <w:r>
        <w:br/>
      </w:r>
      <w:r>
        <w:rPr>
          <w:rStyle w:val="949"/>
        </w:rPr>
        <w:t xml:space="preserve">            str_starts(`Linha Original`, "[A-Z]"), </w:t>
      </w:r>
      <w:r>
        <w:br/>
      </w:r>
      <w:r>
        <w:rPr>
          <w:rStyle w:val="949"/>
        </w:rPr>
        <w:t xml:space="preserve">            `Rótulo Candidato`, </w:t>
      </w:r>
      <w:r>
        <w:br/>
      </w:r>
      <w:r>
        <w:rPr>
          <w:rStyle w:val="949"/>
        </w:rPr>
        <w:t xml:space="preserve">            NA),</w:t>
      </w:r>
      <w:r>
        <w:br/>
      </w:r>
      <w:r>
        <w:rPr>
          <w:rStyle w:val="949"/>
        </w:rPr>
        <w:t xml:space="preserve">    `Conteúdo` = if_else(</w:t>
      </w:r>
      <w:r>
        <w:br/>
      </w:r>
      <w:r>
        <w:rPr>
          <w:rStyle w:val="949"/>
        </w:rPr>
        <w:t xml:space="preserve">        is.na(`Rótulo Candidato`), </w:t>
      </w:r>
      <w:r>
        <w:br/>
      </w:r>
      <w:r>
        <w:rPr>
          <w:rStyle w:val="949"/>
        </w:rPr>
        <w:t xml:space="preserve">        `Linha`, </w:t>
      </w:r>
      <w:r>
        <w:br/>
      </w:r>
      <w:r>
        <w:rPr>
          <w:rStyle w:val="949"/>
        </w:rPr>
        <w:t xml:space="preserve">        `Conteúdo`),</w:t>
      </w:r>
      <w:r>
        <w:br/>
      </w:r>
      <w:r>
        <w:rPr>
          <w:rStyle w:val="949"/>
        </w:rPr>
        <w:t xml:space="preserve">) |&gt;</w:t>
      </w:r>
      <w:r>
        <w:br/>
      </w:r>
      <w:r>
        <w:rPr>
          <w:rStyle w:val="949"/>
        </w:rPr>
        <w:t xml:space="preserve">left_join(</w:t>
      </w:r>
      <w:r>
        <w:br/>
      </w:r>
      <w:r>
        <w:rPr>
          <w:rStyle w:val="949"/>
        </w:rPr>
        <w:t xml:space="preserve">    marcadores,</w:t>
      </w:r>
      <w:r>
        <w:br/>
      </w:r>
      <w:r>
        <w:rPr>
          <w:rStyle w:val="949"/>
        </w:rPr>
        <w:t xml:space="preserve">    by = c("Seção", "Linha")</w:t>
      </w:r>
      <w:r>
        <w:br/>
      </w:r>
      <w:r>
        <w:rPr>
          <w:rStyle w:val="949"/>
        </w:rPr>
        <w:t xml:space="preserve">) |&gt;</w:t>
      </w:r>
      <w:r>
        <w:br/>
      </w:r>
      <w:r>
        <w:rPr>
          <w:rStyle w:val="949"/>
        </w:rPr>
        <w:t xml:space="preserve">left_join(</w:t>
      </w:r>
      <w:r>
        <w:br/>
      </w:r>
      <w:r>
        <w:rPr>
          <w:rStyle w:val="949"/>
        </w:rPr>
        <w:t xml:space="preserve">    rotulos |&gt; mutate(`Rótulo Candidato` = `Rótulo`),</w:t>
      </w:r>
      <w:r>
        <w:br/>
      </w:r>
      <w:r>
        <w:rPr>
          <w:rStyle w:val="949"/>
        </w:rPr>
        <w:t xml:space="preserve">    by = c("Seção", "Rótulo Candidato") </w:t>
      </w:r>
      <w:r>
        <w:br/>
      </w:r>
      <w:r>
        <w:rPr>
          <w:rStyle w:val="949"/>
        </w:rPr>
        <w:t xml:space="preserve">) |&gt;</w:t>
      </w:r>
      <w:r>
        <w:br/>
      </w:r>
      <w:r>
        <w:rPr>
          <w:rStyle w:val="949"/>
        </w:rPr>
        <w:t xml:space="preserve">select(-`Rótulo Candidato`) |&gt;</w:t>
      </w:r>
      <w:r>
        <w:br/>
      </w:r>
      <w:r>
        <w:rPr>
          <w:rStyle w:val="949"/>
        </w:rPr>
        <w:t xml:space="preserve">mutate(`Rótulo` = coalesce(`Rótulo`, `Marcador`)) |&gt;</w:t>
      </w:r>
      <w:r>
        <w:br/>
      </w:r>
      <w:r>
        <w:rPr>
          <w:rStyle w:val="949"/>
        </w:rPr>
        <w:t xml:space="preserve">mutate(`# Rótulo` = if_else(is.na(`Rótulo`), 0, 1)) |&gt;</w:t>
      </w:r>
      <w:r>
        <w:br/>
      </w:r>
      <w:r>
        <w:rPr>
          <w:rStyle w:val="949"/>
        </w:rPr>
        <w:t xml:space="preserve">group_by(Arquivo, `Seção`, `# Seção`) |&gt;</w:t>
      </w:r>
      <w:r>
        <w:br/>
      </w:r>
      <w:r>
        <w:rPr>
          <w:rStyle w:val="949"/>
        </w:rPr>
        <w:t xml:space="preserve">mutate(</w:t>
      </w:r>
      <w:r>
        <w:br/>
      </w:r>
      <w:r>
        <w:rPr>
          <w:rStyle w:val="949"/>
        </w:rPr>
        <w:t xml:space="preserve">  `# Rótulo` = cumsum(`# Rótulo`),</w:t>
      </w:r>
      <w:r>
        <w:br/>
      </w:r>
      <w:r>
        <w:rPr>
          <w:rStyle w:val="949"/>
        </w:rPr>
        <w:t xml:space="preserve">) |&gt;</w:t>
      </w:r>
      <w:r>
        <w:br/>
      </w:r>
      <w:r>
        <w:rPr>
          <w:rStyle w:val="949"/>
        </w:rPr>
        <w:t xml:space="preserve">fill(`Rótulo`, .direction = "down") |&gt;</w:t>
      </w:r>
      <w:r>
        <w:br/>
      </w:r>
      <w:r>
        <w:rPr>
          <w:rStyle w:val="949"/>
        </w:rPr>
        <w:t xml:space="preserve">ungroup() |&gt;</w:t>
      </w:r>
      <w:r>
        <w:br/>
      </w:r>
      <w:r>
        <w:rPr>
          <w:rStyle w:val="949"/>
        </w:rPr>
        <w:t xml:space="preserve">select(-`Linha Original`) |&gt;</w:t>
      </w:r>
      <w:r>
        <w:br/>
      </w:r>
      <w:r>
        <w:rPr>
          <w:rStyle w:val="949"/>
        </w:rPr>
        <w:t xml:space="preserve">write_rds("./Dados Gerados/rel_com_secoes_rotulos.rds")</w:t>
      </w:r>
    </w:p>
    <w:p>
      <w:pPr>
        <w:pStyle w:val="944"/>
      </w:pPr>
      <w:r>
        <w:t xml:space="preserve">Amostra de linhas sem números com maior número de ocorrências</w:t>
      </w:r>
    </w:p>
    <w:tbl>
      <w:tblPr>
        <w:tblStyle w:val="Table"/>
        <w:tblW w:type="pct" w:w="4899"/>
        <w:tblLayout w:type="fixed"/>
        <w:tblLook w:firstRow="1" w:lastRow="0" w:firstColumn="0" w:lastColumn="0" w:noHBand="0" w:noVBand="0" w:val="0020"/>
        <w:tblCaption w:val="Amostra de linhas sem números com maior número de ocorrências"/>
      </w:tblPr>
      <w:tblGrid>
        <w:gridCol w:w="3200"/>
        <w:gridCol w:w="3600"/>
        <w:gridCol w:w="960"/>
      </w:tblGrid>
      <w:tr>
        <w:trPr>
          <w:tblHeader w:val="on"/>
        </w:trPr>
        <w:tc>
          <w:tcPr/>
          <w:p>
            <w:pPr>
              <w:pStyle w:val="918"/>
              <w:jc w:val="left"/>
            </w:pPr>
            <w:r>
              <w:t xml:space="preserve">Rótulo</w:t>
            </w:r>
          </w:p>
        </w:tc>
        <w:tc>
          <w:tcPr/>
          <w:p>
            <w:pPr>
              <w:pStyle w:val="918"/>
              <w:jc w:val="left"/>
            </w:pPr>
            <w:r>
              <w:t xml:space="preserve">Conteúdo</w:t>
            </w:r>
          </w:p>
        </w:tc>
        <w:tc>
          <w:tcPr/>
          <w:p>
            <w:pPr>
              <w:pStyle w:val="918"/>
              <w:jc w:val="right"/>
            </w:pPr>
            <w:r>
              <w:t xml:space="preserve"># Rótulo</w:t>
            </w:r>
          </w:p>
        </w:tc>
      </w:tr>
      <w:tr>
        <w:tc>
          <w:tcPr/>
          <w:p>
            <w:pPr>
              <w:pStyle w:val="918"/>
              <w:jc w:val="left"/>
            </w:pPr>
            <w:r>
              <w:t xml:space="preserve">Finalidade</w:t>
            </w:r>
          </w:p>
        </w:tc>
        <w:tc>
          <w:tcPr/>
          <w:p>
            <w:pPr>
              <w:pStyle w:val="918"/>
              <w:jc w:val="left"/>
            </w:pPr>
            <w:r>
              <w:t xml:space="preserve">Verificar a regular utilização de recur…</w:t>
            </w:r>
          </w:p>
        </w:tc>
        <w:tc>
          <w:tcPr/>
          <w:p>
            <w:pPr>
              <w:pStyle w:val="918"/>
              <w:jc w:val="right"/>
            </w:pPr>
            <w:r>
              <w:t xml:space="preserve">1</w:t>
            </w:r>
          </w:p>
        </w:tc>
      </w:tr>
      <w:tr>
        <w:tc>
          <w:tcPr/>
          <w:p>
            <w:pPr>
              <w:pStyle w:val="918"/>
              <w:jc w:val="left"/>
            </w:pPr>
            <w:r>
              <w:t xml:space="preserve">Finalidade</w:t>
            </w:r>
          </w:p>
        </w:tc>
        <w:tc>
          <w:tcPr/>
          <w:p>
            <w:pPr>
              <w:pStyle w:val="918"/>
              <w:jc w:val="left"/>
            </w:pPr>
            <w:r>
              <w:t xml:space="preserve">veículos pela SMS.</w:t>
            </w:r>
          </w:p>
        </w:tc>
        <w:tc>
          <w:tcPr/>
          <w:p>
            <w:pPr>
              <w:pStyle w:val="918"/>
              <w:jc w:val="right"/>
            </w:pPr>
            <w:r>
              <w:t xml:space="preserve">1</w:t>
            </w:r>
          </w:p>
        </w:tc>
      </w:tr>
      <w:tr>
        <w:tc>
          <w:tcPr/>
          <w:p>
            <w:pPr>
              <w:pStyle w:val="918"/>
              <w:jc w:val="left"/>
            </w:pPr>
            <w:r>
              <w:t xml:space="preserve">Entidade Responsável</w:t>
            </w:r>
          </w:p>
        </w:tc>
        <w:tc>
          <w:tcPr/>
          <w:p>
            <w:pPr>
              <w:pStyle w:val="918"/>
              <w:jc w:val="left"/>
            </w:pPr>
            <w:r>
              <w:t xml:space="preserve">S. MSCF</w:t>
            </w:r>
          </w:p>
        </w:tc>
        <w:tc>
          <w:tcPr/>
          <w:p>
            <w:pPr>
              <w:pStyle w:val="918"/>
              <w:jc w:val="right"/>
            </w:pPr>
            <w:r>
              <w:t xml:space="preserve">2</w:t>
            </w:r>
          </w:p>
        </w:tc>
      </w:tr>
      <w:tr>
        <w:tc>
          <w:tcPr/>
          <w:p>
            <w:pPr>
              <w:pStyle w:val="918"/>
              <w:jc w:val="left"/>
            </w:pPr>
            <w:r>
              <w:t xml:space="preserve">CPF/CNPJ</w:t>
            </w:r>
          </w:p>
        </w:tc>
        <w:tc>
          <w:tcPr/>
          <w:p>
            <w:pPr>
              <w:pStyle w:val="918"/>
              <w:jc w:val="left"/>
            </w:pPr>
            <w:r>
              <w:rPr>
                <w:b/>
                <w:bCs/>
              </w:rPr>
              <w:t xml:space="preserve">.475.879/-</w:t>
            </w:r>
          </w:p>
        </w:tc>
        <w:tc>
          <w:tcPr/>
          <w:p>
            <w:pPr>
              <w:pStyle w:val="918"/>
              <w:jc w:val="right"/>
            </w:pPr>
            <w:r>
              <w:t xml:space="preserve">3</w:t>
            </w:r>
          </w:p>
        </w:tc>
      </w:tr>
      <w:tr>
        <w:tc>
          <w:tcPr/>
          <w:p>
            <w:pPr>
              <w:pStyle w:val="918"/>
              <w:jc w:val="left"/>
            </w:pPr>
            <w:r>
              <w:t xml:space="preserve">Munícipio/UF</w:t>
            </w:r>
          </w:p>
        </w:tc>
        <w:tc>
          <w:tcPr/>
          <w:p>
            <w:pPr>
              <w:pStyle w:val="918"/>
              <w:jc w:val="left"/>
            </w:pPr>
            <w:r>
              <w:t xml:space="preserve">CABO FRIO-RJ</w:t>
            </w:r>
          </w:p>
        </w:tc>
        <w:tc>
          <w:tcPr/>
          <w:p>
            <w:pPr>
              <w:pStyle w:val="918"/>
              <w:jc w:val="right"/>
            </w:pPr>
            <w:r>
              <w:t xml:space="preserve">4</w:t>
            </w:r>
          </w:p>
        </w:tc>
      </w:tr>
      <w:tr>
        <w:tc>
          <w:tcPr/>
          <w:p>
            <w:pPr>
              <w:pStyle w:val="918"/>
              <w:jc w:val="left"/>
            </w:pPr>
            <w:r>
              <w:t xml:space="preserve">Fase(s)</w:t>
            </w:r>
          </w:p>
        </w:tc>
        <w:tc>
          <w:tcPr/>
          <w:p>
            <w:pPr>
              <w:pStyle w:val="918"/>
            </w:pPr>
          </w:p>
        </w:tc>
        <w:tc>
          <w:tcPr/>
          <w:p>
            <w:pPr>
              <w:pStyle w:val="918"/>
              <w:jc w:val="right"/>
            </w:pPr>
            <w:r>
              <w:t xml:space="preserve">5</w:t>
            </w:r>
          </w:p>
        </w:tc>
      </w:tr>
      <w:tr>
        <w:tc>
          <w:tcPr/>
          <w:p>
            <w:pPr>
              <w:pStyle w:val="918"/>
              <w:jc w:val="left"/>
            </w:pPr>
            <w:r>
              <w:t xml:space="preserve">Tipo da Fase Data Início Data Término</w:t>
            </w:r>
          </w:p>
        </w:tc>
        <w:tc>
          <w:tcPr/>
          <w:p>
            <w:pPr>
              <w:pStyle w:val="918"/>
              <w:jc w:val="left"/>
            </w:pPr>
            <w:r>
              <w:t xml:space="preserve">Tipo da Fase Data Início Data Término</w:t>
            </w:r>
          </w:p>
        </w:tc>
        <w:tc>
          <w:tcPr/>
          <w:p>
            <w:pPr>
              <w:pStyle w:val="918"/>
              <w:jc w:val="right"/>
            </w:pPr>
            <w:r>
              <w:t xml:space="preserve">6</w:t>
            </w:r>
          </w:p>
        </w:tc>
      </w:tr>
      <w:tr>
        <w:tc>
          <w:tcPr/>
          <w:p>
            <w:pPr>
              <w:pStyle w:val="918"/>
              <w:jc w:val="left"/>
            </w:pPr>
            <w:r>
              <w:t xml:space="preserve">Tipo da Fase Data Início Data Término</w:t>
            </w:r>
          </w:p>
        </w:tc>
        <w:tc>
          <w:tcPr/>
          <w:p>
            <w:pPr>
              <w:pStyle w:val="918"/>
              <w:jc w:val="left"/>
            </w:pPr>
            <w:r>
              <w:t xml:space="preserve">Analítica 01/08/2022 18/08/2022</w:t>
            </w:r>
          </w:p>
        </w:tc>
        <w:tc>
          <w:tcPr/>
          <w:p>
            <w:pPr>
              <w:pStyle w:val="918"/>
              <w:jc w:val="right"/>
            </w:pPr>
            <w:r>
              <w:t xml:space="preserve">6</w:t>
            </w:r>
          </w:p>
        </w:tc>
      </w:tr>
      <w:tr>
        <w:tc>
          <w:tcPr/>
          <w:p>
            <w:pPr>
              <w:pStyle w:val="918"/>
              <w:jc w:val="left"/>
            </w:pPr>
            <w:r>
              <w:t xml:space="preserve">Tipo da Fase Data Início Data Término</w:t>
            </w:r>
          </w:p>
        </w:tc>
        <w:tc>
          <w:tcPr/>
          <w:p>
            <w:pPr>
              <w:pStyle w:val="918"/>
              <w:jc w:val="left"/>
            </w:pPr>
            <w:r>
              <w:t xml:space="preserve">Execução - In loco 07/08/2023 11/08/2023</w:t>
            </w:r>
          </w:p>
        </w:tc>
        <w:tc>
          <w:tcPr/>
          <w:p>
            <w:pPr>
              <w:pStyle w:val="918"/>
              <w:jc w:val="right"/>
            </w:pPr>
            <w:r>
              <w:t xml:space="preserve">6</w:t>
            </w:r>
          </w:p>
        </w:tc>
      </w:tr>
      <w:tr>
        <w:tc>
          <w:tcPr/>
          <w:p>
            <w:pPr>
              <w:pStyle w:val="918"/>
              <w:jc w:val="left"/>
            </w:pPr>
            <w:r>
              <w:t xml:space="preserve">Tipo da Fase Data Início Data Término</w:t>
            </w:r>
          </w:p>
        </w:tc>
        <w:tc>
          <w:tcPr/>
          <w:p>
            <w:pPr>
              <w:pStyle w:val="918"/>
              <w:jc w:val="left"/>
            </w:pPr>
            <w:r>
              <w:t xml:space="preserve">Relatório 14/08/2023 01/09/2023</w:t>
            </w:r>
          </w:p>
        </w:tc>
        <w:tc>
          <w:tcPr/>
          <w:p>
            <w:pPr>
              <w:pStyle w:val="918"/>
              <w:jc w:val="right"/>
            </w:pPr>
            <w:r>
              <w:t xml:space="preserve">6</w:t>
            </w:r>
          </w:p>
        </w:tc>
      </w:tr>
    </w:tbl>
    <w:p>
      <w:pPr>
        <w:pStyle w:val="916"/>
      </w:pPr>
      <w:r>
        <w:t xml:space="preserve">Conforme se observou acima, o processo resultou em uma tabela na qual as linhas foram devidamente associadas às suas respectivas seções e rótulos.</w:t>
      </w:r>
    </w:p>
    <w:p>
      <w:pPr>
        <w:pStyle w:val="916"/>
      </w:pPr>
      <w:r>
        <w:t xml:space="preserve">Com essa base consolidada, passou-se à etapa de estruturação dos dados a partir dessas marcações. Para os rótulos delimitados pelo separador dois-pontos (</w:t>
      </w:r>
      <w:r>
        <w:rPr>
          <w:rStyle w:val="949"/>
        </w:rPr>
        <w:t xml:space="preserve">:</w:t>
      </w:r>
      <w:r>
        <w:t xml:space="preserve">), já se dispunha, em princípio, do valor correspondente a cada campo — representado pela parte do texto localizada após o separador. No entanto, identificaram-se casos em que o conteúdo extrapolava os limites da linha original, como ocorre com o valor atribuído ao rótulo</w:t>
      </w:r>
      <w:r>
        <w:t xml:space="preserve"> </w:t>
      </w:r>
      <w:r>
        <w:t xml:space="preserve">“Finalidade”</w:t>
      </w:r>
      <w:r>
        <w:t xml:space="preserve">, conforme evidenciado na tabela anterior.</w:t>
      </w:r>
    </w:p>
    <w:p>
      <w:pPr>
        <w:pStyle w:val="916"/>
      </w:pPr>
      <w:r>
        <w:t xml:space="preserve">Para consolidar o valor de campos, optou-se por concatenar todas as linhas associadas a cada ocorrência de rótulo, preservando a integridade semântica dos dados.</w:t>
      </w:r>
    </w:p>
    <w:p>
      <w:pPr>
        <w:pStyle w:val="916"/>
      </w:pPr>
      <w:r>
        <w:t xml:space="preserve">No código a seguir, executou-se tal operação, e apresenta-se, em seguida, um exemplo das informações rotuladas para o arquivo 19764_1.pdf.</w:t>
      </w:r>
    </w:p>
    <w:p>
      <w:pPr>
        <w:pStyle w:val="SourceCode"/>
      </w:pPr>
      <w:r>
        <w:rPr>
          <w:rStyle w:val="949"/>
        </w:rPr>
        <w:t xml:space="preserve">rel_com_secoes_rotulos |&gt;</w:t>
      </w:r>
      <w:r>
        <w:br/>
      </w:r>
      <w:r>
        <w:rPr>
          <w:rStyle w:val="949"/>
        </w:rPr>
        <w:t xml:space="preserve">summarise(</w:t>
      </w:r>
      <w:r>
        <w:br/>
      </w:r>
      <w:r>
        <w:rPr>
          <w:rStyle w:val="949"/>
        </w:rPr>
        <w:t xml:space="preserve">    `Conteúdo` = str_flatten(str_trim(Conteúdo), collapse = " "),</w:t>
      </w:r>
      <w:r>
        <w:br/>
      </w:r>
      <w:r>
        <w:rPr>
          <w:rStyle w:val="949"/>
        </w:rPr>
        <w:t xml:space="preserve">    `Linhas` = str_flatten(`# Linha Geral`, collapse = ", "),</w:t>
      </w:r>
      <w:r>
        <w:br/>
      </w:r>
      <w:r>
        <w:rPr>
          <w:rStyle w:val="949"/>
        </w:rPr>
        <w:t xml:space="preserve">    `Linha Inicial` = min(`# Linha Geral`),</w:t>
      </w:r>
      <w:r>
        <w:br/>
      </w:r>
      <w:r>
        <w:rPr>
          <w:rStyle w:val="949"/>
        </w:rPr>
        <w:t xml:space="preserve">    `Linha Final` = max(`# Linha Geral`),</w:t>
      </w:r>
      <w:r>
        <w:br/>
      </w:r>
      <w:r>
        <w:rPr>
          <w:rStyle w:val="949"/>
        </w:rPr>
        <w:t xml:space="preserve">    `Qtd Linhas` = (`Linha Final` - `Linha Inicial`) + 1,</w:t>
      </w:r>
      <w:r>
        <w:br/>
      </w:r>
      <w:r>
        <w:rPr>
          <w:rStyle w:val="949"/>
        </w:rPr>
        <w:t xml:space="preserve">    `# Página` = min(`# Página`),</w:t>
      </w:r>
      <w:r>
        <w:br/>
      </w:r>
      <w:r>
        <w:rPr>
          <w:rStyle w:val="949"/>
        </w:rPr>
        <w:t xml:space="preserve">    .by = c(</w:t>
      </w:r>
      <w:r>
        <w:br/>
      </w:r>
      <w:r>
        <w:rPr>
          <w:rStyle w:val="949"/>
        </w:rPr>
        <w:t xml:space="preserve">        `Arquivo`, </w:t>
      </w:r>
      <w:r>
        <w:br/>
      </w:r>
      <w:r>
        <w:rPr>
          <w:rStyle w:val="949"/>
        </w:rPr>
        <w:t xml:space="preserve">        `No. Auditoria`,</w:t>
      </w:r>
      <w:r>
        <w:br/>
      </w:r>
      <w:r>
        <w:rPr>
          <w:rStyle w:val="949"/>
        </w:rPr>
        <w:t xml:space="preserve">        `Data Geração`,</w:t>
      </w:r>
      <w:r>
        <w:br/>
      </w:r>
      <w:r>
        <w:rPr>
          <w:rStyle w:val="949"/>
        </w:rPr>
        <w:t xml:space="preserve">        `Seção`, </w:t>
      </w:r>
      <w:r>
        <w:br/>
      </w:r>
      <w:r>
        <w:rPr>
          <w:rStyle w:val="949"/>
        </w:rPr>
        <w:t xml:space="preserve">        `# Seção`,</w:t>
      </w:r>
      <w:r>
        <w:br/>
      </w:r>
      <w:r>
        <w:rPr>
          <w:rStyle w:val="949"/>
        </w:rPr>
        <w:t xml:space="preserve">        `Rótulo`,</w:t>
      </w:r>
      <w:r>
        <w:br/>
      </w:r>
      <w:r>
        <w:rPr>
          <w:rStyle w:val="949"/>
        </w:rPr>
        <w:t xml:space="preserve">        `# Rótulo`</w:t>
      </w:r>
      <w:r>
        <w:br/>
      </w:r>
      <w:r>
        <w:rPr>
          <w:rStyle w:val="949"/>
        </w:rPr>
        <w:t xml:space="preserve">    )</w:t>
      </w:r>
      <w:r>
        <w:br/>
      </w:r>
      <w:r>
        <w:rPr>
          <w:rStyle w:val="949"/>
        </w:rPr>
        <w:t xml:space="preserve">) |&gt;</w:t>
      </w:r>
      <w:r>
        <w:br/>
      </w:r>
      <w:r>
        <w:rPr>
          <w:rStyle w:val="949"/>
        </w:rPr>
        <w:t xml:space="preserve">write_rds("./Dados Gerados/conteudo_estruturado.rds")</w:t>
      </w:r>
    </w:p>
    <w:p>
      <w:pPr>
        <w:pStyle w:val="944"/>
      </w:pPr>
      <w:r>
        <w:t xml:space="preserve">Amostra tabela com dados estruturados</w:t>
      </w:r>
    </w:p>
    <w:tbl>
      <w:tblPr>
        <w:tblStyle w:val="Table"/>
        <w:tblW w:type="pct" w:w="4947"/>
        <w:tblLayout w:type="fixed"/>
        <w:tblLook w:firstRow="1" w:lastRow="0" w:firstColumn="0" w:lastColumn="0" w:noHBand="0" w:noVBand="0" w:val="0020"/>
        <w:tblCaption w:val="Amostra tabela com dados estruturados"/>
      </w:tblPr>
      <w:tblGrid>
        <w:gridCol w:w="1694"/>
        <w:gridCol w:w="6141"/>
      </w:tblGrid>
      <w:tr>
        <w:trPr>
          <w:tblHeader w:val="on"/>
        </w:trPr>
        <w:tc>
          <w:tcPr/>
          <w:p>
            <w:pPr>
              <w:pStyle w:val="918"/>
              <w:jc w:val="left"/>
            </w:pPr>
            <w:r>
              <w:t xml:space="preserve">Rótulo</w:t>
            </w:r>
          </w:p>
        </w:tc>
        <w:tc>
          <w:tcPr/>
          <w:p>
            <w:pPr>
              <w:pStyle w:val="918"/>
              <w:jc w:val="left"/>
            </w:pPr>
            <w:r>
              <w:t xml:space="preserve">Conteúdo</w:t>
            </w:r>
          </w:p>
        </w:tc>
      </w:tr>
      <w:tr>
        <w:tc>
          <w:tcPr/>
          <w:p>
            <w:pPr>
              <w:pStyle w:val="918"/>
              <w:jc w:val="left"/>
            </w:pPr>
            <w:r>
              <w:t xml:space="preserve">Finalidade</w:t>
            </w:r>
          </w:p>
        </w:tc>
        <w:tc>
          <w:tcPr/>
          <w:p>
            <w:pPr>
              <w:pStyle w:val="918"/>
              <w:jc w:val="left"/>
            </w:pPr>
            <w:r>
              <w:t xml:space="preserve">Verificar se a SMS possui controles internos capazes de assegurar adequadamente a Cadeia de Frio.</w:t>
            </w:r>
          </w:p>
        </w:tc>
      </w:tr>
      <w:tr>
        <w:tc>
          <w:tcPr/>
          <w:p>
            <w:pPr>
              <w:pStyle w:val="918"/>
              <w:jc w:val="left"/>
            </w:pPr>
            <w:r>
              <w:t xml:space="preserve">Entidade Responsável</w:t>
            </w:r>
          </w:p>
        </w:tc>
        <w:tc>
          <w:tcPr/>
          <w:p>
            <w:pPr>
              <w:pStyle w:val="918"/>
              <w:jc w:val="left"/>
            </w:pPr>
            <w:r>
              <w:t xml:space="preserve">SMSPC</w:t>
            </w:r>
          </w:p>
        </w:tc>
      </w:tr>
      <w:tr>
        <w:tc>
          <w:tcPr/>
          <w:p>
            <w:pPr>
              <w:pStyle w:val="918"/>
              <w:jc w:val="left"/>
            </w:pPr>
            <w:r>
              <w:t xml:space="preserve">CPF/CNPJ</w:t>
            </w:r>
          </w:p>
        </w:tc>
        <w:tc>
          <w:tcPr/>
          <w:p>
            <w:pPr>
              <w:pStyle w:val="918"/>
              <w:jc w:val="left"/>
            </w:pPr>
            <w:r>
              <w:rPr>
                <w:b/>
                <w:bCs/>
              </w:rPr>
              <w:t xml:space="preserve">.629.840/-</w:t>
            </w:r>
          </w:p>
        </w:tc>
      </w:tr>
      <w:tr>
        <w:tc>
          <w:tcPr/>
          <w:p>
            <w:pPr>
              <w:pStyle w:val="918"/>
              <w:jc w:val="left"/>
            </w:pPr>
            <w:r>
              <w:t xml:space="preserve">Munícipio/UF</w:t>
            </w:r>
          </w:p>
        </w:tc>
        <w:tc>
          <w:tcPr/>
          <w:p>
            <w:pPr>
              <w:pStyle w:val="918"/>
              <w:jc w:val="left"/>
            </w:pPr>
            <w:r>
              <w:t xml:space="preserve">POÇOS DE CALDAS-MG</w:t>
            </w:r>
          </w:p>
        </w:tc>
      </w:tr>
      <w:tr>
        <w:tc>
          <w:tcPr/>
          <w:p>
            <w:pPr>
              <w:pStyle w:val="918"/>
              <w:jc w:val="left"/>
            </w:pPr>
            <w:r>
              <w:t xml:space="preserve">Fase(s)</w:t>
            </w:r>
          </w:p>
        </w:tc>
        <w:tc>
          <w:tcPr/>
          <w:p>
            <w:pPr>
              <w:pStyle w:val="918"/>
            </w:pPr>
          </w:p>
        </w:tc>
      </w:tr>
      <w:tr>
        <w:tc>
          <w:tcPr/>
          <w:p>
            <w:pPr>
              <w:pStyle w:val="918"/>
              <w:jc w:val="left"/>
            </w:pPr>
            <w:r>
              <w:t xml:space="preserve">Tipo da Fase Data Início Data Término</w:t>
            </w:r>
          </w:p>
        </w:tc>
        <w:tc>
          <w:tcPr/>
          <w:p>
            <w:pPr>
              <w:pStyle w:val="918"/>
              <w:jc w:val="left"/>
            </w:pPr>
            <w:r>
              <w:t xml:space="preserve">Tipo da Fase Data Início Data Término Analítica 01/07/2024 12/07/2024 Execução - In loco 26/08/2024 30/08/2024 Relatório 02/09/2024 20/09/2024</w:t>
            </w:r>
          </w:p>
        </w:tc>
      </w:tr>
      <w:tr>
        <w:tc>
          <w:tcPr/>
          <w:p>
            <w:pPr>
              <w:pStyle w:val="918"/>
              <w:jc w:val="left"/>
            </w:pPr>
            <w:r>
              <w:t xml:space="preserve">Demandante</w:t>
            </w:r>
          </w:p>
        </w:tc>
        <w:tc>
          <w:tcPr/>
          <w:p>
            <w:pPr>
              <w:pStyle w:val="918"/>
              <w:jc w:val="left"/>
            </w:pPr>
            <w:r>
              <w:t xml:space="preserve">Componente Federal do SNA</w:t>
            </w:r>
          </w:p>
        </w:tc>
      </w:tr>
      <w:tr>
        <w:tc>
          <w:tcPr/>
          <w:p>
            <w:pPr>
              <w:pStyle w:val="918"/>
              <w:jc w:val="left"/>
            </w:pPr>
            <w:r>
              <w:t xml:space="preserve">Forma</w:t>
            </w:r>
          </w:p>
        </w:tc>
        <w:tc>
          <w:tcPr/>
          <w:p>
            <w:pPr>
              <w:pStyle w:val="918"/>
              <w:jc w:val="left"/>
            </w:pPr>
            <w:r>
              <w:t xml:space="preserve">Direta</w:t>
            </w:r>
          </w:p>
        </w:tc>
      </w:tr>
      <w:tr>
        <w:tc>
          <w:tcPr/>
          <w:p>
            <w:pPr>
              <w:pStyle w:val="918"/>
              <w:jc w:val="left"/>
            </w:pPr>
            <w:r>
              <w:t xml:space="preserve">Objeto</w:t>
            </w:r>
          </w:p>
        </w:tc>
        <w:tc>
          <w:tcPr/>
          <w:p>
            <w:pPr>
              <w:pStyle w:val="918"/>
              <w:jc w:val="left"/>
            </w:pPr>
            <w:r>
              <w:t xml:space="preserve">.Fora de bloco|Rede de Frio</w:t>
            </w:r>
          </w:p>
        </w:tc>
      </w:tr>
      <w:tr>
        <w:tc>
          <w:tcPr/>
          <w:p>
            <w:pPr>
              <w:pStyle w:val="918"/>
              <w:jc w:val="left"/>
            </w:pPr>
            <w:r>
              <w:t xml:space="preserve">Abrangência</w:t>
            </w:r>
          </w:p>
        </w:tc>
        <w:tc>
          <w:tcPr/>
          <w:p>
            <w:pPr>
              <w:pStyle w:val="918"/>
              <w:jc w:val="left"/>
            </w:pPr>
            <w:r>
              <w:t xml:space="preserve">De Janeiro/2022 a Junho/2024.</w:t>
            </w:r>
          </w:p>
        </w:tc>
      </w:tr>
      <w:tr>
        <w:tc>
          <w:tcPr/>
          <w:p>
            <w:pPr>
              <w:pStyle w:val="918"/>
              <w:jc w:val="left"/>
            </w:pPr>
            <w:r>
              <w:t xml:space="preserve">Nº Protocolo</w:t>
            </w:r>
          </w:p>
        </w:tc>
        <w:tc>
          <w:tcPr/>
          <w:p>
            <w:pPr>
              <w:pStyle w:val="918"/>
              <w:jc w:val="left"/>
            </w:pPr>
            <w:r>
              <w:t xml:space="preserve">25000.102655/2024-28</w:t>
            </w:r>
          </w:p>
        </w:tc>
      </w:tr>
      <w:tr>
        <w:tc>
          <w:tcPr/>
          <w:p>
            <w:pPr>
              <w:pStyle w:val="918"/>
              <w:jc w:val="left"/>
            </w:pPr>
            <w:r>
              <w:t xml:space="preserve">Tópico</w:t>
            </w:r>
          </w:p>
        </w:tc>
        <w:tc>
          <w:tcPr/>
          <w:p>
            <w:pPr>
              <w:pStyle w:val="918"/>
              <w:jc w:val="left"/>
            </w:pPr>
            <w:r>
              <w:t xml:space="preserve">PROGRAMA NACIONAL DE IMUNIZAÇÃO</w:t>
            </w:r>
          </w:p>
        </w:tc>
      </w:tr>
      <w:tr>
        <w:tc>
          <w:tcPr/>
          <w:p>
            <w:pPr>
              <w:pStyle w:val="918"/>
              <w:jc w:val="left"/>
            </w:pPr>
            <w:r>
              <w:t xml:space="preserve">Grupo</w:t>
            </w:r>
          </w:p>
        </w:tc>
        <w:tc>
          <w:tcPr/>
          <w:p>
            <w:pPr>
              <w:pStyle w:val="918"/>
              <w:jc w:val="left"/>
            </w:pPr>
            <w:r>
              <w:t xml:space="preserve">Vigilância em Saúde Constatação Nº: 691723</w:t>
            </w:r>
          </w:p>
        </w:tc>
      </w:tr>
      <w:tr>
        <w:tc>
          <w:tcPr/>
          <w:p>
            <w:pPr>
              <w:pStyle w:val="918"/>
              <w:jc w:val="left"/>
            </w:pPr>
            <w:r>
              <w:t xml:space="preserve">Subgrupo</w:t>
            </w:r>
          </w:p>
        </w:tc>
        <w:tc>
          <w:tcPr/>
          <w:p>
            <w:pPr>
              <w:pStyle w:val="918"/>
              <w:jc w:val="left"/>
            </w:pPr>
            <w:r>
              <w:t xml:space="preserve">Vigilância Epidemiológica</w:t>
            </w:r>
          </w:p>
        </w:tc>
      </w:tr>
      <w:tr>
        <w:tc>
          <w:tcPr/>
          <w:p>
            <w:pPr>
              <w:pStyle w:val="918"/>
              <w:jc w:val="left"/>
            </w:pPr>
            <w:r>
              <w:t xml:space="preserve">Item</w:t>
            </w:r>
          </w:p>
        </w:tc>
        <w:tc>
          <w:tcPr/>
          <w:p>
            <w:pPr>
              <w:pStyle w:val="918"/>
              <w:jc w:val="left"/>
            </w:pPr>
            <w:r>
              <w:t xml:space="preserve">Documentação/Registros</w:t>
            </w:r>
          </w:p>
        </w:tc>
      </w:tr>
    </w:tbl>
    <w:bookmarkEnd w:id="96"/>
    <w:bookmarkStart w:id="97" w:name="checagem-do-processo-de-rotulação"/>
    <w:p>
      <w:pPr>
        <w:pStyle w:val="906"/>
      </w:pPr>
      <w:r>
        <w:t xml:space="preserve">7.0.10 Checagem do Processo de Rotulação</w:t>
      </w:r>
    </w:p>
    <w:p>
      <w:pPr>
        <w:pStyle w:val="917"/>
      </w:pPr>
      <w:r>
        <w:t xml:space="preserve">Para avaliar a qualidade do processo de rotulação, a principal preocupação foi identificar possíveis casos de vazamento, situações em que o algoritmo falhou em delimitar corretamente o conteúdo associado a um determinado rótulo, incorporando indevidamente informações que pertencem a outras seções ou rótulos.</w:t>
      </w:r>
    </w:p>
    <w:p>
      <w:pPr>
        <w:pStyle w:val="916"/>
      </w:pPr>
      <w:r>
        <w:t xml:space="preserve">Com esse objetivo, analisou-se a distribuição da variável que representa a quantidade de linhas agregadas por ocorrência de rótulo. A ideia central foi verificar se determinados rótulos concentraram um número atípico de linhas, o que poderia indicar um erro de associação.</w:t>
      </w:r>
    </w:p>
    <w:p>
      <w:pPr>
        <w:pStyle w:val="916"/>
      </w:pPr>
      <w:r>
        <w:t xml:space="preserve">Abaixo, apresenta-se uma visão geral dos rótulos que, em pelo menos um relatório, agregaram mais de uma linha. Adicionalmente, foram calculadas métricas descritivas sobre o número de ocorrências e a quantidade de linhas utilizadas, ordenadas conforme a frequência e o volume de conteúdo por rótulo.</w:t>
      </w:r>
    </w:p>
    <w:p>
      <w:pPr>
        <w:pStyle w:val="918"/>
        <w:numPr>
          <w:ilvl w:val="0"/>
          <w:numId w:val="1004"/>
        </w:numPr>
      </w:pPr>
      <w:r>
        <w:t xml:space="preserve">Min: quantidade mínima de linhas que esse rótulo usou</w:t>
      </w:r>
    </w:p>
    <w:p>
      <w:pPr>
        <w:pStyle w:val="918"/>
        <w:numPr>
          <w:ilvl w:val="0"/>
          <w:numId w:val="1004"/>
        </w:numPr>
      </w:pPr>
      <w:r>
        <w:t xml:space="preserve">P.25: quantidade de linhas usadas em 25% das ocorrências</w:t>
      </w:r>
    </w:p>
    <w:p>
      <w:pPr>
        <w:pStyle w:val="918"/>
        <w:numPr>
          <w:ilvl w:val="0"/>
          <w:numId w:val="1004"/>
        </w:numPr>
      </w:pPr>
      <w:r>
        <w:t xml:space="preserve">Mediana: mediana da quantidade de linhas usadas</w:t>
      </w:r>
    </w:p>
    <w:p>
      <w:pPr>
        <w:pStyle w:val="918"/>
        <w:numPr>
          <w:ilvl w:val="0"/>
          <w:numId w:val="1004"/>
        </w:numPr>
      </w:pPr>
      <w:r>
        <w:t xml:space="preserve">P.75: quantidade de linhas usadas em 75% das ocorrências</w:t>
      </w:r>
    </w:p>
    <w:p>
      <w:pPr>
        <w:pStyle w:val="918"/>
        <w:numPr>
          <w:ilvl w:val="0"/>
          <w:numId w:val="1004"/>
        </w:numPr>
      </w:pPr>
      <w:r>
        <w:t xml:space="preserve">P.99: quantidade de linhas usadas em 99% das ocorrências</w:t>
      </w:r>
    </w:p>
    <w:p>
      <w:pPr>
        <w:pStyle w:val="918"/>
        <w:numPr>
          <w:ilvl w:val="0"/>
          <w:numId w:val="1004"/>
        </w:numPr>
      </w:pPr>
      <w:r>
        <w:t xml:space="preserve">Max: quantidade máxima de linhas detectada</w:t>
      </w:r>
    </w:p>
    <w:p>
      <w:pPr>
        <w:pStyle w:val="SourceCode"/>
      </w:pPr>
      <w:r>
        <w:rPr>
          <w:rStyle w:val="949"/>
        </w:rPr>
        <w:t xml:space="preserve">metricas_avaliacao &lt;- conteudo_estruturado |&gt;</w:t>
      </w:r>
      <w:r>
        <w:br/>
      </w:r>
      <w:r>
        <w:rPr>
          <w:rStyle w:val="949"/>
        </w:rPr>
        <w:t xml:space="preserve">    summarise(</w:t>
      </w:r>
      <w:r>
        <w:br/>
      </w:r>
      <w:r>
        <w:rPr>
          <w:rStyle w:val="949"/>
        </w:rPr>
        <w:t xml:space="preserve">        `Ordem` = median(`Linha Inicial`),</w:t>
      </w:r>
      <w:r>
        <w:br/>
      </w:r>
      <w:r>
        <w:rPr>
          <w:rStyle w:val="949"/>
        </w:rPr>
        <w:t xml:space="preserve">        `Min` = min(`Qtd Linhas`),</w:t>
      </w:r>
      <w:r>
        <w:br/>
      </w:r>
      <w:r>
        <w:rPr>
          <w:rStyle w:val="949"/>
        </w:rPr>
        <w:t xml:space="preserve">        `Mediana` = median(`Qtd Linhas`),</w:t>
      </w:r>
      <w:r>
        <w:br/>
      </w:r>
      <w:r>
        <w:rPr>
          <w:rStyle w:val="949"/>
        </w:rPr>
        <w:t xml:space="preserve">        `P.75` = quantile(`Qtd Linhas`, probs = .75, names = TRUE),</w:t>
      </w:r>
      <w:r>
        <w:br/>
      </w:r>
      <w:r>
        <w:rPr>
          <w:rStyle w:val="949"/>
        </w:rPr>
        <w:t xml:space="preserve">        `P.99` = quantile(`Qtd Linhas`, probs = .99, names = TRUE),</w:t>
      </w:r>
      <w:r>
        <w:br/>
      </w:r>
      <w:r>
        <w:rPr>
          <w:rStyle w:val="949"/>
        </w:rPr>
        <w:t xml:space="preserve">        `Max` = max(`Qtd Linhas`),</w:t>
      </w:r>
      <w:r>
        <w:br/>
      </w:r>
      <w:r>
        <w:rPr>
          <w:rStyle w:val="949"/>
        </w:rPr>
        <w:t xml:space="preserve">        .by = c(`Rótulo`) </w:t>
      </w:r>
      <w:r>
        <w:br/>
      </w:r>
      <w:r>
        <w:rPr>
          <w:rStyle w:val="949"/>
        </w:rPr>
        <w:t xml:space="preserve">    ) |&gt;</w:t>
      </w:r>
      <w:r>
        <w:br/>
      </w:r>
      <w:r>
        <w:rPr>
          <w:rStyle w:val="949"/>
        </w:rPr>
        <w:t xml:space="preserve">    mutate()</w:t>
      </w:r>
      <w:r>
        <w:br/>
      </w:r>
      <w:r>
        <w:br/>
      </w:r>
      <w:r>
        <w:rPr>
          <w:rStyle w:val="949"/>
        </w:rPr>
        <w:t xml:space="preserve">num_rotulos &lt;- nrow(metricas_avaliacao )</w:t>
      </w:r>
      <w:r>
        <w:br/>
      </w:r>
      <w:r>
        <w:br/>
      </w:r>
      <w:r>
        <w:rPr>
          <w:rStyle w:val="949"/>
        </w:rPr>
        <w:t xml:space="preserve">rotulos_multilinhas &lt;- metricas_avaliacao |&gt;</w:t>
      </w:r>
      <w:r>
        <w:br/>
      </w:r>
      <w:r>
        <w:rPr>
          <w:rStyle w:val="949"/>
        </w:rPr>
        <w:t xml:space="preserve">  filter(`Max` &gt; 1) |&gt;</w:t>
      </w:r>
      <w:r>
        <w:br/>
      </w:r>
      <w:r>
        <w:rPr>
          <w:rStyle w:val="949"/>
        </w:rPr>
        <w:t xml:space="preserve">  arrange(Ordem) |&gt;</w:t>
      </w:r>
      <w:r>
        <w:br/>
      </w:r>
      <w:r>
        <w:rPr>
          <w:rStyle w:val="949"/>
        </w:rPr>
        <w:t xml:space="preserve">  select(-Ordem) </w:t>
      </w:r>
      <w:r>
        <w:br/>
      </w:r>
      <w:r>
        <w:br/>
      </w:r>
      <w:r>
        <w:rPr>
          <w:rStyle w:val="949"/>
        </w:rPr>
        <w:t xml:space="preserve">rotulos_multilinhas |&gt;</w:t>
      </w:r>
      <w:r>
        <w:br/>
      </w:r>
      <w:r>
        <w:rPr>
          <w:rStyle w:val="949"/>
        </w:rPr>
        <w:t xml:space="preserve">arrange(desc(Max)) |&gt;</w:t>
      </w:r>
      <w:r>
        <w:br/>
      </w:r>
      <w:r>
        <w:rPr>
          <w:rStyle w:val="949"/>
        </w:rPr>
        <w:t xml:space="preserve">knitr::kable()</w:t>
      </w:r>
    </w:p>
    <w:p>
      <w:pPr>
        <w:pStyle w:val="944"/>
      </w:pPr>
      <w:r>
        <w:t xml:space="preserve">Métricas para Validação de Conteúdos</w:t>
      </w:r>
    </w:p>
    <w:tbl>
      <w:tblPr>
        <w:tblStyle w:val="Table"/>
        <w:tblW w:type="pct" w:w="4873"/>
        <w:tblLayout w:type="fixed"/>
        <w:tblLook w:firstRow="1" w:lastRow="0" w:firstColumn="0" w:lastColumn="0" w:noHBand="0" w:noVBand="0" w:val="0020"/>
        <w:tblCaption w:val="Métricas para Validação de Conteúdos"/>
      </w:tblPr>
      <w:tblGrid>
        <w:gridCol w:w="4010"/>
        <w:gridCol w:w="601"/>
        <w:gridCol w:w="1002"/>
        <w:gridCol w:w="701"/>
        <w:gridCol w:w="701"/>
        <w:gridCol w:w="701"/>
      </w:tblGrid>
      <w:tr>
        <w:trPr>
          <w:tblHeader w:val="on"/>
        </w:trPr>
        <w:tc>
          <w:tcPr/>
          <w:p>
            <w:pPr>
              <w:pStyle w:val="918"/>
              <w:jc w:val="left"/>
            </w:pPr>
            <w:r>
              <w:t xml:space="preserve">Rótulo</w:t>
            </w:r>
          </w:p>
        </w:tc>
        <w:tc>
          <w:tcPr/>
          <w:p>
            <w:pPr>
              <w:pStyle w:val="918"/>
              <w:jc w:val="right"/>
            </w:pPr>
            <w:r>
              <w:t xml:space="preserve">Min</w:t>
            </w:r>
          </w:p>
        </w:tc>
        <w:tc>
          <w:tcPr/>
          <w:p>
            <w:pPr>
              <w:pStyle w:val="918"/>
              <w:jc w:val="right"/>
            </w:pPr>
            <w:r>
              <w:t xml:space="preserve">Mediana</w:t>
            </w:r>
          </w:p>
        </w:tc>
        <w:tc>
          <w:tcPr/>
          <w:p>
            <w:pPr>
              <w:pStyle w:val="918"/>
              <w:jc w:val="right"/>
            </w:pPr>
            <w:r>
              <w:t xml:space="preserve">P.75</w:t>
            </w:r>
          </w:p>
        </w:tc>
        <w:tc>
          <w:tcPr/>
          <w:p>
            <w:pPr>
              <w:pStyle w:val="918"/>
              <w:jc w:val="right"/>
            </w:pPr>
            <w:r>
              <w:t xml:space="preserve">P.99</w:t>
            </w:r>
          </w:p>
        </w:tc>
        <w:tc>
          <w:tcPr/>
          <w:p>
            <w:pPr>
              <w:pStyle w:val="918"/>
              <w:jc w:val="right"/>
            </w:pPr>
            <w:r>
              <w:t xml:space="preserve">Max</w:t>
            </w:r>
          </w:p>
        </w:tc>
      </w:tr>
      <w:tr>
        <w:tc>
          <w:tcPr/>
          <w:p>
            <w:pPr>
              <w:pStyle w:val="918"/>
              <w:jc w:val="left"/>
            </w:pPr>
            <w:r>
              <w:t xml:space="preserve">Justificativa</w:t>
            </w:r>
          </w:p>
        </w:tc>
        <w:tc>
          <w:tcPr/>
          <w:p>
            <w:pPr>
              <w:pStyle w:val="918"/>
              <w:jc w:val="right"/>
            </w:pPr>
            <w:r>
              <w:t xml:space="preserve">1</w:t>
            </w:r>
          </w:p>
        </w:tc>
        <w:tc>
          <w:tcPr/>
          <w:p>
            <w:pPr>
              <w:pStyle w:val="918"/>
              <w:jc w:val="right"/>
            </w:pPr>
            <w:r>
              <w:t xml:space="preserve">5</w:t>
            </w:r>
          </w:p>
        </w:tc>
        <w:tc>
          <w:tcPr/>
          <w:p>
            <w:pPr>
              <w:pStyle w:val="918"/>
              <w:jc w:val="right"/>
            </w:pPr>
            <w:r>
              <w:t xml:space="preserve">15</w:t>
            </w:r>
          </w:p>
        </w:tc>
        <w:tc>
          <w:tcPr/>
          <w:p>
            <w:pPr>
              <w:pStyle w:val="918"/>
              <w:jc w:val="right"/>
            </w:pPr>
            <w:r>
              <w:t xml:space="preserve">101</w:t>
            </w:r>
          </w:p>
        </w:tc>
        <w:tc>
          <w:tcPr/>
          <w:p>
            <w:pPr>
              <w:pStyle w:val="918"/>
              <w:jc w:val="right"/>
            </w:pPr>
            <w:r>
              <w:t xml:space="preserve">289</w:t>
            </w:r>
          </w:p>
        </w:tc>
      </w:tr>
      <w:tr>
        <w:tc>
          <w:tcPr/>
          <w:p>
            <w:pPr>
              <w:pStyle w:val="918"/>
              <w:jc w:val="left"/>
            </w:pPr>
            <w:r>
              <w:t xml:space="preserve">Análise da Justificativa</w:t>
            </w:r>
          </w:p>
        </w:tc>
        <w:tc>
          <w:tcPr/>
          <w:p>
            <w:pPr>
              <w:pStyle w:val="918"/>
              <w:jc w:val="right"/>
            </w:pPr>
            <w:r>
              <w:t xml:space="preserve">1</w:t>
            </w:r>
          </w:p>
        </w:tc>
        <w:tc>
          <w:tcPr/>
          <w:p>
            <w:pPr>
              <w:pStyle w:val="918"/>
              <w:jc w:val="right"/>
            </w:pPr>
            <w:r>
              <w:t xml:space="preserve">5</w:t>
            </w:r>
          </w:p>
        </w:tc>
        <w:tc>
          <w:tcPr/>
          <w:p>
            <w:pPr>
              <w:pStyle w:val="918"/>
              <w:jc w:val="right"/>
            </w:pPr>
            <w:r>
              <w:t xml:space="preserve">10</w:t>
            </w:r>
          </w:p>
        </w:tc>
        <w:tc>
          <w:tcPr/>
          <w:p>
            <w:pPr>
              <w:pStyle w:val="918"/>
              <w:jc w:val="right"/>
            </w:pPr>
            <w:r>
              <w:t xml:space="preserve">64</w:t>
            </w:r>
          </w:p>
        </w:tc>
        <w:tc>
          <w:tcPr/>
          <w:p>
            <w:pPr>
              <w:pStyle w:val="918"/>
              <w:jc w:val="right"/>
            </w:pPr>
            <w:r>
              <w:t xml:space="preserve">231</w:t>
            </w:r>
          </w:p>
        </w:tc>
      </w:tr>
      <w:tr>
        <w:tc>
          <w:tcPr/>
          <w:p>
            <w:pPr>
              <w:pStyle w:val="918"/>
              <w:jc w:val="left"/>
            </w:pPr>
            <w:r>
              <w:t xml:space="preserve">Evidência</w:t>
            </w:r>
          </w:p>
        </w:tc>
        <w:tc>
          <w:tcPr/>
          <w:p>
            <w:pPr>
              <w:pStyle w:val="918"/>
              <w:jc w:val="right"/>
            </w:pPr>
            <w:r>
              <w:t xml:space="preserve">1</w:t>
            </w:r>
          </w:p>
        </w:tc>
        <w:tc>
          <w:tcPr/>
          <w:p>
            <w:pPr>
              <w:pStyle w:val="918"/>
              <w:jc w:val="right"/>
            </w:pPr>
            <w:r>
              <w:t xml:space="preserve">19</w:t>
            </w:r>
          </w:p>
        </w:tc>
        <w:tc>
          <w:tcPr/>
          <w:p>
            <w:pPr>
              <w:pStyle w:val="918"/>
              <w:jc w:val="right"/>
            </w:pPr>
            <w:r>
              <w:t xml:space="preserve">30</w:t>
            </w:r>
          </w:p>
        </w:tc>
        <w:tc>
          <w:tcPr/>
          <w:p>
            <w:pPr>
              <w:pStyle w:val="918"/>
              <w:jc w:val="right"/>
            </w:pPr>
            <w:r>
              <w:t xml:space="preserve">61</w:t>
            </w:r>
          </w:p>
        </w:tc>
        <w:tc>
          <w:tcPr/>
          <w:p>
            <w:pPr>
              <w:pStyle w:val="918"/>
              <w:jc w:val="right"/>
            </w:pPr>
            <w:r>
              <w:t xml:space="preserve">92</w:t>
            </w:r>
          </w:p>
        </w:tc>
      </w:tr>
      <w:tr>
        <w:tc>
          <w:tcPr/>
          <w:p>
            <w:pPr>
              <w:pStyle w:val="918"/>
              <w:jc w:val="left"/>
            </w:pPr>
            <w:r>
              <w:t xml:space="preserve">Fonte da Evidência</w:t>
            </w:r>
          </w:p>
        </w:tc>
        <w:tc>
          <w:tcPr/>
          <w:p>
            <w:pPr>
              <w:pStyle w:val="918"/>
              <w:jc w:val="right"/>
            </w:pPr>
            <w:r>
              <w:t xml:space="preserve">1</w:t>
            </w:r>
          </w:p>
        </w:tc>
        <w:tc>
          <w:tcPr/>
          <w:p>
            <w:pPr>
              <w:pStyle w:val="918"/>
              <w:jc w:val="right"/>
            </w:pPr>
            <w:r>
              <w:t xml:space="preserve">3</w:t>
            </w:r>
          </w:p>
        </w:tc>
        <w:tc>
          <w:tcPr/>
          <w:p>
            <w:pPr>
              <w:pStyle w:val="918"/>
              <w:jc w:val="right"/>
            </w:pPr>
            <w:r>
              <w:t xml:space="preserve">4</w:t>
            </w:r>
          </w:p>
        </w:tc>
        <w:tc>
          <w:tcPr/>
          <w:p>
            <w:pPr>
              <w:pStyle w:val="918"/>
              <w:jc w:val="right"/>
            </w:pPr>
            <w:r>
              <w:t xml:space="preserve">20</w:t>
            </w:r>
          </w:p>
        </w:tc>
        <w:tc>
          <w:tcPr/>
          <w:p>
            <w:pPr>
              <w:pStyle w:val="918"/>
              <w:jc w:val="right"/>
            </w:pPr>
            <w:r>
              <w:t xml:space="preserve">61</w:t>
            </w:r>
          </w:p>
        </w:tc>
      </w:tr>
      <w:tr>
        <w:tc>
          <w:tcPr/>
          <w:p>
            <w:pPr>
              <w:pStyle w:val="918"/>
              <w:jc w:val="left"/>
            </w:pPr>
            <w:r>
              <w:t xml:space="preserve">Recomendação</w:t>
            </w:r>
          </w:p>
        </w:tc>
        <w:tc>
          <w:tcPr/>
          <w:p>
            <w:pPr>
              <w:pStyle w:val="918"/>
              <w:jc w:val="right"/>
            </w:pPr>
            <w:r>
              <w:t xml:space="preserve">1</w:t>
            </w:r>
          </w:p>
        </w:tc>
        <w:tc>
          <w:tcPr/>
          <w:p>
            <w:pPr>
              <w:pStyle w:val="918"/>
              <w:jc w:val="right"/>
            </w:pPr>
            <w:r>
              <w:t xml:space="preserve">5</w:t>
            </w:r>
          </w:p>
        </w:tc>
        <w:tc>
          <w:tcPr/>
          <w:p>
            <w:pPr>
              <w:pStyle w:val="918"/>
              <w:jc w:val="right"/>
            </w:pPr>
            <w:r>
              <w:t xml:space="preserve">8</w:t>
            </w:r>
          </w:p>
        </w:tc>
        <w:tc>
          <w:tcPr/>
          <w:p>
            <w:pPr>
              <w:pStyle w:val="918"/>
              <w:jc w:val="right"/>
            </w:pPr>
            <w:r>
              <w:t xml:space="preserve">29</w:t>
            </w:r>
          </w:p>
        </w:tc>
        <w:tc>
          <w:tcPr/>
          <w:p>
            <w:pPr>
              <w:pStyle w:val="918"/>
              <w:jc w:val="right"/>
            </w:pPr>
            <w:r>
              <w:t xml:space="preserve">55</w:t>
            </w:r>
          </w:p>
        </w:tc>
      </w:tr>
      <w:tr>
        <w:tc>
          <w:tcPr/>
          <w:p>
            <w:pPr>
              <w:pStyle w:val="918"/>
              <w:jc w:val="left"/>
            </w:pPr>
            <w:r>
              <w:t xml:space="preserve">Nome CPF/CNPJ</w:t>
            </w:r>
          </w:p>
        </w:tc>
        <w:tc>
          <w:tcPr/>
          <w:p>
            <w:pPr>
              <w:pStyle w:val="918"/>
              <w:jc w:val="right"/>
            </w:pPr>
            <w:r>
              <w:t xml:space="preserve">2</w:t>
            </w:r>
          </w:p>
        </w:tc>
        <w:tc>
          <w:tcPr/>
          <w:p>
            <w:pPr>
              <w:pStyle w:val="918"/>
              <w:jc w:val="right"/>
            </w:pPr>
            <w:r>
              <w:t xml:space="preserve">2</w:t>
            </w:r>
          </w:p>
        </w:tc>
        <w:tc>
          <w:tcPr/>
          <w:p>
            <w:pPr>
              <w:pStyle w:val="918"/>
              <w:jc w:val="right"/>
            </w:pPr>
            <w:r>
              <w:t xml:space="preserve">2</w:t>
            </w:r>
          </w:p>
        </w:tc>
        <w:tc>
          <w:tcPr/>
          <w:p>
            <w:pPr>
              <w:pStyle w:val="918"/>
              <w:jc w:val="right"/>
            </w:pPr>
            <w:r>
              <w:t xml:space="preserve">14</w:t>
            </w:r>
          </w:p>
        </w:tc>
        <w:tc>
          <w:tcPr/>
          <w:p>
            <w:pPr>
              <w:pStyle w:val="918"/>
              <w:jc w:val="right"/>
            </w:pPr>
            <w:r>
              <w:t xml:space="preserve">37</w:t>
            </w:r>
          </w:p>
        </w:tc>
      </w:tr>
      <w:tr>
        <w:tc>
          <w:tcPr/>
          <w:p>
            <w:pPr>
              <w:pStyle w:val="918"/>
              <w:jc w:val="left"/>
            </w:pPr>
            <w:r>
              <w:t xml:space="preserve">Tipo da Fase Data Início Data Término</w:t>
            </w:r>
          </w:p>
        </w:tc>
        <w:tc>
          <w:tcPr/>
          <w:p>
            <w:pPr>
              <w:pStyle w:val="918"/>
              <w:jc w:val="right"/>
            </w:pPr>
            <w:r>
              <w:t xml:space="preserve">2</w:t>
            </w:r>
          </w:p>
        </w:tc>
        <w:tc>
          <w:tcPr/>
          <w:p>
            <w:pPr>
              <w:pStyle w:val="918"/>
              <w:jc w:val="right"/>
            </w:pPr>
            <w:r>
              <w:t xml:space="preserve">5</w:t>
            </w:r>
          </w:p>
        </w:tc>
        <w:tc>
          <w:tcPr/>
          <w:p>
            <w:pPr>
              <w:pStyle w:val="918"/>
              <w:jc w:val="right"/>
            </w:pPr>
            <w:r>
              <w:t xml:space="preserve">7</w:t>
            </w:r>
          </w:p>
        </w:tc>
        <w:tc>
          <w:tcPr/>
          <w:p>
            <w:pPr>
              <w:pStyle w:val="918"/>
              <w:jc w:val="right"/>
            </w:pPr>
            <w:r>
              <w:t xml:space="preserve">10</w:t>
            </w:r>
          </w:p>
        </w:tc>
        <w:tc>
          <w:tcPr/>
          <w:p>
            <w:pPr>
              <w:pStyle w:val="918"/>
              <w:jc w:val="right"/>
            </w:pPr>
            <w:r>
              <w:t xml:space="preserve">27</w:t>
            </w:r>
          </w:p>
        </w:tc>
      </w:tr>
      <w:tr>
        <w:tc>
          <w:tcPr/>
          <w:p>
            <w:pPr>
              <w:pStyle w:val="918"/>
              <w:jc w:val="left"/>
            </w:pPr>
            <w:r>
              <w:t xml:space="preserve">Constatação</w:t>
            </w:r>
          </w:p>
        </w:tc>
        <w:tc>
          <w:tcPr/>
          <w:p>
            <w:pPr>
              <w:pStyle w:val="918"/>
              <w:jc w:val="right"/>
            </w:pPr>
            <w:r>
              <w:t xml:space="preserve">1</w:t>
            </w:r>
          </w:p>
        </w:tc>
        <w:tc>
          <w:tcPr/>
          <w:p>
            <w:pPr>
              <w:pStyle w:val="918"/>
              <w:jc w:val="right"/>
            </w:pPr>
            <w:r>
              <w:t xml:space="preserve">2</w:t>
            </w:r>
          </w:p>
        </w:tc>
        <w:tc>
          <w:tcPr/>
          <w:p>
            <w:pPr>
              <w:pStyle w:val="918"/>
              <w:jc w:val="right"/>
            </w:pPr>
            <w:r>
              <w:t xml:space="preserve">2</w:t>
            </w:r>
          </w:p>
        </w:tc>
        <w:tc>
          <w:tcPr/>
          <w:p>
            <w:pPr>
              <w:pStyle w:val="918"/>
              <w:jc w:val="right"/>
            </w:pPr>
            <w:r>
              <w:t xml:space="preserve">13</w:t>
            </w:r>
          </w:p>
        </w:tc>
        <w:tc>
          <w:tcPr/>
          <w:p>
            <w:pPr>
              <w:pStyle w:val="918"/>
              <w:jc w:val="right"/>
            </w:pPr>
            <w:r>
              <w:t xml:space="preserve">22</w:t>
            </w:r>
          </w:p>
        </w:tc>
      </w:tr>
      <w:tr>
        <w:tc>
          <w:tcPr/>
          <w:p>
            <w:pPr>
              <w:pStyle w:val="918"/>
              <w:jc w:val="left"/>
            </w:pPr>
            <w:r>
              <w:t xml:space="preserve">Destinatários da Recomendação</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17</w:t>
            </w:r>
          </w:p>
        </w:tc>
      </w:tr>
      <w:tr>
        <w:tc>
          <w:tcPr/>
          <w:p>
            <w:pPr>
              <w:pStyle w:val="918"/>
              <w:jc w:val="left"/>
            </w:pPr>
            <w:r>
              <w:t xml:space="preserve">Responsável(eis)</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17</w:t>
            </w:r>
          </w:p>
        </w:tc>
      </w:tr>
      <w:tr>
        <w:tc>
          <w:tcPr/>
          <w:p>
            <w:pPr>
              <w:pStyle w:val="918"/>
              <w:jc w:val="left"/>
            </w:pPr>
            <w:r>
              <w:t xml:space="preserve">Objeto</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4</w:t>
            </w:r>
          </w:p>
        </w:tc>
      </w:tr>
      <w:tr>
        <w:tc>
          <w:tcPr/>
          <w:p>
            <w:pPr>
              <w:pStyle w:val="918"/>
              <w:jc w:val="left"/>
            </w:pPr>
            <w:r>
              <w:t xml:space="preserve">Finalidade</w:t>
            </w:r>
          </w:p>
        </w:tc>
        <w:tc>
          <w:tcPr/>
          <w:p>
            <w:pPr>
              <w:pStyle w:val="918"/>
              <w:jc w:val="right"/>
            </w:pPr>
            <w:r>
              <w:t xml:space="preserve">1</w:t>
            </w:r>
          </w:p>
        </w:tc>
        <w:tc>
          <w:tcPr/>
          <w:p>
            <w:pPr>
              <w:pStyle w:val="918"/>
              <w:jc w:val="right"/>
            </w:pPr>
            <w:r>
              <w:t xml:space="preserve">2</w:t>
            </w:r>
          </w:p>
        </w:tc>
        <w:tc>
          <w:tcPr/>
          <w:p>
            <w:pPr>
              <w:pStyle w:val="918"/>
              <w:jc w:val="right"/>
            </w:pPr>
            <w:r>
              <w:t xml:space="preserve">2</w:t>
            </w:r>
          </w:p>
        </w:tc>
        <w:tc>
          <w:tcPr/>
          <w:p>
            <w:pPr>
              <w:pStyle w:val="918"/>
              <w:jc w:val="right"/>
            </w:pPr>
            <w:r>
              <w:t xml:space="preserve">2</w:t>
            </w:r>
          </w:p>
        </w:tc>
        <w:tc>
          <w:tcPr/>
          <w:p>
            <w:pPr>
              <w:pStyle w:val="918"/>
              <w:jc w:val="right"/>
            </w:pPr>
            <w:r>
              <w:t xml:space="preserve">2</w:t>
            </w:r>
          </w:p>
        </w:tc>
      </w:tr>
      <w:tr>
        <w:tc>
          <w:tcPr/>
          <w:p>
            <w:pPr>
              <w:pStyle w:val="918"/>
              <w:jc w:val="left"/>
            </w:pPr>
            <w:r>
              <w:t xml:space="preserve">Acatamento da Justificativa</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1</w:t>
            </w:r>
          </w:p>
        </w:tc>
        <w:tc>
          <w:tcPr/>
          <w:p>
            <w:pPr>
              <w:pStyle w:val="918"/>
              <w:jc w:val="right"/>
            </w:pPr>
            <w:r>
              <w:t xml:space="preserve">2</w:t>
            </w:r>
          </w:p>
        </w:tc>
      </w:tr>
    </w:tbl>
    <w:p>
      <w:pPr>
        <w:pStyle w:val="916"/>
      </w:pPr>
      <w:r>
        <w:t xml:space="preserve">Ao todo, foram utilizados 26 rótulos na estruturação dos dados. Desses, 13 consolidaram conteúdos distribuídos em duas ou mais linhas em pelo menos um relatório.</w:t>
      </w:r>
    </w:p>
    <w:p>
      <w:pPr>
        <w:pStyle w:val="916"/>
      </w:pPr>
      <w:r>
        <w:t xml:space="preserve">Observou-se, por exemplo, que nos rótulos Justificativa e Análise da Justificativa, 75% das ocorrências apresentaram, respectivamente, até 15 e 10 linhas. Já no percentil 99, esses valores aumentaram para 101 e 64 linhas, o que ainda se mostrou compatível com a natureza descritiva esperada dessas seções.</w:t>
      </w:r>
    </w:p>
    <w:p>
      <w:pPr>
        <w:pStyle w:val="916"/>
      </w:pPr>
      <w:r>
        <w:t xml:space="preserve">A fim de verificar a robustez da extração, procedeu-se à análise dos casos extremos, em que se registrou o maior número de linhas para esses rótulos. Abaixo, detalha-se o caso referente ao campo Justificativa.</w:t>
      </w:r>
    </w:p>
    <w:p>
      <w:pPr>
        <w:pStyle w:val="SourceCode"/>
      </w:pPr>
      <w:r>
        <w:rPr>
          <w:rStyle w:val="949"/>
        </w:rPr>
        <w:t xml:space="preserve">obtem_caso &lt;- function(rotulo, qtd_linhas, fim_secao){</w:t>
      </w:r>
      <w:r>
        <w:br/>
      </w:r>
      <w:r>
        <w:rPr>
          <w:rStyle w:val="949"/>
        </w:rPr>
        <w:t xml:space="preserve">    conteudo_estruturado |&gt;</w:t>
      </w:r>
      <w:r>
        <w:br/>
      </w:r>
      <w:r>
        <w:rPr>
          <w:rStyle w:val="949"/>
        </w:rPr>
        <w:t xml:space="preserve">    filter(</w:t>
      </w:r>
      <w:r>
        <w:br/>
      </w:r>
      <w:r>
        <w:rPr>
          <w:rStyle w:val="949"/>
        </w:rPr>
        <w:t xml:space="preserve">        `Rótulo` == rotulo &amp;</w:t>
      </w:r>
      <w:r>
        <w:br/>
      </w:r>
      <w:r>
        <w:rPr>
          <w:rStyle w:val="949"/>
        </w:rPr>
        <w:t xml:space="preserve">        `Qtd Linhas` == qtd_linhas &amp; </w:t>
      </w:r>
      <w:r>
        <w:br/>
      </w:r>
      <w:r>
        <w:rPr>
          <w:rStyle w:val="949"/>
        </w:rPr>
        <w:t xml:space="preserve">        str_ends(`Seção`, fim_secao)) |&gt;</w:t>
      </w:r>
      <w:r>
        <w:br/>
      </w:r>
      <w:r>
        <w:rPr>
          <w:rStyle w:val="949"/>
        </w:rPr>
        <w:t xml:space="preserve">    select(`Arquivo`, `Linha Inicial`, `Linha Final`, `# Página`) |&gt;</w:t>
      </w:r>
      <w:r>
        <w:br/>
      </w:r>
      <w:r>
        <w:rPr>
          <w:rStyle w:val="949"/>
        </w:rPr>
        <w:t xml:space="preserve">    transpose() |&gt;</w:t>
      </w:r>
      <w:r>
        <w:br/>
      </w:r>
      <w:r>
        <w:rPr>
          <w:rStyle w:val="949"/>
        </w:rPr>
        <w:t xml:space="preserve">    pluck(1)</w:t>
      </w:r>
      <w:r>
        <w:br/>
      </w:r>
      <w:r>
        <w:rPr>
          <w:rStyle w:val="949"/>
        </w:rPr>
        <w:t xml:space="preserve">}</w:t>
      </w:r>
      <w:r>
        <w:br/>
      </w:r>
      <w:r>
        <w:br/>
      </w:r>
      <w:r>
        <w:rPr>
          <w:rStyle w:val="949"/>
        </w:rPr>
        <w:t xml:space="preserve">caso_justificativa &lt;- obtem_caso("Justificativa", 289, "CONSTATAÇÕES")</w:t>
      </w:r>
      <w:r>
        <w:br/>
      </w:r>
      <w:r>
        <w:br/>
      </w:r>
      <w:r>
        <w:rPr>
          <w:rStyle w:val="949"/>
        </w:rPr>
        <w:t xml:space="preserve">str(caso_justificativa)</w:t>
      </w:r>
      <w:r>
        <w:br/>
      </w:r>
      <w:r>
        <w:rPr>
          <w:rStyle w:val="949"/>
        </w:rPr>
        <w:t xml:space="preserve">#&gt; List of 4</w:t>
      </w:r>
      <w:r>
        <w:br/>
      </w:r>
      <w:r>
        <w:rPr>
          <w:rStyle w:val="949"/>
        </w:rPr>
        <w:t xml:space="preserve">#&gt;  $ Arquivo      : chr "19514_1.pdf"</w:t>
      </w:r>
      <w:r>
        <w:br/>
      </w:r>
      <w:r>
        <w:rPr>
          <w:rStyle w:val="949"/>
        </w:rPr>
        <w:t xml:space="preserve">#&gt;  $ Linha Inicial: int 645</w:t>
      </w:r>
      <w:r>
        <w:br/>
      </w:r>
      <w:r>
        <w:rPr>
          <w:rStyle w:val="949"/>
        </w:rPr>
        <w:t xml:space="preserve">#&gt;  $ Linha Final  : int 933</w:t>
      </w:r>
      <w:r>
        <w:br/>
      </w:r>
      <w:r>
        <w:rPr>
          <w:rStyle w:val="949"/>
        </w:rPr>
        <w:t xml:space="preserve">#&gt;  $ # Página     : int 12</w:t>
      </w:r>
    </w:p>
    <w:p>
      <w:pPr>
        <w:pStyle w:val="917"/>
      </w:pPr>
      <w:r>
        <w:t xml:space="preserve">Abaixo, tem-se o texto encontrado nesse arquivo e linhas.</w:t>
      </w:r>
    </w:p>
    <w:p>
      <w:pPr>
        <w:pStyle w:val="944"/>
      </w:pPr>
      <w:r>
        <w:t xml:space="preserve">Casos Justificativa</w:t>
      </w:r>
    </w:p>
    <w:tbl>
      <w:tblPr>
        <w:tblStyle w:val="Table"/>
        <w:tblW w:type="pct" w:w="4888"/>
        <w:tblLayout w:type="fixed"/>
        <w:tblLook w:firstRow="1" w:lastRow="0" w:firstColumn="0" w:lastColumn="0" w:noHBand="0" w:noVBand="0" w:val="0020"/>
        <w:tblCaption w:val="Casos Justificativa"/>
      </w:tblPr>
      <w:tblGrid>
        <w:gridCol w:w="978"/>
        <w:gridCol w:w="6763"/>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645</w:t>
            </w:r>
          </w:p>
        </w:tc>
        <w:tc>
          <w:tcPr/>
          <w:p>
            <w:pPr>
              <w:pStyle w:val="918"/>
              <w:jc w:val="left"/>
            </w:pPr>
            <w:r>
              <w:t xml:space="preserve">Justificativa: JUSTIFICATIVA APRESENTADA POR M. C. M. S. G., SECRETÁR…</w:t>
            </w:r>
          </w:p>
        </w:tc>
      </w:tr>
      <w:tr>
        <w:tc>
          <w:tcPr/>
          <w:p>
            <w:pPr>
              <w:pStyle w:val="918"/>
              <w:jc w:val="right"/>
            </w:pPr>
            <w:r>
              <w:t xml:space="preserve">646</w:t>
            </w:r>
          </w:p>
        </w:tc>
        <w:tc>
          <w:tcPr/>
          <w:p>
            <w:pPr>
              <w:pStyle w:val="918"/>
              <w:jc w:val="left"/>
            </w:pPr>
            <w:r>
              <w:t xml:space="preserve">OFÍCIO N.º 263/2024SMS, DE 16/5/2024. A JUSTIFICATIVA REFERE-SE AS CO…</w:t>
            </w:r>
          </w:p>
        </w:tc>
      </w:tr>
      <w:tr>
        <w:tc>
          <w:tcPr/>
          <w:p>
            <w:pPr>
              <w:pStyle w:val="918"/>
              <w:jc w:val="right"/>
            </w:pPr>
            <w:r>
              <w:t xml:space="preserve">647</w:t>
            </w:r>
          </w:p>
        </w:tc>
        <w:tc>
          <w:tcPr/>
          <w:p>
            <w:pPr>
              <w:pStyle w:val="918"/>
              <w:jc w:val="left"/>
            </w:pPr>
            <w:r>
              <w:t xml:space="preserve">685243 e 682565:</w:t>
            </w:r>
          </w:p>
        </w:tc>
      </w:tr>
      <w:tr>
        <w:tc>
          <w:tcPr/>
          <w:p>
            <w:pPr>
              <w:pStyle w:val="918"/>
              <w:jc w:val="right"/>
            </w:pPr>
            <w:r>
              <w:t xml:space="preserve">648</w:t>
            </w:r>
          </w:p>
        </w:tc>
        <w:tc>
          <w:tcPr/>
          <w:p>
            <w:pPr>
              <w:pStyle w:val="918"/>
              <w:jc w:val="left"/>
            </w:pPr>
            <w:r>
              <w:t xml:space="preserve">’’Nas Constatações referenciadas, a Auditoria aborda possíveis inserç…</w:t>
            </w:r>
          </w:p>
        </w:tc>
      </w:tr>
      <w:tr>
        <w:tc>
          <w:tcPr/>
          <w:p>
            <w:pPr>
              <w:pStyle w:val="918"/>
              <w:jc w:val="right"/>
            </w:pPr>
            <w:r>
              <w:t xml:space="preserve">649</w:t>
            </w:r>
          </w:p>
        </w:tc>
        <w:tc>
          <w:tcPr/>
          <w:p>
            <w:pPr>
              <w:pStyle w:val="918"/>
              <w:jc w:val="left"/>
            </w:pPr>
            <w:r>
              <w:t xml:space="preserve">Informação Ambulatorial do Sistema Único de Saúde - SIA/SUS pela Secr…</w:t>
            </w:r>
          </w:p>
        </w:tc>
      </w:tr>
      <w:tr>
        <w:tc>
          <w:tcPr/>
          <w:p>
            <w:pPr>
              <w:pStyle w:val="918"/>
              <w:jc w:val="right"/>
            </w:pPr>
            <w:r>
              <w:t xml:space="preserve">650</w:t>
            </w:r>
          </w:p>
        </w:tc>
        <w:tc>
          <w:tcPr/>
          <w:p>
            <w:pPr>
              <w:pStyle w:val="918"/>
              <w:jc w:val="left"/>
            </w:pPr>
            <w:r>
              <w:t xml:space="preserve">assim, se tornar, de modo indevida, elegível ao recebimento indevido …</w:t>
            </w:r>
          </w:p>
        </w:tc>
      </w:tr>
      <w:tr>
        <w:tc>
          <w:tcPr/>
          <w:p>
            <w:pPr>
              <w:pStyle w:val="918"/>
              <w:jc w:val="right"/>
            </w:pPr>
            <w:r>
              <w:t xml:space="preserve">651</w:t>
            </w:r>
          </w:p>
        </w:tc>
        <w:tc>
          <w:tcPr/>
          <w:p>
            <w:pPr>
              <w:pStyle w:val="918"/>
              <w:jc w:val="left"/>
            </w:pPr>
            <w:r>
              <w:t xml:space="preserve">No caso em questão, e com uma destacada diferença, é importante ressa…</w:t>
            </w:r>
          </w:p>
        </w:tc>
      </w:tr>
      <w:tr>
        <w:tc>
          <w:tcPr/>
          <w:p>
            <w:pPr>
              <w:pStyle w:val="918"/>
              <w:jc w:val="right"/>
            </w:pPr>
            <w:r>
              <w:t xml:space="preserve">652</w:t>
            </w:r>
          </w:p>
        </w:tc>
        <w:tc>
          <w:tcPr/>
          <w:p>
            <w:pPr>
              <w:pStyle w:val="918"/>
              <w:jc w:val="left"/>
            </w:pPr>
            <w:r>
              <w:t xml:space="preserve">consciente ação de praticar quaisquer atos ilícitos que porventura pu…</w:t>
            </w:r>
          </w:p>
        </w:tc>
      </w:tr>
      <w:tr>
        <w:tc>
          <w:tcPr/>
          <w:p>
            <w:pPr>
              <w:pStyle w:val="918"/>
              <w:jc w:val="right"/>
            </w:pPr>
            <w:r>
              <w:t xml:space="preserve">653</w:t>
            </w:r>
          </w:p>
        </w:tc>
        <w:tc>
          <w:tcPr/>
          <w:p>
            <w:pPr>
              <w:pStyle w:val="918"/>
              <w:jc w:val="left"/>
            </w:pPr>
            <w:r>
              <w:t xml:space="preserve">que, os recursos aplicados não tem e não tiveram o fim de obter prove…</w:t>
            </w:r>
          </w:p>
        </w:tc>
      </w:tr>
      <w:tr>
        <w:tc>
          <w:tcPr/>
          <w:p>
            <w:pPr>
              <w:pStyle w:val="918"/>
              <w:jc w:val="right"/>
            </w:pPr>
            <w:r>
              <w:t xml:space="preserve">654</w:t>
            </w:r>
          </w:p>
        </w:tc>
        <w:tc>
          <w:tcPr/>
          <w:p>
            <w:pPr>
              <w:pStyle w:val="918"/>
              <w:jc w:val="left"/>
            </w:pPr>
            <w:r>
              <w:t xml:space="preserve">mesmo entidade que não fosse os atendimentos das necessidades dos dem…</w:t>
            </w:r>
          </w:p>
        </w:tc>
      </w:tr>
      <w:tr>
        <w:tc>
          <w:tcPr/>
          <w:p>
            <w:pPr>
              <w:pStyle w:val="918"/>
              <w:jc w:val="right"/>
            </w:pPr>
            <w:r>
              <w:t xml:space="preserve">655</w:t>
            </w:r>
          </w:p>
        </w:tc>
        <w:tc>
          <w:tcPr/>
          <w:p>
            <w:pPr>
              <w:pStyle w:val="918"/>
              <w:jc w:val="left"/>
            </w:pPr>
            <w:r>
              <w:t xml:space="preserve">A Regional de Caxias, deveria em tese atender a 7 munícipios. Sucede …</w:t>
            </w:r>
          </w:p>
        </w:tc>
      </w:tr>
      <w:tr>
        <w:tc>
          <w:tcPr/>
          <w:p>
            <w:pPr>
              <w:pStyle w:val="918"/>
              <w:jc w:val="right"/>
            </w:pPr>
            <w:r>
              <w:t xml:space="preserve">656</w:t>
            </w:r>
          </w:p>
        </w:tc>
        <w:tc>
          <w:tcPr/>
          <w:p>
            <w:pPr>
              <w:pStyle w:val="918"/>
              <w:jc w:val="left"/>
            </w:pPr>
            <w:r>
              <w:t xml:space="preserve">estruturado da Mesorregião do Leste Maranhense, composto de 44 municí…</w:t>
            </w:r>
          </w:p>
        </w:tc>
      </w:tr>
      <w:tr>
        <w:tc>
          <w:tcPr/>
          <w:p>
            <w:pPr>
              <w:pStyle w:val="918"/>
              <w:jc w:val="right"/>
            </w:pPr>
            <w:r>
              <w:t xml:space="preserve">657</w:t>
            </w:r>
          </w:p>
        </w:tc>
        <w:tc>
          <w:tcPr/>
          <w:p>
            <w:pPr>
              <w:pStyle w:val="918"/>
              <w:jc w:val="left"/>
            </w:pPr>
            <w:r>
              <w:t xml:space="preserve">de atração, principalmente na questão saúde, ocasionando muita das ve…</w:t>
            </w:r>
          </w:p>
        </w:tc>
      </w:tr>
      <w:tr>
        <w:tc>
          <w:tcPr/>
          <w:p>
            <w:pPr>
              <w:pStyle w:val="918"/>
              <w:jc w:val="right"/>
            </w:pPr>
            <w:r>
              <w:t xml:space="preserve">658</w:t>
            </w:r>
          </w:p>
        </w:tc>
        <w:tc>
          <w:tcPr/>
          <w:p>
            <w:pPr>
              <w:pStyle w:val="918"/>
              <w:jc w:val="left"/>
            </w:pPr>
            <w:r>
              <w:t xml:space="preserve">prestados.</w:t>
            </w:r>
          </w:p>
        </w:tc>
      </w:tr>
      <w:tr>
        <w:tc>
          <w:tcPr/>
          <w:p>
            <w:pPr>
              <w:pStyle w:val="918"/>
              <w:jc w:val="right"/>
            </w:pPr>
            <w:r>
              <w:t xml:space="preserve">659</w:t>
            </w:r>
          </w:p>
        </w:tc>
        <w:tc>
          <w:tcPr/>
          <w:p>
            <w:pPr>
              <w:pStyle w:val="918"/>
              <w:jc w:val="left"/>
            </w:pPr>
            <w:r>
              <w:t xml:space="preserve">Associado a esse problema de enorme demanda, é importante frisar, o c…</w:t>
            </w:r>
          </w:p>
        </w:tc>
      </w:tr>
      <w:tr>
        <w:tc>
          <w:tcPr/>
          <w:p>
            <w:pPr>
              <w:pStyle w:val="918"/>
              <w:jc w:val="right"/>
            </w:pPr>
            <w:r>
              <w:t xml:space="preserve">671</w:t>
            </w:r>
          </w:p>
        </w:tc>
        <w:tc>
          <w:tcPr/>
          <w:p>
            <w:pPr>
              <w:pStyle w:val="918"/>
              <w:jc w:val="left"/>
            </w:pPr>
            <w:r>
              <w:t xml:space="preserve">detectou o seguinte: litteris ’’Falta de acompanhamento, controle e a…</w:t>
            </w:r>
          </w:p>
        </w:tc>
      </w:tr>
      <w:tr>
        <w:tc>
          <w:tcPr/>
          <w:p>
            <w:pPr>
              <w:pStyle w:val="918"/>
              <w:jc w:val="right"/>
            </w:pPr>
            <w:r>
              <w:t xml:space="preserve">672</w:t>
            </w:r>
          </w:p>
        </w:tc>
        <w:tc>
          <w:tcPr/>
          <w:p>
            <w:pPr>
              <w:pStyle w:val="918"/>
              <w:jc w:val="left"/>
            </w:pPr>
            <w:r>
              <w:t xml:space="preserve">informados nos Sistemas de Informação Ambulatorial (SAI/SUS), pelo Se…</w:t>
            </w:r>
          </w:p>
        </w:tc>
      </w:tr>
      <w:tr>
        <w:tc>
          <w:tcPr/>
          <w:p>
            <w:pPr>
              <w:pStyle w:val="918"/>
              <w:jc w:val="right"/>
            </w:pPr>
            <w:r>
              <w:t xml:space="preserve">673</w:t>
            </w:r>
          </w:p>
        </w:tc>
        <w:tc>
          <w:tcPr/>
          <w:p>
            <w:pPr>
              <w:pStyle w:val="918"/>
              <w:jc w:val="left"/>
            </w:pPr>
            <w:r>
              <w:t xml:space="preserve">Municipal de Saúde de Caxias.’’</w:t>
            </w:r>
          </w:p>
        </w:tc>
      </w:tr>
      <w:tr>
        <w:tc>
          <w:tcPr/>
          <w:p>
            <w:pPr>
              <w:pStyle w:val="918"/>
              <w:jc w:val="right"/>
            </w:pPr>
            <w:r>
              <w:t xml:space="preserve">674</w:t>
            </w:r>
          </w:p>
        </w:tc>
        <w:tc>
          <w:tcPr/>
          <w:p>
            <w:pPr>
              <w:pStyle w:val="918"/>
              <w:jc w:val="left"/>
            </w:pPr>
            <w:r>
              <w:t xml:space="preserve">Desde que foi habilitado na Gestão Plena do Sistema Municipal de Saúd…</w:t>
            </w:r>
          </w:p>
        </w:tc>
      </w:tr>
      <w:tr>
        <w:tc>
          <w:tcPr/>
          <w:p>
            <w:pPr>
              <w:pStyle w:val="918"/>
              <w:jc w:val="right"/>
            </w:pPr>
            <w:r>
              <w:t xml:space="preserve">675</w:t>
            </w:r>
          </w:p>
        </w:tc>
        <w:tc>
          <w:tcPr/>
          <w:p>
            <w:pPr>
              <w:pStyle w:val="918"/>
              <w:jc w:val="left"/>
            </w:pPr>
            <w:r>
              <w:t xml:space="preserve">controle e avaliação dos prestadores de serviços de saúde (públicos e…</w:t>
            </w:r>
          </w:p>
        </w:tc>
      </w:tr>
      <w:tr>
        <w:tc>
          <w:tcPr/>
          <w:p>
            <w:pPr>
              <w:pStyle w:val="918"/>
              <w:jc w:val="right"/>
            </w:pPr>
            <w:r>
              <w:t xml:space="preserve">676</w:t>
            </w:r>
          </w:p>
        </w:tc>
        <w:tc>
          <w:tcPr/>
          <w:p>
            <w:pPr>
              <w:pStyle w:val="918"/>
              <w:jc w:val="left"/>
            </w:pPr>
            <w:r>
              <w:t xml:space="preserve">Cabe ao Setor de Controle e Avaliação a responsabilidade pelo cadastr…</w:t>
            </w:r>
          </w:p>
        </w:tc>
      </w:tr>
      <w:tr>
        <w:tc>
          <w:tcPr/>
          <w:p>
            <w:pPr>
              <w:pStyle w:val="918"/>
              <w:jc w:val="right"/>
            </w:pPr>
            <w:r>
              <w:t xml:space="preserve">677</w:t>
            </w:r>
          </w:p>
        </w:tc>
        <w:tc>
          <w:tcPr/>
          <w:p>
            <w:pPr>
              <w:pStyle w:val="918"/>
              <w:jc w:val="left"/>
            </w:pPr>
            <w:r>
              <w:t xml:space="preserve">processamento da produção ambulatorial, garantindo a alimentação do b…</w:t>
            </w:r>
          </w:p>
        </w:tc>
      </w:tr>
      <w:tr>
        <w:tc>
          <w:tcPr/>
          <w:p>
            <w:pPr>
              <w:pStyle w:val="918"/>
              <w:jc w:val="right"/>
            </w:pPr>
            <w:r>
              <w:t xml:space="preserve">678</w:t>
            </w:r>
          </w:p>
        </w:tc>
        <w:tc>
          <w:tcPr/>
          <w:p>
            <w:pPr>
              <w:pStyle w:val="918"/>
              <w:jc w:val="left"/>
            </w:pPr>
            <w:r>
              <w:t xml:space="preserve">instrumentos para operacionalização das atividades e autorização de i…</w:t>
            </w:r>
          </w:p>
        </w:tc>
      </w:tr>
      <w:tr>
        <w:tc>
          <w:tcPr/>
          <w:p>
            <w:pPr>
              <w:pStyle w:val="918"/>
              <w:jc w:val="right"/>
            </w:pPr>
            <w:r>
              <w:t xml:space="preserve">679</w:t>
            </w:r>
          </w:p>
        </w:tc>
        <w:tc>
          <w:tcPr/>
          <w:p>
            <w:pPr>
              <w:pStyle w:val="918"/>
              <w:jc w:val="left"/>
            </w:pPr>
            <w:r>
              <w:t xml:space="preserve">ambulatoriais.</w:t>
            </w:r>
          </w:p>
        </w:tc>
      </w:tr>
      <w:tr>
        <w:tc>
          <w:tcPr/>
          <w:p>
            <w:pPr>
              <w:pStyle w:val="918"/>
              <w:jc w:val="right"/>
            </w:pPr>
            <w:r>
              <w:t xml:space="preserve">680</w:t>
            </w:r>
          </w:p>
        </w:tc>
        <w:tc>
          <w:tcPr/>
          <w:p>
            <w:pPr>
              <w:pStyle w:val="918"/>
              <w:jc w:val="left"/>
            </w:pPr>
            <w:r>
              <w:t xml:space="preserve">É importante lembrar que quando um município é habilitado na Gestão P…</w:t>
            </w:r>
          </w:p>
        </w:tc>
      </w:tr>
      <w:tr>
        <w:tc>
          <w:tcPr/>
          <w:p>
            <w:pPr>
              <w:pStyle w:val="918"/>
              <w:jc w:val="right"/>
            </w:pPr>
            <w:r>
              <w:t xml:space="preserve">681</w:t>
            </w:r>
          </w:p>
        </w:tc>
        <w:tc>
          <w:tcPr/>
          <w:p>
            <w:pPr>
              <w:pStyle w:val="918"/>
              <w:jc w:val="left"/>
            </w:pPr>
            <w:r>
              <w:t xml:space="preserve">assistência à saúde prestada aos seus munícipes, desde as ações básic…</w:t>
            </w:r>
          </w:p>
        </w:tc>
      </w:tr>
      <w:tr>
        <w:tc>
          <w:tcPr/>
          <w:p>
            <w:pPr>
              <w:pStyle w:val="918"/>
              <w:jc w:val="right"/>
            </w:pPr>
            <w:r>
              <w:t xml:space="preserve">682</w:t>
            </w:r>
          </w:p>
        </w:tc>
        <w:tc>
          <w:tcPr/>
          <w:p>
            <w:pPr>
              <w:pStyle w:val="918"/>
              <w:jc w:val="left"/>
            </w:pPr>
            <w:r>
              <w:t xml:space="preserve">complexidade, que na sua maioria são oferecidos pela rede complementa…</w:t>
            </w:r>
          </w:p>
        </w:tc>
      </w:tr>
      <w:tr>
        <w:tc>
          <w:tcPr/>
          <w:p>
            <w:pPr>
              <w:pStyle w:val="918"/>
              <w:jc w:val="right"/>
            </w:pPr>
            <w:r>
              <w:t xml:space="preserve">683</w:t>
            </w:r>
          </w:p>
        </w:tc>
        <w:tc>
          <w:tcPr/>
          <w:p>
            <w:pPr>
              <w:pStyle w:val="918"/>
              <w:jc w:val="left"/>
            </w:pPr>
            <w:r>
              <w:t xml:space="preserve">Diante desse cenário, a programação física e orçamentária da rede de …</w:t>
            </w:r>
          </w:p>
        </w:tc>
      </w:tr>
      <w:tr>
        <w:tc>
          <w:tcPr/>
          <w:p>
            <w:pPr>
              <w:pStyle w:val="918"/>
              <w:jc w:val="right"/>
            </w:pPr>
            <w:r>
              <w:t xml:space="preserve">684</w:t>
            </w:r>
          </w:p>
        </w:tc>
        <w:tc>
          <w:tcPr/>
          <w:p>
            <w:pPr>
              <w:pStyle w:val="918"/>
              <w:jc w:val="left"/>
            </w:pPr>
            <w:r>
              <w:t xml:space="preserve">responsabilidade do Setor de Controle e Avaliação, o que não ocorreu.</w:t>
            </w:r>
          </w:p>
        </w:tc>
      </w:tr>
      <w:tr>
        <w:tc>
          <w:tcPr/>
          <w:p>
            <w:pPr>
              <w:pStyle w:val="918"/>
              <w:jc w:val="right"/>
            </w:pPr>
            <w:r>
              <w:t xml:space="preserve">685</w:t>
            </w:r>
          </w:p>
        </w:tc>
        <w:tc>
          <w:tcPr/>
          <w:p>
            <w:pPr>
              <w:pStyle w:val="918"/>
              <w:jc w:val="left"/>
            </w:pPr>
            <w:r>
              <w:t xml:space="preserve">Vale destacar que, a gestão financeira do Sistema Único de Saúde (SUS…</w:t>
            </w:r>
          </w:p>
        </w:tc>
      </w:tr>
      <w:tr>
        <w:tc>
          <w:tcPr/>
          <w:p>
            <w:pPr>
              <w:pStyle w:val="918"/>
              <w:jc w:val="right"/>
            </w:pPr>
            <w:r>
              <w:t xml:space="preserve">686</w:t>
            </w:r>
          </w:p>
        </w:tc>
        <w:tc>
          <w:tcPr/>
          <w:p>
            <w:pPr>
              <w:pStyle w:val="918"/>
              <w:jc w:val="left"/>
            </w:pPr>
            <w:r>
              <w:t xml:space="preserve">regras que devem ser seguidas por cada um dos Entes da Federação. Den…</w:t>
            </w:r>
          </w:p>
        </w:tc>
      </w:tr>
      <w:tr>
        <w:tc>
          <w:tcPr/>
          <w:p>
            <w:pPr>
              <w:pStyle w:val="918"/>
              <w:jc w:val="right"/>
            </w:pPr>
            <w:r>
              <w:t xml:space="preserve">687</w:t>
            </w:r>
          </w:p>
        </w:tc>
        <w:tc>
          <w:tcPr/>
          <w:p>
            <w:pPr>
              <w:pStyle w:val="918"/>
              <w:jc w:val="left"/>
            </w:pPr>
            <w:r>
              <w:t xml:space="preserve">as necessidades de se conhecer os fluxos estabelecidos dos recursos f…</w:t>
            </w:r>
          </w:p>
        </w:tc>
      </w:tr>
      <w:tr>
        <w:tc>
          <w:tcPr/>
          <w:p>
            <w:pPr>
              <w:pStyle w:val="918"/>
              <w:jc w:val="right"/>
            </w:pPr>
            <w:r>
              <w:t xml:space="preserve">688</w:t>
            </w:r>
          </w:p>
        </w:tc>
        <w:tc>
          <w:tcPr/>
          <w:p>
            <w:pPr>
              <w:pStyle w:val="918"/>
              <w:jc w:val="left"/>
            </w:pPr>
            <w:r>
              <w:t xml:space="preserve">vinculações devem ser seguidas. Para tanto, compreender os principais…</w:t>
            </w:r>
          </w:p>
        </w:tc>
      </w:tr>
      <w:tr>
        <w:tc>
          <w:tcPr/>
          <w:p>
            <w:pPr>
              <w:pStyle w:val="918"/>
              <w:jc w:val="right"/>
            </w:pPr>
            <w:r>
              <w:t xml:space="preserve">689</w:t>
            </w:r>
          </w:p>
        </w:tc>
        <w:tc>
          <w:tcPr/>
          <w:p>
            <w:pPr>
              <w:pStyle w:val="918"/>
              <w:jc w:val="left"/>
            </w:pPr>
            <w:r>
              <w:t xml:space="preserve">legislação que rege o processo de financiamento do SUS é papel fundam…</w:t>
            </w:r>
          </w:p>
        </w:tc>
      </w:tr>
      <w:tr>
        <w:tc>
          <w:tcPr/>
          <w:p>
            <w:pPr>
              <w:pStyle w:val="918"/>
              <w:jc w:val="right"/>
            </w:pPr>
            <w:r>
              <w:t xml:space="preserve">690</w:t>
            </w:r>
          </w:p>
        </w:tc>
        <w:tc>
          <w:tcPr/>
          <w:p>
            <w:pPr>
              <w:pStyle w:val="918"/>
              <w:jc w:val="left"/>
            </w:pPr>
            <w:r>
              <w:t xml:space="preserve">necessidades públicas e ao melhor atendimento da população. Nesse âmb…</w:t>
            </w:r>
          </w:p>
        </w:tc>
      </w:tr>
      <w:tr>
        <w:tc>
          <w:tcPr/>
          <w:p>
            <w:pPr>
              <w:pStyle w:val="918"/>
              <w:jc w:val="right"/>
            </w:pPr>
            <w:r>
              <w:t xml:space="preserve">691</w:t>
            </w:r>
          </w:p>
        </w:tc>
        <w:tc>
          <w:tcPr/>
          <w:p>
            <w:pPr>
              <w:pStyle w:val="918"/>
              <w:jc w:val="left"/>
            </w:pPr>
            <w:r>
              <w:t xml:space="preserve">no final do ano de 2017 pelo Ministério da Saúde alterou a forma de r…</w:t>
            </w:r>
          </w:p>
        </w:tc>
      </w:tr>
      <w:tr>
        <w:tc>
          <w:tcPr/>
          <w:p>
            <w:pPr>
              <w:pStyle w:val="918"/>
              <w:jc w:val="right"/>
            </w:pPr>
            <w:r>
              <w:t xml:space="preserve">692</w:t>
            </w:r>
          </w:p>
        </w:tc>
        <w:tc>
          <w:tcPr/>
          <w:p>
            <w:pPr>
              <w:pStyle w:val="918"/>
              <w:jc w:val="left"/>
            </w:pPr>
            <w:r>
              <w:t xml:space="preserve">antigos blocos de financiamento de custeio do SUS.</w:t>
            </w:r>
          </w:p>
        </w:tc>
      </w:tr>
      <w:tr>
        <w:tc>
          <w:tcPr/>
          <w:p>
            <w:pPr>
              <w:pStyle w:val="918"/>
              <w:jc w:val="right"/>
            </w:pPr>
            <w:r>
              <w:t xml:space="preserve">693</w:t>
            </w:r>
          </w:p>
        </w:tc>
        <w:tc>
          <w:tcPr/>
          <w:p>
            <w:pPr>
              <w:pStyle w:val="918"/>
              <w:jc w:val="left"/>
            </w:pPr>
            <w:r>
              <w:t xml:space="preserve">A Portaria nº 3.992, de 28 de dezembro de 2017, alterou a Portaria de…</w:t>
            </w:r>
          </w:p>
        </w:tc>
      </w:tr>
      <w:tr>
        <w:tc>
          <w:tcPr/>
          <w:p>
            <w:pPr>
              <w:pStyle w:val="918"/>
              <w:jc w:val="right"/>
            </w:pPr>
            <w:r>
              <w:t xml:space="preserve">694</w:t>
            </w:r>
          </w:p>
        </w:tc>
        <w:tc>
          <w:tcPr/>
          <w:p>
            <w:pPr>
              <w:pStyle w:val="918"/>
              <w:jc w:val="left"/>
            </w:pPr>
            <w:r>
              <w:t xml:space="preserve">2017, que trata das normas sobre o financiamento e a transferência do…</w:t>
            </w:r>
          </w:p>
        </w:tc>
      </w:tr>
      <w:tr>
        <w:tc>
          <w:tcPr/>
          <w:p>
            <w:pPr>
              <w:pStyle w:val="918"/>
              <w:jc w:val="right"/>
            </w:pPr>
            <w:r>
              <w:t xml:space="preserve">695</w:t>
            </w:r>
          </w:p>
        </w:tc>
        <w:tc>
          <w:tcPr/>
          <w:p>
            <w:pPr>
              <w:pStyle w:val="918"/>
              <w:jc w:val="left"/>
            </w:pPr>
            <w:r>
              <w:t xml:space="preserve">saúde do Sistema Único de Saúde. A Portaria de Consolidação nº 6 havi…</w:t>
            </w:r>
          </w:p>
        </w:tc>
      </w:tr>
      <w:tr>
        <w:tc>
          <w:tcPr/>
          <w:p>
            <w:pPr>
              <w:pStyle w:val="918"/>
              <w:jc w:val="right"/>
            </w:pPr>
            <w:r>
              <w:t xml:space="preserve">696</w:t>
            </w:r>
          </w:p>
        </w:tc>
        <w:tc>
          <w:tcPr/>
          <w:p>
            <w:pPr>
              <w:pStyle w:val="918"/>
              <w:jc w:val="left"/>
            </w:pPr>
            <w:r>
              <w:t xml:space="preserve">a Portaria 204/2007, o financiamento e as transferências dos recursos…</w:t>
            </w:r>
          </w:p>
        </w:tc>
      </w:tr>
      <w:tr>
        <w:tc>
          <w:tcPr/>
          <w:p>
            <w:pPr>
              <w:pStyle w:val="918"/>
              <w:jc w:val="right"/>
            </w:pPr>
            <w:r>
              <w:t xml:space="preserve">697</w:t>
            </w:r>
          </w:p>
        </w:tc>
        <w:tc>
          <w:tcPr/>
          <w:p>
            <w:pPr>
              <w:pStyle w:val="918"/>
              <w:jc w:val="left"/>
            </w:pPr>
            <w:r>
              <w:t xml:space="preserve">blocos de financiamento ou blocos financeiros. Para a recepção dos re…</w:t>
            </w:r>
          </w:p>
        </w:tc>
      </w:tr>
      <w:tr>
        <w:tc>
          <w:tcPr/>
          <w:p>
            <w:pPr>
              <w:pStyle w:val="918"/>
              <w:jc w:val="right"/>
            </w:pPr>
            <w:r>
              <w:t xml:space="preserve">698</w:t>
            </w:r>
          </w:p>
        </w:tc>
        <w:tc>
          <w:tcPr/>
          <w:p>
            <w:pPr>
              <w:pStyle w:val="918"/>
              <w:jc w:val="left"/>
            </w:pPr>
            <w:r>
              <w:t xml:space="preserve">Fundo Nacional de Saúde, abria para cada bloco uma conta bancária e, …</w:t>
            </w:r>
          </w:p>
        </w:tc>
      </w:tr>
      <w:tr>
        <w:tc>
          <w:tcPr/>
          <w:p>
            <w:pPr>
              <w:pStyle w:val="918"/>
              <w:jc w:val="right"/>
            </w:pPr>
            <w:r>
              <w:t xml:space="preserve">699</w:t>
            </w:r>
          </w:p>
        </w:tc>
        <w:tc>
          <w:tcPr/>
          <w:p>
            <w:pPr>
              <w:pStyle w:val="918"/>
              <w:jc w:val="left"/>
            </w:pPr>
            <w:r>
              <w:t xml:space="preserve">financeira para cada um dos projetos aprovados com plano de aplicação…</w:t>
            </w:r>
          </w:p>
        </w:tc>
      </w:tr>
      <w:tr>
        <w:tc>
          <w:tcPr/>
          <w:p>
            <w:pPr>
              <w:pStyle w:val="918"/>
              <w:jc w:val="right"/>
            </w:pPr>
            <w:r>
              <w:t xml:space="preserve">700</w:t>
            </w:r>
          </w:p>
        </w:tc>
        <w:tc>
          <w:tcPr/>
          <w:p>
            <w:pPr>
              <w:pStyle w:val="918"/>
              <w:jc w:val="left"/>
            </w:pPr>
            <w:r>
              <w:t xml:space="preserve">Nesse diapasão podemos creditar que o recebimento e a aplicação dos r…</w:t>
            </w:r>
          </w:p>
        </w:tc>
      </w:tr>
      <w:tr>
        <w:tc>
          <w:tcPr/>
          <w:p>
            <w:pPr>
              <w:pStyle w:val="918"/>
              <w:jc w:val="right"/>
            </w:pPr>
            <w:r>
              <w:t xml:space="preserve">701</w:t>
            </w:r>
          </w:p>
        </w:tc>
        <w:tc>
          <w:tcPr/>
          <w:p>
            <w:pPr>
              <w:pStyle w:val="918"/>
              <w:jc w:val="left"/>
            </w:pPr>
            <w:r>
              <w:t xml:space="preserve">Nacional de Saúde ao Fundo Municipal de Saúde, foram aplicados de for…</w:t>
            </w:r>
          </w:p>
        </w:tc>
      </w:tr>
      <w:tr>
        <w:tc>
          <w:tcPr/>
          <w:p>
            <w:pPr>
              <w:pStyle w:val="918"/>
              <w:jc w:val="right"/>
            </w:pPr>
            <w:r>
              <w:t xml:space="preserve">702</w:t>
            </w:r>
          </w:p>
        </w:tc>
        <w:tc>
          <w:tcPr/>
          <w:p>
            <w:pPr>
              <w:pStyle w:val="918"/>
              <w:jc w:val="left"/>
            </w:pPr>
            <w:r>
              <w:t xml:space="preserve">desorganização administrativa e financeira existente no setor, sem, c…</w:t>
            </w:r>
          </w:p>
        </w:tc>
      </w:tr>
      <w:tr>
        <w:tc>
          <w:tcPr/>
          <w:p>
            <w:pPr>
              <w:pStyle w:val="918"/>
              <w:jc w:val="right"/>
            </w:pPr>
            <w:r>
              <w:t xml:space="preserve">703</w:t>
            </w:r>
          </w:p>
        </w:tc>
        <w:tc>
          <w:tcPr/>
          <w:p>
            <w:pPr>
              <w:pStyle w:val="918"/>
              <w:jc w:val="left"/>
            </w:pPr>
            <w:r>
              <w:t xml:space="preserve">recursos públicos.</w:t>
            </w:r>
          </w:p>
        </w:tc>
      </w:tr>
      <w:tr>
        <w:tc>
          <w:tcPr/>
          <w:p>
            <w:pPr>
              <w:pStyle w:val="918"/>
              <w:jc w:val="right"/>
            </w:pPr>
            <w:r>
              <w:t xml:space="preserve">704</w:t>
            </w:r>
          </w:p>
        </w:tc>
        <w:tc>
          <w:tcPr/>
          <w:p>
            <w:pPr>
              <w:pStyle w:val="918"/>
              <w:jc w:val="left"/>
            </w:pPr>
            <w:r>
              <w:t xml:space="preserve">Finalmente, usando a expressão em Latim,</w:t>
            </w:r>
            <w:r>
              <w:t xml:space="preserve"> </w:t>
            </w:r>
            <w:r>
              <w:t xml:space="preserve">‘’pretium lluminationes’</w:t>
            </w:r>
            <w:r>
              <w:t xml:space="preserve">’, q…</w:t>
            </w:r>
          </w:p>
        </w:tc>
      </w:tr>
      <w:tr>
        <w:tc>
          <w:tcPr/>
          <w:p>
            <w:pPr>
              <w:pStyle w:val="918"/>
              <w:jc w:val="right"/>
            </w:pPr>
            <w:r>
              <w:t xml:space="preserve">705</w:t>
            </w:r>
          </w:p>
        </w:tc>
        <w:tc>
          <w:tcPr/>
          <w:p>
            <w:pPr>
              <w:pStyle w:val="918"/>
              <w:jc w:val="left"/>
            </w:pPr>
            <w:r>
              <w:t xml:space="preserve">a UNIÃO deve responder pelos PROGRAMAS E PROJETOS PACTUADOS tendo em …</w:t>
            </w:r>
          </w:p>
        </w:tc>
      </w:tr>
      <w:tr>
        <w:tc>
          <w:tcPr/>
          <w:p>
            <w:pPr>
              <w:pStyle w:val="918"/>
              <w:jc w:val="right"/>
            </w:pPr>
            <w:r>
              <w:t xml:space="preserve">706</w:t>
            </w:r>
          </w:p>
        </w:tc>
        <w:tc>
          <w:tcPr/>
          <w:p>
            <w:pPr>
              <w:pStyle w:val="918"/>
              <w:jc w:val="left"/>
            </w:pPr>
            <w:r>
              <w:t xml:space="preserve">estabelecida para cuidar da saúde, prevista no ARTIGO 23, INCISO II, …</w:t>
            </w:r>
          </w:p>
        </w:tc>
      </w:tr>
      <w:tr>
        <w:tc>
          <w:tcPr/>
          <w:p>
            <w:pPr>
              <w:pStyle w:val="918"/>
              <w:jc w:val="right"/>
            </w:pPr>
            <w:r>
              <w:t xml:space="preserve">707</w:t>
            </w:r>
          </w:p>
        </w:tc>
        <w:tc>
          <w:tcPr/>
          <w:p>
            <w:pPr>
              <w:pStyle w:val="918"/>
              <w:jc w:val="left"/>
            </w:pPr>
            <w:r>
              <w:t xml:space="preserve">ARTIGO 70, PARÁGRAFO ÚNICO, E ARTIGO 74, INCISO I, DA CONSTITUIÇÃO FE…</w:t>
            </w:r>
          </w:p>
        </w:tc>
      </w:tr>
      <w:tr>
        <w:tc>
          <w:tcPr/>
          <w:p>
            <w:pPr>
              <w:pStyle w:val="918"/>
              <w:jc w:val="right"/>
            </w:pPr>
            <w:r>
              <w:t xml:space="preserve">708</w:t>
            </w:r>
          </w:p>
        </w:tc>
        <w:tc>
          <w:tcPr/>
          <w:p>
            <w:pPr>
              <w:pStyle w:val="918"/>
              <w:jc w:val="left"/>
            </w:pPr>
            <w:r>
              <w:t xml:space="preserve">federativa suportada pela arquitetura legal do cofinanciamento dos PR…</w:t>
            </w:r>
          </w:p>
        </w:tc>
      </w:tr>
      <w:tr>
        <w:tc>
          <w:tcPr/>
          <w:p>
            <w:pPr>
              <w:pStyle w:val="918"/>
              <w:jc w:val="right"/>
            </w:pPr>
            <w:r>
              <w:t xml:space="preserve">709</w:t>
            </w:r>
          </w:p>
        </w:tc>
        <w:tc>
          <w:tcPr/>
          <w:p>
            <w:pPr>
              <w:pStyle w:val="918"/>
              <w:jc w:val="left"/>
            </w:pPr>
            <w:r>
              <w:t xml:space="preserve">essa interpretação. A PACTUAÇÃO COMO PONTO CENTRAL PARA AUTORIZAR A F…</w:t>
            </w:r>
          </w:p>
        </w:tc>
      </w:tr>
      <w:tr>
        <w:tc>
          <w:tcPr/>
          <w:p>
            <w:pPr>
              <w:pStyle w:val="918"/>
              <w:jc w:val="right"/>
            </w:pPr>
            <w:r>
              <w:t xml:space="preserve">710</w:t>
            </w:r>
          </w:p>
        </w:tc>
        <w:tc>
          <w:tcPr/>
          <w:p>
            <w:pPr>
              <w:pStyle w:val="918"/>
              <w:jc w:val="left"/>
            </w:pPr>
            <w:r>
              <w:t xml:space="preserve">ENTES PARTICIPANTES, DOS RECURSOS CONTABILIZADOS NO FUNDO.</w:t>
            </w:r>
          </w:p>
        </w:tc>
      </w:tr>
      <w:tr>
        <w:tc>
          <w:tcPr/>
          <w:p>
            <w:pPr>
              <w:pStyle w:val="918"/>
              <w:jc w:val="right"/>
            </w:pPr>
            <w:r>
              <w:t xml:space="preserve">711</w:t>
            </w:r>
          </w:p>
        </w:tc>
        <w:tc>
          <w:tcPr/>
          <w:p>
            <w:pPr>
              <w:pStyle w:val="918"/>
              <w:jc w:val="left"/>
            </w:pPr>
            <w:r>
              <w:t xml:space="preserve">A Lei Orgânica do SUS - Lei n° 8.080, de 19 de setembro de 1990 - que…</w:t>
            </w:r>
          </w:p>
        </w:tc>
      </w:tr>
      <w:tr>
        <w:tc>
          <w:tcPr/>
          <w:p>
            <w:pPr>
              <w:pStyle w:val="918"/>
              <w:jc w:val="right"/>
            </w:pPr>
            <w:r>
              <w:t xml:space="preserve">712</w:t>
            </w:r>
          </w:p>
        </w:tc>
        <w:tc>
          <w:tcPr/>
          <w:p>
            <w:pPr>
              <w:pStyle w:val="918"/>
              <w:jc w:val="left"/>
            </w:pPr>
            <w:r>
              <w:t xml:space="preserve">proteção e recuperação da saúde, a organização e o funcionamento dos …</w:t>
            </w:r>
          </w:p>
        </w:tc>
      </w:tr>
      <w:tr>
        <w:tc>
          <w:tcPr/>
          <w:p>
            <w:pPr>
              <w:pStyle w:val="918"/>
              <w:jc w:val="right"/>
            </w:pPr>
            <w:r>
              <w:t xml:space="preserve">713</w:t>
            </w:r>
          </w:p>
        </w:tc>
        <w:tc>
          <w:tcPr/>
          <w:p>
            <w:pPr>
              <w:pStyle w:val="918"/>
              <w:jc w:val="left"/>
            </w:pPr>
            <w:r>
              <w:t xml:space="preserve">providências. Referida lei prevê, em seu artigo 35, os critérios para…</w:t>
            </w:r>
          </w:p>
        </w:tc>
      </w:tr>
      <w:tr>
        <w:tc>
          <w:tcPr/>
          <w:p>
            <w:pPr>
              <w:pStyle w:val="918"/>
              <w:jc w:val="right"/>
            </w:pPr>
            <w:r>
              <w:t xml:space="preserve">714</w:t>
            </w:r>
          </w:p>
        </w:tc>
        <w:tc>
          <w:tcPr/>
          <w:p>
            <w:pPr>
              <w:pStyle w:val="918"/>
              <w:jc w:val="left"/>
            </w:pPr>
            <w:r>
              <w:t xml:space="preserve">União. Além disso, o dispositivo legal estabelece que os repasses ser…</w:t>
            </w:r>
          </w:p>
        </w:tc>
      </w:tr>
      <w:tr>
        <w:tc>
          <w:tcPr/>
          <w:p>
            <w:pPr>
              <w:pStyle w:val="918"/>
              <w:jc w:val="right"/>
            </w:pPr>
            <w:r>
              <w:t xml:space="preserve">715</w:t>
            </w:r>
          </w:p>
        </w:tc>
        <w:tc>
          <w:tcPr/>
          <w:p>
            <w:pPr>
              <w:pStyle w:val="918"/>
              <w:jc w:val="left"/>
            </w:pPr>
            <w:r>
              <w:t xml:space="preserve">programas e projetos e serão depositados em conta especial, em cada e…</w:t>
            </w:r>
          </w:p>
        </w:tc>
      </w:tr>
      <w:tr>
        <w:tc>
          <w:tcPr/>
          <w:p>
            <w:pPr>
              <w:pStyle w:val="918"/>
              <w:jc w:val="right"/>
            </w:pPr>
            <w:r>
              <w:t xml:space="preserve">716</w:t>
            </w:r>
          </w:p>
        </w:tc>
        <w:tc>
          <w:tcPr/>
          <w:p>
            <w:pPr>
              <w:pStyle w:val="918"/>
              <w:jc w:val="left"/>
            </w:pPr>
            <w:r>
              <w:t xml:space="preserve">Art. 12. Serão criadas comissões intersetoriais de âmbito nacional, s…</w:t>
            </w:r>
          </w:p>
        </w:tc>
      </w:tr>
      <w:tr>
        <w:tc>
          <w:tcPr/>
          <w:p>
            <w:pPr>
              <w:pStyle w:val="918"/>
              <w:jc w:val="right"/>
            </w:pPr>
            <w:r>
              <w:t xml:space="preserve">717</w:t>
            </w:r>
          </w:p>
        </w:tc>
        <w:tc>
          <w:tcPr/>
          <w:p>
            <w:pPr>
              <w:pStyle w:val="918"/>
              <w:jc w:val="left"/>
            </w:pPr>
            <w:r>
              <w:t xml:space="preserve">integradas pelos Ministérios e órgãos competentes e por entidades rep…</w:t>
            </w:r>
          </w:p>
        </w:tc>
      </w:tr>
      <w:tr>
        <w:tc>
          <w:tcPr/>
          <w:p>
            <w:pPr>
              <w:pStyle w:val="918"/>
              <w:jc w:val="right"/>
            </w:pPr>
            <w:r>
              <w:t xml:space="preserve">718</w:t>
            </w:r>
          </w:p>
        </w:tc>
        <w:tc>
          <w:tcPr/>
          <w:p>
            <w:pPr>
              <w:pStyle w:val="918"/>
              <w:jc w:val="left"/>
            </w:pPr>
            <w:r>
              <w:t xml:space="preserve">comissões intersetoriais terão a finalidade de articular políticas e …</w:t>
            </w:r>
          </w:p>
        </w:tc>
      </w:tr>
      <w:tr>
        <w:tc>
          <w:tcPr/>
          <w:p>
            <w:pPr>
              <w:pStyle w:val="918"/>
              <w:jc w:val="right"/>
            </w:pPr>
            <w:r>
              <w:t xml:space="preserve">719</w:t>
            </w:r>
          </w:p>
        </w:tc>
        <w:tc>
          <w:tcPr/>
          <w:p>
            <w:pPr>
              <w:pStyle w:val="918"/>
              <w:jc w:val="left"/>
            </w:pPr>
            <w:r>
              <w:t xml:space="preserve">envolva áreas não compreendidas no âmbito do Sistema Único de Saúde (…</w:t>
            </w:r>
          </w:p>
        </w:tc>
      </w:tr>
      <w:tr>
        <w:tc>
          <w:tcPr/>
          <w:p>
            <w:pPr>
              <w:pStyle w:val="918"/>
              <w:jc w:val="right"/>
            </w:pPr>
            <w:r>
              <w:t xml:space="preserve">720</w:t>
            </w:r>
          </w:p>
        </w:tc>
        <w:tc>
          <w:tcPr/>
          <w:p>
            <w:pPr>
              <w:pStyle w:val="918"/>
              <w:jc w:val="left"/>
            </w:pPr>
            <w:r>
              <w:t xml:space="preserve">Art. 33. Os recursos financeiros do Sistema Único de Saúde (SUS) serã…</w:t>
            </w:r>
          </w:p>
        </w:tc>
      </w:tr>
      <w:tr>
        <w:tc>
          <w:tcPr/>
          <w:p>
            <w:pPr>
              <w:pStyle w:val="918"/>
              <w:jc w:val="right"/>
            </w:pPr>
            <w:r>
              <w:t xml:space="preserve">732</w:t>
            </w:r>
          </w:p>
        </w:tc>
        <w:tc>
          <w:tcPr/>
          <w:p>
            <w:pPr>
              <w:pStyle w:val="918"/>
              <w:jc w:val="left"/>
            </w:pPr>
            <w:r>
              <w:t xml:space="preserve">de sua atuação, e movimentados sob fiscalização dos respectivos Conse…</w:t>
            </w:r>
          </w:p>
        </w:tc>
      </w:tr>
      <w:tr>
        <w:tc>
          <w:tcPr/>
          <w:p>
            <w:pPr>
              <w:pStyle w:val="918"/>
              <w:jc w:val="right"/>
            </w:pPr>
            <w:r>
              <w:t xml:space="preserve">733</w:t>
            </w:r>
          </w:p>
        </w:tc>
        <w:tc>
          <w:tcPr/>
          <w:p>
            <w:pPr>
              <w:pStyle w:val="918"/>
              <w:jc w:val="left"/>
            </w:pPr>
            <w:r>
              <w:t xml:space="preserve">recursos financeiros, originários do Orçamento da Seguridade Social, …</w:t>
            </w:r>
          </w:p>
        </w:tc>
      </w:tr>
      <w:tr>
        <w:tc>
          <w:tcPr/>
          <w:p>
            <w:pPr>
              <w:pStyle w:val="918"/>
              <w:jc w:val="right"/>
            </w:pPr>
            <w:r>
              <w:t xml:space="preserve">734</w:t>
            </w:r>
          </w:p>
        </w:tc>
        <w:tc>
          <w:tcPr/>
          <w:p>
            <w:pPr>
              <w:pStyle w:val="918"/>
              <w:jc w:val="left"/>
            </w:pPr>
            <w:r>
              <w:t xml:space="preserve">fontes, serão administrados pelo Ministério da Saúde, através do Fund…</w:t>
            </w:r>
          </w:p>
        </w:tc>
      </w:tr>
      <w:tr>
        <w:tc>
          <w:tcPr/>
          <w:p>
            <w:pPr>
              <w:pStyle w:val="918"/>
              <w:jc w:val="right"/>
            </w:pPr>
            <w:r>
              <w:t xml:space="preserve">735</w:t>
            </w:r>
          </w:p>
        </w:tc>
        <w:tc>
          <w:tcPr/>
          <w:p>
            <w:pPr>
              <w:pStyle w:val="918"/>
              <w:jc w:val="left"/>
            </w:pPr>
            <w:r>
              <w:t xml:space="preserve">4º O Ministério da Saúde acompanhará, através de seu sistema de audit…</w:t>
            </w:r>
          </w:p>
        </w:tc>
      </w:tr>
      <w:tr>
        <w:tc>
          <w:tcPr/>
          <w:p>
            <w:pPr>
              <w:pStyle w:val="918"/>
              <w:jc w:val="right"/>
            </w:pPr>
            <w:r>
              <w:t xml:space="preserve">736</w:t>
            </w:r>
          </w:p>
        </w:tc>
        <w:tc>
          <w:tcPr/>
          <w:p>
            <w:pPr>
              <w:pStyle w:val="918"/>
              <w:jc w:val="left"/>
            </w:pPr>
            <w:r>
              <w:t xml:space="preserve">aplicação dos recursos repassados a Estados e Municípios. Constatada …</w:t>
            </w:r>
          </w:p>
        </w:tc>
      </w:tr>
      <w:tr>
        <w:tc>
          <w:tcPr/>
          <w:p>
            <w:pPr>
              <w:pStyle w:val="918"/>
              <w:jc w:val="right"/>
            </w:pPr>
            <w:r>
              <w:t xml:space="preserve">737</w:t>
            </w:r>
          </w:p>
        </w:tc>
        <w:tc>
          <w:tcPr/>
          <w:p>
            <w:pPr>
              <w:pStyle w:val="918"/>
              <w:jc w:val="left"/>
            </w:pPr>
            <w:r>
              <w:t xml:space="preserve">recursos, caberá ao Ministério da Saúde aplicar as medidas previstas …</w:t>
            </w:r>
          </w:p>
        </w:tc>
      </w:tr>
      <w:tr>
        <w:tc>
          <w:tcPr/>
          <w:p>
            <w:pPr>
              <w:pStyle w:val="918"/>
              <w:jc w:val="right"/>
            </w:pPr>
            <w:r>
              <w:t xml:space="preserve">738</w:t>
            </w:r>
          </w:p>
        </w:tc>
        <w:tc>
          <w:tcPr/>
          <w:p>
            <w:pPr>
              <w:pStyle w:val="918"/>
              <w:jc w:val="left"/>
            </w:pPr>
            <w:r>
              <w:t xml:space="preserve">Art. 34. As autoridades responsáveis pela distribuição da receita efe…</w:t>
            </w:r>
          </w:p>
        </w:tc>
      </w:tr>
      <w:tr>
        <w:tc>
          <w:tcPr/>
          <w:p>
            <w:pPr>
              <w:pStyle w:val="918"/>
              <w:jc w:val="right"/>
            </w:pPr>
            <w:r>
              <w:t xml:space="preserve">739</w:t>
            </w:r>
          </w:p>
        </w:tc>
        <w:tc>
          <w:tcPr/>
          <w:p>
            <w:pPr>
              <w:pStyle w:val="918"/>
              <w:jc w:val="left"/>
            </w:pPr>
            <w:r>
              <w:t xml:space="preserve">ao Fundo Nacional de Saúde (FNS), observado o critério do parágrafo ú…</w:t>
            </w:r>
          </w:p>
        </w:tc>
      </w:tr>
      <w:tr>
        <w:tc>
          <w:tcPr/>
          <w:p>
            <w:pPr>
              <w:pStyle w:val="918"/>
              <w:jc w:val="right"/>
            </w:pPr>
            <w:r>
              <w:t xml:space="preserve">740</w:t>
            </w:r>
          </w:p>
        </w:tc>
        <w:tc>
          <w:tcPr/>
          <w:p>
            <w:pPr>
              <w:pStyle w:val="918"/>
              <w:jc w:val="left"/>
            </w:pPr>
            <w:r>
              <w:t xml:space="preserve">correspondentes às dotações consignadas no Orçamento da Seguridade So…</w:t>
            </w:r>
          </w:p>
        </w:tc>
      </w:tr>
      <w:tr>
        <w:tc>
          <w:tcPr/>
          <w:p>
            <w:pPr>
              <w:pStyle w:val="918"/>
              <w:jc w:val="right"/>
            </w:pPr>
            <w:r>
              <w:t xml:space="preserve">741</w:t>
            </w:r>
          </w:p>
        </w:tc>
        <w:tc>
          <w:tcPr/>
          <w:p>
            <w:pPr>
              <w:pStyle w:val="918"/>
              <w:jc w:val="left"/>
            </w:pPr>
            <w:r>
              <w:t xml:space="preserve">executados no âmbito do Sistema Único de Saúde (SUS).</w:t>
            </w:r>
          </w:p>
        </w:tc>
      </w:tr>
      <w:tr>
        <w:tc>
          <w:tcPr/>
          <w:p>
            <w:pPr>
              <w:pStyle w:val="918"/>
              <w:jc w:val="right"/>
            </w:pPr>
            <w:r>
              <w:t xml:space="preserve">742</w:t>
            </w:r>
          </w:p>
        </w:tc>
        <w:tc>
          <w:tcPr/>
          <w:p>
            <w:pPr>
              <w:pStyle w:val="918"/>
              <w:jc w:val="left"/>
            </w:pPr>
            <w:r>
              <w:t xml:space="preserve">Art. 35. Para o estabelecimento de valores a serem transferidos a Est…</w:t>
            </w:r>
          </w:p>
        </w:tc>
      </w:tr>
      <w:tr>
        <w:tc>
          <w:tcPr/>
          <w:p>
            <w:pPr>
              <w:pStyle w:val="918"/>
              <w:jc w:val="right"/>
            </w:pPr>
            <w:r>
              <w:t xml:space="preserve">743</w:t>
            </w:r>
          </w:p>
        </w:tc>
        <w:tc>
          <w:tcPr/>
          <w:p>
            <w:pPr>
              <w:pStyle w:val="918"/>
              <w:jc w:val="left"/>
            </w:pPr>
            <w:r>
              <w:t xml:space="preserve">combinação dos seguintes critérios, segundo análise técnica de progra…</w:t>
            </w:r>
          </w:p>
        </w:tc>
      </w:tr>
      <w:tr>
        <w:tc>
          <w:tcPr/>
          <w:p>
            <w:pPr>
              <w:pStyle w:val="918"/>
              <w:jc w:val="right"/>
            </w:pPr>
            <w:r>
              <w:t xml:space="preserve">744</w:t>
            </w:r>
          </w:p>
        </w:tc>
        <w:tc>
          <w:tcPr/>
          <w:p>
            <w:pPr>
              <w:pStyle w:val="918"/>
              <w:jc w:val="left"/>
            </w:pPr>
            <w:r>
              <w:t xml:space="preserve">perfil epidemiológico da população a ser coberta; III - característic…</w:t>
            </w:r>
          </w:p>
        </w:tc>
      </w:tr>
      <w:tr>
        <w:tc>
          <w:tcPr/>
          <w:p>
            <w:pPr>
              <w:pStyle w:val="918"/>
              <w:jc w:val="right"/>
            </w:pPr>
            <w:r>
              <w:t xml:space="preserve">745</w:t>
            </w:r>
          </w:p>
        </w:tc>
        <w:tc>
          <w:tcPr/>
          <w:p>
            <w:pPr>
              <w:pStyle w:val="918"/>
              <w:jc w:val="left"/>
            </w:pPr>
            <w:r>
              <w:t xml:space="preserve">IV - desempenho técnico, econômico e financeiro no período anterior; …</w:t>
            </w:r>
          </w:p>
        </w:tc>
      </w:tr>
      <w:tr>
        <w:tc>
          <w:tcPr/>
          <w:p>
            <w:pPr>
              <w:pStyle w:val="918"/>
              <w:jc w:val="right"/>
            </w:pPr>
            <w:r>
              <w:t xml:space="preserve">746</w:t>
            </w:r>
          </w:p>
        </w:tc>
        <w:tc>
          <w:tcPr/>
          <w:p>
            <w:pPr>
              <w:pStyle w:val="918"/>
              <w:jc w:val="left"/>
            </w:pPr>
            <w:r>
              <w:t xml:space="preserve">orçamentos estaduais e municipais; VI - previsão do plano quinquenal …</w:t>
            </w:r>
          </w:p>
        </w:tc>
      </w:tr>
      <w:tr>
        <w:tc>
          <w:tcPr/>
          <w:p>
            <w:pPr>
              <w:pStyle w:val="918"/>
              <w:jc w:val="right"/>
            </w:pPr>
            <w:r>
              <w:t xml:space="preserve">747</w:t>
            </w:r>
          </w:p>
        </w:tc>
        <w:tc>
          <w:tcPr/>
          <w:p>
            <w:pPr>
              <w:pStyle w:val="918"/>
              <w:jc w:val="left"/>
            </w:pPr>
            <w:r>
              <w:t xml:space="preserve">atendimento a serviços prestados para outras esferas de governo. § 1º…</w:t>
            </w:r>
          </w:p>
        </w:tc>
      </w:tr>
      <w:tr>
        <w:tc>
          <w:tcPr/>
          <w:p>
            <w:pPr>
              <w:pStyle w:val="918"/>
              <w:jc w:val="right"/>
            </w:pPr>
            <w:r>
              <w:t xml:space="preserve">748</w:t>
            </w:r>
          </w:p>
        </w:tc>
        <w:tc>
          <w:tcPr/>
          <w:p>
            <w:pPr>
              <w:pStyle w:val="918"/>
              <w:jc w:val="left"/>
            </w:pPr>
            <w:r>
              <w:t xml:space="preserve">Municípios será distribuída segundo o quociente de sua divisão pelo n…</w:t>
            </w:r>
          </w:p>
        </w:tc>
      </w:tr>
      <w:tr>
        <w:tc>
          <w:tcPr/>
          <w:p>
            <w:pPr>
              <w:pStyle w:val="918"/>
              <w:jc w:val="right"/>
            </w:pPr>
            <w:r>
              <w:t xml:space="preserve">749</w:t>
            </w:r>
          </w:p>
        </w:tc>
        <w:tc>
          <w:tcPr/>
          <w:p>
            <w:pPr>
              <w:pStyle w:val="918"/>
              <w:jc w:val="left"/>
            </w:pPr>
            <w:r>
              <w:t xml:space="preserve">qualquer procedimento prévio. (Revogado pela Lei Complementar nº 141,…</w:t>
            </w:r>
          </w:p>
        </w:tc>
      </w:tr>
      <w:tr>
        <w:tc>
          <w:tcPr/>
          <w:p>
            <w:pPr>
              <w:pStyle w:val="918"/>
              <w:jc w:val="right"/>
            </w:pPr>
            <w:r>
              <w:t xml:space="preserve">750</w:t>
            </w:r>
          </w:p>
        </w:tc>
        <w:tc>
          <w:tcPr/>
          <w:p>
            <w:pPr>
              <w:pStyle w:val="918"/>
              <w:jc w:val="left"/>
            </w:pPr>
            <w:r>
              <w:t xml:space="preserve">casos de Estados e Municípios sujeitos a notório processo de migração…</w:t>
            </w:r>
          </w:p>
        </w:tc>
      </w:tr>
      <w:tr>
        <w:tc>
          <w:tcPr/>
          <w:p>
            <w:pPr>
              <w:pStyle w:val="918"/>
              <w:jc w:val="right"/>
            </w:pPr>
            <w:r>
              <w:t xml:space="preserve">751</w:t>
            </w:r>
          </w:p>
        </w:tc>
        <w:tc>
          <w:tcPr/>
          <w:p>
            <w:pPr>
              <w:pStyle w:val="918"/>
              <w:jc w:val="left"/>
            </w:pPr>
            <w:r>
              <w:t xml:space="preserve">serão ponderados por outros indicadores de crescimento populacional, …</w:t>
            </w:r>
          </w:p>
        </w:tc>
      </w:tr>
      <w:tr>
        <w:tc>
          <w:tcPr/>
          <w:p>
            <w:pPr>
              <w:pStyle w:val="918"/>
              <w:jc w:val="right"/>
            </w:pPr>
            <w:r>
              <w:t xml:space="preserve">752</w:t>
            </w:r>
          </w:p>
        </w:tc>
        <w:tc>
          <w:tcPr/>
          <w:p>
            <w:pPr>
              <w:pStyle w:val="918"/>
              <w:jc w:val="left"/>
            </w:pPr>
            <w:r>
              <w:t xml:space="preserve">Além disso, existe a Lei n° 8.142, de 28 de dezembro de 1990, que tam…</w:t>
            </w:r>
          </w:p>
        </w:tc>
      </w:tr>
      <w:tr>
        <w:tc>
          <w:tcPr/>
          <w:p>
            <w:pPr>
              <w:pStyle w:val="918"/>
              <w:jc w:val="right"/>
            </w:pPr>
            <w:r>
              <w:t xml:space="preserve">753</w:t>
            </w:r>
          </w:p>
        </w:tc>
        <w:tc>
          <w:tcPr/>
          <w:p>
            <w:pPr>
              <w:pStyle w:val="918"/>
              <w:jc w:val="left"/>
            </w:pPr>
            <w:r>
              <w:t xml:space="preserve">subnacionais recebam recursos do Fundo Nacional de Saúde. Vejamos:</w:t>
            </w:r>
          </w:p>
        </w:tc>
      </w:tr>
      <w:tr>
        <w:tc>
          <w:tcPr/>
          <w:p>
            <w:pPr>
              <w:pStyle w:val="918"/>
              <w:jc w:val="right"/>
            </w:pPr>
            <w:r>
              <w:t xml:space="preserve">754</w:t>
            </w:r>
          </w:p>
        </w:tc>
        <w:tc>
          <w:tcPr/>
          <w:p>
            <w:pPr>
              <w:pStyle w:val="918"/>
              <w:jc w:val="left"/>
            </w:pPr>
            <w:r>
              <w:t xml:space="preserve">Art. 4° Para receberem os recursos, de que trata o art. 3° desta lei,…</w:t>
            </w:r>
          </w:p>
        </w:tc>
      </w:tr>
      <w:tr>
        <w:tc>
          <w:tcPr/>
          <w:p>
            <w:pPr>
              <w:pStyle w:val="918"/>
              <w:jc w:val="right"/>
            </w:pPr>
            <w:r>
              <w:t xml:space="preserve">755</w:t>
            </w:r>
          </w:p>
        </w:tc>
        <w:tc>
          <w:tcPr/>
          <w:p>
            <w:pPr>
              <w:pStyle w:val="918"/>
              <w:jc w:val="left"/>
            </w:pPr>
            <w:r>
              <w:t xml:space="preserve">contar com:</w:t>
            </w:r>
          </w:p>
        </w:tc>
      </w:tr>
      <w:tr>
        <w:tc>
          <w:tcPr/>
          <w:p>
            <w:pPr>
              <w:pStyle w:val="918"/>
              <w:jc w:val="right"/>
            </w:pPr>
            <w:r>
              <w:t xml:space="preserve">756</w:t>
            </w:r>
          </w:p>
        </w:tc>
        <w:tc>
          <w:tcPr/>
          <w:p>
            <w:pPr>
              <w:pStyle w:val="918"/>
              <w:jc w:val="left"/>
            </w:pPr>
            <w:r>
              <w:t xml:space="preserve">I - Fundo de Saúde;</w:t>
            </w:r>
          </w:p>
        </w:tc>
      </w:tr>
      <w:tr>
        <w:tc>
          <w:tcPr/>
          <w:p>
            <w:pPr>
              <w:pStyle w:val="918"/>
              <w:jc w:val="right"/>
            </w:pPr>
            <w:r>
              <w:t xml:space="preserve">757</w:t>
            </w:r>
          </w:p>
        </w:tc>
        <w:tc>
          <w:tcPr/>
          <w:p>
            <w:pPr>
              <w:pStyle w:val="918"/>
              <w:jc w:val="left"/>
            </w:pPr>
            <w:r>
              <w:t xml:space="preserve">II - Conselho de Saúde, com composição paritária de acordo com o Decr…</w:t>
            </w:r>
          </w:p>
        </w:tc>
      </w:tr>
      <w:tr>
        <w:tc>
          <w:tcPr/>
          <w:p>
            <w:pPr>
              <w:pStyle w:val="918"/>
              <w:jc w:val="right"/>
            </w:pPr>
            <w:r>
              <w:t xml:space="preserve">758</w:t>
            </w:r>
          </w:p>
        </w:tc>
        <w:tc>
          <w:tcPr/>
          <w:p>
            <w:pPr>
              <w:pStyle w:val="918"/>
              <w:jc w:val="left"/>
            </w:pPr>
            <w:r>
              <w:t xml:space="preserve">III - plano de saúde;</w:t>
            </w:r>
          </w:p>
        </w:tc>
      </w:tr>
      <w:tr>
        <w:tc>
          <w:tcPr/>
          <w:p>
            <w:pPr>
              <w:pStyle w:val="918"/>
              <w:jc w:val="right"/>
            </w:pPr>
            <w:r>
              <w:t xml:space="preserve">759</w:t>
            </w:r>
          </w:p>
        </w:tc>
        <w:tc>
          <w:tcPr/>
          <w:p>
            <w:pPr>
              <w:pStyle w:val="918"/>
              <w:jc w:val="left"/>
            </w:pPr>
            <w:r>
              <w:t xml:space="preserve">IV - relatórios de gestão que permitam o controle de que trata o § 4°…</w:t>
            </w:r>
          </w:p>
        </w:tc>
      </w:tr>
      <w:tr>
        <w:tc>
          <w:tcPr/>
          <w:p>
            <w:pPr>
              <w:pStyle w:val="918"/>
              <w:jc w:val="right"/>
            </w:pPr>
            <w:r>
              <w:t xml:space="preserve">760</w:t>
            </w:r>
          </w:p>
        </w:tc>
        <w:tc>
          <w:tcPr/>
          <w:p>
            <w:pPr>
              <w:pStyle w:val="918"/>
              <w:jc w:val="left"/>
            </w:pPr>
            <w:r>
              <w:t xml:space="preserve">V - contrapartida de recursos para a saúde no respectivo orçamento;</w:t>
            </w:r>
          </w:p>
        </w:tc>
      </w:tr>
      <w:tr>
        <w:tc>
          <w:tcPr/>
          <w:p>
            <w:pPr>
              <w:pStyle w:val="918"/>
              <w:jc w:val="right"/>
            </w:pPr>
            <w:r>
              <w:t xml:space="preserve">761</w:t>
            </w:r>
          </w:p>
        </w:tc>
        <w:tc>
          <w:tcPr/>
          <w:p>
            <w:pPr>
              <w:pStyle w:val="918"/>
              <w:jc w:val="left"/>
            </w:pPr>
            <w:r>
              <w:t xml:space="preserve">VI - Comissão de elaboração do Plano de Carreira, Cargos e Salários (…</w:t>
            </w:r>
          </w:p>
        </w:tc>
      </w:tr>
      <w:tr>
        <w:tc>
          <w:tcPr/>
          <w:p>
            <w:pPr>
              <w:pStyle w:val="918"/>
              <w:jc w:val="right"/>
            </w:pPr>
            <w:r>
              <w:t xml:space="preserve">762</w:t>
            </w:r>
          </w:p>
        </w:tc>
        <w:tc>
          <w:tcPr/>
          <w:p>
            <w:pPr>
              <w:pStyle w:val="918"/>
              <w:jc w:val="left"/>
            </w:pPr>
            <w:r>
              <w:t xml:space="preserve">implantação. Parágrafo único. O não atendimento pelos Municípios, ou …</w:t>
            </w:r>
          </w:p>
        </w:tc>
      </w:tr>
      <w:tr>
        <w:tc>
          <w:tcPr/>
          <w:p>
            <w:pPr>
              <w:pStyle w:val="918"/>
              <w:jc w:val="right"/>
            </w:pPr>
            <w:r>
              <w:t xml:space="preserve">763</w:t>
            </w:r>
          </w:p>
        </w:tc>
        <w:tc>
          <w:tcPr/>
          <w:p>
            <w:pPr>
              <w:pStyle w:val="918"/>
              <w:jc w:val="left"/>
            </w:pPr>
            <w:r>
              <w:t xml:space="preserve">requisitos estabelecidos neste artigo, implicará em que os recursos c…</w:t>
            </w:r>
          </w:p>
        </w:tc>
      </w:tr>
      <w:tr>
        <w:tc>
          <w:tcPr/>
          <w:p>
            <w:pPr>
              <w:pStyle w:val="918"/>
              <w:jc w:val="right"/>
            </w:pPr>
            <w:r>
              <w:t xml:space="preserve">764</w:t>
            </w:r>
          </w:p>
        </w:tc>
        <w:tc>
          <w:tcPr/>
          <w:p>
            <w:pPr>
              <w:pStyle w:val="918"/>
              <w:jc w:val="left"/>
            </w:pPr>
            <w:r>
              <w:t xml:space="preserve">pelos Estados ou pela União.</w:t>
            </w:r>
          </w:p>
        </w:tc>
      </w:tr>
      <w:tr>
        <w:tc>
          <w:tcPr/>
          <w:p>
            <w:pPr>
              <w:pStyle w:val="918"/>
              <w:jc w:val="right"/>
            </w:pPr>
            <w:r>
              <w:t xml:space="preserve">765</w:t>
            </w:r>
          </w:p>
        </w:tc>
        <w:tc>
          <w:tcPr/>
          <w:p>
            <w:pPr>
              <w:pStyle w:val="918"/>
              <w:jc w:val="left"/>
            </w:pPr>
            <w:r>
              <w:t xml:space="preserve">O Decreto n° 1.232, de 30 de agosto de 1994, que dispõe sobre as cond…</w:t>
            </w:r>
          </w:p>
        </w:tc>
      </w:tr>
      <w:tr>
        <w:tc>
          <w:tcPr/>
          <w:p>
            <w:pPr>
              <w:pStyle w:val="918"/>
              <w:jc w:val="right"/>
            </w:pPr>
            <w:r>
              <w:t xml:space="preserve">766</w:t>
            </w:r>
          </w:p>
        </w:tc>
        <w:tc>
          <w:tcPr/>
          <w:p>
            <w:pPr>
              <w:pStyle w:val="918"/>
              <w:jc w:val="left"/>
            </w:pPr>
            <w:r>
              <w:t xml:space="preserve">recursos do Fundo Nacional de Saúde para os fundos de saúde estaduais…</w:t>
            </w:r>
          </w:p>
        </w:tc>
      </w:tr>
      <w:tr>
        <w:tc>
          <w:tcPr/>
          <w:p>
            <w:pPr>
              <w:pStyle w:val="918"/>
              <w:jc w:val="right"/>
            </w:pPr>
            <w:r>
              <w:t xml:space="preserve">767</w:t>
            </w:r>
          </w:p>
        </w:tc>
        <w:tc>
          <w:tcPr/>
          <w:p>
            <w:pPr>
              <w:pStyle w:val="918"/>
              <w:jc w:val="left"/>
            </w:pPr>
            <w:r>
              <w:t xml:space="preserve">a apresentação pelo ente subnacional de um plano de saúde, que nada m…</w:t>
            </w:r>
          </w:p>
        </w:tc>
      </w:tr>
      <w:tr>
        <w:tc>
          <w:tcPr/>
          <w:p>
            <w:pPr>
              <w:pStyle w:val="918"/>
              <w:jc w:val="right"/>
            </w:pPr>
            <w:r>
              <w:t xml:space="preserve">768</w:t>
            </w:r>
          </w:p>
        </w:tc>
        <w:tc>
          <w:tcPr/>
          <w:p>
            <w:pPr>
              <w:pStyle w:val="918"/>
              <w:jc w:val="left"/>
            </w:pPr>
            <w:r>
              <w:t xml:space="preserve">interfederativa que visa a nortear a atuação de todos os entes gestor…</w:t>
            </w:r>
          </w:p>
        </w:tc>
      </w:tr>
      <w:tr>
        <w:tc>
          <w:tcPr/>
          <w:p>
            <w:pPr>
              <w:pStyle w:val="918"/>
              <w:jc w:val="right"/>
            </w:pPr>
            <w:r>
              <w:t xml:space="preserve">769</w:t>
            </w:r>
          </w:p>
        </w:tc>
        <w:tc>
          <w:tcPr/>
          <w:p>
            <w:pPr>
              <w:pStyle w:val="918"/>
              <w:jc w:val="left"/>
            </w:pPr>
            <w:r>
              <w:t xml:space="preserve">A Lei Complementar n° 141, de 2012, também prevê que a fiscalização d…</w:t>
            </w:r>
          </w:p>
        </w:tc>
      </w:tr>
      <w:tr>
        <w:tc>
          <w:tcPr/>
          <w:p>
            <w:pPr>
              <w:pStyle w:val="918"/>
              <w:jc w:val="right"/>
            </w:pPr>
            <w:r>
              <w:t xml:space="preserve">770</w:t>
            </w:r>
          </w:p>
        </w:tc>
        <w:tc>
          <w:tcPr/>
          <w:p>
            <w:pPr>
              <w:pStyle w:val="918"/>
              <w:jc w:val="left"/>
            </w:pPr>
            <w:r>
              <w:t xml:space="preserve">sistema de auditoria de SUS pelos órgãos de controle interno de cada …</w:t>
            </w:r>
          </w:p>
        </w:tc>
      </w:tr>
      <w:tr>
        <w:tc>
          <w:tcPr/>
          <w:p>
            <w:pPr>
              <w:pStyle w:val="918"/>
              <w:jc w:val="right"/>
            </w:pPr>
            <w:r>
              <w:t xml:space="preserve">771</w:t>
            </w:r>
          </w:p>
        </w:tc>
        <w:tc>
          <w:tcPr/>
          <w:p>
            <w:pPr>
              <w:pStyle w:val="918"/>
              <w:jc w:val="left"/>
            </w:pPr>
            <w:r>
              <w:t xml:space="preserve">cumprimento da mesma lei. Vejamos:</w:t>
            </w:r>
          </w:p>
        </w:tc>
      </w:tr>
      <w:tr>
        <w:tc>
          <w:tcPr/>
          <w:p>
            <w:pPr>
              <w:pStyle w:val="918"/>
              <w:jc w:val="right"/>
            </w:pPr>
            <w:r>
              <w:t xml:space="preserve">772</w:t>
            </w:r>
          </w:p>
        </w:tc>
        <w:tc>
          <w:tcPr/>
          <w:p>
            <w:pPr>
              <w:pStyle w:val="918"/>
              <w:jc w:val="left"/>
            </w:pPr>
            <w:r>
              <w:t xml:space="preserve">Art. 27. Quando os órgãos de controle interno do ente beneficiário, d…</w:t>
            </w:r>
          </w:p>
        </w:tc>
      </w:tr>
      <w:tr>
        <w:tc>
          <w:tcPr/>
          <w:p>
            <w:pPr>
              <w:pStyle w:val="918"/>
              <w:jc w:val="right"/>
            </w:pPr>
            <w:r>
              <w:t xml:space="preserve">773</w:t>
            </w:r>
          </w:p>
        </w:tc>
        <w:tc>
          <w:tcPr/>
          <w:p>
            <w:pPr>
              <w:pStyle w:val="918"/>
              <w:jc w:val="left"/>
            </w:pPr>
            <w:r>
              <w:t xml:space="preserve">detectarem que os recursos previstos no inciso II do § 3º do art. 198…</w:t>
            </w:r>
          </w:p>
        </w:tc>
      </w:tr>
      <w:tr>
        <w:tc>
          <w:tcPr/>
          <w:p>
            <w:pPr>
              <w:pStyle w:val="918"/>
              <w:jc w:val="right"/>
            </w:pPr>
            <w:r>
              <w:t xml:space="preserve">774</w:t>
            </w:r>
          </w:p>
        </w:tc>
        <w:tc>
          <w:tcPr/>
          <w:p>
            <w:pPr>
              <w:pStyle w:val="918"/>
              <w:jc w:val="left"/>
            </w:pPr>
            <w:r>
              <w:t xml:space="preserve">ações e serviços diversos dos previstos no art. 3o desta Lei Compleme…</w:t>
            </w:r>
          </w:p>
        </w:tc>
      </w:tr>
      <w:tr>
        <w:tc>
          <w:tcPr/>
          <w:p>
            <w:pPr>
              <w:pStyle w:val="918"/>
              <w:jc w:val="right"/>
            </w:pPr>
            <w:r>
              <w:t xml:space="preserve">775</w:t>
            </w:r>
          </w:p>
        </w:tc>
        <w:tc>
          <w:tcPr/>
          <w:p>
            <w:pPr>
              <w:pStyle w:val="918"/>
              <w:jc w:val="left"/>
            </w:pPr>
            <w:r>
              <w:t xml:space="preserve">originalmente pactuado, darão ciência ao Tribunal de Contas e ao Mini…</w:t>
            </w:r>
          </w:p>
        </w:tc>
      </w:tr>
      <w:tr>
        <w:tc>
          <w:tcPr/>
          <w:p>
            <w:pPr>
              <w:pStyle w:val="918"/>
              <w:jc w:val="right"/>
            </w:pPr>
            <w:r>
              <w:t xml:space="preserve">776</w:t>
            </w:r>
          </w:p>
        </w:tc>
        <w:tc>
          <w:tcPr/>
          <w:p>
            <w:pPr>
              <w:pStyle w:val="918"/>
              <w:jc w:val="left"/>
            </w:pPr>
            <w:r>
              <w:t xml:space="preserve">do recurso, com vistas:</w:t>
            </w:r>
          </w:p>
        </w:tc>
      </w:tr>
      <w:tr>
        <w:tc>
          <w:tcPr/>
          <w:p>
            <w:pPr>
              <w:pStyle w:val="918"/>
              <w:jc w:val="right"/>
            </w:pPr>
            <w:r>
              <w:t xml:space="preserve">777</w:t>
            </w:r>
          </w:p>
        </w:tc>
        <w:tc>
          <w:tcPr/>
          <w:p>
            <w:pPr>
              <w:pStyle w:val="918"/>
              <w:jc w:val="left"/>
            </w:pPr>
            <w:r>
              <w:t xml:space="preserve">I - à adoção das providências legais, no sentido de determinar a imed…</w:t>
            </w:r>
          </w:p>
        </w:tc>
      </w:tr>
      <w:tr>
        <w:tc>
          <w:tcPr/>
          <w:p>
            <w:pPr>
              <w:pStyle w:val="918"/>
              <w:jc w:val="right"/>
            </w:pPr>
            <w:r>
              <w:t xml:space="preserve">778</w:t>
            </w:r>
          </w:p>
        </w:tc>
        <w:tc>
          <w:tcPr/>
          <w:p>
            <w:pPr>
              <w:pStyle w:val="918"/>
              <w:jc w:val="left"/>
            </w:pPr>
            <w:r>
              <w:t xml:space="preserve">Saúde do ente da Federação beneficiário, devidamente atualizados por …</w:t>
            </w:r>
          </w:p>
        </w:tc>
      </w:tr>
      <w:tr>
        <w:tc>
          <w:tcPr/>
          <w:p>
            <w:pPr>
              <w:pStyle w:val="918"/>
              <w:jc w:val="right"/>
            </w:pPr>
            <w:r>
              <w:t xml:space="preserve">779</w:t>
            </w:r>
          </w:p>
        </w:tc>
        <w:tc>
          <w:tcPr/>
          <w:p>
            <w:pPr>
              <w:pStyle w:val="918"/>
              <w:jc w:val="left"/>
            </w:pPr>
            <w:r>
              <w:t xml:space="preserve">visando ao cumprimento do objetivo do repasse;</w:t>
            </w:r>
          </w:p>
        </w:tc>
      </w:tr>
      <w:tr>
        <w:tc>
          <w:tcPr/>
          <w:p>
            <w:pPr>
              <w:pStyle w:val="918"/>
              <w:jc w:val="right"/>
            </w:pPr>
            <w:r>
              <w:t xml:space="preserve">780</w:t>
            </w:r>
          </w:p>
        </w:tc>
        <w:tc>
          <w:tcPr/>
          <w:p>
            <w:pPr>
              <w:pStyle w:val="918"/>
              <w:jc w:val="left"/>
            </w:pPr>
            <w:r>
              <w:t xml:space="preserve">II - à responsabilização nas esferas competentes.</w:t>
            </w:r>
          </w:p>
        </w:tc>
      </w:tr>
      <w:tr>
        <w:tc>
          <w:tcPr/>
          <w:p>
            <w:pPr>
              <w:pStyle w:val="918"/>
              <w:jc w:val="right"/>
            </w:pPr>
            <w:r>
              <w:t xml:space="preserve">781</w:t>
            </w:r>
          </w:p>
        </w:tc>
        <w:tc>
          <w:tcPr/>
          <w:p>
            <w:pPr>
              <w:pStyle w:val="918"/>
              <w:jc w:val="left"/>
            </w:pPr>
            <w:r>
              <w:t xml:space="preserve">Art. 37. Os órgãos fiscalizadores examinarão, prioritariamente, na pr…</w:t>
            </w:r>
          </w:p>
        </w:tc>
      </w:tr>
      <w:tr>
        <w:tc>
          <w:tcPr/>
          <w:p>
            <w:pPr>
              <w:pStyle w:val="918"/>
              <w:jc w:val="right"/>
            </w:pPr>
            <w:r>
              <w:t xml:space="preserve">793</w:t>
            </w:r>
          </w:p>
        </w:tc>
        <w:tc>
          <w:tcPr/>
          <w:p>
            <w:pPr>
              <w:pStyle w:val="918"/>
              <w:jc w:val="left"/>
            </w:pPr>
            <w:r>
              <w:t xml:space="preserve">art. 56 da Lei Complementar nº 101, de 4 de maio de 2000, o cumprimen…</w:t>
            </w:r>
          </w:p>
        </w:tc>
      </w:tr>
      <w:tr>
        <w:tc>
          <w:tcPr/>
          <w:p>
            <w:pPr>
              <w:pStyle w:val="918"/>
              <w:jc w:val="right"/>
            </w:pPr>
            <w:r>
              <w:t xml:space="preserve">794</w:t>
            </w:r>
          </w:p>
        </w:tc>
        <w:tc>
          <w:tcPr/>
          <w:p>
            <w:pPr>
              <w:pStyle w:val="918"/>
              <w:jc w:val="left"/>
            </w:pPr>
            <w:r>
              <w:t xml:space="preserve">nesta Lei Complementar.</w:t>
            </w:r>
          </w:p>
        </w:tc>
      </w:tr>
      <w:tr>
        <w:tc>
          <w:tcPr/>
          <w:p>
            <w:pPr>
              <w:pStyle w:val="918"/>
              <w:jc w:val="right"/>
            </w:pPr>
            <w:r>
              <w:t xml:space="preserve">795</w:t>
            </w:r>
          </w:p>
        </w:tc>
        <w:tc>
          <w:tcPr/>
          <w:p>
            <w:pPr>
              <w:pStyle w:val="918"/>
              <w:jc w:val="left"/>
            </w:pPr>
            <w:r>
              <w:t xml:space="preserve">Art. 38. O Poder Legislativo, diretamente ou com o auxílio dos Tribun…</w:t>
            </w:r>
          </w:p>
        </w:tc>
      </w:tr>
      <w:tr>
        <w:tc>
          <w:tcPr/>
          <w:p>
            <w:pPr>
              <w:pStyle w:val="918"/>
              <w:jc w:val="right"/>
            </w:pPr>
            <w:r>
              <w:t xml:space="preserve">796</w:t>
            </w:r>
          </w:p>
        </w:tc>
        <w:tc>
          <w:tcPr/>
          <w:p>
            <w:pPr>
              <w:pStyle w:val="918"/>
              <w:jc w:val="left"/>
            </w:pPr>
            <w:r>
              <w:t xml:space="preserve">órgão de controle interno e do Conselho de Saúde de cada ente da Fede…</w:t>
            </w:r>
          </w:p>
        </w:tc>
      </w:tr>
      <w:tr>
        <w:tc>
          <w:tcPr/>
          <w:p>
            <w:pPr>
              <w:pStyle w:val="918"/>
              <w:jc w:val="right"/>
            </w:pPr>
            <w:r>
              <w:t xml:space="preserve">797</w:t>
            </w:r>
          </w:p>
        </w:tc>
        <w:tc>
          <w:tcPr/>
          <w:p>
            <w:pPr>
              <w:pStyle w:val="918"/>
              <w:jc w:val="left"/>
            </w:pPr>
            <w:r>
              <w:t xml:space="preserve">Complementar, fiscalizará o cumprimento das normas desta Lei Compleme…</w:t>
            </w:r>
          </w:p>
        </w:tc>
      </w:tr>
      <w:tr>
        <w:tc>
          <w:tcPr/>
          <w:p>
            <w:pPr>
              <w:pStyle w:val="918"/>
              <w:jc w:val="right"/>
            </w:pPr>
            <w:r>
              <w:t xml:space="preserve">798</w:t>
            </w:r>
          </w:p>
        </w:tc>
        <w:tc>
          <w:tcPr/>
          <w:p>
            <w:pPr>
              <w:pStyle w:val="918"/>
              <w:jc w:val="left"/>
            </w:pPr>
            <w:r>
              <w:t xml:space="preserve">I - à elaboração e execução do Plano de Saúde Plurianual;</w:t>
            </w:r>
          </w:p>
        </w:tc>
      </w:tr>
      <w:tr>
        <w:tc>
          <w:tcPr/>
          <w:p>
            <w:pPr>
              <w:pStyle w:val="918"/>
              <w:jc w:val="right"/>
            </w:pPr>
            <w:r>
              <w:t xml:space="preserve">799</w:t>
            </w:r>
          </w:p>
        </w:tc>
        <w:tc>
          <w:tcPr/>
          <w:p>
            <w:pPr>
              <w:pStyle w:val="918"/>
              <w:jc w:val="left"/>
            </w:pPr>
            <w:r>
              <w:t xml:space="preserve">II - ao cumprimento das metas para a saúde estabelecidas na lei de di…</w:t>
            </w:r>
          </w:p>
        </w:tc>
      </w:tr>
      <w:tr>
        <w:tc>
          <w:tcPr/>
          <w:p>
            <w:pPr>
              <w:pStyle w:val="918"/>
              <w:jc w:val="right"/>
            </w:pPr>
            <w:r>
              <w:t xml:space="preserve">800</w:t>
            </w:r>
          </w:p>
        </w:tc>
        <w:tc>
          <w:tcPr/>
          <w:p>
            <w:pPr>
              <w:pStyle w:val="918"/>
              <w:jc w:val="left"/>
            </w:pPr>
            <w:r>
              <w:t xml:space="preserve">III - à aplicação dos recursos mínimos em ações e serviços públicos d…</w:t>
            </w:r>
          </w:p>
        </w:tc>
      </w:tr>
      <w:tr>
        <w:tc>
          <w:tcPr/>
          <w:p>
            <w:pPr>
              <w:pStyle w:val="918"/>
              <w:jc w:val="right"/>
            </w:pPr>
            <w:r>
              <w:t xml:space="preserve">801</w:t>
            </w:r>
          </w:p>
        </w:tc>
        <w:tc>
          <w:tcPr/>
          <w:p>
            <w:pPr>
              <w:pStyle w:val="918"/>
              <w:jc w:val="left"/>
            </w:pPr>
            <w:r>
              <w:t xml:space="preserve">Complementar;</w:t>
            </w:r>
          </w:p>
        </w:tc>
      </w:tr>
      <w:tr>
        <w:tc>
          <w:tcPr/>
          <w:p>
            <w:pPr>
              <w:pStyle w:val="918"/>
              <w:jc w:val="right"/>
            </w:pPr>
            <w:r>
              <w:t xml:space="preserve">802</w:t>
            </w:r>
          </w:p>
        </w:tc>
        <w:tc>
          <w:tcPr/>
          <w:p>
            <w:pPr>
              <w:pStyle w:val="918"/>
              <w:jc w:val="left"/>
            </w:pPr>
            <w:r>
              <w:t xml:space="preserve">IV - às transferências dos recursos aos Fundos de Saúde;</w:t>
            </w:r>
          </w:p>
        </w:tc>
      </w:tr>
      <w:tr>
        <w:tc>
          <w:tcPr/>
          <w:p>
            <w:pPr>
              <w:pStyle w:val="918"/>
              <w:jc w:val="right"/>
            </w:pPr>
            <w:r>
              <w:t xml:space="preserve">803</w:t>
            </w:r>
          </w:p>
        </w:tc>
        <w:tc>
          <w:tcPr/>
          <w:p>
            <w:pPr>
              <w:pStyle w:val="918"/>
              <w:jc w:val="left"/>
            </w:pPr>
            <w:r>
              <w:t xml:space="preserve">V - à aplicação dos recursos vinculados ao SUS;</w:t>
            </w:r>
          </w:p>
        </w:tc>
      </w:tr>
      <w:tr>
        <w:tc>
          <w:tcPr/>
          <w:p>
            <w:pPr>
              <w:pStyle w:val="918"/>
              <w:jc w:val="right"/>
            </w:pPr>
            <w:r>
              <w:t xml:space="preserve">804</w:t>
            </w:r>
          </w:p>
        </w:tc>
        <w:tc>
          <w:tcPr/>
          <w:p>
            <w:pPr>
              <w:pStyle w:val="918"/>
              <w:jc w:val="left"/>
            </w:pPr>
            <w:r>
              <w:t xml:space="preserve">VI - à destinação dos recursos obtidos com a alienação de ativos adqu…</w:t>
            </w:r>
          </w:p>
        </w:tc>
      </w:tr>
      <w:tr>
        <w:tc>
          <w:tcPr/>
          <w:p>
            <w:pPr>
              <w:pStyle w:val="918"/>
              <w:jc w:val="right"/>
            </w:pPr>
            <w:r>
              <w:t xml:space="preserve">805</w:t>
            </w:r>
          </w:p>
        </w:tc>
        <w:tc>
          <w:tcPr/>
          <w:p>
            <w:pPr>
              <w:pStyle w:val="918"/>
              <w:jc w:val="left"/>
            </w:pPr>
            <w:r>
              <w:t xml:space="preserve">Art. 40. Os Poderes Executivos da União, dos Estados, do Distrito Fed…</w:t>
            </w:r>
          </w:p>
        </w:tc>
      </w:tr>
      <w:tr>
        <w:tc>
          <w:tcPr/>
          <w:p>
            <w:pPr>
              <w:pStyle w:val="918"/>
              <w:jc w:val="right"/>
            </w:pPr>
            <w:r>
              <w:t xml:space="preserve">806</w:t>
            </w:r>
          </w:p>
        </w:tc>
        <w:tc>
          <w:tcPr/>
          <w:p>
            <w:pPr>
              <w:pStyle w:val="918"/>
              <w:jc w:val="left"/>
            </w:pPr>
            <w:r>
              <w:t xml:space="preserve">respectivos Tribunais de Contas, informações sobre o cumprimento dest…</w:t>
            </w:r>
          </w:p>
        </w:tc>
      </w:tr>
      <w:tr>
        <w:tc>
          <w:tcPr/>
          <w:p>
            <w:pPr>
              <w:pStyle w:val="918"/>
              <w:jc w:val="right"/>
            </w:pPr>
            <w:r>
              <w:t xml:space="preserve">807</w:t>
            </w:r>
          </w:p>
        </w:tc>
        <w:tc>
          <w:tcPr/>
          <w:p>
            <w:pPr>
              <w:pStyle w:val="918"/>
              <w:jc w:val="left"/>
            </w:pPr>
            <w:r>
              <w:t xml:space="preserve">subsidiar as ações de controle e fiscalização. Parágrafo único. Const…</w:t>
            </w:r>
          </w:p>
        </w:tc>
      </w:tr>
      <w:tr>
        <w:tc>
          <w:tcPr/>
          <w:p>
            <w:pPr>
              <w:pStyle w:val="918"/>
              <w:jc w:val="right"/>
            </w:pPr>
            <w:r>
              <w:t xml:space="preserve">808</w:t>
            </w:r>
          </w:p>
        </w:tc>
        <w:tc>
          <w:tcPr/>
          <w:p>
            <w:pPr>
              <w:pStyle w:val="918"/>
              <w:jc w:val="left"/>
            </w:pPr>
            <w:r>
              <w:t xml:space="preserve">pelo Poder Executivo e os obtidos pelos Tribunais de Contas em seus p…</w:t>
            </w:r>
          </w:p>
        </w:tc>
      </w:tr>
      <w:tr>
        <w:tc>
          <w:tcPr/>
          <w:p>
            <w:pPr>
              <w:pStyle w:val="918"/>
              <w:jc w:val="right"/>
            </w:pPr>
            <w:r>
              <w:t xml:space="preserve">809</w:t>
            </w:r>
          </w:p>
        </w:tc>
        <w:tc>
          <w:tcPr/>
          <w:p>
            <w:pPr>
              <w:pStyle w:val="918"/>
              <w:jc w:val="left"/>
            </w:pPr>
            <w:r>
              <w:t xml:space="preserve">Poder Executivo e à direção local do SUS, para que sejam adotadas as …</w:t>
            </w:r>
          </w:p>
        </w:tc>
      </w:tr>
      <w:tr>
        <w:tc>
          <w:tcPr/>
          <w:p>
            <w:pPr>
              <w:pStyle w:val="918"/>
              <w:jc w:val="right"/>
            </w:pPr>
            <w:r>
              <w:t xml:space="preserve">810</w:t>
            </w:r>
          </w:p>
        </w:tc>
        <w:tc>
          <w:tcPr/>
          <w:p>
            <w:pPr>
              <w:pStyle w:val="918"/>
              <w:jc w:val="left"/>
            </w:pPr>
            <w:r>
              <w:t xml:space="preserve">previstas em lei.</w:t>
            </w:r>
          </w:p>
        </w:tc>
      </w:tr>
      <w:tr>
        <w:tc>
          <w:tcPr/>
          <w:p>
            <w:pPr>
              <w:pStyle w:val="918"/>
              <w:jc w:val="right"/>
            </w:pPr>
            <w:r>
              <w:t xml:space="preserve">811</w:t>
            </w:r>
          </w:p>
        </w:tc>
        <w:tc>
          <w:tcPr/>
          <w:p>
            <w:pPr>
              <w:pStyle w:val="918"/>
              <w:jc w:val="left"/>
            </w:pPr>
            <w:r>
              <w:t xml:space="preserve">Além disso, o Decreto n° 7.827, de 16 de outubro de 2012, estabelece …</w:t>
            </w:r>
          </w:p>
        </w:tc>
      </w:tr>
      <w:tr>
        <w:tc>
          <w:tcPr/>
          <w:p>
            <w:pPr>
              <w:pStyle w:val="918"/>
              <w:jc w:val="right"/>
            </w:pPr>
            <w:r>
              <w:t xml:space="preserve">812</w:t>
            </w:r>
          </w:p>
        </w:tc>
        <w:tc>
          <w:tcPr/>
          <w:p>
            <w:pPr>
              <w:pStyle w:val="918"/>
              <w:jc w:val="left"/>
            </w:pPr>
            <w:r>
              <w:t xml:space="preserve">ao eventual descumprimento da Lei Complementar n° 141, de 2012:</w:t>
            </w:r>
          </w:p>
        </w:tc>
      </w:tr>
      <w:tr>
        <w:tc>
          <w:tcPr/>
          <w:p>
            <w:pPr>
              <w:pStyle w:val="918"/>
              <w:jc w:val="right"/>
            </w:pPr>
            <w:r>
              <w:t xml:space="preserve">813</w:t>
            </w:r>
          </w:p>
        </w:tc>
        <w:tc>
          <w:tcPr/>
          <w:p>
            <w:pPr>
              <w:pStyle w:val="918"/>
              <w:jc w:val="left"/>
            </w:pPr>
            <w:r>
              <w:t xml:space="preserve">Art. 23. Verificado o descumprimento das disposições da Lei Complemen…</w:t>
            </w:r>
          </w:p>
        </w:tc>
      </w:tr>
      <w:tr>
        <w:tc>
          <w:tcPr/>
          <w:p>
            <w:pPr>
              <w:pStyle w:val="918"/>
              <w:jc w:val="right"/>
            </w:pPr>
            <w:r>
              <w:t xml:space="preserve">814</w:t>
            </w:r>
          </w:p>
        </w:tc>
        <w:tc>
          <w:tcPr/>
          <w:p>
            <w:pPr>
              <w:pStyle w:val="918"/>
              <w:jc w:val="left"/>
            </w:pPr>
            <w:r>
              <w:t xml:space="preserve">detectada a aplicação de recursos federais em objeto diverso do origi…</w:t>
            </w:r>
          </w:p>
        </w:tc>
      </w:tr>
      <w:tr>
        <w:tc>
          <w:tcPr/>
          <w:p>
            <w:pPr>
              <w:pStyle w:val="918"/>
              <w:jc w:val="right"/>
            </w:pPr>
            <w:r>
              <w:t xml:space="preserve">815</w:t>
            </w:r>
          </w:p>
        </w:tc>
        <w:tc>
          <w:tcPr/>
          <w:p>
            <w:pPr>
              <w:pStyle w:val="918"/>
              <w:jc w:val="left"/>
            </w:pPr>
            <w:r>
              <w:t xml:space="preserve">comunicará a irregularidade:</w:t>
            </w:r>
          </w:p>
        </w:tc>
      </w:tr>
      <w:tr>
        <w:tc>
          <w:tcPr/>
          <w:p>
            <w:pPr>
              <w:pStyle w:val="918"/>
              <w:jc w:val="right"/>
            </w:pPr>
            <w:r>
              <w:t xml:space="preserve">816</w:t>
            </w:r>
          </w:p>
        </w:tc>
        <w:tc>
          <w:tcPr/>
          <w:p>
            <w:pPr>
              <w:pStyle w:val="918"/>
              <w:jc w:val="left"/>
            </w:pPr>
            <w:r>
              <w:t xml:space="preserve">I - ao órgão de auditoria do SUS;</w:t>
            </w:r>
          </w:p>
        </w:tc>
      </w:tr>
      <w:tr>
        <w:tc>
          <w:tcPr/>
          <w:p>
            <w:pPr>
              <w:pStyle w:val="918"/>
              <w:jc w:val="right"/>
            </w:pPr>
            <w:r>
              <w:t xml:space="preserve">817</w:t>
            </w:r>
          </w:p>
        </w:tc>
        <w:tc>
          <w:tcPr/>
          <w:p>
            <w:pPr>
              <w:pStyle w:val="918"/>
              <w:jc w:val="left"/>
            </w:pPr>
            <w:r>
              <w:t xml:space="preserve">II - à direção local do SUS;</w:t>
            </w:r>
          </w:p>
        </w:tc>
      </w:tr>
      <w:tr>
        <w:tc>
          <w:tcPr/>
          <w:p>
            <w:pPr>
              <w:pStyle w:val="918"/>
              <w:jc w:val="right"/>
            </w:pPr>
            <w:r>
              <w:t xml:space="preserve">818</w:t>
            </w:r>
          </w:p>
        </w:tc>
        <w:tc>
          <w:tcPr/>
          <w:p>
            <w:pPr>
              <w:pStyle w:val="918"/>
              <w:jc w:val="left"/>
            </w:pPr>
            <w:r>
              <w:t xml:space="preserve">III - ao responsável pela administração orçamentária e financeira do …</w:t>
            </w:r>
          </w:p>
        </w:tc>
      </w:tr>
      <w:tr>
        <w:tc>
          <w:tcPr/>
          <w:p>
            <w:pPr>
              <w:pStyle w:val="918"/>
              <w:jc w:val="right"/>
            </w:pPr>
            <w:r>
              <w:t xml:space="preserve">819</w:t>
            </w:r>
          </w:p>
        </w:tc>
        <w:tc>
          <w:tcPr/>
          <w:p>
            <w:pPr>
              <w:pStyle w:val="918"/>
              <w:jc w:val="left"/>
            </w:pPr>
            <w:r>
              <w:t xml:space="preserve">IV - aos órgãos de controle interno e externo do ente federativo;</w:t>
            </w:r>
          </w:p>
        </w:tc>
      </w:tr>
      <w:tr>
        <w:tc>
          <w:tcPr/>
          <w:p>
            <w:pPr>
              <w:pStyle w:val="918"/>
              <w:jc w:val="right"/>
            </w:pPr>
            <w:r>
              <w:t xml:space="preserve">820</w:t>
            </w:r>
          </w:p>
        </w:tc>
        <w:tc>
          <w:tcPr/>
          <w:p>
            <w:pPr>
              <w:pStyle w:val="918"/>
              <w:jc w:val="left"/>
            </w:pPr>
            <w:r>
              <w:t xml:space="preserve">V - ao Conselho de Saúde; e</w:t>
            </w:r>
          </w:p>
        </w:tc>
      </w:tr>
      <w:tr>
        <w:tc>
          <w:tcPr/>
          <w:p>
            <w:pPr>
              <w:pStyle w:val="918"/>
              <w:jc w:val="right"/>
            </w:pPr>
            <w:r>
              <w:t xml:space="preserve">821</w:t>
            </w:r>
          </w:p>
        </w:tc>
        <w:tc>
          <w:tcPr/>
          <w:p>
            <w:pPr>
              <w:pStyle w:val="918"/>
              <w:jc w:val="left"/>
            </w:pPr>
            <w:r>
              <w:t xml:space="preserve">VI - ao Ministério Público.</w:t>
            </w:r>
          </w:p>
        </w:tc>
      </w:tr>
      <w:tr>
        <w:tc>
          <w:tcPr/>
          <w:p>
            <w:pPr>
              <w:pStyle w:val="918"/>
              <w:jc w:val="right"/>
            </w:pPr>
            <w:r>
              <w:t xml:space="preserve">822</w:t>
            </w:r>
          </w:p>
        </w:tc>
        <w:tc>
          <w:tcPr/>
          <w:p>
            <w:pPr>
              <w:pStyle w:val="918"/>
              <w:jc w:val="left"/>
            </w:pPr>
            <w:r>
              <w:t xml:space="preserve">§ 1º A comunicação a que se refere o caput somente será encaminhada a…</w:t>
            </w:r>
          </w:p>
        </w:tc>
      </w:tr>
      <w:tr>
        <w:tc>
          <w:tcPr/>
          <w:p>
            <w:pPr>
              <w:pStyle w:val="918"/>
              <w:jc w:val="right"/>
            </w:pPr>
            <w:r>
              <w:t xml:space="preserve">823</w:t>
            </w:r>
          </w:p>
        </w:tc>
        <w:tc>
          <w:tcPr/>
          <w:p>
            <w:pPr>
              <w:pStyle w:val="918"/>
              <w:jc w:val="left"/>
            </w:pPr>
            <w:r>
              <w:t xml:space="preserve">Público com atribuição para o caso após o esgotamento da via administ…</w:t>
            </w:r>
          </w:p>
        </w:tc>
      </w:tr>
      <w:tr>
        <w:tc>
          <w:tcPr/>
          <w:p>
            <w:pPr>
              <w:pStyle w:val="918"/>
              <w:jc w:val="right"/>
            </w:pPr>
            <w:r>
              <w:t xml:space="preserve">824</w:t>
            </w:r>
          </w:p>
        </w:tc>
        <w:tc>
          <w:tcPr/>
          <w:p>
            <w:pPr>
              <w:pStyle w:val="918"/>
              <w:jc w:val="left"/>
            </w:pPr>
            <w:r>
              <w:t xml:space="preserve">sem prejuízo do exercício autônomo das competências e atribuições pre…</w:t>
            </w:r>
          </w:p>
        </w:tc>
      </w:tr>
      <w:tr>
        <w:tc>
          <w:tcPr/>
          <w:p>
            <w:pPr>
              <w:pStyle w:val="918"/>
              <w:jc w:val="right"/>
            </w:pPr>
            <w:r>
              <w:t xml:space="preserve">825</w:t>
            </w:r>
          </w:p>
        </w:tc>
        <w:tc>
          <w:tcPr/>
          <w:p>
            <w:pPr>
              <w:pStyle w:val="918"/>
              <w:jc w:val="left"/>
            </w:pPr>
            <w:r>
              <w:t xml:space="preserve">§ 2º A atuação dos destinatários da comunicação de que trata o caput …</w:t>
            </w:r>
          </w:p>
        </w:tc>
      </w:tr>
      <w:tr>
        <w:tc>
          <w:tcPr/>
          <w:p>
            <w:pPr>
              <w:pStyle w:val="918"/>
              <w:jc w:val="right"/>
            </w:pPr>
            <w:r>
              <w:t xml:space="preserve">826</w:t>
            </w:r>
          </w:p>
        </w:tc>
        <w:tc>
          <w:tcPr/>
          <w:p>
            <w:pPr>
              <w:pStyle w:val="918"/>
              <w:jc w:val="left"/>
            </w:pPr>
            <w:r>
              <w:t xml:space="preserve">dos recursos irregularmente aplicados ao Fundo de Saúde do ente feder…</w:t>
            </w:r>
          </w:p>
        </w:tc>
      </w:tr>
      <w:tr>
        <w:tc>
          <w:tcPr/>
          <w:p>
            <w:pPr>
              <w:pStyle w:val="918"/>
              <w:jc w:val="right"/>
            </w:pPr>
            <w:r>
              <w:t xml:space="preserve">827</w:t>
            </w:r>
          </w:p>
        </w:tc>
        <w:tc>
          <w:tcPr/>
          <w:p>
            <w:pPr>
              <w:pStyle w:val="918"/>
              <w:jc w:val="left"/>
            </w:pPr>
            <w:r>
              <w:t xml:space="preserve">objetivo do repasse, nos termos do inciso I do caput do art. 27 da Le…</w:t>
            </w:r>
          </w:p>
        </w:tc>
      </w:tr>
      <w:tr>
        <w:tc>
          <w:tcPr/>
          <w:p>
            <w:pPr>
              <w:pStyle w:val="918"/>
              <w:jc w:val="right"/>
            </w:pPr>
            <w:r>
              <w:t xml:space="preserve">828</w:t>
            </w:r>
          </w:p>
        </w:tc>
        <w:tc>
          <w:tcPr/>
          <w:p>
            <w:pPr>
              <w:pStyle w:val="918"/>
              <w:jc w:val="left"/>
            </w:pPr>
            <w:r>
              <w:t xml:space="preserve">Decreto nº 9.380, de 2018)</w:t>
            </w:r>
          </w:p>
        </w:tc>
      </w:tr>
      <w:tr>
        <w:tc>
          <w:tcPr/>
          <w:p>
            <w:pPr>
              <w:pStyle w:val="918"/>
              <w:jc w:val="right"/>
            </w:pPr>
            <w:r>
              <w:t xml:space="preserve">829</w:t>
            </w:r>
          </w:p>
        </w:tc>
        <w:tc>
          <w:tcPr/>
          <w:p>
            <w:pPr>
              <w:pStyle w:val="918"/>
              <w:jc w:val="left"/>
            </w:pPr>
            <w:r>
              <w:t xml:space="preserve">§ 3º Para os fins do disposto no § 2º , em caso de aplicação de recur…</w:t>
            </w:r>
          </w:p>
        </w:tc>
      </w:tr>
      <w:tr>
        <w:tc>
          <w:tcPr/>
          <w:p>
            <w:pPr>
              <w:pStyle w:val="918"/>
              <w:jc w:val="right"/>
            </w:pPr>
            <w:r>
              <w:t xml:space="preserve">830</w:t>
            </w:r>
          </w:p>
        </w:tc>
        <w:tc>
          <w:tcPr/>
          <w:p>
            <w:pPr>
              <w:pStyle w:val="918"/>
              <w:jc w:val="left"/>
            </w:pPr>
            <w:r>
              <w:t xml:space="preserve">Constituição em ações e serviços diversos dos previstos no art. 3º da…</w:t>
            </w:r>
          </w:p>
        </w:tc>
      </w:tr>
      <w:tr>
        <w:tc>
          <w:tcPr/>
          <w:p>
            <w:pPr>
              <w:pStyle w:val="918"/>
              <w:jc w:val="right"/>
            </w:pPr>
            <w:r>
              <w:t xml:space="preserve">831</w:t>
            </w:r>
          </w:p>
        </w:tc>
        <w:tc>
          <w:tcPr/>
          <w:p>
            <w:pPr>
              <w:pStyle w:val="918"/>
              <w:jc w:val="left"/>
            </w:pPr>
            <w:r>
              <w:t xml:space="preserve">diverso do originalmente pactuado, a devolução será efetivada com rec…</w:t>
            </w:r>
          </w:p>
        </w:tc>
      </w:tr>
      <w:tr>
        <w:tc>
          <w:tcPr/>
          <w:p>
            <w:pPr>
              <w:pStyle w:val="918"/>
              <w:jc w:val="right"/>
            </w:pPr>
            <w:r>
              <w:t xml:space="preserve">832</w:t>
            </w:r>
          </w:p>
        </w:tc>
        <w:tc>
          <w:tcPr/>
          <w:p>
            <w:pPr>
              <w:pStyle w:val="918"/>
              <w:jc w:val="left"/>
            </w:pPr>
            <w:r>
              <w:t xml:space="preserve">§ 4º Na hipótese de, durante a cobrança administrativa, que faz parte…</w:t>
            </w:r>
          </w:p>
        </w:tc>
      </w:tr>
      <w:tr>
        <w:tc>
          <w:tcPr/>
          <w:p>
            <w:pPr>
              <w:pStyle w:val="918"/>
              <w:jc w:val="right"/>
            </w:pPr>
            <w:r>
              <w:t xml:space="preserve">833</w:t>
            </w:r>
          </w:p>
        </w:tc>
        <w:tc>
          <w:tcPr/>
          <w:p>
            <w:pPr>
              <w:pStyle w:val="918"/>
              <w:jc w:val="left"/>
            </w:pPr>
            <w:r>
              <w:t xml:space="preserve">refere o §1º , ficar evidenciado que o ente federativo beneficiário n…</w:t>
            </w:r>
          </w:p>
        </w:tc>
      </w:tr>
      <w:tr>
        <w:tc>
          <w:tcPr/>
          <w:p>
            <w:pPr>
              <w:pStyle w:val="918"/>
              <w:jc w:val="right"/>
            </w:pPr>
            <w:r>
              <w:t xml:space="preserve">834</w:t>
            </w:r>
          </w:p>
        </w:tc>
        <w:tc>
          <w:tcPr/>
          <w:p>
            <w:pPr>
              <w:pStyle w:val="918"/>
              <w:jc w:val="left"/>
            </w:pPr>
            <w:r>
              <w:t xml:space="preserve">repassdeverá ser feita a devolução dos recursos irregularmente aplica…</w:t>
            </w:r>
          </w:p>
        </w:tc>
      </w:tr>
      <w:tr>
        <w:tc>
          <w:tcPr/>
          <w:p>
            <w:pPr>
              <w:pStyle w:val="918"/>
              <w:jc w:val="right"/>
            </w:pPr>
            <w:r>
              <w:t xml:space="preserve">835</w:t>
            </w:r>
          </w:p>
        </w:tc>
        <w:tc>
          <w:tcPr/>
          <w:p>
            <w:pPr>
              <w:pStyle w:val="918"/>
              <w:jc w:val="left"/>
            </w:pPr>
            <w:r>
              <w:t xml:space="preserve">federativo que repassou os recursos. (Incluído pelo Decreto nº 9.380,…</w:t>
            </w:r>
          </w:p>
        </w:tc>
      </w:tr>
      <w:tr>
        <w:tc>
          <w:tcPr/>
          <w:p>
            <w:pPr>
              <w:pStyle w:val="918"/>
              <w:jc w:val="right"/>
            </w:pPr>
            <w:r>
              <w:t xml:space="preserve">836</w:t>
            </w:r>
          </w:p>
        </w:tc>
        <w:tc>
          <w:tcPr/>
          <w:p>
            <w:pPr>
              <w:pStyle w:val="918"/>
              <w:jc w:val="left"/>
            </w:pPr>
            <w:r>
              <w:t xml:space="preserve">A Portaria n° 2.587, de 25 de setembro de 2020, que dispõe sobre os p…</w:t>
            </w:r>
          </w:p>
        </w:tc>
      </w:tr>
      <w:tr>
        <w:tc>
          <w:tcPr/>
          <w:p>
            <w:pPr>
              <w:pStyle w:val="918"/>
              <w:jc w:val="right"/>
            </w:pPr>
            <w:r>
              <w:t xml:space="preserve">837</w:t>
            </w:r>
          </w:p>
        </w:tc>
        <w:tc>
          <w:tcPr/>
          <w:p>
            <w:pPr>
              <w:pStyle w:val="918"/>
              <w:jc w:val="left"/>
            </w:pPr>
            <w:r>
              <w:t xml:space="preserve">transferência de recursos federais na modalidade fundo a fundo no âmb…</w:t>
            </w:r>
          </w:p>
        </w:tc>
      </w:tr>
      <w:tr>
        <w:tc>
          <w:tcPr/>
          <w:p>
            <w:pPr>
              <w:pStyle w:val="918"/>
              <w:jc w:val="right"/>
            </w:pPr>
            <w:r>
              <w:t xml:space="preserve">838</w:t>
            </w:r>
          </w:p>
        </w:tc>
        <w:tc>
          <w:tcPr/>
          <w:p>
            <w:pPr>
              <w:pStyle w:val="918"/>
              <w:jc w:val="left"/>
            </w:pPr>
            <w:r>
              <w:t xml:space="preserve">determina que compete aos setores finalísticos do Ministério da Saúde…</w:t>
            </w:r>
          </w:p>
        </w:tc>
      </w:tr>
      <w:tr>
        <w:tc>
          <w:tcPr/>
          <w:p>
            <w:pPr>
              <w:pStyle w:val="918"/>
              <w:jc w:val="right"/>
            </w:pPr>
            <w:r>
              <w:t xml:space="preserve">839</w:t>
            </w:r>
          </w:p>
        </w:tc>
        <w:tc>
          <w:tcPr/>
          <w:p>
            <w:pPr>
              <w:pStyle w:val="918"/>
              <w:jc w:val="left"/>
            </w:pPr>
            <w:r>
              <w:t xml:space="preserve">Art. 2º Compete aos setores finalísticos do Ministério da Saúde, resp…</w:t>
            </w:r>
          </w:p>
        </w:tc>
      </w:tr>
      <w:tr>
        <w:tc>
          <w:tcPr/>
          <w:p>
            <w:pPr>
              <w:pStyle w:val="918"/>
              <w:jc w:val="right"/>
            </w:pPr>
            <w:r>
              <w:t xml:space="preserve">840</w:t>
            </w:r>
          </w:p>
        </w:tc>
        <w:tc>
          <w:tcPr/>
          <w:p>
            <w:pPr>
              <w:pStyle w:val="918"/>
              <w:jc w:val="left"/>
            </w:pPr>
            <w:r>
              <w:t xml:space="preserve">de saúde:</w:t>
            </w:r>
          </w:p>
        </w:tc>
      </w:tr>
      <w:tr>
        <w:tc>
          <w:tcPr/>
          <w:p>
            <w:pPr>
              <w:pStyle w:val="918"/>
              <w:jc w:val="right"/>
            </w:pPr>
            <w:r>
              <w:t xml:space="preserve">841</w:t>
            </w:r>
          </w:p>
        </w:tc>
        <w:tc>
          <w:tcPr/>
          <w:p>
            <w:pPr>
              <w:pStyle w:val="918"/>
              <w:jc w:val="left"/>
            </w:pPr>
            <w:r>
              <w:t xml:space="preserve">I - a análise e aprovação de mérito referente à política de saúde a s…</w:t>
            </w:r>
          </w:p>
        </w:tc>
      </w:tr>
      <w:tr>
        <w:tc>
          <w:tcPr/>
          <w:p>
            <w:pPr>
              <w:pStyle w:val="918"/>
              <w:jc w:val="right"/>
            </w:pPr>
            <w:r>
              <w:t xml:space="preserve">842</w:t>
            </w:r>
          </w:p>
        </w:tc>
        <w:tc>
          <w:tcPr/>
          <w:p>
            <w:pPr>
              <w:pStyle w:val="918"/>
              <w:jc w:val="left"/>
            </w:pPr>
            <w:r>
              <w:t xml:space="preserve">federais;</w:t>
            </w:r>
          </w:p>
        </w:tc>
      </w:tr>
      <w:tr>
        <w:tc>
          <w:tcPr/>
          <w:p>
            <w:pPr>
              <w:pStyle w:val="918"/>
              <w:jc w:val="right"/>
            </w:pPr>
            <w:r>
              <w:t xml:space="preserve">854</w:t>
            </w:r>
          </w:p>
        </w:tc>
        <w:tc>
          <w:tcPr/>
          <w:p>
            <w:pPr>
              <w:pStyle w:val="918"/>
              <w:jc w:val="left"/>
            </w:pPr>
            <w:r>
              <w:t xml:space="preserve">II - a apuração e controle de limites e parâmetros relativos aos valo…</w:t>
            </w:r>
          </w:p>
        </w:tc>
      </w:tr>
      <w:tr>
        <w:tc>
          <w:tcPr/>
          <w:p>
            <w:pPr>
              <w:pStyle w:val="918"/>
              <w:jc w:val="right"/>
            </w:pPr>
            <w:r>
              <w:t xml:space="preserve">855</w:t>
            </w:r>
          </w:p>
        </w:tc>
        <w:tc>
          <w:tcPr/>
          <w:p>
            <w:pPr>
              <w:pStyle w:val="918"/>
              <w:jc w:val="left"/>
            </w:pPr>
            <w:r>
              <w:t xml:space="preserve">ente beneficiário, inclusive por meio de sistemas informatizados espe…</w:t>
            </w:r>
          </w:p>
        </w:tc>
      </w:tr>
      <w:tr>
        <w:tc>
          <w:tcPr/>
          <w:p>
            <w:pPr>
              <w:pStyle w:val="918"/>
              <w:jc w:val="right"/>
            </w:pPr>
            <w:r>
              <w:t xml:space="preserve">856</w:t>
            </w:r>
          </w:p>
        </w:tc>
        <w:tc>
          <w:tcPr/>
          <w:p>
            <w:pPr>
              <w:pStyle w:val="918"/>
              <w:jc w:val="left"/>
            </w:pPr>
            <w:r>
              <w:t xml:space="preserve">III - o estabelecimento e acompanhamento de critérios para efetivação…</w:t>
            </w:r>
          </w:p>
        </w:tc>
      </w:tr>
      <w:tr>
        <w:tc>
          <w:tcPr/>
          <w:p>
            <w:pPr>
              <w:pStyle w:val="918"/>
              <w:jc w:val="right"/>
            </w:pPr>
            <w:r>
              <w:t xml:space="preserve">857</w:t>
            </w:r>
          </w:p>
        </w:tc>
        <w:tc>
          <w:tcPr/>
          <w:p>
            <w:pPr>
              <w:pStyle w:val="918"/>
              <w:jc w:val="left"/>
            </w:pPr>
            <w:r>
              <w:t xml:space="preserve">federais a fundos de saúde de Estados, Municípios e Distrito Federal,…</w:t>
            </w:r>
          </w:p>
        </w:tc>
      </w:tr>
      <w:tr>
        <w:tc>
          <w:tcPr/>
          <w:p>
            <w:pPr>
              <w:pStyle w:val="918"/>
              <w:jc w:val="right"/>
            </w:pPr>
            <w:r>
              <w:t xml:space="preserve">858</w:t>
            </w:r>
          </w:p>
        </w:tc>
        <w:tc>
          <w:tcPr/>
          <w:p>
            <w:pPr>
              <w:pStyle w:val="918"/>
              <w:jc w:val="left"/>
            </w:pPr>
            <w:r>
              <w:t xml:space="preserve">suspensão de transferências, quando cabível; e</w:t>
            </w:r>
          </w:p>
        </w:tc>
      </w:tr>
      <w:tr>
        <w:tc>
          <w:tcPr/>
          <w:p>
            <w:pPr>
              <w:pStyle w:val="918"/>
              <w:jc w:val="right"/>
            </w:pPr>
            <w:r>
              <w:t xml:space="preserve">859</w:t>
            </w:r>
          </w:p>
        </w:tc>
        <w:tc>
          <w:tcPr/>
          <w:p>
            <w:pPr>
              <w:pStyle w:val="918"/>
              <w:jc w:val="left"/>
            </w:pPr>
            <w:r>
              <w:t xml:space="preserve">IV - o monitoramento, regulação, controle e avaliação das ações e ser…</w:t>
            </w:r>
          </w:p>
        </w:tc>
      </w:tr>
      <w:tr>
        <w:tc>
          <w:tcPr/>
          <w:p>
            <w:pPr>
              <w:pStyle w:val="918"/>
              <w:jc w:val="right"/>
            </w:pPr>
            <w:r>
              <w:t xml:space="preserve">860</w:t>
            </w:r>
          </w:p>
        </w:tc>
        <w:tc>
          <w:tcPr/>
          <w:p>
            <w:pPr>
              <w:pStyle w:val="918"/>
              <w:jc w:val="left"/>
            </w:pPr>
            <w:r>
              <w:t xml:space="preserve">recursos federais, inclusive proceder à análise dos Relatórios de Ges…</w:t>
            </w:r>
          </w:p>
        </w:tc>
      </w:tr>
      <w:tr>
        <w:tc>
          <w:tcPr/>
          <w:p>
            <w:pPr>
              <w:pStyle w:val="918"/>
              <w:jc w:val="right"/>
            </w:pPr>
            <w:r>
              <w:t xml:space="preserve">861</w:t>
            </w:r>
          </w:p>
        </w:tc>
        <w:tc>
          <w:tcPr/>
          <w:p>
            <w:pPr>
              <w:pStyle w:val="918"/>
              <w:jc w:val="left"/>
            </w:pPr>
            <w:r>
              <w:t xml:space="preserve">subsidiar o aprimoramento das políticas de saúde e a tomada de decisõ…</w:t>
            </w:r>
          </w:p>
        </w:tc>
      </w:tr>
      <w:tr>
        <w:tc>
          <w:tcPr/>
          <w:p>
            <w:pPr>
              <w:pStyle w:val="918"/>
              <w:jc w:val="right"/>
            </w:pPr>
            <w:r>
              <w:t xml:space="preserve">862</w:t>
            </w:r>
          </w:p>
        </w:tc>
        <w:tc>
          <w:tcPr/>
          <w:p>
            <w:pPr>
              <w:pStyle w:val="918"/>
              <w:jc w:val="left"/>
            </w:pPr>
            <w:r>
              <w:t xml:space="preserve">1148 da Portaria de Consolidação nº 6/GM/MS, de 28 de setembro de 201…</w:t>
            </w:r>
          </w:p>
        </w:tc>
      </w:tr>
      <w:tr>
        <w:tc>
          <w:tcPr/>
          <w:p>
            <w:pPr>
              <w:pStyle w:val="918"/>
              <w:jc w:val="right"/>
            </w:pPr>
            <w:r>
              <w:t xml:space="preserve">863</w:t>
            </w:r>
          </w:p>
        </w:tc>
        <w:tc>
          <w:tcPr/>
          <w:p>
            <w:pPr>
              <w:pStyle w:val="918"/>
              <w:jc w:val="left"/>
            </w:pPr>
            <w:r>
              <w:t xml:space="preserve">Portanto, exige-se do ente subnacional interessado no recebimento do …</w:t>
            </w:r>
          </w:p>
        </w:tc>
      </w:tr>
      <w:tr>
        <w:tc>
          <w:tcPr/>
          <w:p>
            <w:pPr>
              <w:pStyle w:val="918"/>
              <w:jc w:val="right"/>
            </w:pPr>
            <w:r>
              <w:t xml:space="preserve">864</w:t>
            </w:r>
          </w:p>
        </w:tc>
        <w:tc>
          <w:tcPr/>
          <w:p>
            <w:pPr>
              <w:pStyle w:val="918"/>
              <w:jc w:val="left"/>
            </w:pPr>
            <w:r>
              <w:t xml:space="preserve">de habilitação junto ao Ministério da Saúde. Tal exigência é prevista…</w:t>
            </w:r>
          </w:p>
        </w:tc>
      </w:tr>
      <w:tr>
        <w:tc>
          <w:tcPr/>
          <w:p>
            <w:pPr>
              <w:pStyle w:val="918"/>
              <w:jc w:val="right"/>
            </w:pPr>
            <w:r>
              <w:t xml:space="preserve">865</w:t>
            </w:r>
          </w:p>
        </w:tc>
        <w:tc>
          <w:tcPr/>
          <w:p>
            <w:pPr>
              <w:pStyle w:val="918"/>
              <w:jc w:val="left"/>
            </w:pPr>
            <w:r>
              <w:t xml:space="preserve">2020, da seguinte maneira:</w:t>
            </w:r>
          </w:p>
        </w:tc>
      </w:tr>
      <w:tr>
        <w:tc>
          <w:tcPr/>
          <w:p>
            <w:pPr>
              <w:pStyle w:val="918"/>
              <w:jc w:val="right"/>
            </w:pPr>
            <w:r>
              <w:t xml:space="preserve">866</w:t>
            </w:r>
          </w:p>
        </w:tc>
        <w:tc>
          <w:tcPr/>
          <w:p>
            <w:pPr>
              <w:pStyle w:val="918"/>
              <w:jc w:val="left"/>
            </w:pPr>
            <w:r>
              <w:t xml:space="preserve">CAPÍTULO II DOS PROCEDIMENTOS PARA A OPERACIONALIZAÇÃO DAS TRANSFERÊN…</w:t>
            </w:r>
          </w:p>
        </w:tc>
      </w:tr>
      <w:tr>
        <w:tc>
          <w:tcPr/>
          <w:p>
            <w:pPr>
              <w:pStyle w:val="918"/>
              <w:jc w:val="right"/>
            </w:pPr>
            <w:r>
              <w:t xml:space="preserve">867</w:t>
            </w:r>
          </w:p>
        </w:tc>
        <w:tc>
          <w:tcPr/>
          <w:p>
            <w:pPr>
              <w:pStyle w:val="918"/>
              <w:jc w:val="left"/>
            </w:pPr>
            <w:r>
              <w:t xml:space="preserve">FEDERAIS NA MODALIDADE FUNDO A FUNDO</w:t>
            </w:r>
          </w:p>
        </w:tc>
      </w:tr>
      <w:tr>
        <w:tc>
          <w:tcPr/>
          <w:p>
            <w:pPr>
              <w:pStyle w:val="918"/>
              <w:jc w:val="right"/>
            </w:pPr>
            <w:r>
              <w:t xml:space="preserve">868</w:t>
            </w:r>
          </w:p>
        </w:tc>
        <w:tc>
          <w:tcPr/>
          <w:p>
            <w:pPr>
              <w:pStyle w:val="918"/>
              <w:jc w:val="left"/>
            </w:pPr>
            <w:r>
              <w:t xml:space="preserve">Art. 3º As transferências de recursos federais aos Estados, Distrito …</w:t>
            </w:r>
          </w:p>
        </w:tc>
      </w:tr>
      <w:tr>
        <w:tc>
          <w:tcPr/>
          <w:p>
            <w:pPr>
              <w:pStyle w:val="918"/>
              <w:jc w:val="right"/>
            </w:pPr>
            <w:r>
              <w:t xml:space="preserve">869</w:t>
            </w:r>
          </w:p>
        </w:tc>
        <w:tc>
          <w:tcPr/>
          <w:p>
            <w:pPr>
              <w:pStyle w:val="918"/>
              <w:jc w:val="left"/>
            </w:pPr>
            <w:r>
              <w:t xml:space="preserve">será precedida de:</w:t>
            </w:r>
          </w:p>
        </w:tc>
      </w:tr>
      <w:tr>
        <w:tc>
          <w:tcPr/>
          <w:p>
            <w:pPr>
              <w:pStyle w:val="918"/>
              <w:jc w:val="right"/>
            </w:pPr>
            <w:r>
              <w:t xml:space="preserve">870</w:t>
            </w:r>
          </w:p>
        </w:tc>
        <w:tc>
          <w:tcPr/>
          <w:p>
            <w:pPr>
              <w:pStyle w:val="918"/>
              <w:jc w:val="left"/>
            </w:pPr>
            <w:r>
              <w:t xml:space="preserve">I - publicação de portaria ministerial de habilitação dos entes benef…</w:t>
            </w:r>
          </w:p>
        </w:tc>
      </w:tr>
      <w:tr>
        <w:tc>
          <w:tcPr/>
          <w:p>
            <w:pPr>
              <w:pStyle w:val="918"/>
              <w:jc w:val="right"/>
            </w:pPr>
            <w:r>
              <w:t xml:space="preserve">871</w:t>
            </w:r>
          </w:p>
        </w:tc>
        <w:tc>
          <w:tcPr/>
          <w:p>
            <w:pPr>
              <w:pStyle w:val="918"/>
              <w:jc w:val="left"/>
            </w:pPr>
            <w:r>
              <w:t xml:space="preserve">II - inclusão das informações de pagamento no Sistema de Gerenciament…</w:t>
            </w:r>
          </w:p>
        </w:tc>
      </w:tr>
      <w:tr>
        <w:tc>
          <w:tcPr/>
          <w:p>
            <w:pPr>
              <w:pStyle w:val="918"/>
              <w:jc w:val="right"/>
            </w:pPr>
            <w:r>
              <w:t xml:space="preserve">872</w:t>
            </w:r>
          </w:p>
        </w:tc>
        <w:tc>
          <w:tcPr/>
          <w:p>
            <w:pPr>
              <w:pStyle w:val="918"/>
              <w:jc w:val="left"/>
            </w:pPr>
            <w:r>
              <w:t xml:space="preserve">SISPROFNS; e</w:t>
            </w:r>
          </w:p>
        </w:tc>
      </w:tr>
      <w:tr>
        <w:tc>
          <w:tcPr/>
          <w:p>
            <w:pPr>
              <w:pStyle w:val="918"/>
              <w:jc w:val="right"/>
            </w:pPr>
            <w:r>
              <w:t xml:space="preserve">873</w:t>
            </w:r>
          </w:p>
        </w:tc>
        <w:tc>
          <w:tcPr/>
          <w:p>
            <w:pPr>
              <w:pStyle w:val="918"/>
              <w:jc w:val="left"/>
            </w:pPr>
            <w:r>
              <w:t xml:space="preserve">III - instrução e encaminhamento de processo administrativo de pagame…</w:t>
            </w:r>
          </w:p>
        </w:tc>
      </w:tr>
      <w:tr>
        <w:tc>
          <w:tcPr/>
          <w:p>
            <w:pPr>
              <w:pStyle w:val="918"/>
              <w:jc w:val="right"/>
            </w:pPr>
            <w:r>
              <w:t xml:space="preserve">874</w:t>
            </w:r>
          </w:p>
        </w:tc>
        <w:tc>
          <w:tcPr/>
          <w:p>
            <w:pPr>
              <w:pStyle w:val="918"/>
              <w:jc w:val="left"/>
            </w:pPr>
            <w:r>
              <w:t xml:space="preserve">O Anexo da referida Portaria estabelece, ainda, os requisitos formais…</w:t>
            </w:r>
          </w:p>
        </w:tc>
      </w:tr>
      <w:tr>
        <w:tc>
          <w:tcPr/>
          <w:p>
            <w:pPr>
              <w:pStyle w:val="918"/>
              <w:jc w:val="right"/>
            </w:pPr>
            <w:r>
              <w:t xml:space="preserve">875</w:t>
            </w:r>
          </w:p>
        </w:tc>
        <w:tc>
          <w:tcPr/>
          <w:p>
            <w:pPr>
              <w:pStyle w:val="918"/>
              <w:jc w:val="left"/>
            </w:pPr>
            <w:r>
              <w:t xml:space="preserve">Dentre os requisitos estão a consignação das normas a serem observada…</w:t>
            </w:r>
          </w:p>
        </w:tc>
      </w:tr>
      <w:tr>
        <w:tc>
          <w:tcPr/>
          <w:p>
            <w:pPr>
              <w:pStyle w:val="918"/>
              <w:jc w:val="right"/>
            </w:pPr>
            <w:r>
              <w:t xml:space="preserve">876</w:t>
            </w:r>
          </w:p>
        </w:tc>
        <w:tc>
          <w:tcPr/>
          <w:p>
            <w:pPr>
              <w:pStyle w:val="918"/>
              <w:jc w:val="left"/>
            </w:pPr>
            <w:r>
              <w:t xml:space="preserve">da transferência fundo a fundo. Vejamos:</w:t>
            </w:r>
          </w:p>
        </w:tc>
      </w:tr>
      <w:tr>
        <w:tc>
          <w:tcPr/>
          <w:p>
            <w:pPr>
              <w:pStyle w:val="918"/>
              <w:jc w:val="right"/>
            </w:pPr>
            <w:r>
              <w:t xml:space="preserve">877</w:t>
            </w:r>
          </w:p>
        </w:tc>
        <w:tc>
          <w:tcPr/>
          <w:p>
            <w:pPr>
              <w:pStyle w:val="918"/>
              <w:jc w:val="left"/>
            </w:pPr>
            <w:r>
              <w:t xml:space="preserve">ANEXO</w:t>
            </w:r>
          </w:p>
        </w:tc>
      </w:tr>
      <w:tr>
        <w:tc>
          <w:tcPr/>
          <w:p>
            <w:pPr>
              <w:pStyle w:val="918"/>
              <w:jc w:val="right"/>
            </w:pPr>
            <w:r>
              <w:t xml:space="preserve">878</w:t>
            </w:r>
          </w:p>
        </w:tc>
        <w:tc>
          <w:tcPr/>
          <w:p>
            <w:pPr>
              <w:pStyle w:val="918"/>
              <w:jc w:val="left"/>
            </w:pPr>
            <w:r>
              <w:t xml:space="preserve">REQUISITOS FORMAIS PARA A OPERACIONALIZAÇÃO DAS TRANSFERÊNCIAS DE REC…</w:t>
            </w:r>
          </w:p>
        </w:tc>
      </w:tr>
      <w:tr>
        <w:tc>
          <w:tcPr/>
          <w:p>
            <w:pPr>
              <w:pStyle w:val="918"/>
              <w:jc w:val="right"/>
            </w:pPr>
            <w:r>
              <w:t xml:space="preserve">879</w:t>
            </w:r>
          </w:p>
        </w:tc>
        <w:tc>
          <w:tcPr/>
          <w:p>
            <w:pPr>
              <w:pStyle w:val="918"/>
              <w:jc w:val="left"/>
            </w:pPr>
            <w:r>
              <w:t xml:space="preserve">MODALIDADE FUNDO A FUNDO PORTARIA DE HABILITAÇÃO</w:t>
            </w:r>
          </w:p>
        </w:tc>
      </w:tr>
      <w:tr>
        <w:tc>
          <w:tcPr/>
          <w:p>
            <w:pPr>
              <w:pStyle w:val="918"/>
              <w:jc w:val="right"/>
            </w:pPr>
            <w:r>
              <w:t xml:space="preserve">880</w:t>
            </w:r>
          </w:p>
        </w:tc>
        <w:tc>
          <w:tcPr/>
          <w:p>
            <w:pPr>
              <w:pStyle w:val="918"/>
              <w:jc w:val="left"/>
            </w:pPr>
            <w:r>
              <w:t xml:space="preserve">1 - O preâmbulo da portaria deve conter referência aos seguintes norm…</w:t>
            </w:r>
          </w:p>
        </w:tc>
      </w:tr>
      <w:tr>
        <w:tc>
          <w:tcPr/>
          <w:p>
            <w:pPr>
              <w:pStyle w:val="918"/>
              <w:jc w:val="right"/>
            </w:pPr>
            <w:r>
              <w:t xml:space="preserve">881</w:t>
            </w:r>
          </w:p>
        </w:tc>
        <w:tc>
          <w:tcPr/>
          <w:p>
            <w:pPr>
              <w:pStyle w:val="918"/>
              <w:jc w:val="left"/>
            </w:pPr>
            <w:r>
              <w:t xml:space="preserve">a) Art. 35 da Lei nº 8.080, de 19 de setembro de 1990, que estabelece…</w:t>
            </w:r>
          </w:p>
        </w:tc>
      </w:tr>
      <w:tr>
        <w:tc>
          <w:tcPr/>
          <w:p>
            <w:pPr>
              <w:pStyle w:val="918"/>
              <w:jc w:val="right"/>
            </w:pPr>
            <w:r>
              <w:t xml:space="preserve">882</w:t>
            </w:r>
          </w:p>
        </w:tc>
        <w:tc>
          <w:tcPr/>
          <w:p>
            <w:pPr>
              <w:pStyle w:val="918"/>
              <w:jc w:val="left"/>
            </w:pPr>
            <w:r>
              <w:t xml:space="preserve">técnica de programas e projetos para o estabelecimento de valores;</w:t>
            </w:r>
          </w:p>
        </w:tc>
      </w:tr>
      <w:tr>
        <w:tc>
          <w:tcPr/>
          <w:p>
            <w:pPr>
              <w:pStyle w:val="918"/>
              <w:jc w:val="right"/>
            </w:pPr>
            <w:r>
              <w:t xml:space="preserve">883</w:t>
            </w:r>
          </w:p>
        </w:tc>
        <w:tc>
          <w:tcPr/>
          <w:p>
            <w:pPr>
              <w:pStyle w:val="918"/>
              <w:jc w:val="left"/>
            </w:pPr>
            <w:r>
              <w:t xml:space="preserve">b) Arts. 3º e 4º da Lei nº 8.142, de 28 de dezembro de 1990, que dete…</w:t>
            </w:r>
          </w:p>
        </w:tc>
      </w:tr>
      <w:tr>
        <w:tc>
          <w:tcPr/>
          <w:p>
            <w:pPr>
              <w:pStyle w:val="918"/>
              <w:jc w:val="right"/>
            </w:pPr>
            <w:r>
              <w:t xml:space="preserve">884</w:t>
            </w:r>
          </w:p>
        </w:tc>
        <w:tc>
          <w:tcPr/>
          <w:p>
            <w:pPr>
              <w:pStyle w:val="918"/>
              <w:jc w:val="left"/>
            </w:pPr>
            <w:r>
              <w:t xml:space="preserve">Estados, Municípios e Distrito Federal e as condições para que os ent…</w:t>
            </w:r>
          </w:p>
        </w:tc>
      </w:tr>
      <w:tr>
        <w:tc>
          <w:tcPr/>
          <w:p>
            <w:pPr>
              <w:pStyle w:val="918"/>
              <w:jc w:val="right"/>
            </w:pPr>
            <w:r>
              <w:t xml:space="preserve">885</w:t>
            </w:r>
          </w:p>
        </w:tc>
        <w:tc>
          <w:tcPr/>
          <w:p>
            <w:pPr>
              <w:pStyle w:val="918"/>
              <w:jc w:val="left"/>
            </w:pPr>
            <w:r>
              <w:t xml:space="preserve">c) Lei Complementar nº 141, de 13 de janeiro de 2012, que estabeleceu…</w:t>
            </w:r>
          </w:p>
        </w:tc>
      </w:tr>
      <w:tr>
        <w:tc>
          <w:tcPr/>
          <w:p>
            <w:pPr>
              <w:pStyle w:val="918"/>
              <w:jc w:val="right"/>
            </w:pPr>
            <w:r>
              <w:t xml:space="preserve">886</w:t>
            </w:r>
          </w:p>
        </w:tc>
        <w:tc>
          <w:tcPr/>
          <w:p>
            <w:pPr>
              <w:pStyle w:val="918"/>
              <w:jc w:val="left"/>
            </w:pPr>
            <w:r>
              <w:t xml:space="preserve">transferências da saúde e as normas de fiscalização, avaliação e cont…</w:t>
            </w:r>
          </w:p>
        </w:tc>
      </w:tr>
      <w:tr>
        <w:tc>
          <w:tcPr/>
          <w:p>
            <w:pPr>
              <w:pStyle w:val="918"/>
              <w:jc w:val="right"/>
            </w:pPr>
            <w:r>
              <w:t xml:space="preserve">887</w:t>
            </w:r>
          </w:p>
        </w:tc>
        <w:tc>
          <w:tcPr/>
          <w:p>
            <w:pPr>
              <w:pStyle w:val="918"/>
              <w:jc w:val="left"/>
            </w:pPr>
            <w:r>
              <w:t xml:space="preserve">governo, especialmente o disposto no parágrafo único de seu art. 22, …</w:t>
            </w:r>
          </w:p>
        </w:tc>
      </w:tr>
      <w:tr>
        <w:tc>
          <w:tcPr/>
          <w:p>
            <w:pPr>
              <w:pStyle w:val="918"/>
              <w:jc w:val="right"/>
            </w:pPr>
            <w:r>
              <w:t xml:space="preserve">888</w:t>
            </w:r>
          </w:p>
        </w:tc>
        <w:tc>
          <w:tcPr/>
          <w:p>
            <w:pPr>
              <w:pStyle w:val="918"/>
              <w:jc w:val="left"/>
            </w:pPr>
            <w:r>
              <w:t xml:space="preserve">e ao funcionamento do Fundo e do Conselho de Saúde no âmbito do ente …</w:t>
            </w:r>
          </w:p>
        </w:tc>
      </w:tr>
      <w:tr>
        <w:tc>
          <w:tcPr/>
          <w:p>
            <w:pPr>
              <w:pStyle w:val="918"/>
              <w:jc w:val="right"/>
            </w:pPr>
            <w:r>
              <w:t xml:space="preserve">889</w:t>
            </w:r>
          </w:p>
        </w:tc>
        <w:tc>
          <w:tcPr/>
          <w:p>
            <w:pPr>
              <w:pStyle w:val="918"/>
              <w:jc w:val="left"/>
            </w:pPr>
            <w:r>
              <w:t xml:space="preserve">d) Decreto nº 1.232, de 30 de agosto 1994, que dispõe sobre as condiç…</w:t>
            </w:r>
          </w:p>
        </w:tc>
      </w:tr>
      <w:tr>
        <w:tc>
          <w:tcPr/>
          <w:p>
            <w:pPr>
              <w:pStyle w:val="918"/>
              <w:jc w:val="right"/>
            </w:pPr>
            <w:r>
              <w:t xml:space="preserve">890</w:t>
            </w:r>
          </w:p>
        </w:tc>
        <w:tc>
          <w:tcPr/>
          <w:p>
            <w:pPr>
              <w:pStyle w:val="918"/>
              <w:jc w:val="left"/>
            </w:pPr>
            <w:r>
              <w:t xml:space="preserve">recursos do Fundo Nacional de Saúde para os fundos de saúde estaduais…</w:t>
            </w:r>
          </w:p>
        </w:tc>
      </w:tr>
      <w:tr>
        <w:tc>
          <w:tcPr/>
          <w:p>
            <w:pPr>
              <w:pStyle w:val="918"/>
              <w:jc w:val="right"/>
            </w:pPr>
            <w:r>
              <w:t xml:space="preserve">891</w:t>
            </w:r>
          </w:p>
        </w:tc>
        <w:tc>
          <w:tcPr/>
          <w:p>
            <w:pPr>
              <w:pStyle w:val="918"/>
              <w:jc w:val="left"/>
            </w:pPr>
            <w:r>
              <w:t xml:space="preserve">Decreto nº 7.507, de 27 de junho 2011, que dispõe sobre a movimentaçã…</w:t>
            </w:r>
          </w:p>
        </w:tc>
      </w:tr>
      <w:tr>
        <w:tc>
          <w:tcPr/>
          <w:p>
            <w:pPr>
              <w:pStyle w:val="918"/>
              <w:jc w:val="right"/>
            </w:pPr>
            <w:r>
              <w:t xml:space="preserve">892</w:t>
            </w:r>
          </w:p>
        </w:tc>
        <w:tc>
          <w:tcPr/>
          <w:p>
            <w:pPr>
              <w:pStyle w:val="918"/>
              <w:jc w:val="left"/>
            </w:pPr>
            <w:r>
              <w:t xml:space="preserve">e) Portaria de Consolidação nº 6/GM/MS, de 28 de setembro de 2017, qu…</w:t>
            </w:r>
          </w:p>
        </w:tc>
      </w:tr>
      <w:tr>
        <w:tc>
          <w:tcPr/>
          <w:p>
            <w:pPr>
              <w:pStyle w:val="918"/>
              <w:jc w:val="right"/>
            </w:pPr>
            <w:r>
              <w:t xml:space="preserve">893</w:t>
            </w:r>
          </w:p>
        </w:tc>
        <w:tc>
          <w:tcPr/>
          <w:p>
            <w:pPr>
              <w:pStyle w:val="918"/>
              <w:jc w:val="left"/>
            </w:pPr>
            <w:r>
              <w:t xml:space="preserve">o financiamento e a transferência dos recursos federais para as ações…</w:t>
            </w:r>
          </w:p>
        </w:tc>
      </w:tr>
      <w:tr>
        <w:tc>
          <w:tcPr/>
          <w:p>
            <w:pPr>
              <w:pStyle w:val="918"/>
              <w:jc w:val="right"/>
            </w:pPr>
            <w:r>
              <w:t xml:space="preserve">894</w:t>
            </w:r>
          </w:p>
        </w:tc>
        <w:tc>
          <w:tcPr/>
          <w:p>
            <w:pPr>
              <w:pStyle w:val="918"/>
              <w:jc w:val="left"/>
            </w:pPr>
            <w:r>
              <w:t xml:space="preserve">f) Atos normativos que regulamentam a execução de emendas parlamentar…</w:t>
            </w:r>
          </w:p>
        </w:tc>
      </w:tr>
      <w:tr>
        <w:tc>
          <w:tcPr/>
          <w:p>
            <w:pPr>
              <w:pStyle w:val="918"/>
              <w:jc w:val="right"/>
            </w:pPr>
            <w:r>
              <w:t xml:space="preserve">895</w:t>
            </w:r>
          </w:p>
        </w:tc>
        <w:tc>
          <w:tcPr/>
          <w:p>
            <w:pPr>
              <w:pStyle w:val="918"/>
              <w:jc w:val="left"/>
            </w:pPr>
            <w:r>
              <w:t xml:space="preserve">g) Os atos legais que regulamentam o programa e a rede prioritária, r…</w:t>
            </w:r>
          </w:p>
        </w:tc>
      </w:tr>
      <w:tr>
        <w:tc>
          <w:tcPr/>
          <w:p>
            <w:pPr>
              <w:pStyle w:val="918"/>
              <w:jc w:val="right"/>
            </w:pPr>
            <w:r>
              <w:t xml:space="preserve">896</w:t>
            </w:r>
          </w:p>
        </w:tc>
        <w:tc>
          <w:tcPr/>
          <w:p>
            <w:pPr>
              <w:pStyle w:val="918"/>
              <w:jc w:val="left"/>
            </w:pPr>
            <w:r>
              <w:t xml:space="preserve">h) Número Único de Protocolo (NUP) do Sistema Eletrônico de Informaçõ…</w:t>
            </w:r>
          </w:p>
        </w:tc>
      </w:tr>
      <w:tr>
        <w:tc>
          <w:tcPr/>
          <w:p>
            <w:pPr>
              <w:pStyle w:val="918"/>
              <w:jc w:val="right"/>
            </w:pPr>
            <w:r>
              <w:t xml:space="preserve">897</w:t>
            </w:r>
          </w:p>
        </w:tc>
        <w:tc>
          <w:tcPr/>
          <w:p>
            <w:pPr>
              <w:pStyle w:val="918"/>
              <w:jc w:val="left"/>
            </w:pPr>
            <w:r>
              <w:t xml:space="preserve">correspondente ao processo administrativo com as informações técnicas…</w:t>
            </w:r>
          </w:p>
        </w:tc>
      </w:tr>
      <w:tr>
        <w:tc>
          <w:tcPr/>
          <w:p>
            <w:pPr>
              <w:pStyle w:val="918"/>
              <w:jc w:val="right"/>
            </w:pPr>
            <w:r>
              <w:t xml:space="preserve">898</w:t>
            </w:r>
          </w:p>
        </w:tc>
        <w:tc>
          <w:tcPr/>
          <w:p>
            <w:pPr>
              <w:pStyle w:val="918"/>
              <w:jc w:val="left"/>
            </w:pPr>
            <w:r>
              <w:t xml:space="preserve">No mesmo sentido caminha a Portaria de Consolidação n° 6, de 28 de se…</w:t>
            </w:r>
          </w:p>
        </w:tc>
      </w:tr>
      <w:tr>
        <w:tc>
          <w:tcPr/>
          <w:p>
            <w:pPr>
              <w:pStyle w:val="918"/>
              <w:jc w:val="right"/>
            </w:pPr>
            <w:r>
              <w:t xml:space="preserve">899</w:t>
            </w:r>
          </w:p>
        </w:tc>
        <w:tc>
          <w:tcPr/>
          <w:p>
            <w:pPr>
              <w:pStyle w:val="918"/>
              <w:jc w:val="left"/>
            </w:pPr>
            <w:r>
              <w:t xml:space="preserve">normas sobre o financiamento e a transferência dos recursos federais …</w:t>
            </w:r>
          </w:p>
        </w:tc>
      </w:tr>
      <w:tr>
        <w:tc>
          <w:tcPr/>
          <w:p>
            <w:pPr>
              <w:pStyle w:val="918"/>
              <w:jc w:val="right"/>
            </w:pPr>
            <w:r>
              <w:t xml:space="preserve">900</w:t>
            </w:r>
          </w:p>
        </w:tc>
        <w:tc>
          <w:tcPr/>
          <w:p>
            <w:pPr>
              <w:pStyle w:val="918"/>
              <w:jc w:val="left"/>
            </w:pPr>
            <w:r>
              <w:t xml:space="preserve">Único de Saúde. Referida norma prevê que os recursos que compõem cada…</w:t>
            </w:r>
          </w:p>
        </w:tc>
      </w:tr>
      <w:tr>
        <w:tc>
          <w:tcPr/>
          <w:p>
            <w:pPr>
              <w:pStyle w:val="918"/>
              <w:jc w:val="right"/>
            </w:pPr>
            <w:r>
              <w:t xml:space="preserve">901</w:t>
            </w:r>
          </w:p>
        </w:tc>
        <w:tc>
          <w:tcPr/>
          <w:p>
            <w:pPr>
              <w:pStyle w:val="918"/>
              <w:jc w:val="left"/>
            </w:pPr>
            <w:r>
              <w:t xml:space="preserve">em ações e serviços públicos de saúde relacionados ao próprio bloco.</w:t>
            </w:r>
          </w:p>
        </w:tc>
      </w:tr>
      <w:tr>
        <w:tc>
          <w:tcPr/>
          <w:p>
            <w:pPr>
              <w:pStyle w:val="918"/>
              <w:jc w:val="right"/>
            </w:pPr>
            <w:r>
              <w:t xml:space="preserve">902</w:t>
            </w:r>
          </w:p>
        </w:tc>
        <w:tc>
          <w:tcPr/>
          <w:p>
            <w:pPr>
              <w:pStyle w:val="918"/>
              <w:jc w:val="left"/>
            </w:pPr>
            <w:r>
              <w:t xml:space="preserve">Dessa maneira, verifica-se que a legislação atinente ao SUS prevê a p…</w:t>
            </w:r>
          </w:p>
        </w:tc>
      </w:tr>
      <w:tr>
        <w:tc>
          <w:tcPr/>
          <w:p>
            <w:pPr>
              <w:pStyle w:val="918"/>
              <w:jc w:val="right"/>
            </w:pPr>
            <w:r>
              <w:t xml:space="preserve">903</w:t>
            </w:r>
          </w:p>
        </w:tc>
        <w:tc>
          <w:tcPr/>
          <w:p>
            <w:pPr>
              <w:pStyle w:val="918"/>
              <w:jc w:val="left"/>
            </w:pPr>
            <w:r>
              <w:t xml:space="preserve">fundo a fundo pela União devam ser precedidas da realização de pactua…</w:t>
            </w:r>
          </w:p>
        </w:tc>
      </w:tr>
      <w:tr>
        <w:tc>
          <w:tcPr/>
          <w:p>
            <w:pPr>
              <w:pStyle w:val="918"/>
              <w:jc w:val="right"/>
            </w:pPr>
            <w:r>
              <w:t xml:space="preserve">915</w:t>
            </w:r>
          </w:p>
        </w:tc>
        <w:tc>
          <w:tcPr/>
          <w:p>
            <w:pPr>
              <w:pStyle w:val="918"/>
              <w:jc w:val="left"/>
            </w:pPr>
            <w:r>
              <w:t xml:space="preserve">habilitação do ente subnacional a uma determinada ação de saúde. Port…</w:t>
            </w:r>
          </w:p>
        </w:tc>
      </w:tr>
      <w:tr>
        <w:tc>
          <w:tcPr/>
          <w:p>
            <w:pPr>
              <w:pStyle w:val="918"/>
              <w:jc w:val="right"/>
            </w:pPr>
            <w:r>
              <w:t xml:space="preserve">916</w:t>
            </w:r>
          </w:p>
        </w:tc>
        <w:tc>
          <w:tcPr/>
          <w:p>
            <w:pPr>
              <w:pStyle w:val="918"/>
              <w:jc w:val="left"/>
            </w:pPr>
            <w:r>
              <w:t xml:space="preserve">recíproco entre a União e o ente federado que pactua para o desenvolv…</w:t>
            </w:r>
          </w:p>
        </w:tc>
      </w:tr>
      <w:tr>
        <w:tc>
          <w:tcPr/>
          <w:p>
            <w:pPr>
              <w:pStyle w:val="918"/>
              <w:jc w:val="right"/>
            </w:pPr>
            <w:r>
              <w:t xml:space="preserve">917</w:t>
            </w:r>
          </w:p>
        </w:tc>
        <w:tc>
          <w:tcPr/>
          <w:p>
            <w:pPr>
              <w:pStyle w:val="918"/>
              <w:jc w:val="left"/>
            </w:pPr>
            <w:r>
              <w:t xml:space="preserve">este devidamente amparado pela competência comum prevista no artigo 2…</w:t>
            </w:r>
          </w:p>
        </w:tc>
      </w:tr>
      <w:tr>
        <w:tc>
          <w:tcPr/>
          <w:p>
            <w:pPr>
              <w:pStyle w:val="918"/>
              <w:jc w:val="right"/>
            </w:pPr>
            <w:r>
              <w:t xml:space="preserve">918</w:t>
            </w:r>
          </w:p>
        </w:tc>
        <w:tc>
          <w:tcPr/>
          <w:p>
            <w:pPr>
              <w:pStyle w:val="918"/>
              <w:jc w:val="left"/>
            </w:pPr>
            <w:r>
              <w:t xml:space="preserve">Portanto, na medida em que existe uma pactuação feita pela União e o …</w:t>
            </w:r>
          </w:p>
        </w:tc>
      </w:tr>
      <w:tr>
        <w:tc>
          <w:tcPr/>
          <w:p>
            <w:pPr>
              <w:pStyle w:val="918"/>
              <w:jc w:val="right"/>
            </w:pPr>
            <w:r>
              <w:t xml:space="preserve">919</w:t>
            </w:r>
          </w:p>
        </w:tc>
        <w:tc>
          <w:tcPr/>
          <w:p>
            <w:pPr>
              <w:pStyle w:val="918"/>
              <w:jc w:val="left"/>
            </w:pPr>
            <w:r>
              <w:t xml:space="preserve">responsabilidade acerca do objeto e da execução da referida pactuação.</w:t>
            </w:r>
          </w:p>
        </w:tc>
      </w:tr>
      <w:tr>
        <w:tc>
          <w:tcPr/>
          <w:p>
            <w:pPr>
              <w:pStyle w:val="918"/>
              <w:jc w:val="right"/>
            </w:pPr>
            <w:r>
              <w:t xml:space="preserve">920</w:t>
            </w:r>
          </w:p>
        </w:tc>
        <w:tc>
          <w:tcPr/>
          <w:p>
            <w:pPr>
              <w:pStyle w:val="918"/>
              <w:jc w:val="left"/>
            </w:pPr>
            <w:r>
              <w:t xml:space="preserve">Nesse ponto, os repasses fundos a fundo pelos entes federados, não de…</w:t>
            </w:r>
          </w:p>
        </w:tc>
      </w:tr>
      <w:tr>
        <w:tc>
          <w:tcPr/>
          <w:p>
            <w:pPr>
              <w:pStyle w:val="918"/>
              <w:jc w:val="right"/>
            </w:pPr>
            <w:r>
              <w:t xml:space="preserve">921</w:t>
            </w:r>
          </w:p>
        </w:tc>
        <w:tc>
          <w:tcPr/>
          <w:p>
            <w:pPr>
              <w:pStyle w:val="918"/>
              <w:jc w:val="left"/>
            </w:pPr>
            <w:r>
              <w:t xml:space="preserve">financeiras estanques, em que a execução das despesas só pode ser vis…</w:t>
            </w:r>
          </w:p>
        </w:tc>
      </w:tr>
      <w:tr>
        <w:tc>
          <w:tcPr/>
          <w:p>
            <w:pPr>
              <w:pStyle w:val="918"/>
              <w:jc w:val="right"/>
            </w:pPr>
            <w:r>
              <w:t xml:space="preserve">922</w:t>
            </w:r>
          </w:p>
        </w:tc>
        <w:tc>
          <w:tcPr/>
          <w:p>
            <w:pPr>
              <w:pStyle w:val="918"/>
              <w:jc w:val="left"/>
            </w:pPr>
            <w:r>
              <w:t xml:space="preserve">sem espelhar a verdadeira integração entre os entes federados no proj…</w:t>
            </w:r>
          </w:p>
        </w:tc>
      </w:tr>
      <w:tr>
        <w:tc>
          <w:tcPr/>
          <w:p>
            <w:pPr>
              <w:pStyle w:val="918"/>
              <w:jc w:val="right"/>
            </w:pPr>
            <w:r>
              <w:t xml:space="preserve">923</w:t>
            </w:r>
          </w:p>
        </w:tc>
        <w:tc>
          <w:tcPr/>
          <w:p>
            <w:pPr>
              <w:pStyle w:val="918"/>
              <w:jc w:val="left"/>
            </w:pPr>
            <w:r>
              <w:t xml:space="preserve">Todos esses aspectos reforçam a necessidade de que todas as instituiç…</w:t>
            </w:r>
          </w:p>
        </w:tc>
      </w:tr>
      <w:tr>
        <w:tc>
          <w:tcPr/>
          <w:p>
            <w:pPr>
              <w:pStyle w:val="918"/>
              <w:jc w:val="right"/>
            </w:pPr>
            <w:r>
              <w:t xml:space="preserve">924</w:t>
            </w:r>
          </w:p>
        </w:tc>
        <w:tc>
          <w:tcPr/>
          <w:p>
            <w:pPr>
              <w:pStyle w:val="918"/>
              <w:jc w:val="left"/>
            </w:pPr>
            <w:r>
              <w:t xml:space="preserve">avaliação e monitoramento do SUS superem a abordagem burocrática, foc…</w:t>
            </w:r>
          </w:p>
        </w:tc>
      </w:tr>
      <w:tr>
        <w:tc>
          <w:tcPr/>
          <w:p>
            <w:pPr>
              <w:pStyle w:val="918"/>
              <w:jc w:val="right"/>
            </w:pPr>
            <w:r>
              <w:t xml:space="preserve">925</w:t>
            </w:r>
          </w:p>
        </w:tc>
        <w:tc>
          <w:tcPr/>
          <w:p>
            <w:pPr>
              <w:pStyle w:val="918"/>
              <w:jc w:val="left"/>
            </w:pPr>
            <w:r>
              <w:t xml:space="preserve">regras de finanças públicas, e avance em abordagens focadas nos resul…</w:t>
            </w:r>
          </w:p>
        </w:tc>
      </w:tr>
      <w:tr>
        <w:tc>
          <w:tcPr/>
          <w:p>
            <w:pPr>
              <w:pStyle w:val="918"/>
              <w:jc w:val="right"/>
            </w:pPr>
            <w:r>
              <w:t xml:space="preserve">926</w:t>
            </w:r>
          </w:p>
        </w:tc>
        <w:tc>
          <w:tcPr/>
          <w:p>
            <w:pPr>
              <w:pStyle w:val="918"/>
              <w:jc w:val="left"/>
            </w:pPr>
            <w:r>
              <w:t xml:space="preserve">SUS, que, ressalta-se, são relacionadas ao modelo de gestão participa…</w:t>
            </w:r>
          </w:p>
        </w:tc>
      </w:tr>
      <w:tr>
        <w:tc>
          <w:tcPr/>
          <w:p>
            <w:pPr>
              <w:pStyle w:val="918"/>
              <w:jc w:val="right"/>
            </w:pPr>
            <w:r>
              <w:t xml:space="preserve">927</w:t>
            </w:r>
          </w:p>
        </w:tc>
        <w:tc>
          <w:tcPr/>
          <w:p>
            <w:pPr>
              <w:pStyle w:val="918"/>
              <w:jc w:val="left"/>
            </w:pPr>
            <w:r>
              <w:t xml:space="preserve">compreender que não existem finalidades exclusivas do Ministério da S…</w:t>
            </w:r>
          </w:p>
        </w:tc>
      </w:tr>
      <w:tr>
        <w:tc>
          <w:tcPr/>
          <w:p>
            <w:pPr>
              <w:pStyle w:val="918"/>
              <w:jc w:val="right"/>
            </w:pPr>
            <w:r>
              <w:t xml:space="preserve">928</w:t>
            </w:r>
          </w:p>
        </w:tc>
        <w:tc>
          <w:tcPr/>
          <w:p>
            <w:pPr>
              <w:pStyle w:val="918"/>
              <w:jc w:val="left"/>
            </w:pPr>
            <w:r>
              <w:t xml:space="preserve">União é apenas uma parte do grande empreendimento social que é o SUS….</w:t>
            </w:r>
          </w:p>
        </w:tc>
      </w:tr>
      <w:tr>
        <w:tc>
          <w:tcPr/>
          <w:p>
            <w:pPr>
              <w:pStyle w:val="918"/>
              <w:jc w:val="right"/>
            </w:pPr>
            <w:r>
              <w:t xml:space="preserve">929</w:t>
            </w:r>
          </w:p>
        </w:tc>
        <w:tc>
          <w:tcPr/>
          <w:p>
            <w:pPr>
              <w:pStyle w:val="918"/>
              <w:jc w:val="left"/>
            </w:pPr>
            <w:r>
              <w:t xml:space="preserve">os objetivos e finalidades sejam comuns e indivisíveis, conforme pact…</w:t>
            </w:r>
          </w:p>
        </w:tc>
      </w:tr>
      <w:tr>
        <w:tc>
          <w:tcPr/>
          <w:p>
            <w:pPr>
              <w:pStyle w:val="918"/>
              <w:jc w:val="right"/>
            </w:pPr>
            <w:r>
              <w:t xml:space="preserve">930</w:t>
            </w:r>
          </w:p>
        </w:tc>
        <w:tc>
          <w:tcPr/>
          <w:p>
            <w:pPr>
              <w:pStyle w:val="918"/>
              <w:jc w:val="left"/>
            </w:pPr>
            <w:r>
              <w:t xml:space="preserve">falar em separação dos recursos.</w:t>
            </w:r>
          </w:p>
        </w:tc>
      </w:tr>
      <w:tr>
        <w:tc>
          <w:tcPr/>
          <w:p>
            <w:pPr>
              <w:pStyle w:val="918"/>
              <w:jc w:val="right"/>
            </w:pPr>
            <w:r>
              <w:t xml:space="preserve">931</w:t>
            </w:r>
          </w:p>
        </w:tc>
        <w:tc>
          <w:tcPr/>
          <w:p>
            <w:pPr>
              <w:pStyle w:val="918"/>
              <w:jc w:val="left"/>
            </w:pPr>
            <w:r>
              <w:t xml:space="preserve">Finalmente, tem-se observado que a Douta Auditoria tem se reportado a…</w:t>
            </w:r>
          </w:p>
        </w:tc>
      </w:tr>
      <w:tr>
        <w:tc>
          <w:tcPr/>
          <w:p>
            <w:pPr>
              <w:pStyle w:val="918"/>
              <w:jc w:val="right"/>
            </w:pPr>
            <w:r>
              <w:t xml:space="preserve">932</w:t>
            </w:r>
          </w:p>
        </w:tc>
        <w:tc>
          <w:tcPr/>
          <w:p>
            <w:pPr>
              <w:pStyle w:val="918"/>
              <w:jc w:val="left"/>
            </w:pPr>
            <w:r>
              <w:t xml:space="preserve">ora a questão não pode ser analisada somente por esse viés, por uma q…</w:t>
            </w:r>
          </w:p>
        </w:tc>
      </w:tr>
      <w:tr>
        <w:tc>
          <w:tcPr/>
          <w:p>
            <w:pPr>
              <w:pStyle w:val="918"/>
              <w:jc w:val="right"/>
            </w:pPr>
            <w:r>
              <w:t xml:space="preserve">933</w:t>
            </w:r>
          </w:p>
        </w:tc>
        <w:tc>
          <w:tcPr/>
          <w:p>
            <w:pPr>
              <w:pStyle w:val="918"/>
              <w:jc w:val="left"/>
            </w:pPr>
            <w:r>
              <w:t xml:space="preserve">desses recursos? Eles não despencam do universo.’’</w:t>
            </w:r>
          </w:p>
        </w:tc>
      </w:tr>
    </w:tbl>
    <w:p>
      <w:pPr>
        <w:pStyle w:val="916"/>
      </w:pPr>
      <w:r>
        <w:t xml:space="preserve">Conforme se vê, o texto foi corretamente atribuído ao seu rótulo. Passa-se, agora, à análise do caso extremo referente ao rótulo</w:t>
      </w:r>
      <w:r>
        <w:t xml:space="preserve"> </w:t>
      </w:r>
      <w:r>
        <w:t xml:space="preserve">“Análise da Justificativa”</w:t>
      </w:r>
      <w:r>
        <w:t xml:space="preserve">.</w:t>
      </w:r>
    </w:p>
    <w:p>
      <w:pPr>
        <w:pStyle w:val="916"/>
      </w:pPr>
      <w:r>
        <w:t xml:space="preserve">A seguir, apresentam-se os dados correspondentes ao relatório em que esse caso foi identificado.</w:t>
      </w:r>
    </w:p>
    <w:p>
      <w:pPr>
        <w:pStyle w:val="SourceCode"/>
      </w:pPr>
      <w:r>
        <w:rPr>
          <w:rStyle w:val="949"/>
        </w:rPr>
        <w:t xml:space="preserve">caso_analise_justificativa &lt;- obtem_caso("Análise da Justificativa", 231, "CONSTATAÇÕES")</w:t>
      </w:r>
      <w:r>
        <w:br/>
      </w:r>
      <w:r>
        <w:br/>
      </w:r>
      <w:r>
        <w:rPr>
          <w:rStyle w:val="949"/>
        </w:rPr>
        <w:t xml:space="preserve">str(caso_analise_justificativa)</w:t>
      </w:r>
      <w:r>
        <w:br/>
      </w:r>
      <w:r>
        <w:rPr>
          <w:rStyle w:val="949"/>
        </w:rPr>
        <w:t xml:space="preserve">#&gt; List of 4</w:t>
      </w:r>
      <w:r>
        <w:br/>
      </w:r>
      <w:r>
        <w:rPr>
          <w:rStyle w:val="949"/>
        </w:rPr>
        <w:t xml:space="preserve">#&gt;  $ Arquivo      : chr "19484_1.pdf"</w:t>
      </w:r>
      <w:r>
        <w:br/>
      </w:r>
      <w:r>
        <w:rPr>
          <w:rStyle w:val="949"/>
        </w:rPr>
        <w:t xml:space="preserve">#&gt;  $ Linha Inicial: int 2569</w:t>
      </w:r>
      <w:r>
        <w:br/>
      </w:r>
      <w:r>
        <w:rPr>
          <w:rStyle w:val="949"/>
        </w:rPr>
        <w:t xml:space="preserve">#&gt;  $ Linha Final  : int 2799</w:t>
      </w:r>
      <w:r>
        <w:br/>
      </w:r>
      <w:r>
        <w:rPr>
          <w:rStyle w:val="949"/>
        </w:rPr>
        <w:t xml:space="preserve">#&gt;  $ # Página     : int 42</w:t>
      </w:r>
    </w:p>
    <w:p>
      <w:pPr>
        <w:pStyle w:val="917"/>
      </w:pPr>
      <w:r>
        <w:t xml:space="preserve">Abaixo, tem-se o texto encontrado nesse arquivo e linhas.</w:t>
      </w:r>
    </w:p>
    <w:p>
      <w:pPr>
        <w:pStyle w:val="944"/>
      </w:pPr>
      <w:r>
        <w:t xml:space="preserve">Caso Extremo Análise Justificativa</w:t>
      </w:r>
    </w:p>
    <w:tbl>
      <w:tblPr>
        <w:tblStyle w:val="Table"/>
        <w:tblW w:type="pct" w:w="4888"/>
        <w:tblLayout w:type="fixed"/>
        <w:tblLook w:firstRow="1" w:lastRow="0" w:firstColumn="0" w:lastColumn="0" w:noHBand="0" w:noVBand="0" w:val="0020"/>
        <w:tblCaption w:val="Caso Extremo Análise Justificativa"/>
      </w:tblPr>
      <w:tblGrid>
        <w:gridCol w:w="978"/>
        <w:gridCol w:w="6763"/>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2569</w:t>
            </w:r>
          </w:p>
        </w:tc>
        <w:tc>
          <w:tcPr/>
          <w:p>
            <w:pPr>
              <w:pStyle w:val="918"/>
              <w:jc w:val="left"/>
            </w:pPr>
            <w:r>
              <w:t xml:space="preserve">Análise da Justificativa: A justificativa apresentada pela SMS de Bom…</w:t>
            </w:r>
          </w:p>
        </w:tc>
      </w:tr>
      <w:tr>
        <w:tc>
          <w:tcPr/>
          <w:p>
            <w:pPr>
              <w:pStyle w:val="918"/>
              <w:jc w:val="right"/>
            </w:pPr>
            <w:r>
              <w:t xml:space="preserve">2570</w:t>
            </w:r>
          </w:p>
        </w:tc>
        <w:tc>
          <w:tcPr/>
          <w:p>
            <w:pPr>
              <w:pStyle w:val="918"/>
              <w:jc w:val="left"/>
            </w:pPr>
            <w:r>
              <w:t xml:space="preserve">situação evidenciada na constatação, conforme apresentado em sua próp…</w:t>
            </w:r>
          </w:p>
        </w:tc>
      </w:tr>
      <w:tr>
        <w:tc>
          <w:tcPr/>
          <w:p>
            <w:pPr>
              <w:pStyle w:val="918"/>
              <w:jc w:val="right"/>
            </w:pPr>
            <w:r>
              <w:t xml:space="preserve">2571</w:t>
            </w:r>
          </w:p>
        </w:tc>
        <w:tc>
          <w:tcPr/>
          <w:p>
            <w:pPr>
              <w:pStyle w:val="918"/>
              <w:jc w:val="left"/>
            </w:pPr>
            <w:r>
              <w:t xml:space="preserve">setor de fiscalização, tal situação, prevista na cláusula décima terc…</w:t>
            </w:r>
          </w:p>
        </w:tc>
      </w:tr>
      <w:tr>
        <w:tc>
          <w:tcPr/>
          <w:p>
            <w:pPr>
              <w:pStyle w:val="918"/>
              <w:jc w:val="right"/>
            </w:pPr>
            <w:r>
              <w:t xml:space="preserve">2572</w:t>
            </w:r>
          </w:p>
        </w:tc>
        <w:tc>
          <w:tcPr/>
          <w:p>
            <w:pPr>
              <w:pStyle w:val="918"/>
              <w:jc w:val="left"/>
            </w:pPr>
            <w:r>
              <w:t xml:space="preserve">Convênio n° 001/2017, não substitui as obrigações descritas nas cláus…</w:t>
            </w:r>
          </w:p>
        </w:tc>
      </w:tr>
      <w:tr>
        <w:tc>
          <w:tcPr/>
          <w:p>
            <w:pPr>
              <w:pStyle w:val="918"/>
              <w:jc w:val="right"/>
            </w:pPr>
            <w:r>
              <w:t xml:space="preserve">2573</w:t>
            </w:r>
          </w:p>
        </w:tc>
        <w:tc>
          <w:tcPr/>
          <w:p>
            <w:pPr>
              <w:pStyle w:val="918"/>
              <w:jc w:val="left"/>
            </w:pPr>
            <w:r>
              <w:t xml:space="preserve">vista que estabelecem os critérios de “APURAÇÃO DOS SERVIÇOS PRESTADO…</w:t>
            </w:r>
          </w:p>
        </w:tc>
      </w:tr>
      <w:tr>
        <w:tc>
          <w:tcPr/>
          <w:p>
            <w:pPr>
              <w:pStyle w:val="918"/>
              <w:jc w:val="right"/>
            </w:pPr>
            <w:r>
              <w:t xml:space="preserve">2574</w:t>
            </w:r>
          </w:p>
        </w:tc>
        <w:tc>
          <w:tcPr/>
          <w:p>
            <w:pPr>
              <w:pStyle w:val="918"/>
              <w:jc w:val="left"/>
            </w:pPr>
            <w:r>
              <w:t xml:space="preserve">PAGAMENTO, DA PRESTAÇÃO DE CONTAS E DA APLICAÇÃO DO REPASSE FINANCEIR…</w:t>
            </w:r>
          </w:p>
        </w:tc>
      </w:tr>
      <w:tr>
        <w:tc>
          <w:tcPr/>
          <w:p>
            <w:pPr>
              <w:pStyle w:val="918"/>
              <w:jc w:val="right"/>
            </w:pPr>
            <w:r>
              <w:t xml:space="preserve">2575</w:t>
            </w:r>
          </w:p>
        </w:tc>
        <w:tc>
          <w:tcPr/>
          <w:p>
            <w:pPr>
              <w:pStyle w:val="918"/>
              <w:jc w:val="left"/>
            </w:pPr>
            <w:r>
              <w:t xml:space="preserve">INSTRUMENTO DE CONTROLE”, respectivamente, uma vez que não foi possív…</w:t>
            </w:r>
          </w:p>
        </w:tc>
      </w:tr>
      <w:tr>
        <w:tc>
          <w:tcPr/>
          <w:p>
            <w:pPr>
              <w:pStyle w:val="918"/>
              <w:jc w:val="right"/>
            </w:pPr>
            <w:r>
              <w:t xml:space="preserve">2576</w:t>
            </w:r>
          </w:p>
        </w:tc>
        <w:tc>
          <w:tcPr/>
          <w:p>
            <w:pPr>
              <w:pStyle w:val="918"/>
              <w:jc w:val="left"/>
            </w:pPr>
            <w:r>
              <w:t xml:space="preserve">documental da apuração dos serviços prestados, da forma de pagamento,…</w:t>
            </w:r>
          </w:p>
        </w:tc>
      </w:tr>
      <w:tr>
        <w:tc>
          <w:tcPr/>
          <w:p>
            <w:pPr>
              <w:pStyle w:val="918"/>
              <w:jc w:val="right"/>
            </w:pPr>
            <w:r>
              <w:t xml:space="preserve">2577</w:t>
            </w:r>
          </w:p>
        </w:tc>
        <w:tc>
          <w:tcPr/>
          <w:p>
            <w:pPr>
              <w:pStyle w:val="918"/>
              <w:jc w:val="left"/>
            </w:pPr>
            <w:r>
              <w:t xml:space="preserve">aplicação do repasse financeiro, assim como a efetiva atuação da Comi…</w:t>
            </w:r>
          </w:p>
        </w:tc>
      </w:tr>
      <w:tr>
        <w:tc>
          <w:tcPr/>
          <w:p>
            <w:pPr>
              <w:pStyle w:val="918"/>
              <w:jc w:val="right"/>
            </w:pPr>
            <w:r>
              <w:t xml:space="preserve">2578</w:t>
            </w:r>
          </w:p>
        </w:tc>
        <w:tc>
          <w:tcPr/>
          <w:p>
            <w:pPr>
              <w:pStyle w:val="918"/>
              <w:jc w:val="left"/>
            </w:pPr>
            <w:r>
              <w:t xml:space="preserve">enquadramentos encontram reforço na Portaria GM/MS de Consolidação n….</w:t>
            </w:r>
          </w:p>
        </w:tc>
      </w:tr>
      <w:tr>
        <w:tc>
          <w:tcPr/>
          <w:p>
            <w:pPr>
              <w:pStyle w:val="918"/>
              <w:jc w:val="right"/>
            </w:pPr>
            <w:r>
              <w:t xml:space="preserve">2579</w:t>
            </w:r>
          </w:p>
        </w:tc>
        <w:tc>
          <w:tcPr/>
          <w:p>
            <w:pPr>
              <w:pStyle w:val="918"/>
              <w:jc w:val="left"/>
            </w:pPr>
            <w:r>
              <w:t xml:space="preserve">Seção III, art. 28, § 3°: “O não cumprimento pelo hospital das metas …</w:t>
            </w:r>
          </w:p>
        </w:tc>
      </w:tr>
      <w:tr>
        <w:tc>
          <w:tcPr/>
          <w:p>
            <w:pPr>
              <w:pStyle w:val="918"/>
              <w:jc w:val="right"/>
            </w:pPr>
            <w:r>
              <w:t xml:space="preserve">2580</w:t>
            </w:r>
          </w:p>
        </w:tc>
        <w:tc>
          <w:tcPr/>
          <w:p>
            <w:pPr>
              <w:pStyle w:val="918"/>
              <w:jc w:val="left"/>
            </w:pPr>
            <w:r>
              <w:t xml:space="preserve">discriminadas no Documento Descritivo implicará na suspensão parcial …</w:t>
            </w:r>
          </w:p>
        </w:tc>
      </w:tr>
      <w:tr>
        <w:tc>
          <w:tcPr/>
          <w:p>
            <w:pPr>
              <w:pStyle w:val="918"/>
              <w:jc w:val="right"/>
            </w:pPr>
            <w:r>
              <w:t xml:space="preserve">2581</w:t>
            </w:r>
          </w:p>
        </w:tc>
        <w:tc>
          <w:tcPr/>
          <w:p>
            <w:pPr>
              <w:pStyle w:val="918"/>
              <w:jc w:val="left"/>
            </w:pPr>
            <w:r>
              <w:t xml:space="preserve">financeiros pelo gestor local. (Origem: PRT MS/GM 3410/2013, Art. 28,…</w:t>
            </w:r>
          </w:p>
        </w:tc>
      </w:tr>
      <w:tr>
        <w:tc>
          <w:tcPr/>
          <w:p>
            <w:pPr>
              <w:pStyle w:val="918"/>
              <w:jc w:val="right"/>
            </w:pPr>
            <w:r>
              <w:t xml:space="preserve">2582</w:t>
            </w:r>
          </w:p>
        </w:tc>
        <w:tc>
          <w:tcPr/>
          <w:p>
            <w:pPr>
              <w:pStyle w:val="918"/>
              <w:jc w:val="left"/>
            </w:pPr>
            <w:r>
              <w:t xml:space="preserve">auditoria considerou a validação dos instrumentos apresentados em car…</w:t>
            </w:r>
          </w:p>
        </w:tc>
      </w:tr>
      <w:tr>
        <w:tc>
          <w:tcPr/>
          <w:p>
            <w:pPr>
              <w:pStyle w:val="918"/>
              <w:jc w:val="right"/>
            </w:pPr>
            <w:r>
              <w:t xml:space="preserve">2583</w:t>
            </w:r>
          </w:p>
        </w:tc>
        <w:tc>
          <w:tcPr/>
          <w:p>
            <w:pPr>
              <w:pStyle w:val="918"/>
              <w:jc w:val="left"/>
            </w:pPr>
            <w:r>
              <w:t xml:space="preserve">contendo informações sobre aspectos qualitativos da organização hospi…</w:t>
            </w:r>
          </w:p>
        </w:tc>
      </w:tr>
      <w:tr>
        <w:tc>
          <w:tcPr/>
          <w:p>
            <w:pPr>
              <w:pStyle w:val="918"/>
              <w:jc w:val="right"/>
            </w:pPr>
            <w:r>
              <w:t xml:space="preserve">2584</w:t>
            </w:r>
          </w:p>
        </w:tc>
        <w:tc>
          <w:tcPr/>
          <w:p>
            <w:pPr>
              <w:pStyle w:val="918"/>
              <w:jc w:val="left"/>
            </w:pPr>
            <w:r>
              <w:t xml:space="preserve">pertinência, quando comparadas com as metas estabelecidas contratualm…</w:t>
            </w:r>
          </w:p>
        </w:tc>
      </w:tr>
      <w:tr>
        <w:tc>
          <w:tcPr/>
          <w:p>
            <w:pPr>
              <w:pStyle w:val="918"/>
              <w:jc w:val="right"/>
            </w:pPr>
            <w:r>
              <w:t xml:space="preserve">2585</w:t>
            </w:r>
          </w:p>
        </w:tc>
        <w:tc>
          <w:tcPr/>
          <w:p>
            <w:pPr>
              <w:pStyle w:val="918"/>
              <w:jc w:val="left"/>
            </w:pPr>
            <w:r>
              <w:t xml:space="preserve">demonstrou um alcance percentual de resultados nos anos de 2017, 2018…</w:t>
            </w:r>
          </w:p>
        </w:tc>
      </w:tr>
      <w:tr>
        <w:tc>
          <w:tcPr/>
          <w:p>
            <w:pPr>
              <w:pStyle w:val="918"/>
              <w:jc w:val="right"/>
            </w:pPr>
            <w:r>
              <w:t xml:space="preserve">2586</w:t>
            </w:r>
          </w:p>
        </w:tc>
        <w:tc>
          <w:tcPr/>
          <w:p>
            <w:pPr>
              <w:pStyle w:val="918"/>
              <w:jc w:val="left"/>
            </w:pPr>
            <w:r>
              <w:t xml:space="preserve">24%, respectivamente, cujos efeitos recaem no volume de pagamentos de…</w:t>
            </w:r>
          </w:p>
        </w:tc>
      </w:tr>
      <w:tr>
        <w:tc>
          <w:tcPr/>
          <w:p>
            <w:pPr>
              <w:pStyle w:val="918"/>
              <w:jc w:val="right"/>
            </w:pPr>
            <w:r>
              <w:t xml:space="preserve">2587</w:t>
            </w:r>
          </w:p>
        </w:tc>
        <w:tc>
          <w:tcPr/>
          <w:p>
            <w:pPr>
              <w:pStyle w:val="918"/>
              <w:jc w:val="left"/>
            </w:pPr>
            <w:r>
              <w:t xml:space="preserve">pagos acerca das metas qualitativas contidas nos respectivos Document…</w:t>
            </w:r>
          </w:p>
        </w:tc>
      </w:tr>
      <w:tr>
        <w:tc>
          <w:tcPr/>
          <w:p>
            <w:pPr>
              <w:pStyle w:val="918"/>
              <w:jc w:val="right"/>
            </w:pPr>
            <w:r>
              <w:t xml:space="preserve">2588</w:t>
            </w:r>
          </w:p>
        </w:tc>
        <w:tc>
          <w:tcPr/>
          <w:p>
            <w:pPr>
              <w:pStyle w:val="918"/>
              <w:jc w:val="left"/>
            </w:pPr>
            <w:r>
              <w:t xml:space="preserve">impactando os valores a serem objeto de proposição de devolução, cujo…</w:t>
            </w:r>
          </w:p>
        </w:tc>
      </w:tr>
      <w:tr>
        <w:tc>
          <w:tcPr/>
          <w:p>
            <w:pPr>
              <w:pStyle w:val="918"/>
              <w:jc w:val="right"/>
            </w:pPr>
            <w:r>
              <w:t xml:space="preserve">2589</w:t>
            </w:r>
          </w:p>
        </w:tc>
        <w:tc>
          <w:tcPr/>
          <w:p>
            <w:pPr>
              <w:pStyle w:val="918"/>
              <w:jc w:val="left"/>
            </w:pPr>
            <w:r>
              <w:t xml:space="preserve">específica reduzindo o valor para R$ 5.411.324,29 (cinco milhões, qua…</w:t>
            </w:r>
          </w:p>
        </w:tc>
      </w:tr>
      <w:tr>
        <w:tc>
          <w:tcPr/>
          <w:p>
            <w:pPr>
              <w:pStyle w:val="918"/>
              <w:jc w:val="right"/>
            </w:pPr>
            <w:r>
              <w:t xml:space="preserve">2590</w:t>
            </w:r>
          </w:p>
        </w:tc>
        <w:tc>
          <w:tcPr/>
          <w:p>
            <w:pPr>
              <w:pStyle w:val="918"/>
              <w:jc w:val="left"/>
            </w:pPr>
            <w:r>
              <w:t xml:space="preserve">quatro reais e vinte e nove centavos). Não obstante, ainda que esteja…</w:t>
            </w:r>
          </w:p>
        </w:tc>
      </w:tr>
      <w:tr>
        <w:tc>
          <w:tcPr/>
          <w:p>
            <w:pPr>
              <w:pStyle w:val="918"/>
              <w:jc w:val="right"/>
            </w:pPr>
            <w:r>
              <w:t xml:space="preserve">2591</w:t>
            </w:r>
          </w:p>
        </w:tc>
        <w:tc>
          <w:tcPr/>
          <w:p>
            <w:pPr>
              <w:pStyle w:val="918"/>
              <w:jc w:val="left"/>
            </w:pPr>
            <w:r>
              <w:t xml:space="preserve">atenuantes, tais instrumentos não foram capazes de elidir integralmen…</w:t>
            </w:r>
          </w:p>
        </w:tc>
      </w:tr>
      <w:tr>
        <w:tc>
          <w:tcPr/>
          <w:p>
            <w:pPr>
              <w:pStyle w:val="918"/>
              <w:jc w:val="right"/>
            </w:pPr>
            <w:r>
              <w:t xml:space="preserve">2592</w:t>
            </w:r>
          </w:p>
        </w:tc>
        <w:tc>
          <w:tcPr/>
          <w:p>
            <w:pPr>
              <w:pStyle w:val="918"/>
              <w:jc w:val="left"/>
            </w:pPr>
            <w:r>
              <w:t xml:space="preserve">constatação, sendo mantida assim sua não conformidade.</w:t>
            </w:r>
          </w:p>
        </w:tc>
      </w:tr>
      <w:tr>
        <w:tc>
          <w:tcPr/>
          <w:p>
            <w:pPr>
              <w:pStyle w:val="918"/>
              <w:jc w:val="right"/>
            </w:pPr>
            <w:r>
              <w:t xml:space="preserve">2604</w:t>
            </w:r>
          </w:p>
        </w:tc>
        <w:tc>
          <w:tcPr/>
          <w:p>
            <w:pPr>
              <w:pStyle w:val="918"/>
              <w:jc w:val="left"/>
            </w:pPr>
            <w:r>
              <w:t xml:space="preserve">A justificativa do ex-Secretário Municipal de Saúde de Bom Jesus do I…</w:t>
            </w:r>
          </w:p>
        </w:tc>
      </w:tr>
      <w:tr>
        <w:tc>
          <w:tcPr/>
          <w:p>
            <w:pPr>
              <w:pStyle w:val="918"/>
              <w:jc w:val="right"/>
            </w:pPr>
            <w:r>
              <w:t xml:space="preserve">2605</w:t>
            </w:r>
          </w:p>
        </w:tc>
        <w:tc>
          <w:tcPr/>
          <w:p>
            <w:pPr>
              <w:pStyle w:val="918"/>
              <w:jc w:val="left"/>
            </w:pPr>
            <w:r>
              <w:t xml:space="preserve">acatada, conforme afirmado em resposta, cita a exiguidade do prazo pa…</w:t>
            </w:r>
          </w:p>
        </w:tc>
      </w:tr>
      <w:tr>
        <w:tc>
          <w:tcPr/>
          <w:p>
            <w:pPr>
              <w:pStyle w:val="918"/>
              <w:jc w:val="right"/>
            </w:pPr>
            <w:r>
              <w:t xml:space="preserve">2606</w:t>
            </w:r>
          </w:p>
        </w:tc>
        <w:tc>
          <w:tcPr/>
          <w:p>
            <w:pPr>
              <w:pStyle w:val="918"/>
              <w:jc w:val="left"/>
            </w:pPr>
            <w:r>
              <w:t xml:space="preserve">além de apresentar cópia de documento do tipo Declaração, informando …</w:t>
            </w:r>
          </w:p>
        </w:tc>
      </w:tr>
      <w:tr>
        <w:tc>
          <w:tcPr/>
          <w:p>
            <w:pPr>
              <w:pStyle w:val="918"/>
              <w:jc w:val="right"/>
            </w:pPr>
            <w:r>
              <w:t xml:space="preserve">2607</w:t>
            </w:r>
          </w:p>
        </w:tc>
        <w:tc>
          <w:tcPr/>
          <w:p>
            <w:pPr>
              <w:pStyle w:val="918"/>
              <w:jc w:val="left"/>
            </w:pPr>
            <w:r>
              <w:t xml:space="preserve">atendeu a regular e satisfatória demanda da gestão municipal, assinad…</w:t>
            </w:r>
          </w:p>
        </w:tc>
      </w:tr>
      <w:tr>
        <w:tc>
          <w:tcPr/>
          <w:p>
            <w:pPr>
              <w:pStyle w:val="918"/>
              <w:jc w:val="right"/>
            </w:pPr>
            <w:r>
              <w:t xml:space="preserve">2608</w:t>
            </w:r>
          </w:p>
        </w:tc>
        <w:tc>
          <w:tcPr/>
          <w:p>
            <w:pPr>
              <w:pStyle w:val="918"/>
              <w:jc w:val="left"/>
            </w:pPr>
            <w:r>
              <w:t xml:space="preserve">na Coordenação de Controle e Avaliação, Regulação e Auditoria em perí…</w:t>
            </w:r>
          </w:p>
        </w:tc>
      </w:tr>
      <w:tr>
        <w:tc>
          <w:tcPr/>
          <w:p>
            <w:pPr>
              <w:pStyle w:val="918"/>
              <w:jc w:val="right"/>
            </w:pPr>
            <w:r>
              <w:t xml:space="preserve">2609</w:t>
            </w:r>
          </w:p>
        </w:tc>
        <w:tc>
          <w:tcPr/>
          <w:p>
            <w:pPr>
              <w:pStyle w:val="918"/>
              <w:jc w:val="left"/>
            </w:pPr>
            <w:r>
              <w:t xml:space="preserve">na SMS de Bom Jesus do Itabapoana/RJ. Acrescentando que a função de g…</w:t>
            </w:r>
          </w:p>
        </w:tc>
      </w:tr>
      <w:tr>
        <w:tc>
          <w:tcPr/>
          <w:p>
            <w:pPr>
              <w:pStyle w:val="918"/>
              <w:jc w:val="right"/>
            </w:pPr>
            <w:r>
              <w:t xml:space="preserve">2610</w:t>
            </w:r>
          </w:p>
        </w:tc>
        <w:tc>
          <w:tcPr/>
          <w:p>
            <w:pPr>
              <w:pStyle w:val="918"/>
              <w:jc w:val="left"/>
            </w:pPr>
            <w:r>
              <w:t xml:space="preserve">função de fiscalização. Ademais, independentemente do documento de de…</w:t>
            </w:r>
          </w:p>
        </w:tc>
      </w:tr>
      <w:tr>
        <w:tc>
          <w:tcPr/>
          <w:p>
            <w:pPr>
              <w:pStyle w:val="918"/>
              <w:jc w:val="right"/>
            </w:pPr>
            <w:r>
              <w:t xml:space="preserve">2611</w:t>
            </w:r>
          </w:p>
        </w:tc>
        <w:tc>
          <w:tcPr/>
          <w:p>
            <w:pPr>
              <w:pStyle w:val="918"/>
              <w:jc w:val="left"/>
            </w:pPr>
            <w:r>
              <w:t xml:space="preserve">responsabilidades do gestor municipal são estabelecidas na Portaria d…</w:t>
            </w:r>
          </w:p>
        </w:tc>
      </w:tr>
      <w:tr>
        <w:tc>
          <w:tcPr/>
          <w:p>
            <w:pPr>
              <w:pStyle w:val="918"/>
              <w:jc w:val="right"/>
            </w:pPr>
            <w:r>
              <w:t xml:space="preserve">2612</w:t>
            </w:r>
          </w:p>
        </w:tc>
        <w:tc>
          <w:tcPr/>
          <w:p>
            <w:pPr>
              <w:pStyle w:val="918"/>
              <w:jc w:val="left"/>
            </w:pPr>
            <w:r>
              <w:t xml:space="preserve">setembro de 2017, ANEXO XXIV, CAPÍTULO I, art. 5º, inciso IX -“gestão…</w:t>
            </w:r>
          </w:p>
        </w:tc>
      </w:tr>
      <w:tr>
        <w:tc>
          <w:tcPr/>
          <w:p>
            <w:pPr>
              <w:pStyle w:val="918"/>
              <w:jc w:val="right"/>
            </w:pPr>
            <w:r>
              <w:t xml:space="preserve">2613</w:t>
            </w:r>
          </w:p>
        </w:tc>
        <w:tc>
          <w:tcPr/>
          <w:p>
            <w:pPr>
              <w:pStyle w:val="918"/>
              <w:jc w:val="left"/>
            </w:pPr>
            <w:r>
              <w:t xml:space="preserve">comandar um sistema de saúde municipal,(…), exercendo as funções de…</w:t>
            </w:r>
          </w:p>
        </w:tc>
      </w:tr>
      <w:tr>
        <w:tc>
          <w:tcPr/>
          <w:p>
            <w:pPr>
              <w:pStyle w:val="918"/>
              <w:jc w:val="right"/>
            </w:pPr>
            <w:r>
              <w:t xml:space="preserve">2614</w:t>
            </w:r>
          </w:p>
        </w:tc>
        <w:tc>
          <w:tcPr/>
          <w:p>
            <w:pPr>
              <w:pStyle w:val="918"/>
              <w:jc w:val="left"/>
            </w:pPr>
            <w:r>
              <w:t xml:space="preserve">negociação, planejamento, acompanhamento, controle, avaliação e audit…</w:t>
            </w:r>
          </w:p>
        </w:tc>
      </w:tr>
      <w:tr>
        <w:tc>
          <w:tcPr/>
          <w:p>
            <w:pPr>
              <w:pStyle w:val="918"/>
              <w:jc w:val="right"/>
            </w:pPr>
            <w:r>
              <w:t xml:space="preserve">2615</w:t>
            </w:r>
          </w:p>
        </w:tc>
        <w:tc>
          <w:tcPr/>
          <w:p>
            <w:pPr>
              <w:pStyle w:val="918"/>
              <w:jc w:val="left"/>
            </w:pPr>
            <w:r>
              <w:t xml:space="preserve">de formulação de políticas/planejamento, financiamento, coordenação, …</w:t>
            </w:r>
          </w:p>
        </w:tc>
      </w:tr>
      <w:tr>
        <w:tc>
          <w:tcPr/>
          <w:p>
            <w:pPr>
              <w:pStyle w:val="918"/>
              <w:jc w:val="right"/>
            </w:pPr>
            <w:r>
              <w:t xml:space="preserve">2616</w:t>
            </w:r>
          </w:p>
        </w:tc>
        <w:tc>
          <w:tcPr/>
          <w:p>
            <w:pPr>
              <w:pStyle w:val="918"/>
              <w:jc w:val="left"/>
            </w:pPr>
            <w:r>
              <w:t xml:space="preserve">sistema/redes e dos prestadores públicos ou privados e prestação dire…</w:t>
            </w:r>
          </w:p>
        </w:tc>
      </w:tr>
      <w:tr>
        <w:tc>
          <w:tcPr/>
          <w:p>
            <w:pPr>
              <w:pStyle w:val="918"/>
              <w:jc w:val="right"/>
            </w:pPr>
            <w:r>
              <w:t xml:space="preserve">2617</w:t>
            </w:r>
          </w:p>
        </w:tc>
        <w:tc>
          <w:tcPr/>
          <w:p>
            <w:pPr>
              <w:pStyle w:val="918"/>
              <w:jc w:val="left"/>
            </w:pPr>
            <w:r>
              <w:t xml:space="preserve">MS/GM 3390/2013, Art. 5º, IX), assim como no Anexo XXVI, CAPÍTULO I, …</w:t>
            </w:r>
          </w:p>
        </w:tc>
      </w:tr>
      <w:tr>
        <w:tc>
          <w:tcPr/>
          <w:p>
            <w:pPr>
              <w:pStyle w:val="918"/>
              <w:jc w:val="right"/>
            </w:pPr>
            <w:r>
              <w:t xml:space="preserve">2618</w:t>
            </w:r>
          </w:p>
        </w:tc>
        <w:tc>
          <w:tcPr/>
          <w:p>
            <w:pPr>
              <w:pStyle w:val="918"/>
              <w:jc w:val="left"/>
            </w:pPr>
            <w:r>
              <w:t xml:space="preserve">…exercer, em seu âmbito administrativo, as seguintes atividades: (O…</w:t>
            </w:r>
          </w:p>
        </w:tc>
      </w:tr>
      <w:tr>
        <w:tc>
          <w:tcPr/>
          <w:p>
            <w:pPr>
              <w:pStyle w:val="918"/>
              <w:jc w:val="right"/>
            </w:pPr>
            <w:r>
              <w:t xml:space="preserve">2619</w:t>
            </w:r>
          </w:p>
        </w:tc>
        <w:tc>
          <w:tcPr/>
          <w:p>
            <w:pPr>
              <w:pStyle w:val="918"/>
              <w:jc w:val="left"/>
            </w:pPr>
            <w:r>
              <w:t xml:space="preserve">“executar a regulação, o controle, a avaliação e a auditoria da prest…</w:t>
            </w:r>
          </w:p>
        </w:tc>
      </w:tr>
      <w:tr>
        <w:tc>
          <w:tcPr/>
          <w:p>
            <w:pPr>
              <w:pStyle w:val="918"/>
              <w:jc w:val="right"/>
            </w:pPr>
            <w:r>
              <w:t xml:space="preserve">2620</w:t>
            </w:r>
          </w:p>
        </w:tc>
        <w:tc>
          <w:tcPr/>
          <w:p>
            <w:pPr>
              <w:pStyle w:val="918"/>
              <w:jc w:val="left"/>
            </w:pPr>
            <w:r>
              <w:t xml:space="preserve">MS/GM 1559/2008, Art. 10, I), II -“definir, monitorar e avaliar a apl…</w:t>
            </w:r>
          </w:p>
        </w:tc>
      </w:tr>
      <w:tr>
        <w:tc>
          <w:tcPr/>
          <w:p>
            <w:pPr>
              <w:pStyle w:val="918"/>
              <w:jc w:val="right"/>
            </w:pPr>
            <w:r>
              <w:t xml:space="preserve">2621</w:t>
            </w:r>
          </w:p>
        </w:tc>
        <w:tc>
          <w:tcPr/>
          <w:p>
            <w:pPr>
              <w:pStyle w:val="918"/>
              <w:jc w:val="left"/>
            </w:pPr>
            <w:r>
              <w:t xml:space="preserve">PRT MS/GM 1559/2008, Art. 10, II), III -“elaborar estratégias para a …</w:t>
            </w:r>
          </w:p>
        </w:tc>
      </w:tr>
      <w:tr>
        <w:tc>
          <w:tcPr/>
          <w:p>
            <w:pPr>
              <w:pStyle w:val="918"/>
              <w:jc w:val="right"/>
            </w:pPr>
            <w:r>
              <w:t xml:space="preserve">2622</w:t>
            </w:r>
          </w:p>
        </w:tc>
        <w:tc>
          <w:tcPr/>
          <w:p>
            <w:pPr>
              <w:pStyle w:val="918"/>
              <w:jc w:val="left"/>
            </w:pPr>
            <w:r>
              <w:t xml:space="preserve">(Origem: PRT MS/GM 1559/2008, Art. 10, III), (…) V -“capacitar de f…</w:t>
            </w:r>
          </w:p>
        </w:tc>
      </w:tr>
      <w:tr>
        <w:tc>
          <w:tcPr/>
          <w:p>
            <w:pPr>
              <w:pStyle w:val="918"/>
              <w:jc w:val="right"/>
            </w:pPr>
            <w:r>
              <w:t xml:space="preserve">2623</w:t>
            </w:r>
          </w:p>
        </w:tc>
        <w:tc>
          <w:tcPr/>
          <w:p>
            <w:pPr>
              <w:pStyle w:val="918"/>
              <w:jc w:val="left"/>
            </w:pPr>
            <w:r>
              <w:t xml:space="preserve">controle e avaliação; e (Origem: PRT MS/GM 1559/2008, Art. 10, V)“, a…</w:t>
            </w:r>
          </w:p>
        </w:tc>
      </w:tr>
      <w:tr>
        <w:tc>
          <w:tcPr/>
          <w:p>
            <w:pPr>
              <w:pStyle w:val="918"/>
              <w:jc w:val="right"/>
            </w:pPr>
            <w:r>
              <w:t xml:space="preserve">2624</w:t>
            </w:r>
          </w:p>
        </w:tc>
        <w:tc>
          <w:tcPr/>
          <w:p>
            <w:pPr>
              <w:pStyle w:val="918"/>
              <w:jc w:val="left"/>
            </w:pPr>
            <w:r>
              <w:t xml:space="preserve">de 1990, TÍTULO II, CAPÍTULO IV, Seção II, art. 18. “À direção munici…</w:t>
            </w:r>
          </w:p>
        </w:tc>
      </w:tr>
      <w:tr>
        <w:tc>
          <w:tcPr/>
          <w:p>
            <w:pPr>
              <w:pStyle w:val="918"/>
              <w:jc w:val="right"/>
            </w:pPr>
            <w:r>
              <w:t xml:space="preserve">2625</w:t>
            </w:r>
          </w:p>
        </w:tc>
        <w:tc>
          <w:tcPr/>
          <w:p>
            <w:pPr>
              <w:pStyle w:val="918"/>
              <w:jc w:val="left"/>
            </w:pPr>
            <w:r>
              <w:t xml:space="preserve">organizar, controlar e avaliar as ações e os serviços de saúde e geri…</w:t>
            </w:r>
          </w:p>
        </w:tc>
      </w:tr>
      <w:tr>
        <w:tc>
          <w:tcPr/>
          <w:p>
            <w:pPr>
              <w:pStyle w:val="918"/>
              <w:jc w:val="right"/>
            </w:pPr>
            <w:r>
              <w:t xml:space="preserve">2626</w:t>
            </w:r>
          </w:p>
        </w:tc>
        <w:tc>
          <w:tcPr/>
          <w:p>
            <w:pPr>
              <w:pStyle w:val="918"/>
              <w:jc w:val="left"/>
            </w:pPr>
            <w:r>
              <w:t xml:space="preserve">(…) III - participar da execução, controle e avaliação das ações re…</w:t>
            </w:r>
          </w:p>
        </w:tc>
      </w:tr>
      <w:tr>
        <w:tc>
          <w:tcPr/>
          <w:p>
            <w:pPr>
              <w:pStyle w:val="918"/>
              <w:jc w:val="right"/>
            </w:pPr>
            <w:r>
              <w:t xml:space="preserve">2627</w:t>
            </w:r>
          </w:p>
        </w:tc>
        <w:tc>
          <w:tcPr/>
          <w:p>
            <w:pPr>
              <w:pStyle w:val="918"/>
              <w:jc w:val="left"/>
            </w:pPr>
            <w:r>
              <w:t xml:space="preserve">trabalho; (…) XI - controlar e fiscalizar os procedimentos dos serv…</w:t>
            </w:r>
          </w:p>
        </w:tc>
      </w:tr>
      <w:tr>
        <w:tc>
          <w:tcPr/>
          <w:p>
            <w:pPr>
              <w:pStyle w:val="918"/>
              <w:jc w:val="right"/>
            </w:pPr>
            <w:r>
              <w:t xml:space="preserve">2628</w:t>
            </w:r>
          </w:p>
        </w:tc>
        <w:tc>
          <w:tcPr/>
          <w:p>
            <w:pPr>
              <w:pStyle w:val="918"/>
              <w:jc w:val="left"/>
            </w:pPr>
            <w:r>
              <w:t xml:space="preserve">informações apresentadas em caráter de justificativas não foram capaz…</w:t>
            </w:r>
          </w:p>
        </w:tc>
      </w:tr>
      <w:tr>
        <w:tc>
          <w:tcPr/>
          <w:p>
            <w:pPr>
              <w:pStyle w:val="918"/>
              <w:jc w:val="right"/>
            </w:pPr>
            <w:r>
              <w:t xml:space="preserve">2629</w:t>
            </w:r>
          </w:p>
        </w:tc>
        <w:tc>
          <w:tcPr/>
          <w:p>
            <w:pPr>
              <w:pStyle w:val="918"/>
              <w:jc w:val="left"/>
            </w:pPr>
            <w:r>
              <w:t xml:space="preserve">constatação, sendo mantida assim sua não conformidade. No entanto, a …</w:t>
            </w:r>
          </w:p>
        </w:tc>
      </w:tr>
      <w:tr>
        <w:tc>
          <w:tcPr/>
          <w:p>
            <w:pPr>
              <w:pStyle w:val="918"/>
              <w:jc w:val="right"/>
            </w:pPr>
            <w:r>
              <w:t xml:space="preserve">2630</w:t>
            </w:r>
          </w:p>
        </w:tc>
        <w:tc>
          <w:tcPr/>
          <w:p>
            <w:pPr>
              <w:pStyle w:val="918"/>
              <w:jc w:val="left"/>
            </w:pPr>
            <w:r>
              <w:t xml:space="preserve">validação dos instrumentos apresentados em caráter de resposta a essa…</w:t>
            </w:r>
          </w:p>
        </w:tc>
      </w:tr>
      <w:tr>
        <w:tc>
          <w:tcPr/>
          <w:p>
            <w:pPr>
              <w:pStyle w:val="918"/>
              <w:jc w:val="right"/>
            </w:pPr>
            <w:r>
              <w:t xml:space="preserve">2631</w:t>
            </w:r>
          </w:p>
        </w:tc>
        <w:tc>
          <w:tcPr/>
          <w:p>
            <w:pPr>
              <w:pStyle w:val="918"/>
              <w:jc w:val="left"/>
            </w:pPr>
            <w:r>
              <w:t xml:space="preserve">Jesus do Itabapoana/RJ, contendo informações sobre aspectos qualitati…</w:t>
            </w:r>
          </w:p>
        </w:tc>
      </w:tr>
      <w:tr>
        <w:tc>
          <w:tcPr/>
          <w:p>
            <w:pPr>
              <w:pStyle w:val="918"/>
              <w:jc w:val="right"/>
            </w:pPr>
            <w:r>
              <w:t xml:space="preserve">2632</w:t>
            </w:r>
          </w:p>
        </w:tc>
        <w:tc>
          <w:tcPr/>
          <w:p>
            <w:pPr>
              <w:pStyle w:val="918"/>
              <w:jc w:val="left"/>
            </w:pPr>
            <w:r>
              <w:t xml:space="preserve">proporção de sua pertinência, quando comparadas com as metas estabele…</w:t>
            </w:r>
          </w:p>
        </w:tc>
      </w:tr>
      <w:tr>
        <w:tc>
          <w:tcPr/>
          <w:p>
            <w:pPr>
              <w:pStyle w:val="918"/>
              <w:jc w:val="right"/>
            </w:pPr>
            <w:r>
              <w:t xml:space="preserve">2633</w:t>
            </w:r>
          </w:p>
        </w:tc>
        <w:tc>
          <w:tcPr/>
          <w:p>
            <w:pPr>
              <w:pStyle w:val="918"/>
              <w:jc w:val="left"/>
            </w:pPr>
            <w:r>
              <w:t xml:space="preserve">apresentado demonstrou um alcance percentual de resultados nos anos d…</w:t>
            </w:r>
          </w:p>
        </w:tc>
      </w:tr>
      <w:tr>
        <w:tc>
          <w:tcPr/>
          <w:p>
            <w:pPr>
              <w:pStyle w:val="918"/>
              <w:jc w:val="right"/>
            </w:pPr>
            <w:r>
              <w:t xml:space="preserve">2634</w:t>
            </w:r>
          </w:p>
        </w:tc>
        <w:tc>
          <w:tcPr/>
          <w:p>
            <w:pPr>
              <w:pStyle w:val="918"/>
              <w:jc w:val="left"/>
            </w:pPr>
            <w:r>
              <w:t xml:space="preserve">20%, 22% e 24%, respectivamente, cujos efeitos recaem no volume de pa…</w:t>
            </w:r>
          </w:p>
        </w:tc>
      </w:tr>
      <w:tr>
        <w:tc>
          <w:tcPr/>
          <w:p>
            <w:pPr>
              <w:pStyle w:val="918"/>
              <w:jc w:val="right"/>
            </w:pPr>
            <w:r>
              <w:t xml:space="preserve">2635</w:t>
            </w:r>
          </w:p>
        </w:tc>
        <w:tc>
          <w:tcPr/>
          <w:p>
            <w:pPr>
              <w:pStyle w:val="918"/>
              <w:jc w:val="left"/>
            </w:pPr>
            <w:r>
              <w:t xml:space="preserve">efetivamente pagos acerca das metas qualitativas contidas nos respect…</w:t>
            </w:r>
          </w:p>
        </w:tc>
      </w:tr>
      <w:tr>
        <w:tc>
          <w:tcPr/>
          <w:p>
            <w:pPr>
              <w:pStyle w:val="918"/>
              <w:jc w:val="right"/>
            </w:pPr>
            <w:r>
              <w:t xml:space="preserve">2638</w:t>
            </w:r>
          </w:p>
        </w:tc>
        <w:tc>
          <w:tcPr/>
          <w:p>
            <w:pPr>
              <w:pStyle w:val="918"/>
              <w:jc w:val="left"/>
            </w:pPr>
            <w:r>
              <w:t xml:space="preserve">Diante da ausência de manifestação pelo Sr. P. R. T. B. ex- Secretári…</w:t>
            </w:r>
          </w:p>
        </w:tc>
      </w:tr>
      <w:tr>
        <w:tc>
          <w:tcPr/>
          <w:p>
            <w:pPr>
              <w:pStyle w:val="918"/>
              <w:jc w:val="right"/>
            </w:pPr>
            <w:r>
              <w:t xml:space="preserve">2639</w:t>
            </w:r>
          </w:p>
        </w:tc>
        <w:tc>
          <w:tcPr/>
          <w:p>
            <w:pPr>
              <w:pStyle w:val="918"/>
              <w:jc w:val="left"/>
            </w:pPr>
            <w:r>
              <w:t xml:space="preserve">Itabapoana/RJ, permanece a condição de não conformidade diante dos cr…</w:t>
            </w:r>
          </w:p>
        </w:tc>
      </w:tr>
      <w:tr>
        <w:tc>
          <w:tcPr/>
          <w:p>
            <w:pPr>
              <w:pStyle w:val="918"/>
              <w:jc w:val="right"/>
            </w:pPr>
            <w:r>
              <w:t xml:space="preserve">2640</w:t>
            </w:r>
          </w:p>
        </w:tc>
        <w:tc>
          <w:tcPr/>
          <w:p>
            <w:pPr>
              <w:pStyle w:val="918"/>
              <w:jc w:val="left"/>
            </w:pPr>
            <w:r>
              <w:t xml:space="preserve">equipe de auditoria considerou a validação dos instrumentos apresenta…</w:t>
            </w:r>
          </w:p>
        </w:tc>
      </w:tr>
      <w:tr>
        <w:tc>
          <w:tcPr/>
          <w:p>
            <w:pPr>
              <w:pStyle w:val="918"/>
              <w:jc w:val="right"/>
            </w:pPr>
            <w:r>
              <w:t xml:space="preserve">2641</w:t>
            </w:r>
          </w:p>
        </w:tc>
        <w:tc>
          <w:tcPr/>
          <w:p>
            <w:pPr>
              <w:pStyle w:val="918"/>
              <w:jc w:val="left"/>
            </w:pPr>
            <w:r>
              <w:t xml:space="preserve">constatação, pela SMS de Bom Jesus do Itabapoana/RJ, contendo informa…</w:t>
            </w:r>
          </w:p>
        </w:tc>
      </w:tr>
      <w:tr>
        <w:tc>
          <w:tcPr/>
          <w:p>
            <w:pPr>
              <w:pStyle w:val="918"/>
              <w:jc w:val="right"/>
            </w:pPr>
            <w:r>
              <w:t xml:space="preserve">2642</w:t>
            </w:r>
          </w:p>
        </w:tc>
        <w:tc>
          <w:tcPr/>
          <w:p>
            <w:pPr>
              <w:pStyle w:val="918"/>
              <w:jc w:val="left"/>
            </w:pPr>
            <w:r>
              <w:t xml:space="preserve">da organização hospitalar, na proporção de sua pertinência, quando co…</w:t>
            </w:r>
          </w:p>
        </w:tc>
      </w:tr>
      <w:tr>
        <w:tc>
          <w:tcPr/>
          <w:p>
            <w:pPr>
              <w:pStyle w:val="918"/>
              <w:jc w:val="right"/>
            </w:pPr>
            <w:r>
              <w:t xml:space="preserve">2643</w:t>
            </w:r>
          </w:p>
        </w:tc>
        <w:tc>
          <w:tcPr/>
          <w:p>
            <w:pPr>
              <w:pStyle w:val="918"/>
              <w:jc w:val="left"/>
            </w:pPr>
            <w:r>
              <w:t xml:space="preserve">contratualmente. O conteúdo apresentado demonstrou um alcance percent…</w:t>
            </w:r>
          </w:p>
        </w:tc>
      </w:tr>
      <w:tr>
        <w:tc>
          <w:tcPr/>
          <w:p>
            <w:pPr>
              <w:pStyle w:val="918"/>
              <w:jc w:val="right"/>
            </w:pPr>
            <w:r>
              <w:t xml:space="preserve">2644</w:t>
            </w:r>
          </w:p>
        </w:tc>
        <w:tc>
          <w:tcPr/>
          <w:p>
            <w:pPr>
              <w:pStyle w:val="918"/>
              <w:jc w:val="left"/>
            </w:pPr>
            <w:r>
              <w:t xml:space="preserve">2017, 2018 e 2019, na ordem de 20%, 22% e 24%, respectivamente, cujos…</w:t>
            </w:r>
          </w:p>
        </w:tc>
      </w:tr>
      <w:tr>
        <w:tc>
          <w:tcPr/>
          <w:p>
            <w:pPr>
              <w:pStyle w:val="918"/>
              <w:jc w:val="right"/>
            </w:pPr>
            <w:r>
              <w:t xml:space="preserve">2645</w:t>
            </w:r>
          </w:p>
        </w:tc>
        <w:tc>
          <w:tcPr/>
          <w:p>
            <w:pPr>
              <w:pStyle w:val="918"/>
              <w:jc w:val="left"/>
            </w:pPr>
            <w:r>
              <w:t xml:space="preserve">pagamentos devidos, sobre aqueles efetivamente pagos acerca das metas…</w:t>
            </w:r>
          </w:p>
        </w:tc>
      </w:tr>
      <w:tr>
        <w:tc>
          <w:tcPr/>
          <w:p>
            <w:pPr>
              <w:pStyle w:val="918"/>
              <w:jc w:val="right"/>
            </w:pPr>
            <w:r>
              <w:t xml:space="preserve">2646</w:t>
            </w:r>
          </w:p>
        </w:tc>
        <w:tc>
          <w:tcPr/>
          <w:p>
            <w:pPr>
              <w:pStyle w:val="918"/>
              <w:jc w:val="left"/>
            </w:pPr>
            <w:r>
              <w:t xml:space="preserve">respectivos Documentos Descritivos.</w:t>
            </w:r>
          </w:p>
        </w:tc>
      </w:tr>
      <w:tr>
        <w:tc>
          <w:tcPr/>
          <w:p>
            <w:pPr>
              <w:pStyle w:val="918"/>
              <w:jc w:val="right"/>
            </w:pPr>
            <w:r>
              <w:t xml:space="preserve">2649</w:t>
            </w:r>
          </w:p>
        </w:tc>
        <w:tc>
          <w:tcPr/>
          <w:p>
            <w:pPr>
              <w:pStyle w:val="918"/>
              <w:jc w:val="left"/>
            </w:pPr>
            <w:r>
              <w:t xml:space="preserve">A justificativa da ex-Secretária Municipal de Saúde de Bom Jesus do I…</w:t>
            </w:r>
          </w:p>
        </w:tc>
      </w:tr>
      <w:tr>
        <w:tc>
          <w:tcPr/>
          <w:p>
            <w:pPr>
              <w:pStyle w:val="918"/>
              <w:jc w:val="right"/>
            </w:pPr>
            <w:r>
              <w:t xml:space="preserve">2650</w:t>
            </w:r>
          </w:p>
        </w:tc>
        <w:tc>
          <w:tcPr/>
          <w:p>
            <w:pPr>
              <w:pStyle w:val="918"/>
              <w:jc w:val="left"/>
            </w:pPr>
            <w:r>
              <w:t xml:space="preserve">será acatada, como explicado em resposta, cita a responsabilidade e a…</w:t>
            </w:r>
          </w:p>
        </w:tc>
      </w:tr>
      <w:tr>
        <w:tc>
          <w:tcPr/>
          <w:p>
            <w:pPr>
              <w:pStyle w:val="918"/>
              <w:jc w:val="right"/>
            </w:pPr>
            <w:r>
              <w:t xml:space="preserve">2651</w:t>
            </w:r>
          </w:p>
        </w:tc>
        <w:tc>
          <w:tcPr/>
          <w:p>
            <w:pPr>
              <w:pStyle w:val="918"/>
              <w:jc w:val="left"/>
            </w:pPr>
            <w:r>
              <w:t xml:space="preserve">Sistema Nacional de Auditoria dos pagamentos realizados, tais informa…</w:t>
            </w:r>
          </w:p>
        </w:tc>
      </w:tr>
      <w:tr>
        <w:tc>
          <w:tcPr/>
          <w:p>
            <w:pPr>
              <w:pStyle w:val="918"/>
              <w:jc w:val="right"/>
            </w:pPr>
            <w:r>
              <w:t xml:space="preserve">2652</w:t>
            </w:r>
          </w:p>
        </w:tc>
        <w:tc>
          <w:tcPr/>
          <w:p>
            <w:pPr>
              <w:pStyle w:val="918"/>
              <w:jc w:val="left"/>
            </w:pPr>
            <w:r>
              <w:t xml:space="preserve">situação evidenciada na constatação, sendo mantida assim sua não conf…</w:t>
            </w:r>
          </w:p>
        </w:tc>
      </w:tr>
      <w:tr>
        <w:tc>
          <w:tcPr/>
          <w:p>
            <w:pPr>
              <w:pStyle w:val="918"/>
              <w:jc w:val="right"/>
            </w:pPr>
            <w:r>
              <w:t xml:space="preserve">2653</w:t>
            </w:r>
          </w:p>
        </w:tc>
        <w:tc>
          <w:tcPr/>
          <w:p>
            <w:pPr>
              <w:pStyle w:val="918"/>
              <w:jc w:val="left"/>
            </w:pPr>
            <w:r>
              <w:t xml:space="preserve">auditoria considerou a validação dos instrumentos apresentados em car…</w:t>
            </w:r>
          </w:p>
        </w:tc>
      </w:tr>
      <w:tr>
        <w:tc>
          <w:tcPr/>
          <w:p>
            <w:pPr>
              <w:pStyle w:val="918"/>
              <w:jc w:val="right"/>
            </w:pPr>
            <w:r>
              <w:t xml:space="preserve">2654</w:t>
            </w:r>
          </w:p>
        </w:tc>
        <w:tc>
          <w:tcPr/>
          <w:p>
            <w:pPr>
              <w:pStyle w:val="918"/>
              <w:jc w:val="left"/>
            </w:pPr>
            <w:r>
              <w:t xml:space="preserve">pela SMS de Bom Jesus do Itabapoana/RJ, contendo informações sobre as…</w:t>
            </w:r>
          </w:p>
        </w:tc>
      </w:tr>
      <w:tr>
        <w:tc>
          <w:tcPr/>
          <w:p>
            <w:pPr>
              <w:pStyle w:val="918"/>
              <w:jc w:val="right"/>
            </w:pPr>
            <w:r>
              <w:t xml:space="preserve">2666</w:t>
            </w:r>
          </w:p>
        </w:tc>
        <w:tc>
          <w:tcPr/>
          <w:p>
            <w:pPr>
              <w:pStyle w:val="918"/>
              <w:jc w:val="left"/>
            </w:pPr>
            <w:r>
              <w:t xml:space="preserve">hospitalar, na proporção de sua pertinência, quando comparadas com as…</w:t>
            </w:r>
          </w:p>
        </w:tc>
      </w:tr>
      <w:tr>
        <w:tc>
          <w:tcPr/>
          <w:p>
            <w:pPr>
              <w:pStyle w:val="918"/>
              <w:jc w:val="right"/>
            </w:pPr>
            <w:r>
              <w:t xml:space="preserve">2667</w:t>
            </w:r>
          </w:p>
        </w:tc>
        <w:tc>
          <w:tcPr/>
          <w:p>
            <w:pPr>
              <w:pStyle w:val="918"/>
              <w:jc w:val="left"/>
            </w:pPr>
            <w:r>
              <w:t xml:space="preserve">contratualmente. O conteúdo apresentado demonstrou um alcance percent…</w:t>
            </w:r>
          </w:p>
        </w:tc>
      </w:tr>
      <w:tr>
        <w:tc>
          <w:tcPr/>
          <w:p>
            <w:pPr>
              <w:pStyle w:val="918"/>
              <w:jc w:val="right"/>
            </w:pPr>
            <w:r>
              <w:t xml:space="preserve">2668</w:t>
            </w:r>
          </w:p>
        </w:tc>
        <w:tc>
          <w:tcPr/>
          <w:p>
            <w:pPr>
              <w:pStyle w:val="918"/>
              <w:jc w:val="left"/>
            </w:pPr>
            <w:r>
              <w:t xml:space="preserve">2017, 2018 e 2019, na ordem de 20%, 22% e 24%, respectivamente, cujos…</w:t>
            </w:r>
          </w:p>
        </w:tc>
      </w:tr>
      <w:tr>
        <w:tc>
          <w:tcPr/>
          <w:p>
            <w:pPr>
              <w:pStyle w:val="918"/>
              <w:jc w:val="right"/>
            </w:pPr>
            <w:r>
              <w:t xml:space="preserve">2669</w:t>
            </w:r>
          </w:p>
        </w:tc>
        <w:tc>
          <w:tcPr/>
          <w:p>
            <w:pPr>
              <w:pStyle w:val="918"/>
              <w:jc w:val="left"/>
            </w:pPr>
            <w:r>
              <w:t xml:space="preserve">pagamentos devidos, sobre aqueles efetivamente pagos acerca das metas…</w:t>
            </w:r>
          </w:p>
        </w:tc>
      </w:tr>
      <w:tr>
        <w:tc>
          <w:tcPr/>
          <w:p>
            <w:pPr>
              <w:pStyle w:val="918"/>
              <w:jc w:val="right"/>
            </w:pPr>
            <w:r>
              <w:t xml:space="preserve">2670</w:t>
            </w:r>
          </w:p>
        </w:tc>
        <w:tc>
          <w:tcPr/>
          <w:p>
            <w:pPr>
              <w:pStyle w:val="918"/>
              <w:jc w:val="left"/>
            </w:pPr>
            <w:r>
              <w:t xml:space="preserve">respectivos Documentos Descritivos.</w:t>
            </w:r>
          </w:p>
        </w:tc>
      </w:tr>
      <w:tr>
        <w:tc>
          <w:tcPr/>
          <w:p>
            <w:pPr>
              <w:pStyle w:val="918"/>
              <w:jc w:val="right"/>
            </w:pPr>
            <w:r>
              <w:t xml:space="preserve">2673</w:t>
            </w:r>
          </w:p>
        </w:tc>
        <w:tc>
          <w:tcPr/>
          <w:p>
            <w:pPr>
              <w:pStyle w:val="918"/>
              <w:jc w:val="left"/>
            </w:pPr>
            <w:r>
              <w:t xml:space="preserve">A justificativa do ex-Secretário Municipal de Saúde de Bom Jesus do I…</w:t>
            </w:r>
          </w:p>
        </w:tc>
      </w:tr>
      <w:tr>
        <w:tc>
          <w:tcPr/>
          <w:p>
            <w:pPr>
              <w:pStyle w:val="918"/>
              <w:jc w:val="right"/>
            </w:pPr>
            <w:r>
              <w:t xml:space="preserve">2674</w:t>
            </w:r>
          </w:p>
        </w:tc>
        <w:tc>
          <w:tcPr/>
          <w:p>
            <w:pPr>
              <w:pStyle w:val="918"/>
              <w:jc w:val="left"/>
            </w:pPr>
            <w:r>
              <w:t xml:space="preserve">acatada, como explicado em resposta, cita a responsabilidade e avalia…</w:t>
            </w:r>
          </w:p>
        </w:tc>
      </w:tr>
      <w:tr>
        <w:tc>
          <w:tcPr/>
          <w:p>
            <w:pPr>
              <w:pStyle w:val="918"/>
              <w:jc w:val="right"/>
            </w:pPr>
            <w:r>
              <w:t xml:space="preserve">2675</w:t>
            </w:r>
          </w:p>
        </w:tc>
        <w:tc>
          <w:tcPr/>
          <w:p>
            <w:pPr>
              <w:pStyle w:val="918"/>
              <w:jc w:val="left"/>
            </w:pPr>
            <w:r>
              <w:t xml:space="preserve">Sistema Nacional de Auditoria dos pagamentos realizados, tais informa…</w:t>
            </w:r>
          </w:p>
        </w:tc>
      </w:tr>
      <w:tr>
        <w:tc>
          <w:tcPr/>
          <w:p>
            <w:pPr>
              <w:pStyle w:val="918"/>
              <w:jc w:val="right"/>
            </w:pPr>
            <w:r>
              <w:t xml:space="preserve">2676</w:t>
            </w:r>
          </w:p>
        </w:tc>
        <w:tc>
          <w:tcPr/>
          <w:p>
            <w:pPr>
              <w:pStyle w:val="918"/>
              <w:jc w:val="left"/>
            </w:pPr>
            <w:r>
              <w:t xml:space="preserve">situação evidenciada na constatação, sendo mantida assim sua não conf…</w:t>
            </w:r>
          </w:p>
        </w:tc>
      </w:tr>
      <w:tr>
        <w:tc>
          <w:tcPr/>
          <w:p>
            <w:pPr>
              <w:pStyle w:val="918"/>
              <w:jc w:val="right"/>
            </w:pPr>
            <w:r>
              <w:t xml:space="preserve">2677</w:t>
            </w:r>
          </w:p>
        </w:tc>
        <w:tc>
          <w:tcPr/>
          <w:p>
            <w:pPr>
              <w:pStyle w:val="918"/>
              <w:jc w:val="left"/>
            </w:pPr>
            <w:r>
              <w:t xml:space="preserve">auditoria considerou a validação dos instrumentos apresentados em car…</w:t>
            </w:r>
          </w:p>
        </w:tc>
      </w:tr>
      <w:tr>
        <w:tc>
          <w:tcPr/>
          <w:p>
            <w:pPr>
              <w:pStyle w:val="918"/>
              <w:jc w:val="right"/>
            </w:pPr>
            <w:r>
              <w:t xml:space="preserve">2678</w:t>
            </w:r>
          </w:p>
        </w:tc>
        <w:tc>
          <w:tcPr/>
          <w:p>
            <w:pPr>
              <w:pStyle w:val="918"/>
              <w:jc w:val="left"/>
            </w:pPr>
            <w:r>
              <w:t xml:space="preserve">pela SMS de Bom Jesus do Itabapoana/RJ, contendo informações sobre as…</w:t>
            </w:r>
          </w:p>
        </w:tc>
      </w:tr>
      <w:tr>
        <w:tc>
          <w:tcPr/>
          <w:p>
            <w:pPr>
              <w:pStyle w:val="918"/>
              <w:jc w:val="right"/>
            </w:pPr>
            <w:r>
              <w:t xml:space="preserve">2679</w:t>
            </w:r>
          </w:p>
        </w:tc>
        <w:tc>
          <w:tcPr/>
          <w:p>
            <w:pPr>
              <w:pStyle w:val="918"/>
              <w:jc w:val="left"/>
            </w:pPr>
            <w:r>
              <w:t xml:space="preserve">hospitalar, na proporção de sua pertinência, quando comparadas com as…</w:t>
            </w:r>
          </w:p>
        </w:tc>
      </w:tr>
      <w:tr>
        <w:tc>
          <w:tcPr/>
          <w:p>
            <w:pPr>
              <w:pStyle w:val="918"/>
              <w:jc w:val="right"/>
            </w:pPr>
            <w:r>
              <w:t xml:space="preserve">2680</w:t>
            </w:r>
          </w:p>
        </w:tc>
        <w:tc>
          <w:tcPr/>
          <w:p>
            <w:pPr>
              <w:pStyle w:val="918"/>
              <w:jc w:val="left"/>
            </w:pPr>
            <w:r>
              <w:t xml:space="preserve">contratualmente. O conteúdo apresentado demonstrou um alcance percent…</w:t>
            </w:r>
          </w:p>
        </w:tc>
      </w:tr>
      <w:tr>
        <w:tc>
          <w:tcPr/>
          <w:p>
            <w:pPr>
              <w:pStyle w:val="918"/>
              <w:jc w:val="right"/>
            </w:pPr>
            <w:r>
              <w:t xml:space="preserve">2681</w:t>
            </w:r>
          </w:p>
        </w:tc>
        <w:tc>
          <w:tcPr/>
          <w:p>
            <w:pPr>
              <w:pStyle w:val="918"/>
              <w:jc w:val="left"/>
            </w:pPr>
            <w:r>
              <w:t xml:space="preserve">2017, 2018 e 2019, na ordem de 20%, 22% e 24%, respectivamente, cujos…</w:t>
            </w:r>
          </w:p>
        </w:tc>
      </w:tr>
      <w:tr>
        <w:tc>
          <w:tcPr/>
          <w:p>
            <w:pPr>
              <w:pStyle w:val="918"/>
              <w:jc w:val="right"/>
            </w:pPr>
            <w:r>
              <w:t xml:space="preserve">2682</w:t>
            </w:r>
          </w:p>
        </w:tc>
        <w:tc>
          <w:tcPr/>
          <w:p>
            <w:pPr>
              <w:pStyle w:val="918"/>
              <w:jc w:val="left"/>
            </w:pPr>
            <w:r>
              <w:t xml:space="preserve">pagamentos devidos, sobre aqueles efetivamente pagos acerca das metas…</w:t>
            </w:r>
          </w:p>
        </w:tc>
      </w:tr>
      <w:tr>
        <w:tc>
          <w:tcPr/>
          <w:p>
            <w:pPr>
              <w:pStyle w:val="918"/>
              <w:jc w:val="right"/>
            </w:pPr>
            <w:r>
              <w:t xml:space="preserve">2683</w:t>
            </w:r>
          </w:p>
        </w:tc>
        <w:tc>
          <w:tcPr/>
          <w:p>
            <w:pPr>
              <w:pStyle w:val="918"/>
              <w:jc w:val="left"/>
            </w:pPr>
            <w:r>
              <w:t xml:space="preserve">respectivos Documentos Descritivos.</w:t>
            </w:r>
          </w:p>
        </w:tc>
      </w:tr>
      <w:tr>
        <w:tc>
          <w:tcPr/>
          <w:p>
            <w:pPr>
              <w:pStyle w:val="918"/>
              <w:jc w:val="right"/>
            </w:pPr>
            <w:r>
              <w:t xml:space="preserve">2686</w:t>
            </w:r>
          </w:p>
        </w:tc>
        <w:tc>
          <w:tcPr/>
          <w:p>
            <w:pPr>
              <w:pStyle w:val="918"/>
              <w:jc w:val="left"/>
            </w:pPr>
            <w:r>
              <w:t xml:space="preserve">Diante da ausência de manifestação pela Srª. L. A. N. A. ex- Secretár…</w:t>
            </w:r>
          </w:p>
        </w:tc>
      </w:tr>
      <w:tr>
        <w:tc>
          <w:tcPr/>
          <w:p>
            <w:pPr>
              <w:pStyle w:val="918"/>
              <w:jc w:val="right"/>
            </w:pPr>
            <w:r>
              <w:t xml:space="preserve">2687</w:t>
            </w:r>
          </w:p>
        </w:tc>
        <w:tc>
          <w:tcPr/>
          <w:p>
            <w:pPr>
              <w:pStyle w:val="918"/>
              <w:jc w:val="left"/>
            </w:pPr>
            <w:r>
              <w:t xml:space="preserve">Itabapoana/RJ, permanece a condição de não conformidade diante dos cr…</w:t>
            </w:r>
          </w:p>
        </w:tc>
      </w:tr>
      <w:tr>
        <w:tc>
          <w:tcPr/>
          <w:p>
            <w:pPr>
              <w:pStyle w:val="918"/>
              <w:jc w:val="right"/>
            </w:pPr>
            <w:r>
              <w:t xml:space="preserve">2688</w:t>
            </w:r>
          </w:p>
        </w:tc>
        <w:tc>
          <w:tcPr/>
          <w:p>
            <w:pPr>
              <w:pStyle w:val="918"/>
              <w:jc w:val="left"/>
            </w:pPr>
            <w:r>
              <w:t xml:space="preserve">equipe de auditoria considerou a validação dos instrumentos apresenta…</w:t>
            </w:r>
          </w:p>
        </w:tc>
      </w:tr>
      <w:tr>
        <w:tc>
          <w:tcPr/>
          <w:p>
            <w:pPr>
              <w:pStyle w:val="918"/>
              <w:jc w:val="right"/>
            </w:pPr>
            <w:r>
              <w:t xml:space="preserve">2689</w:t>
            </w:r>
          </w:p>
        </w:tc>
        <w:tc>
          <w:tcPr/>
          <w:p>
            <w:pPr>
              <w:pStyle w:val="918"/>
              <w:jc w:val="left"/>
            </w:pPr>
            <w:r>
              <w:t xml:space="preserve">constatação, pela SMS de Bom Jesus do Itabapoana/RJ, contendo informa…</w:t>
            </w:r>
          </w:p>
        </w:tc>
      </w:tr>
      <w:tr>
        <w:tc>
          <w:tcPr/>
          <w:p>
            <w:pPr>
              <w:pStyle w:val="918"/>
              <w:jc w:val="right"/>
            </w:pPr>
            <w:r>
              <w:t xml:space="preserve">2690</w:t>
            </w:r>
          </w:p>
        </w:tc>
        <w:tc>
          <w:tcPr/>
          <w:p>
            <w:pPr>
              <w:pStyle w:val="918"/>
              <w:jc w:val="left"/>
            </w:pPr>
            <w:r>
              <w:t xml:space="preserve">da organização hospitalar, na proporção de sua pertinência, quando co…</w:t>
            </w:r>
          </w:p>
        </w:tc>
      </w:tr>
      <w:tr>
        <w:tc>
          <w:tcPr/>
          <w:p>
            <w:pPr>
              <w:pStyle w:val="918"/>
              <w:jc w:val="right"/>
            </w:pPr>
            <w:r>
              <w:t xml:space="preserve">2691</w:t>
            </w:r>
          </w:p>
        </w:tc>
        <w:tc>
          <w:tcPr/>
          <w:p>
            <w:pPr>
              <w:pStyle w:val="918"/>
              <w:jc w:val="left"/>
            </w:pPr>
            <w:r>
              <w:t xml:space="preserve">contratualmente. O conteúdo apresentado demonstrou um alcance percent…</w:t>
            </w:r>
          </w:p>
        </w:tc>
      </w:tr>
      <w:tr>
        <w:tc>
          <w:tcPr/>
          <w:p>
            <w:pPr>
              <w:pStyle w:val="918"/>
              <w:jc w:val="right"/>
            </w:pPr>
            <w:r>
              <w:t xml:space="preserve">2692</w:t>
            </w:r>
          </w:p>
        </w:tc>
        <w:tc>
          <w:tcPr/>
          <w:p>
            <w:pPr>
              <w:pStyle w:val="918"/>
              <w:jc w:val="left"/>
            </w:pPr>
            <w:r>
              <w:t xml:space="preserve">2017, 2018 e 2019, na ordem de 20%, 22% e 24%, respectivamente, cujos…</w:t>
            </w:r>
          </w:p>
        </w:tc>
      </w:tr>
      <w:tr>
        <w:tc>
          <w:tcPr/>
          <w:p>
            <w:pPr>
              <w:pStyle w:val="918"/>
              <w:jc w:val="right"/>
            </w:pPr>
            <w:r>
              <w:t xml:space="preserve">2693</w:t>
            </w:r>
          </w:p>
        </w:tc>
        <w:tc>
          <w:tcPr/>
          <w:p>
            <w:pPr>
              <w:pStyle w:val="918"/>
              <w:jc w:val="left"/>
            </w:pPr>
            <w:r>
              <w:t xml:space="preserve">pagamentos devidos, sobre aqueles efetivamente pagos acerca das metas…</w:t>
            </w:r>
          </w:p>
        </w:tc>
      </w:tr>
      <w:tr>
        <w:tc>
          <w:tcPr/>
          <w:p>
            <w:pPr>
              <w:pStyle w:val="918"/>
              <w:jc w:val="right"/>
            </w:pPr>
            <w:r>
              <w:t xml:space="preserve">2694</w:t>
            </w:r>
          </w:p>
        </w:tc>
        <w:tc>
          <w:tcPr/>
          <w:p>
            <w:pPr>
              <w:pStyle w:val="918"/>
              <w:jc w:val="left"/>
            </w:pPr>
            <w:r>
              <w:t xml:space="preserve">respectivos Documentos Descritivos.</w:t>
            </w:r>
          </w:p>
        </w:tc>
      </w:tr>
      <w:tr>
        <w:tc>
          <w:tcPr/>
          <w:p>
            <w:pPr>
              <w:pStyle w:val="918"/>
              <w:jc w:val="right"/>
            </w:pPr>
            <w:r>
              <w:t xml:space="preserve">2697</w:t>
            </w:r>
          </w:p>
        </w:tc>
        <w:tc>
          <w:tcPr/>
          <w:p>
            <w:pPr>
              <w:pStyle w:val="918"/>
              <w:jc w:val="left"/>
            </w:pPr>
            <w:r>
              <w:t xml:space="preserve">A justificativa do auditado Hospital São Vicente de Paulo não será ac…</w:t>
            </w:r>
          </w:p>
        </w:tc>
      </w:tr>
      <w:tr>
        <w:tc>
          <w:tcPr/>
          <w:p>
            <w:pPr>
              <w:pStyle w:val="918"/>
              <w:jc w:val="right"/>
            </w:pPr>
            <w:r>
              <w:t xml:space="preserve">2698</w:t>
            </w:r>
          </w:p>
        </w:tc>
        <w:tc>
          <w:tcPr/>
          <w:p>
            <w:pPr>
              <w:pStyle w:val="918"/>
              <w:jc w:val="left"/>
            </w:pPr>
            <w:r>
              <w:t xml:space="preserve">inicial apresentada, de que o DENASUS praticara uma mudança no escopo…</w:t>
            </w:r>
          </w:p>
        </w:tc>
      </w:tr>
      <w:tr>
        <w:tc>
          <w:tcPr/>
          <w:p>
            <w:pPr>
              <w:pStyle w:val="918"/>
              <w:jc w:val="right"/>
            </w:pPr>
            <w:r>
              <w:t xml:space="preserve">2699</w:t>
            </w:r>
          </w:p>
        </w:tc>
        <w:tc>
          <w:tcPr/>
          <w:p>
            <w:pPr>
              <w:pStyle w:val="918"/>
              <w:jc w:val="left"/>
            </w:pPr>
            <w:r>
              <w:t xml:space="preserve">contratualização, é justo esclarecer de que é por meio do instituto d…</w:t>
            </w:r>
          </w:p>
        </w:tc>
      </w:tr>
      <w:tr>
        <w:tc>
          <w:tcPr/>
          <w:p>
            <w:pPr>
              <w:pStyle w:val="918"/>
              <w:jc w:val="right"/>
            </w:pPr>
            <w:r>
              <w:t xml:space="preserve">2700</w:t>
            </w:r>
          </w:p>
        </w:tc>
        <w:tc>
          <w:tcPr/>
          <w:p>
            <w:pPr>
              <w:pStyle w:val="918"/>
              <w:jc w:val="left"/>
            </w:pPr>
            <w:r>
              <w:t xml:space="preserve">estabelecem a “formalização da relação entre gestores de saúde e hosp…</w:t>
            </w:r>
          </w:p>
        </w:tc>
      </w:tr>
      <w:tr>
        <w:tc>
          <w:tcPr/>
          <w:p>
            <w:pPr>
              <w:pStyle w:val="918"/>
              <w:jc w:val="right"/>
            </w:pPr>
            <w:r>
              <w:t xml:space="preserve">2701</w:t>
            </w:r>
          </w:p>
        </w:tc>
        <w:tc>
          <w:tcPr/>
          <w:p>
            <w:pPr>
              <w:pStyle w:val="918"/>
              <w:jc w:val="left"/>
            </w:pPr>
            <w:r>
              <w:t xml:space="preserve">estabelecimento de compromissos entre as partes, promovendo a qualifi…</w:t>
            </w:r>
          </w:p>
        </w:tc>
      </w:tr>
      <w:tr>
        <w:tc>
          <w:tcPr/>
          <w:p>
            <w:pPr>
              <w:pStyle w:val="918"/>
              <w:jc w:val="right"/>
            </w:pPr>
            <w:r>
              <w:t xml:space="preserve">2702</w:t>
            </w:r>
          </w:p>
        </w:tc>
        <w:tc>
          <w:tcPr/>
          <w:p>
            <w:pPr>
              <w:pStyle w:val="918"/>
              <w:jc w:val="left"/>
            </w:pPr>
            <w:r>
              <w:t xml:space="preserve">hospitalar… e as seguintes diretrizes”: (Origem: PRT MS/GM 3390/201…</w:t>
            </w:r>
          </w:p>
        </w:tc>
      </w:tr>
      <w:tr>
        <w:tc>
          <w:tcPr/>
          <w:p>
            <w:pPr>
              <w:pStyle w:val="918"/>
              <w:jc w:val="right"/>
            </w:pPr>
            <w:r>
              <w:t xml:space="preserve">2703</w:t>
            </w:r>
          </w:p>
        </w:tc>
        <w:tc>
          <w:tcPr/>
          <w:p>
            <w:pPr>
              <w:pStyle w:val="918"/>
              <w:jc w:val="left"/>
            </w:pPr>
            <w:r>
              <w:t xml:space="preserve">“I - adequação das ações e serviços contratualizadas às necessidades …</w:t>
            </w:r>
          </w:p>
        </w:tc>
      </w:tr>
      <w:tr>
        <w:tc>
          <w:tcPr/>
          <w:p>
            <w:pPr>
              <w:pStyle w:val="918"/>
              <w:jc w:val="right"/>
            </w:pPr>
            <w:r>
              <w:t xml:space="preserve">2704</w:t>
            </w:r>
          </w:p>
        </w:tc>
        <w:tc>
          <w:tcPr/>
          <w:p>
            <w:pPr>
              <w:pStyle w:val="918"/>
              <w:jc w:val="left"/>
            </w:pPr>
            <w:r>
              <w:t xml:space="preserve">na CIR, quando houver; (Origem: PRT MS/GM 3390/2013, Art. 30, I)</w:t>
            </w:r>
          </w:p>
        </w:tc>
      </w:tr>
      <w:tr>
        <w:tc>
          <w:tcPr/>
          <w:p>
            <w:pPr>
              <w:pStyle w:val="918"/>
              <w:jc w:val="right"/>
            </w:pPr>
            <w:r>
              <w:t xml:space="preserve">2706</w:t>
            </w:r>
          </w:p>
        </w:tc>
        <w:tc>
          <w:tcPr/>
          <w:p>
            <w:pPr>
              <w:pStyle w:val="918"/>
              <w:jc w:val="left"/>
            </w:pPr>
            <w:r>
              <w:t xml:space="preserve">III - estabelecimento de valores e formas de repasse dos recursos fin…</w:t>
            </w:r>
          </w:p>
        </w:tc>
      </w:tr>
      <w:tr>
        <w:tc>
          <w:tcPr/>
          <w:p>
            <w:pPr>
              <w:pStyle w:val="918"/>
              <w:jc w:val="right"/>
            </w:pPr>
            <w:r>
              <w:t xml:space="preserve">2707</w:t>
            </w:r>
          </w:p>
        </w:tc>
        <w:tc>
          <w:tcPr/>
          <w:p>
            <w:pPr>
              <w:pStyle w:val="918"/>
              <w:jc w:val="left"/>
            </w:pPr>
            <w:r>
              <w:t xml:space="preserve">monitoramento de metas qualiquantitativas; (Origem: PRT MS/GM 3390/20…</w:t>
            </w:r>
          </w:p>
        </w:tc>
      </w:tr>
      <w:tr>
        <w:tc>
          <w:tcPr/>
          <w:p>
            <w:pPr>
              <w:pStyle w:val="918"/>
              <w:jc w:val="right"/>
            </w:pPr>
            <w:r>
              <w:t xml:space="preserve">2708</w:t>
            </w:r>
          </w:p>
        </w:tc>
        <w:tc>
          <w:tcPr/>
          <w:p>
            <w:pPr>
              <w:pStyle w:val="918"/>
              <w:jc w:val="left"/>
            </w:pPr>
            <w:r>
              <w:t xml:space="preserve">IV - aprimoramento dos processos de avaliação, controle e regulação d…</w:t>
            </w:r>
          </w:p>
        </w:tc>
      </w:tr>
      <w:tr>
        <w:tc>
          <w:tcPr/>
          <w:p>
            <w:pPr>
              <w:pStyle w:val="918"/>
              <w:jc w:val="right"/>
            </w:pPr>
            <w:r>
              <w:t xml:space="preserve">2709</w:t>
            </w:r>
          </w:p>
        </w:tc>
        <w:tc>
          <w:tcPr/>
          <w:p>
            <w:pPr>
              <w:pStyle w:val="918"/>
              <w:jc w:val="left"/>
            </w:pPr>
            <w:r>
              <w:t xml:space="preserve">PRT MS/GM 3390/2013, Art. 30, IV)</w:t>
            </w:r>
          </w:p>
        </w:tc>
      </w:tr>
      <w:tr>
        <w:tc>
          <w:tcPr/>
          <w:p>
            <w:pPr>
              <w:pStyle w:val="918"/>
              <w:jc w:val="right"/>
            </w:pPr>
            <w:r>
              <w:t xml:space="preserve">2710</w:t>
            </w:r>
          </w:p>
        </w:tc>
        <w:tc>
          <w:tcPr/>
          <w:p>
            <w:pPr>
              <w:pStyle w:val="918"/>
              <w:jc w:val="left"/>
            </w:pPr>
            <w:r>
              <w:t xml:space="preserve">V - efetivação do controle social e garantia de transparência”. (Orig…</w:t>
            </w:r>
          </w:p>
        </w:tc>
      </w:tr>
      <w:tr>
        <w:tc>
          <w:tcPr/>
          <w:p>
            <w:pPr>
              <w:pStyle w:val="918"/>
              <w:jc w:val="right"/>
            </w:pPr>
            <w:r>
              <w:t xml:space="preserve">2711</w:t>
            </w:r>
          </w:p>
        </w:tc>
        <w:tc>
          <w:tcPr/>
          <w:p>
            <w:pPr>
              <w:pStyle w:val="918"/>
              <w:jc w:val="left"/>
            </w:pPr>
            <w:r>
              <w:t xml:space="preserve">Dessa forma, não há o que acrescentar quanto à legitimidade da verifi…</w:t>
            </w:r>
          </w:p>
        </w:tc>
      </w:tr>
      <w:tr>
        <w:tc>
          <w:tcPr/>
          <w:p>
            <w:pPr>
              <w:pStyle w:val="918"/>
              <w:jc w:val="right"/>
            </w:pPr>
            <w:r>
              <w:t xml:space="preserve">2712</w:t>
            </w:r>
          </w:p>
        </w:tc>
        <w:tc>
          <w:tcPr/>
          <w:p>
            <w:pPr>
              <w:pStyle w:val="918"/>
              <w:jc w:val="left"/>
            </w:pPr>
            <w:r>
              <w:t xml:space="preserve">subquestões (folhas 4 e 5) apresentadas no relatório de auditoria em …</w:t>
            </w:r>
          </w:p>
        </w:tc>
      </w:tr>
      <w:tr>
        <w:tc>
          <w:tcPr/>
          <w:p>
            <w:pPr>
              <w:pStyle w:val="918"/>
              <w:jc w:val="right"/>
            </w:pPr>
            <w:r>
              <w:t xml:space="preserve">2713</w:t>
            </w:r>
          </w:p>
        </w:tc>
        <w:tc>
          <w:tcPr/>
          <w:p>
            <w:pPr>
              <w:pStyle w:val="918"/>
              <w:jc w:val="left"/>
            </w:pPr>
            <w:r>
              <w:t xml:space="preserve">decorrentes dessa verificação.</w:t>
            </w:r>
          </w:p>
        </w:tc>
      </w:tr>
      <w:tr>
        <w:tc>
          <w:tcPr/>
          <w:p>
            <w:pPr>
              <w:pStyle w:val="918"/>
              <w:jc w:val="right"/>
            </w:pPr>
            <w:r>
              <w:t xml:space="preserve">2714</w:t>
            </w:r>
          </w:p>
        </w:tc>
        <w:tc>
          <w:tcPr/>
          <w:p>
            <w:pPr>
              <w:pStyle w:val="918"/>
              <w:jc w:val="left"/>
            </w:pPr>
            <w:r>
              <w:t xml:space="preserve">A manifestação do auditado prossegue, direcionando argumentações acer…</w:t>
            </w:r>
          </w:p>
        </w:tc>
      </w:tr>
      <w:tr>
        <w:tc>
          <w:tcPr/>
          <w:p>
            <w:pPr>
              <w:pStyle w:val="918"/>
              <w:jc w:val="right"/>
            </w:pPr>
            <w:r>
              <w:t xml:space="preserve">2715</w:t>
            </w:r>
          </w:p>
        </w:tc>
        <w:tc>
          <w:tcPr/>
          <w:p>
            <w:pPr>
              <w:pStyle w:val="918"/>
              <w:jc w:val="left"/>
            </w:pPr>
            <w:r>
              <w:t xml:space="preserve">instituição na Rede de Atenção à Saúde (RAS) local e regional, bem co…</w:t>
            </w:r>
          </w:p>
        </w:tc>
      </w:tr>
      <w:tr>
        <w:tc>
          <w:tcPr/>
          <w:p>
            <w:pPr>
              <w:pStyle w:val="918"/>
              <w:jc w:val="right"/>
            </w:pPr>
            <w:r>
              <w:t xml:space="preserve">2716</w:t>
            </w:r>
          </w:p>
        </w:tc>
        <w:tc>
          <w:tcPr/>
          <w:p>
            <w:pPr>
              <w:pStyle w:val="918"/>
              <w:jc w:val="left"/>
            </w:pPr>
            <w:r>
              <w:t xml:space="preserve">mais exitoso desempenho, fatos e situações de que a equipe de auditor…</w:t>
            </w:r>
          </w:p>
        </w:tc>
      </w:tr>
      <w:tr>
        <w:tc>
          <w:tcPr/>
          <w:p>
            <w:pPr>
              <w:pStyle w:val="918"/>
              <w:jc w:val="right"/>
            </w:pPr>
            <w:r>
              <w:t xml:space="preserve">2717</w:t>
            </w:r>
          </w:p>
        </w:tc>
        <w:tc>
          <w:tcPr/>
          <w:p>
            <w:pPr>
              <w:pStyle w:val="918"/>
              <w:jc w:val="left"/>
            </w:pPr>
            <w:r>
              <w:t xml:space="preserve">efetivo reconhecimento quando da fase operativa. No entanto, ao enver…</w:t>
            </w:r>
          </w:p>
        </w:tc>
      </w:tr>
      <w:tr>
        <w:tc>
          <w:tcPr/>
          <w:p>
            <w:pPr>
              <w:pStyle w:val="918"/>
              <w:jc w:val="right"/>
            </w:pPr>
            <w:r>
              <w:t xml:space="preserve">2718</w:t>
            </w:r>
          </w:p>
        </w:tc>
        <w:tc>
          <w:tcPr/>
          <w:p>
            <w:pPr>
              <w:pStyle w:val="918"/>
              <w:jc w:val="left"/>
            </w:pPr>
            <w:r>
              <w:t xml:space="preserve">quanto aos responsáveis apontados no relatório, especificamente da nã…</w:t>
            </w:r>
          </w:p>
        </w:tc>
      </w:tr>
      <w:tr>
        <w:tc>
          <w:tcPr/>
          <w:p>
            <w:pPr>
              <w:pStyle w:val="918"/>
              <w:jc w:val="right"/>
            </w:pPr>
            <w:r>
              <w:t xml:space="preserve">2730</w:t>
            </w:r>
          </w:p>
        </w:tc>
        <w:tc>
          <w:tcPr/>
          <w:p>
            <w:pPr>
              <w:pStyle w:val="918"/>
              <w:jc w:val="left"/>
            </w:pPr>
            <w:r>
              <w:t xml:space="preserve">responsabilização do ente público Município de Bom Jesus do Itabapoan…</w:t>
            </w:r>
          </w:p>
        </w:tc>
      </w:tr>
      <w:tr>
        <w:tc>
          <w:tcPr/>
          <w:p>
            <w:pPr>
              <w:pStyle w:val="918"/>
              <w:jc w:val="right"/>
            </w:pPr>
            <w:r>
              <w:t xml:space="preserve">2731</w:t>
            </w:r>
          </w:p>
        </w:tc>
        <w:tc>
          <w:tcPr/>
          <w:p>
            <w:pPr>
              <w:pStyle w:val="918"/>
              <w:jc w:val="left"/>
            </w:pPr>
            <w:r>
              <w:t xml:space="preserve">políticas públicas da área em discussão, a Secretaria Municipal de Sa…</w:t>
            </w:r>
          </w:p>
        </w:tc>
      </w:tr>
      <w:tr>
        <w:tc>
          <w:tcPr/>
          <w:p>
            <w:pPr>
              <w:pStyle w:val="918"/>
              <w:jc w:val="right"/>
            </w:pPr>
            <w:r>
              <w:t xml:space="preserve">2732</w:t>
            </w:r>
          </w:p>
        </w:tc>
        <w:tc>
          <w:tcPr/>
          <w:p>
            <w:pPr>
              <w:pStyle w:val="918"/>
              <w:jc w:val="left"/>
            </w:pPr>
            <w:r>
              <w:t xml:space="preserve">proferida pelo TCU que versa sobre Tomadas de Contas Especiais - TCE,…</w:t>
            </w:r>
          </w:p>
        </w:tc>
      </w:tr>
      <w:tr>
        <w:tc>
          <w:tcPr/>
          <w:p>
            <w:pPr>
              <w:pStyle w:val="918"/>
              <w:jc w:val="right"/>
            </w:pPr>
            <w:r>
              <w:t xml:space="preserve">2733</w:t>
            </w:r>
          </w:p>
        </w:tc>
        <w:tc>
          <w:tcPr/>
          <w:p>
            <w:pPr>
              <w:pStyle w:val="918"/>
              <w:jc w:val="left"/>
            </w:pPr>
            <w:r>
              <w:t xml:space="preserve">que tal instituto é um processo administrativo devidamente formalizad…</w:t>
            </w:r>
          </w:p>
        </w:tc>
      </w:tr>
      <w:tr>
        <w:tc>
          <w:tcPr/>
          <w:p>
            <w:pPr>
              <w:pStyle w:val="918"/>
              <w:jc w:val="right"/>
            </w:pPr>
            <w:r>
              <w:t xml:space="preserve">2734</w:t>
            </w:r>
          </w:p>
        </w:tc>
        <w:tc>
          <w:tcPr/>
          <w:p>
            <w:pPr>
              <w:pStyle w:val="918"/>
              <w:jc w:val="left"/>
            </w:pPr>
            <w:r>
              <w:t xml:space="preserve">responsabilidade por ocorrência de dano à administração pública feder…</w:t>
            </w:r>
          </w:p>
        </w:tc>
      </w:tr>
      <w:tr>
        <w:tc>
          <w:tcPr/>
          <w:p>
            <w:pPr>
              <w:pStyle w:val="918"/>
              <w:jc w:val="right"/>
            </w:pPr>
            <w:r>
              <w:t xml:space="preserve">2735</w:t>
            </w:r>
          </w:p>
        </w:tc>
        <w:tc>
          <w:tcPr/>
          <w:p>
            <w:pPr>
              <w:pStyle w:val="918"/>
              <w:jc w:val="left"/>
            </w:pPr>
            <w:r>
              <w:t xml:space="preserve">quantificação do dano, identificação dos responsáveis e obter o respe…</w:t>
            </w:r>
          </w:p>
        </w:tc>
      </w:tr>
      <w:tr>
        <w:tc>
          <w:tcPr/>
          <w:p>
            <w:pPr>
              <w:pStyle w:val="918"/>
              <w:jc w:val="right"/>
            </w:pPr>
            <w:r>
              <w:t xml:space="preserve">2736</w:t>
            </w:r>
          </w:p>
        </w:tc>
        <w:tc>
          <w:tcPr/>
          <w:p>
            <w:pPr>
              <w:pStyle w:val="918"/>
              <w:jc w:val="left"/>
            </w:pPr>
            <w:r>
              <w:t xml:space="preserve">IN/TCU 71/2012), que constitui medida de exceção, portanto a Administ…</w:t>
            </w:r>
          </w:p>
        </w:tc>
      </w:tr>
      <w:tr>
        <w:tc>
          <w:tcPr/>
          <w:p>
            <w:pPr>
              <w:pStyle w:val="918"/>
              <w:jc w:val="right"/>
            </w:pPr>
            <w:r>
              <w:t xml:space="preserve">2737</w:t>
            </w:r>
          </w:p>
        </w:tc>
        <w:tc>
          <w:tcPr/>
          <w:p>
            <w:pPr>
              <w:pStyle w:val="918"/>
              <w:jc w:val="left"/>
            </w:pPr>
            <w:r>
              <w:t xml:space="preserve">administrativas para elidir a irregularidade ensejadora da TCE ou obt…</w:t>
            </w:r>
          </w:p>
        </w:tc>
      </w:tr>
      <w:tr>
        <w:tc>
          <w:tcPr/>
          <w:p>
            <w:pPr>
              <w:pStyle w:val="918"/>
              <w:jc w:val="right"/>
            </w:pPr>
            <w:r>
              <w:t xml:space="preserve">2738</w:t>
            </w:r>
          </w:p>
        </w:tc>
        <w:tc>
          <w:tcPr/>
          <w:p>
            <w:pPr>
              <w:pStyle w:val="918"/>
              <w:jc w:val="left"/>
            </w:pPr>
            <w:r>
              <w:t xml:space="preserve">formalizar a instauração do processo. Por derradeiro, quanto à TCE me…</w:t>
            </w:r>
          </w:p>
        </w:tc>
      </w:tr>
      <w:tr>
        <w:tc>
          <w:tcPr/>
          <w:p>
            <w:pPr>
              <w:pStyle w:val="918"/>
              <w:jc w:val="right"/>
            </w:pPr>
            <w:r>
              <w:t xml:space="preserve">2739</w:t>
            </w:r>
          </w:p>
        </w:tc>
        <w:tc>
          <w:tcPr/>
          <w:p>
            <w:pPr>
              <w:pStyle w:val="918"/>
              <w:jc w:val="left"/>
            </w:pPr>
            <w:r>
              <w:t xml:space="preserve">apreciação do processo de TCE, no âmbito da União, constitui competên…</w:t>
            </w:r>
          </w:p>
        </w:tc>
      </w:tr>
      <w:tr>
        <w:tc>
          <w:tcPr/>
          <w:p>
            <w:pPr>
              <w:pStyle w:val="918"/>
              <w:jc w:val="right"/>
            </w:pPr>
            <w:r>
              <w:t xml:space="preserve">2740</w:t>
            </w:r>
          </w:p>
        </w:tc>
        <w:tc>
          <w:tcPr/>
          <w:p>
            <w:pPr>
              <w:pStyle w:val="918"/>
              <w:jc w:val="left"/>
            </w:pPr>
            <w:r>
              <w:t xml:space="preserve">art. 70, parágrafo único, c/c art. 71, ambos da Constituição Federal.</w:t>
            </w:r>
          </w:p>
        </w:tc>
      </w:tr>
      <w:tr>
        <w:tc>
          <w:tcPr/>
          <w:p>
            <w:pPr>
              <w:pStyle w:val="918"/>
              <w:jc w:val="right"/>
            </w:pPr>
            <w:r>
              <w:t xml:space="preserve">2741</w:t>
            </w:r>
          </w:p>
        </w:tc>
        <w:tc>
          <w:tcPr/>
          <w:p>
            <w:pPr>
              <w:pStyle w:val="918"/>
              <w:jc w:val="left"/>
            </w:pPr>
            <w:r>
              <w:t xml:space="preserve">Não obstante, ao reler o relatório, o auditado pode claramente observ…</w:t>
            </w:r>
          </w:p>
        </w:tc>
      </w:tr>
      <w:tr>
        <w:tc>
          <w:tcPr/>
          <w:p>
            <w:pPr>
              <w:pStyle w:val="918"/>
              <w:jc w:val="right"/>
            </w:pPr>
            <w:r>
              <w:t xml:space="preserve">2742</w:t>
            </w:r>
          </w:p>
        </w:tc>
        <w:tc>
          <w:tcPr/>
          <w:p>
            <w:pPr>
              <w:pStyle w:val="918"/>
              <w:jc w:val="left"/>
            </w:pPr>
            <w:r>
              <w:t xml:space="preserve">quais o mesmo fora apontado como responsável, trazem em seu bojo pess…</w:t>
            </w:r>
          </w:p>
        </w:tc>
      </w:tr>
      <w:tr>
        <w:tc>
          <w:tcPr/>
          <w:p>
            <w:pPr>
              <w:pStyle w:val="918"/>
              <w:jc w:val="right"/>
            </w:pPr>
            <w:r>
              <w:t xml:space="preserve">2743</w:t>
            </w:r>
          </w:p>
        </w:tc>
        <w:tc>
          <w:tcPr/>
          <w:p>
            <w:pPr>
              <w:pStyle w:val="918"/>
              <w:jc w:val="left"/>
            </w:pPr>
            <w:r>
              <w:t xml:space="preserve">públicas nos períodos identificados nos fatos geradores do dano, na i…</w:t>
            </w:r>
          </w:p>
        </w:tc>
      </w:tr>
      <w:tr>
        <w:tc>
          <w:tcPr/>
          <w:p>
            <w:pPr>
              <w:pStyle w:val="918"/>
              <w:jc w:val="right"/>
            </w:pPr>
            <w:r>
              <w:t xml:space="preserve">2744</w:t>
            </w:r>
          </w:p>
        </w:tc>
        <w:tc>
          <w:tcPr/>
          <w:p>
            <w:pPr>
              <w:pStyle w:val="918"/>
              <w:jc w:val="left"/>
            </w:pPr>
            <w:r>
              <w:t xml:space="preserve">argumentação, em igualdade de responsabilidade. Nessa trilha de equív…</w:t>
            </w:r>
          </w:p>
        </w:tc>
      </w:tr>
      <w:tr>
        <w:tc>
          <w:tcPr/>
          <w:p>
            <w:pPr>
              <w:pStyle w:val="918"/>
              <w:jc w:val="right"/>
            </w:pPr>
            <w:r>
              <w:t xml:space="preserve">2745</w:t>
            </w:r>
          </w:p>
        </w:tc>
        <w:tc>
          <w:tcPr/>
          <w:p>
            <w:pPr>
              <w:pStyle w:val="918"/>
              <w:jc w:val="left"/>
            </w:pPr>
            <w:r>
              <w:t xml:space="preserve">voga como desvio, em detrimento de seu real enquadramento, o dano ao …</w:t>
            </w:r>
          </w:p>
        </w:tc>
      </w:tr>
      <w:tr>
        <w:tc>
          <w:tcPr/>
          <w:p>
            <w:pPr>
              <w:pStyle w:val="918"/>
              <w:jc w:val="right"/>
            </w:pPr>
            <w:r>
              <w:t xml:space="preserve">2746</w:t>
            </w:r>
          </w:p>
        </w:tc>
        <w:tc>
          <w:tcPr/>
          <w:p>
            <w:pPr>
              <w:pStyle w:val="918"/>
              <w:jc w:val="left"/>
            </w:pPr>
            <w:r>
              <w:t xml:space="preserve">argumentativa de que houve benefícios à população e que por isso, em …</w:t>
            </w:r>
          </w:p>
        </w:tc>
      </w:tr>
      <w:tr>
        <w:tc>
          <w:tcPr/>
          <w:p>
            <w:pPr>
              <w:pStyle w:val="918"/>
              <w:jc w:val="right"/>
            </w:pPr>
            <w:r>
              <w:t xml:space="preserve">2747</w:t>
            </w:r>
          </w:p>
        </w:tc>
        <w:tc>
          <w:tcPr/>
          <w:p>
            <w:pPr>
              <w:pStyle w:val="918"/>
              <w:jc w:val="left"/>
            </w:pPr>
            <w:r>
              <w:t xml:space="preserve">em repor tais recursos, isso recairia ao ente da federação, fato que …</w:t>
            </w:r>
          </w:p>
        </w:tc>
      </w:tr>
      <w:tr>
        <w:tc>
          <w:tcPr/>
          <w:p>
            <w:pPr>
              <w:pStyle w:val="918"/>
              <w:jc w:val="right"/>
            </w:pPr>
            <w:r>
              <w:t xml:space="preserve">2748</w:t>
            </w:r>
          </w:p>
        </w:tc>
        <w:tc>
          <w:tcPr/>
          <w:p>
            <w:pPr>
              <w:pStyle w:val="918"/>
              <w:jc w:val="left"/>
            </w:pPr>
            <w:r>
              <w:t xml:space="preserve">natureza do evento.</w:t>
            </w:r>
          </w:p>
        </w:tc>
      </w:tr>
      <w:tr>
        <w:tc>
          <w:tcPr/>
          <w:p>
            <w:pPr>
              <w:pStyle w:val="918"/>
              <w:jc w:val="right"/>
            </w:pPr>
            <w:r>
              <w:t xml:space="preserve">2749</w:t>
            </w:r>
          </w:p>
        </w:tc>
        <w:tc>
          <w:tcPr/>
          <w:p>
            <w:pPr>
              <w:pStyle w:val="918"/>
              <w:jc w:val="left"/>
            </w:pPr>
            <w:r>
              <w:t xml:space="preserve">Por conseguinte, continua o auditado em suas argumentações, reitera s…</w:t>
            </w:r>
          </w:p>
        </w:tc>
      </w:tr>
      <w:tr>
        <w:tc>
          <w:tcPr/>
          <w:p>
            <w:pPr>
              <w:pStyle w:val="918"/>
              <w:jc w:val="right"/>
            </w:pPr>
            <w:r>
              <w:t xml:space="preserve">2750</w:t>
            </w:r>
          </w:p>
        </w:tc>
        <w:tc>
          <w:tcPr/>
          <w:p>
            <w:pPr>
              <w:pStyle w:val="918"/>
              <w:jc w:val="left"/>
            </w:pPr>
            <w:r>
              <w:t xml:space="preserve">responsabilidades sobre os fatos e danos apurados, ao citado municípi…</w:t>
            </w:r>
          </w:p>
        </w:tc>
      </w:tr>
      <w:tr>
        <w:tc>
          <w:tcPr/>
          <w:p>
            <w:pPr>
              <w:pStyle w:val="918"/>
              <w:jc w:val="right"/>
            </w:pPr>
            <w:r>
              <w:t xml:space="preserve">2751</w:t>
            </w:r>
          </w:p>
        </w:tc>
        <w:tc>
          <w:tcPr/>
          <w:p>
            <w:pPr>
              <w:pStyle w:val="918"/>
              <w:jc w:val="left"/>
            </w:pPr>
            <w:r>
              <w:t xml:space="preserve">despesas que tiveram em seus trâmites internos, a participação das ár…</w:t>
            </w:r>
          </w:p>
        </w:tc>
      </w:tr>
      <w:tr>
        <w:tc>
          <w:tcPr/>
          <w:p>
            <w:pPr>
              <w:pStyle w:val="918"/>
              <w:jc w:val="right"/>
            </w:pPr>
            <w:r>
              <w:t xml:space="preserve">2752</w:t>
            </w:r>
          </w:p>
        </w:tc>
        <w:tc>
          <w:tcPr/>
          <w:p>
            <w:pPr>
              <w:pStyle w:val="918"/>
              <w:jc w:val="left"/>
            </w:pPr>
            <w:r>
              <w:t xml:space="preserve">menciona que “as liquidações das despesas foram efetuadas pelos setor…</w:t>
            </w:r>
          </w:p>
        </w:tc>
      </w:tr>
      <w:tr>
        <w:tc>
          <w:tcPr/>
          <w:p>
            <w:pPr>
              <w:pStyle w:val="918"/>
              <w:jc w:val="right"/>
            </w:pPr>
            <w:r>
              <w:t xml:space="preserve">2753</w:t>
            </w:r>
          </w:p>
        </w:tc>
        <w:tc>
          <w:tcPr/>
          <w:p>
            <w:pPr>
              <w:pStyle w:val="918"/>
              <w:jc w:val="left"/>
            </w:pPr>
            <w:r>
              <w:t xml:space="preserve">componente municipal do Sistema Nacional de Auditoria, com amplos pod…</w:t>
            </w:r>
          </w:p>
        </w:tc>
      </w:tr>
      <w:tr>
        <w:tc>
          <w:tcPr/>
          <w:p>
            <w:pPr>
              <w:pStyle w:val="918"/>
              <w:jc w:val="right"/>
            </w:pPr>
            <w:r>
              <w:t xml:space="preserve">2754</w:t>
            </w:r>
          </w:p>
        </w:tc>
        <w:tc>
          <w:tcPr/>
          <w:p>
            <w:pPr>
              <w:pStyle w:val="918"/>
              <w:jc w:val="left"/>
            </w:pPr>
            <w:r>
              <w:t xml:space="preserve">chancelam o repasse dos recursos pactuados”. No que comete novo equív…</w:t>
            </w:r>
          </w:p>
        </w:tc>
      </w:tr>
      <w:tr>
        <w:tc>
          <w:tcPr/>
          <w:p>
            <w:pPr>
              <w:pStyle w:val="918"/>
              <w:jc w:val="right"/>
            </w:pPr>
            <w:r>
              <w:t xml:space="preserve">2755</w:t>
            </w:r>
          </w:p>
        </w:tc>
        <w:tc>
          <w:tcPr/>
          <w:p>
            <w:pPr>
              <w:pStyle w:val="918"/>
              <w:jc w:val="left"/>
            </w:pPr>
            <w:r>
              <w:t xml:space="preserve">áreas técnicas que compõem a estrutura municipal, não há efetiva ou p…</w:t>
            </w:r>
          </w:p>
        </w:tc>
      </w:tr>
      <w:tr>
        <w:tc>
          <w:tcPr/>
          <w:p>
            <w:pPr>
              <w:pStyle w:val="918"/>
              <w:jc w:val="right"/>
            </w:pPr>
            <w:r>
              <w:t xml:space="preserve">2756</w:t>
            </w:r>
          </w:p>
        </w:tc>
        <w:tc>
          <w:tcPr/>
          <w:p>
            <w:pPr>
              <w:pStyle w:val="918"/>
              <w:jc w:val="left"/>
            </w:pPr>
            <w:r>
              <w:t xml:space="preserve">apresente vínculo com o SNA. A despeito desse equívoco, é justo admit…</w:t>
            </w:r>
          </w:p>
        </w:tc>
      </w:tr>
      <w:tr>
        <w:tc>
          <w:tcPr/>
          <w:p>
            <w:pPr>
              <w:pStyle w:val="918"/>
              <w:jc w:val="right"/>
            </w:pPr>
            <w:r>
              <w:t xml:space="preserve">2757</w:t>
            </w:r>
          </w:p>
        </w:tc>
        <w:tc>
          <w:tcPr/>
          <w:p>
            <w:pPr>
              <w:pStyle w:val="918"/>
              <w:jc w:val="left"/>
            </w:pPr>
            <w:r>
              <w:t xml:space="preserve">compreensível, tendo em vista que a estrutura municipal apresenta na …</w:t>
            </w:r>
          </w:p>
        </w:tc>
      </w:tr>
      <w:tr>
        <w:tc>
          <w:tcPr/>
          <w:p>
            <w:pPr>
              <w:pStyle w:val="918"/>
              <w:jc w:val="right"/>
            </w:pPr>
            <w:r>
              <w:t xml:space="preserve">2758</w:t>
            </w:r>
          </w:p>
        </w:tc>
        <w:tc>
          <w:tcPr/>
          <w:p>
            <w:pPr>
              <w:pStyle w:val="918"/>
              <w:jc w:val="left"/>
            </w:pPr>
            <w:r>
              <w:t xml:space="preserve">de Controle, Avaliação e Auditoria, cujas atividades de fato não estã…</w:t>
            </w:r>
          </w:p>
        </w:tc>
      </w:tr>
      <w:tr>
        <w:tc>
          <w:tcPr/>
          <w:p>
            <w:pPr>
              <w:pStyle w:val="918"/>
              <w:jc w:val="right"/>
            </w:pPr>
            <w:r>
              <w:t xml:space="preserve">2759</w:t>
            </w:r>
          </w:p>
        </w:tc>
        <w:tc>
          <w:tcPr/>
          <w:p>
            <w:pPr>
              <w:pStyle w:val="918"/>
              <w:jc w:val="left"/>
            </w:pPr>
            <w:r>
              <w:t xml:space="preserve">pelo SNA, embora atuem nos processos internos da secretaria em tela.</w:t>
            </w:r>
          </w:p>
        </w:tc>
      </w:tr>
      <w:tr>
        <w:tc>
          <w:tcPr/>
          <w:p>
            <w:pPr>
              <w:pStyle w:val="918"/>
              <w:jc w:val="right"/>
            </w:pPr>
            <w:r>
              <w:t xml:space="preserve">2760</w:t>
            </w:r>
          </w:p>
        </w:tc>
        <w:tc>
          <w:tcPr/>
          <w:p>
            <w:pPr>
              <w:pStyle w:val="918"/>
              <w:jc w:val="left"/>
            </w:pPr>
            <w:r>
              <w:t xml:space="preserve">Os documentos, em forma de fotocópia, apresentados com o fito de dar …</w:t>
            </w:r>
          </w:p>
        </w:tc>
      </w:tr>
      <w:tr>
        <w:tc>
          <w:tcPr/>
          <w:p>
            <w:pPr>
              <w:pStyle w:val="918"/>
              <w:jc w:val="right"/>
            </w:pPr>
            <w:r>
              <w:t xml:space="preserve">2761</w:t>
            </w:r>
          </w:p>
        </w:tc>
        <w:tc>
          <w:tcPr/>
          <w:p>
            <w:pPr>
              <w:pStyle w:val="918"/>
              <w:jc w:val="left"/>
            </w:pPr>
            <w:r>
              <w:t xml:space="preserve">somente corroboram o fato constatado e devidamente evidenciado no rel…</w:t>
            </w:r>
          </w:p>
        </w:tc>
      </w:tr>
      <w:tr>
        <w:tc>
          <w:tcPr/>
          <w:p>
            <w:pPr>
              <w:pStyle w:val="918"/>
              <w:jc w:val="right"/>
            </w:pPr>
            <w:r>
              <w:t xml:space="preserve">2762</w:t>
            </w:r>
          </w:p>
        </w:tc>
        <w:tc>
          <w:tcPr/>
          <w:p>
            <w:pPr>
              <w:pStyle w:val="918"/>
              <w:jc w:val="left"/>
            </w:pPr>
            <w:r>
              <w:t xml:space="preserve">efetuados com recursos federais não cumpriram com os critérios contra…</w:t>
            </w:r>
          </w:p>
        </w:tc>
      </w:tr>
      <w:tr>
        <w:tc>
          <w:tcPr/>
          <w:p>
            <w:pPr>
              <w:pStyle w:val="918"/>
              <w:jc w:val="right"/>
            </w:pPr>
            <w:r>
              <w:t xml:space="preserve">2763</w:t>
            </w:r>
          </w:p>
        </w:tc>
        <w:tc>
          <w:tcPr/>
          <w:p>
            <w:pPr>
              <w:pStyle w:val="918"/>
              <w:jc w:val="left"/>
            </w:pPr>
            <w:r>
              <w:t xml:space="preserve">instrumentos anteriormente mencionados, Termo de Convênio n.º 01/2017…</w:t>
            </w:r>
          </w:p>
        </w:tc>
      </w:tr>
      <w:tr>
        <w:tc>
          <w:tcPr/>
          <w:p>
            <w:pPr>
              <w:pStyle w:val="918"/>
              <w:jc w:val="right"/>
            </w:pPr>
            <w:r>
              <w:t xml:space="preserve">2764</w:t>
            </w:r>
          </w:p>
        </w:tc>
        <w:tc>
          <w:tcPr/>
          <w:p>
            <w:pPr>
              <w:pStyle w:val="918"/>
              <w:jc w:val="left"/>
            </w:pPr>
            <w:r>
              <w:t xml:space="preserve">Aditivos.</w:t>
            </w:r>
          </w:p>
        </w:tc>
      </w:tr>
      <w:tr>
        <w:tc>
          <w:tcPr/>
          <w:p>
            <w:pPr>
              <w:pStyle w:val="918"/>
              <w:jc w:val="right"/>
            </w:pPr>
            <w:r>
              <w:t xml:space="preserve">2765</w:t>
            </w:r>
          </w:p>
        </w:tc>
        <w:tc>
          <w:tcPr/>
          <w:p>
            <w:pPr>
              <w:pStyle w:val="918"/>
              <w:jc w:val="left"/>
            </w:pPr>
            <w:r>
              <w:t xml:space="preserve">Em caráter complementar, o auditado apresenta extratos das manifestaç…</w:t>
            </w:r>
          </w:p>
        </w:tc>
      </w:tr>
      <w:tr>
        <w:tc>
          <w:tcPr/>
          <w:p>
            <w:pPr>
              <w:pStyle w:val="918"/>
              <w:jc w:val="right"/>
            </w:pPr>
            <w:r>
              <w:t xml:space="preserve">2766</w:t>
            </w:r>
          </w:p>
        </w:tc>
        <w:tc>
          <w:tcPr/>
          <w:p>
            <w:pPr>
              <w:pStyle w:val="918"/>
              <w:jc w:val="left"/>
            </w:pPr>
            <w:r>
              <w:t xml:space="preserve">“Declaração”</w:t>
            </w:r>
            <w:r>
              <w:t xml:space="preserve"> </w:t>
            </w:r>
            <w:r>
              <w:t xml:space="preserve">nos quais dois ex-coordenadores responsáveis pela chefia…</w:t>
            </w:r>
          </w:p>
        </w:tc>
      </w:tr>
      <w:tr>
        <w:tc>
          <w:tcPr/>
          <w:p>
            <w:pPr>
              <w:pStyle w:val="918"/>
              <w:jc w:val="right"/>
            </w:pPr>
            <w:r>
              <w:t xml:space="preserve">2767</w:t>
            </w:r>
          </w:p>
        </w:tc>
        <w:tc>
          <w:tcPr/>
          <w:p>
            <w:pPr>
              <w:pStyle w:val="918"/>
              <w:jc w:val="left"/>
            </w:pPr>
            <w:r>
              <w:t xml:space="preserve">CONTROLE E AVALIAÇÃO, REGULAÇÃO E AUDITORIA DA SECRETARIA MUNICIPAL D…</w:t>
            </w:r>
          </w:p>
        </w:tc>
      </w:tr>
      <w:tr>
        <w:tc>
          <w:tcPr/>
          <w:p>
            <w:pPr>
              <w:pStyle w:val="918"/>
              <w:jc w:val="right"/>
            </w:pPr>
            <w:r>
              <w:t xml:space="preserve">2768</w:t>
            </w:r>
          </w:p>
        </w:tc>
        <w:tc>
          <w:tcPr/>
          <w:p>
            <w:pPr>
              <w:pStyle w:val="918"/>
              <w:jc w:val="left"/>
            </w:pPr>
            <w:r>
              <w:t xml:space="preserve">BOM JESUS DO ITABAPOANA expressam que o HSVP atendera “de forma regul…</w:t>
            </w:r>
          </w:p>
        </w:tc>
      </w:tr>
      <w:tr>
        <w:tc>
          <w:tcPr/>
          <w:p>
            <w:pPr>
              <w:pStyle w:val="918"/>
              <w:jc w:val="right"/>
            </w:pPr>
            <w:r>
              <w:t xml:space="preserve">2769</w:t>
            </w:r>
          </w:p>
        </w:tc>
        <w:tc>
          <w:tcPr/>
          <w:p>
            <w:pPr>
              <w:pStyle w:val="918"/>
              <w:jc w:val="left"/>
            </w:pPr>
            <w:r>
              <w:t xml:space="preserve">demanda direcionada pela gestão municipal, bem como garantiu o acesso…</w:t>
            </w:r>
          </w:p>
        </w:tc>
      </w:tr>
      <w:tr>
        <w:tc>
          <w:tcPr/>
          <w:p>
            <w:pPr>
              <w:pStyle w:val="918"/>
              <w:jc w:val="right"/>
            </w:pPr>
            <w:r>
              <w:t xml:space="preserve">2770</w:t>
            </w:r>
          </w:p>
        </w:tc>
        <w:tc>
          <w:tcPr/>
          <w:p>
            <w:pPr>
              <w:pStyle w:val="918"/>
              <w:jc w:val="left"/>
            </w:pPr>
            <w:r>
              <w:t xml:space="preserve">seu papel de prestador de serviço contratualizado, nos requisitos ass…</w:t>
            </w:r>
          </w:p>
        </w:tc>
      </w:tr>
      <w:tr>
        <w:tc>
          <w:tcPr/>
          <w:p>
            <w:pPr>
              <w:pStyle w:val="918"/>
              <w:jc w:val="right"/>
            </w:pPr>
            <w:r>
              <w:t xml:space="preserve">2771</w:t>
            </w:r>
          </w:p>
        </w:tc>
        <w:tc>
          <w:tcPr/>
          <w:p>
            <w:pPr>
              <w:pStyle w:val="918"/>
              <w:jc w:val="left"/>
            </w:pPr>
            <w:r>
              <w:t xml:space="preserve">em seguida admitir “…metas estipuladas possuem uma natureza quase q…</w:t>
            </w:r>
          </w:p>
        </w:tc>
      </w:tr>
      <w:tr>
        <w:tc>
          <w:tcPr/>
          <w:p>
            <w:pPr>
              <w:pStyle w:val="918"/>
              <w:jc w:val="right"/>
            </w:pPr>
            <w:r>
              <w:t xml:space="preserve">2772</w:t>
            </w:r>
          </w:p>
        </w:tc>
        <w:tc>
          <w:tcPr/>
          <w:p>
            <w:pPr>
              <w:pStyle w:val="918"/>
              <w:jc w:val="left"/>
            </w:pPr>
            <w:r>
              <w:t xml:space="preserve">conhecimento de que os fatos trazidos no relatório de achados dessa a…</w:t>
            </w:r>
          </w:p>
        </w:tc>
      </w:tr>
      <w:tr>
        <w:tc>
          <w:tcPr/>
          <w:p>
            <w:pPr>
              <w:pStyle w:val="918"/>
              <w:jc w:val="right"/>
            </w:pPr>
            <w:r>
              <w:t xml:space="preserve">2773</w:t>
            </w:r>
          </w:p>
        </w:tc>
        <w:tc>
          <w:tcPr/>
          <w:p>
            <w:pPr>
              <w:pStyle w:val="918"/>
              <w:jc w:val="left"/>
            </w:pPr>
            <w:r>
              <w:t xml:space="preserve">documental de forma clara e objetiva.</w:t>
            </w:r>
          </w:p>
        </w:tc>
      </w:tr>
      <w:tr>
        <w:tc>
          <w:tcPr/>
          <w:p>
            <w:pPr>
              <w:pStyle w:val="918"/>
              <w:jc w:val="right"/>
            </w:pPr>
            <w:r>
              <w:t xml:space="preserve">2774</w:t>
            </w:r>
          </w:p>
        </w:tc>
        <w:tc>
          <w:tcPr/>
          <w:p>
            <w:pPr>
              <w:pStyle w:val="918"/>
              <w:jc w:val="left"/>
            </w:pPr>
            <w:r>
              <w:t xml:space="preserve">Por epílogo, o auditado ratifica, ao mencionar a ausência da Comissão…</w:t>
            </w:r>
          </w:p>
        </w:tc>
      </w:tr>
      <w:tr>
        <w:tc>
          <w:tcPr/>
          <w:p>
            <w:pPr>
              <w:pStyle w:val="918"/>
              <w:jc w:val="right"/>
            </w:pPr>
            <w:r>
              <w:t xml:space="preserve">2775</w:t>
            </w:r>
          </w:p>
        </w:tc>
        <w:tc>
          <w:tcPr/>
          <w:p>
            <w:pPr>
              <w:pStyle w:val="918"/>
              <w:jc w:val="left"/>
            </w:pPr>
            <w:r>
              <w:t xml:space="preserve">Contratualização, a irregularidade dos pagamentos realizados sem o de…</w:t>
            </w:r>
          </w:p>
        </w:tc>
      </w:tr>
      <w:tr>
        <w:tc>
          <w:tcPr/>
          <w:p>
            <w:pPr>
              <w:pStyle w:val="918"/>
              <w:jc w:val="right"/>
            </w:pPr>
            <w:r>
              <w:t xml:space="preserve">2776</w:t>
            </w:r>
          </w:p>
        </w:tc>
        <w:tc>
          <w:tcPr/>
          <w:p>
            <w:pPr>
              <w:pStyle w:val="918"/>
              <w:jc w:val="left"/>
            </w:pPr>
            <w:r>
              <w:t xml:space="preserve">analítico da mesma.</w:t>
            </w:r>
          </w:p>
        </w:tc>
      </w:tr>
      <w:tr>
        <w:tc>
          <w:tcPr/>
          <w:p>
            <w:pPr>
              <w:pStyle w:val="918"/>
              <w:jc w:val="right"/>
            </w:pPr>
            <w:r>
              <w:t xml:space="preserve">2777</w:t>
            </w:r>
          </w:p>
        </w:tc>
        <w:tc>
          <w:tcPr/>
          <w:p>
            <w:pPr>
              <w:pStyle w:val="918"/>
              <w:jc w:val="left"/>
            </w:pPr>
            <w:r>
              <w:t xml:space="preserve">Acrescenta, resgatando o teor das denúncias que subsidiaram a demanda…</w:t>
            </w:r>
          </w:p>
        </w:tc>
      </w:tr>
      <w:tr>
        <w:tc>
          <w:tcPr/>
          <w:p>
            <w:pPr>
              <w:pStyle w:val="918"/>
              <w:jc w:val="right"/>
            </w:pPr>
            <w:r>
              <w:t xml:space="preserve">2778</w:t>
            </w:r>
          </w:p>
        </w:tc>
        <w:tc>
          <w:tcPr/>
          <w:p>
            <w:pPr>
              <w:pStyle w:val="918"/>
              <w:jc w:val="left"/>
            </w:pPr>
            <w:r>
              <w:t xml:space="preserve">própria equipe verificara que as mesmas não se mostraram efetivas, di…</w:t>
            </w:r>
          </w:p>
        </w:tc>
      </w:tr>
      <w:tr>
        <w:tc>
          <w:tcPr/>
          <w:p>
            <w:pPr>
              <w:pStyle w:val="918"/>
              <w:jc w:val="right"/>
            </w:pPr>
            <w:r>
              <w:t xml:space="preserve">2779</w:t>
            </w:r>
          </w:p>
        </w:tc>
        <w:tc>
          <w:tcPr/>
          <w:p>
            <w:pPr>
              <w:pStyle w:val="918"/>
              <w:jc w:val="left"/>
            </w:pPr>
            <w:r>
              <w:t xml:space="preserve">não apresenta fatos novos que elidam as não conformidades referentes …</w:t>
            </w:r>
          </w:p>
        </w:tc>
      </w:tr>
      <w:tr>
        <w:tc>
          <w:tcPr/>
          <w:p>
            <w:pPr>
              <w:pStyle w:val="918"/>
              <w:jc w:val="right"/>
            </w:pPr>
            <w:r>
              <w:t xml:space="preserve">2791</w:t>
            </w:r>
          </w:p>
        </w:tc>
        <w:tc>
          <w:tcPr/>
          <w:p>
            <w:pPr>
              <w:pStyle w:val="918"/>
              <w:jc w:val="left"/>
            </w:pPr>
            <w:r>
              <w:t xml:space="preserve">devido amparo documental, objetivamente apresentadas no relatório de …</w:t>
            </w:r>
          </w:p>
        </w:tc>
      </w:tr>
      <w:tr>
        <w:tc>
          <w:tcPr/>
          <w:p>
            <w:pPr>
              <w:pStyle w:val="918"/>
              <w:jc w:val="right"/>
            </w:pPr>
            <w:r>
              <w:t xml:space="preserve">2792</w:t>
            </w:r>
          </w:p>
        </w:tc>
        <w:tc>
          <w:tcPr/>
          <w:p>
            <w:pPr>
              <w:pStyle w:val="918"/>
              <w:jc w:val="left"/>
            </w:pPr>
            <w:r>
              <w:t xml:space="preserve">período auditado.</w:t>
            </w:r>
          </w:p>
        </w:tc>
      </w:tr>
      <w:tr>
        <w:tc>
          <w:tcPr/>
          <w:p>
            <w:pPr>
              <w:pStyle w:val="918"/>
              <w:jc w:val="right"/>
            </w:pPr>
            <w:r>
              <w:t xml:space="preserve">2793</w:t>
            </w:r>
          </w:p>
        </w:tc>
        <w:tc>
          <w:tcPr/>
          <w:p>
            <w:pPr>
              <w:pStyle w:val="918"/>
              <w:jc w:val="left"/>
            </w:pPr>
            <w:r>
              <w:t xml:space="preserve">Por fim, se faz necessário esclarecer que cabe à equipe de auditoria …</w:t>
            </w:r>
          </w:p>
        </w:tc>
      </w:tr>
      <w:tr>
        <w:tc>
          <w:tcPr/>
          <w:p>
            <w:pPr>
              <w:pStyle w:val="918"/>
              <w:jc w:val="right"/>
            </w:pPr>
            <w:r>
              <w:t xml:space="preserve">2794</w:t>
            </w:r>
          </w:p>
        </w:tc>
        <w:tc>
          <w:tcPr/>
          <w:p>
            <w:pPr>
              <w:pStyle w:val="918"/>
              <w:jc w:val="left"/>
            </w:pPr>
            <w:r>
              <w:t xml:space="preserve">forma clara e objetiva às partes interessadas e autoridades competent…</w:t>
            </w:r>
          </w:p>
        </w:tc>
      </w:tr>
      <w:tr>
        <w:tc>
          <w:tcPr/>
          <w:p>
            <w:pPr>
              <w:pStyle w:val="918"/>
              <w:jc w:val="right"/>
            </w:pPr>
            <w:r>
              <w:t xml:space="preserve">2795</w:t>
            </w:r>
          </w:p>
        </w:tc>
        <w:tc>
          <w:tcPr/>
          <w:p>
            <w:pPr>
              <w:pStyle w:val="918"/>
              <w:jc w:val="left"/>
            </w:pPr>
            <w:r>
              <w:t xml:space="preserve">cabendo à mesma, juízo de valor sobre o referido rito, uma vez que a …</w:t>
            </w:r>
          </w:p>
        </w:tc>
      </w:tr>
      <w:tr>
        <w:tc>
          <w:tcPr/>
          <w:p>
            <w:pPr>
              <w:pStyle w:val="918"/>
              <w:jc w:val="right"/>
            </w:pPr>
            <w:r>
              <w:t xml:space="preserve">2796</w:t>
            </w:r>
          </w:p>
        </w:tc>
        <w:tc>
          <w:tcPr/>
          <w:p>
            <w:pPr>
              <w:pStyle w:val="918"/>
              <w:jc w:val="left"/>
            </w:pPr>
            <w:r>
              <w:t xml:space="preserve">meio de seus órgãos competentes, essa prerrogativa.</w:t>
            </w:r>
          </w:p>
        </w:tc>
      </w:tr>
      <w:tr>
        <w:tc>
          <w:tcPr/>
          <w:p>
            <w:pPr>
              <w:pStyle w:val="918"/>
              <w:jc w:val="right"/>
            </w:pPr>
            <w:r>
              <w:t xml:space="preserve">2797</w:t>
            </w:r>
          </w:p>
        </w:tc>
        <w:tc>
          <w:tcPr/>
          <w:p>
            <w:pPr>
              <w:pStyle w:val="918"/>
              <w:jc w:val="left"/>
            </w:pPr>
            <w:r>
              <w:t xml:space="preserve">A justificativa do HSVP, não será acatada, conforme afirmado em respo…</w:t>
            </w:r>
          </w:p>
        </w:tc>
      </w:tr>
      <w:tr>
        <w:tc>
          <w:tcPr/>
          <w:p>
            <w:pPr>
              <w:pStyle w:val="918"/>
              <w:jc w:val="right"/>
            </w:pPr>
            <w:r>
              <w:t xml:space="preserve">2798</w:t>
            </w:r>
          </w:p>
        </w:tc>
        <w:tc>
          <w:tcPr/>
          <w:p>
            <w:pPr>
              <w:pStyle w:val="918"/>
              <w:jc w:val="left"/>
            </w:pPr>
            <w:r>
              <w:t xml:space="preserve">uma fundamentação adequada específica para constatação em tela. Porta…</w:t>
            </w:r>
          </w:p>
        </w:tc>
      </w:tr>
      <w:tr>
        <w:tc>
          <w:tcPr/>
          <w:p>
            <w:pPr>
              <w:pStyle w:val="918"/>
              <w:jc w:val="right"/>
            </w:pPr>
            <w:r>
              <w:t xml:space="preserve">2799</w:t>
            </w:r>
          </w:p>
        </w:tc>
        <w:tc>
          <w:tcPr/>
          <w:p>
            <w:pPr>
              <w:pStyle w:val="918"/>
              <w:jc w:val="left"/>
            </w:pPr>
            <w:r>
              <w:t xml:space="preserve">capazes de elidir a situação evidenciada na constatação, sendo mantid…</w:t>
            </w:r>
          </w:p>
        </w:tc>
      </w:tr>
    </w:tbl>
    <w:p>
      <w:pPr>
        <w:pStyle w:val="916"/>
      </w:pPr>
      <w:r>
        <w:t xml:space="preserve">Conforme se observou, tratava-se de uma análise extensa da justificativa, corretamente detectada pelo processo de tratamento de dados.</w:t>
      </w:r>
    </w:p>
    <w:p>
      <w:pPr>
        <w:pStyle w:val="916"/>
      </w:pPr>
      <w:r>
        <w:t xml:space="preserve">Todos os rótulos que, em pelo menos um caso, apresentaram valores distribuídos em múltiplas linhas possuíam descrições compatíveis com essa possibilidade, seja por conterem texto contínuo, seja por conterem múltiplos itens, como em</w:t>
      </w:r>
      <w:r>
        <w:t xml:space="preserve"> </w:t>
      </w:r>
      <w:r>
        <w:t xml:space="preserve">“Responsável(eis)”</w:t>
      </w:r>
      <w:r>
        <w:t xml:space="preserve">.</w:t>
      </w:r>
    </w:p>
    <w:p>
      <w:pPr>
        <w:pStyle w:val="916"/>
      </w:pPr>
      <w:r>
        <w:t xml:space="preserve">A única exceção aparente foi o rótulo</w:t>
      </w:r>
      <w:r>
        <w:t xml:space="preserve"> </w:t>
      </w:r>
      <w:r>
        <w:t xml:space="preserve">“Nome CPF/CNPJ”</w:t>
      </w:r>
      <w:r>
        <w:t xml:space="preserve">. No entanto, verificou-se que esse campo, em todos os casos, ocupou ao menos duas linhas. Ainda assim, para fins de validação, procedeu-se à checagem do conteúdo desse campo no caso extremo.</w:t>
      </w:r>
    </w:p>
    <w:p>
      <w:pPr>
        <w:pStyle w:val="916"/>
      </w:pPr>
      <w:r>
        <w:t xml:space="preserve">Abaixo, apresentam-se as informações relativas à ocorrência.</w:t>
      </w:r>
    </w:p>
    <w:p>
      <w:pPr>
        <w:pStyle w:val="SourceCode"/>
      </w:pPr>
      <w:r>
        <w:rPr>
          <w:rStyle w:val="949"/>
        </w:rPr>
        <w:t xml:space="preserve">#&gt; List of 4</w:t>
      </w:r>
      <w:r>
        <w:br/>
      </w:r>
      <w:r>
        <w:rPr>
          <w:rStyle w:val="949"/>
        </w:rPr>
        <w:t xml:space="preserve">#&gt;  $ Arquivo      : chr "19537_2.pdf"</w:t>
      </w:r>
      <w:r>
        <w:br/>
      </w:r>
      <w:r>
        <w:rPr>
          <w:rStyle w:val="949"/>
        </w:rPr>
        <w:t xml:space="preserve">#&gt;  $ Linha Inicial: int 1595</w:t>
      </w:r>
      <w:r>
        <w:br/>
      </w:r>
      <w:r>
        <w:rPr>
          <w:rStyle w:val="949"/>
        </w:rPr>
        <w:t xml:space="preserve">#&gt;  $ Linha Final  : int 1631</w:t>
      </w:r>
      <w:r>
        <w:br/>
      </w:r>
      <w:r>
        <w:rPr>
          <w:rStyle w:val="949"/>
        </w:rPr>
        <w:t xml:space="preserve">#&gt;  $ # Página     : int 27</w:t>
      </w:r>
    </w:p>
    <w:p>
      <w:pPr>
        <w:pStyle w:val="917"/>
      </w:pPr>
      <w:r>
        <w:t xml:space="preserve">Conforme demonstrado na tabela a seguir, o valor atribuído ao rótulo está correto.</w:t>
      </w:r>
    </w:p>
    <w:p>
      <w:pPr>
        <w:pStyle w:val="944"/>
      </w:pPr>
      <w:r>
        <w:t xml:space="preserve">Caso Extremo Nome CPF/CNPJ</w:t>
      </w:r>
    </w:p>
    <w:tbl>
      <w:tblPr>
        <w:tblStyle w:val="Table"/>
        <w:tblW w:type="pct" w:w="4865"/>
        <w:tblLayout w:type="fixed"/>
        <w:tblLook w:firstRow="1" w:lastRow="0" w:firstColumn="0" w:lastColumn="0" w:noHBand="0" w:noVBand="0" w:val="0020"/>
        <w:tblCaption w:val="Caso Extremo Nome CPF/CNPJ"/>
      </w:tblPr>
      <w:tblGrid>
        <w:gridCol w:w="2461"/>
        <w:gridCol w:w="5244"/>
      </w:tblGrid>
      <w:tr>
        <w:trPr>
          <w:tblHeader w:val="on"/>
        </w:trPr>
        <w:tc>
          <w:tcPr/>
          <w:p>
            <w:pPr>
              <w:pStyle w:val="918"/>
              <w:jc w:val="right"/>
            </w:pPr>
            <w:r>
              <w:t xml:space="preserve"># Linha</w:t>
            </w:r>
          </w:p>
        </w:tc>
        <w:tc>
          <w:tcPr/>
          <w:p>
            <w:pPr>
              <w:pStyle w:val="918"/>
              <w:jc w:val="left"/>
            </w:pPr>
            <w:r>
              <w:t xml:space="preserve">Linha</w:t>
            </w:r>
          </w:p>
        </w:tc>
      </w:tr>
      <w:tr>
        <w:tc>
          <w:tcPr/>
          <w:p>
            <w:pPr>
              <w:pStyle w:val="918"/>
              <w:jc w:val="right"/>
            </w:pPr>
            <w:r>
              <w:t xml:space="preserve">1595</w:t>
            </w:r>
          </w:p>
        </w:tc>
        <w:tc>
          <w:tcPr/>
          <w:p>
            <w:pPr>
              <w:pStyle w:val="918"/>
              <w:jc w:val="left"/>
            </w:pPr>
            <w:r>
              <w:t xml:space="preserve">Nome CPF/CNPJ</w:t>
            </w:r>
          </w:p>
        </w:tc>
      </w:tr>
      <w:tr>
        <w:tc>
          <w:tcPr/>
          <w:p>
            <w:pPr>
              <w:pStyle w:val="918"/>
              <w:jc w:val="right"/>
            </w:pPr>
            <w:r>
              <w:t xml:space="preserve">1596</w:t>
            </w:r>
          </w:p>
        </w:tc>
        <w:tc>
          <w:tcPr/>
          <w:p>
            <w:pPr>
              <w:pStyle w:val="918"/>
              <w:jc w:val="left"/>
            </w:pPr>
            <w:r>
              <w:t xml:space="preserve">AMM *</w:t>
            </w:r>
            <w:r>
              <w:rPr>
                <w:b/>
                <w:bCs/>
              </w:rPr>
              <w:t xml:space="preserve">.835.887-</w:t>
            </w:r>
          </w:p>
        </w:tc>
      </w:tr>
      <w:tr>
        <w:tc>
          <w:tcPr/>
          <w:p>
            <w:pPr>
              <w:pStyle w:val="918"/>
              <w:jc w:val="right"/>
            </w:pPr>
            <w:r>
              <w:t xml:space="preserve">1597</w:t>
            </w:r>
          </w:p>
        </w:tc>
        <w:tc>
          <w:tcPr/>
          <w:p>
            <w:pPr>
              <w:pStyle w:val="918"/>
              <w:jc w:val="left"/>
            </w:pPr>
            <w:r>
              <w:t xml:space="preserve">AAF *</w:t>
            </w:r>
            <w:r>
              <w:rPr>
                <w:b/>
                <w:bCs/>
              </w:rPr>
              <w:t xml:space="preserve">.044.457-</w:t>
            </w:r>
          </w:p>
        </w:tc>
      </w:tr>
      <w:tr>
        <w:tc>
          <w:tcPr/>
          <w:p>
            <w:pPr>
              <w:pStyle w:val="918"/>
              <w:jc w:val="right"/>
            </w:pPr>
            <w:r>
              <w:t xml:space="preserve">1598</w:t>
            </w:r>
          </w:p>
        </w:tc>
        <w:tc>
          <w:tcPr/>
          <w:p>
            <w:pPr>
              <w:pStyle w:val="918"/>
              <w:jc w:val="left"/>
            </w:pPr>
            <w:r>
              <w:t xml:space="preserve">CVRR *</w:t>
            </w:r>
            <w:r>
              <w:rPr>
                <w:b/>
                <w:bCs/>
              </w:rPr>
              <w:t xml:space="preserve">.851.417-</w:t>
            </w:r>
          </w:p>
        </w:tc>
      </w:tr>
      <w:tr>
        <w:tc>
          <w:tcPr/>
          <w:p>
            <w:pPr>
              <w:pStyle w:val="918"/>
              <w:jc w:val="right"/>
            </w:pPr>
            <w:r>
              <w:t xml:space="preserve">1599</w:t>
            </w:r>
          </w:p>
        </w:tc>
        <w:tc>
          <w:tcPr/>
          <w:p>
            <w:pPr>
              <w:pStyle w:val="918"/>
              <w:jc w:val="left"/>
            </w:pPr>
            <w:r>
              <w:t xml:space="preserve">CMDL</w:t>
            </w:r>
            <w:r>
              <w:t xml:space="preserve"> </w:t>
            </w:r>
            <w:r>
              <w:rPr>
                <w:b/>
                <w:bCs/>
              </w:rPr>
              <w:t xml:space="preserve">.609.465/-</w:t>
            </w:r>
          </w:p>
        </w:tc>
      </w:tr>
      <w:tr>
        <w:tc>
          <w:tcPr/>
          <w:p>
            <w:pPr>
              <w:pStyle w:val="918"/>
              <w:jc w:val="right"/>
            </w:pPr>
            <w:r>
              <w:t xml:space="preserve">1611</w:t>
            </w:r>
          </w:p>
        </w:tc>
        <w:tc>
          <w:tcPr/>
          <w:p>
            <w:pPr>
              <w:pStyle w:val="918"/>
              <w:jc w:val="left"/>
            </w:pPr>
            <w:r>
              <w:t xml:space="preserve">IRCC</w:t>
            </w:r>
          </w:p>
        </w:tc>
      </w:tr>
      <w:tr>
        <w:tc>
          <w:tcPr/>
          <w:p>
            <w:pPr>
              <w:pStyle w:val="918"/>
              <w:jc w:val="right"/>
            </w:pPr>
            <w:r>
              <w:t xml:space="preserve">1612</w:t>
            </w:r>
          </w:p>
        </w:tc>
        <w:tc>
          <w:tcPr/>
          <w:p>
            <w:pPr>
              <w:pStyle w:val="918"/>
              <w:jc w:val="left"/>
            </w:pPr>
            <w:r>
              <w:t xml:space="preserve">DSM *</w:t>
            </w:r>
            <w:r>
              <w:rPr>
                <w:b/>
                <w:bCs/>
              </w:rPr>
              <w:t xml:space="preserve">.268.327-</w:t>
            </w:r>
          </w:p>
        </w:tc>
      </w:tr>
      <w:tr>
        <w:tc>
          <w:tcPr/>
          <w:p>
            <w:pPr>
              <w:pStyle w:val="918"/>
              <w:jc w:val="right"/>
            </w:pPr>
            <w:r>
              <w:t xml:space="preserve">1613</w:t>
            </w:r>
          </w:p>
        </w:tc>
        <w:tc>
          <w:tcPr/>
          <w:p>
            <w:pPr>
              <w:pStyle w:val="918"/>
              <w:jc w:val="left"/>
            </w:pPr>
            <w:r>
              <w:t xml:space="preserve">*</w:t>
            </w:r>
            <w:r>
              <w:rPr>
                <w:b/>
                <w:bCs/>
              </w:rPr>
              <w:t xml:space="preserve">.155.707-</w:t>
            </w:r>
          </w:p>
        </w:tc>
      </w:tr>
      <w:tr>
        <w:tc>
          <w:tcPr/>
          <w:p>
            <w:pPr>
              <w:pStyle w:val="918"/>
              <w:jc w:val="right"/>
            </w:pPr>
            <w:r>
              <w:t xml:space="preserve">1614</w:t>
            </w:r>
          </w:p>
        </w:tc>
        <w:tc>
          <w:tcPr/>
          <w:p>
            <w:pPr>
              <w:pStyle w:val="918"/>
              <w:jc w:val="left"/>
            </w:pPr>
            <w:r>
              <w:t xml:space="preserve">DPGJ *</w:t>
            </w:r>
            <w:r>
              <w:rPr>
                <w:b/>
                <w:bCs/>
              </w:rPr>
              <w:t xml:space="preserve">.104.897-</w:t>
            </w:r>
          </w:p>
        </w:tc>
      </w:tr>
      <w:tr>
        <w:tc>
          <w:tcPr/>
          <w:p>
            <w:pPr>
              <w:pStyle w:val="918"/>
              <w:jc w:val="right"/>
            </w:pPr>
            <w:r>
              <w:t xml:space="preserve">1615</w:t>
            </w:r>
          </w:p>
        </w:tc>
        <w:tc>
          <w:tcPr/>
          <w:p>
            <w:pPr>
              <w:pStyle w:val="918"/>
              <w:jc w:val="left"/>
            </w:pPr>
            <w:r>
              <w:t xml:space="preserve">ECC *</w:t>
            </w:r>
            <w:r>
              <w:rPr>
                <w:b/>
                <w:bCs/>
              </w:rPr>
              <w:t xml:space="preserve">.177.267-</w:t>
            </w:r>
          </w:p>
        </w:tc>
      </w:tr>
      <w:tr>
        <w:tc>
          <w:tcPr/>
          <w:p>
            <w:pPr>
              <w:pStyle w:val="918"/>
              <w:jc w:val="right"/>
            </w:pPr>
            <w:r>
              <w:t xml:space="preserve">1616</w:t>
            </w:r>
          </w:p>
        </w:tc>
        <w:tc>
          <w:tcPr/>
          <w:p>
            <w:pPr>
              <w:pStyle w:val="918"/>
              <w:jc w:val="left"/>
            </w:pPr>
            <w:r>
              <w:t xml:space="preserve">FCL *</w:t>
            </w:r>
            <w:r>
              <w:rPr>
                <w:b/>
                <w:bCs/>
              </w:rPr>
              <w:t xml:space="preserve">.893.307-</w:t>
            </w:r>
          </w:p>
        </w:tc>
      </w:tr>
      <w:tr>
        <w:tc>
          <w:tcPr/>
          <w:p>
            <w:pPr>
              <w:pStyle w:val="918"/>
              <w:jc w:val="right"/>
            </w:pPr>
            <w:r>
              <w:t xml:space="preserve">1617</w:t>
            </w:r>
          </w:p>
        </w:tc>
        <w:tc>
          <w:tcPr/>
          <w:p>
            <w:pPr>
              <w:pStyle w:val="918"/>
              <w:jc w:val="left"/>
            </w:pPr>
            <w:r>
              <w:t xml:space="preserve">HAS S *</w:t>
            </w:r>
            <w:r>
              <w:rPr>
                <w:b/>
                <w:bCs/>
              </w:rPr>
              <w:t xml:space="preserve">.370.167-</w:t>
            </w:r>
          </w:p>
        </w:tc>
      </w:tr>
      <w:tr>
        <w:tc>
          <w:tcPr/>
          <w:p>
            <w:pPr>
              <w:pStyle w:val="918"/>
              <w:jc w:val="right"/>
            </w:pPr>
            <w:r>
              <w:t xml:space="preserve">1618</w:t>
            </w:r>
          </w:p>
        </w:tc>
        <w:tc>
          <w:tcPr/>
          <w:p>
            <w:pPr>
              <w:pStyle w:val="918"/>
              <w:jc w:val="left"/>
            </w:pPr>
            <w:r>
              <w:t xml:space="preserve">IWSS *</w:t>
            </w:r>
            <w:r>
              <w:rPr>
                <w:b/>
                <w:bCs/>
              </w:rPr>
              <w:t xml:space="preserve">.692.337-</w:t>
            </w:r>
          </w:p>
        </w:tc>
      </w:tr>
      <w:tr>
        <w:tc>
          <w:tcPr/>
          <w:p>
            <w:pPr>
              <w:pStyle w:val="918"/>
              <w:jc w:val="right"/>
            </w:pPr>
            <w:r>
              <w:t xml:space="preserve">1619</w:t>
            </w:r>
          </w:p>
        </w:tc>
        <w:tc>
          <w:tcPr/>
          <w:p>
            <w:pPr>
              <w:pStyle w:val="918"/>
              <w:jc w:val="left"/>
            </w:pPr>
            <w:r>
              <w:t xml:space="preserve">JAM *</w:t>
            </w:r>
            <w:r>
              <w:rPr>
                <w:b/>
                <w:bCs/>
              </w:rPr>
              <w:t xml:space="preserve">.050.797-</w:t>
            </w:r>
          </w:p>
        </w:tc>
      </w:tr>
      <w:tr>
        <w:tc>
          <w:tcPr/>
          <w:p>
            <w:pPr>
              <w:pStyle w:val="918"/>
              <w:jc w:val="right"/>
            </w:pPr>
            <w:r>
              <w:t xml:space="preserve">1620</w:t>
            </w:r>
          </w:p>
        </w:tc>
        <w:tc>
          <w:tcPr/>
          <w:p>
            <w:pPr>
              <w:pStyle w:val="918"/>
              <w:jc w:val="left"/>
            </w:pPr>
            <w:r>
              <w:t xml:space="preserve">JQV *</w:t>
            </w:r>
            <w:r>
              <w:rPr>
                <w:b/>
                <w:bCs/>
              </w:rPr>
              <w:t xml:space="preserve">.418.967-</w:t>
            </w:r>
          </w:p>
        </w:tc>
      </w:tr>
      <w:tr>
        <w:tc>
          <w:tcPr/>
          <w:p>
            <w:pPr>
              <w:pStyle w:val="918"/>
              <w:jc w:val="right"/>
            </w:pPr>
            <w:r>
              <w:t xml:space="preserve">1622</w:t>
            </w:r>
          </w:p>
        </w:tc>
        <w:tc>
          <w:tcPr/>
          <w:p>
            <w:pPr>
              <w:pStyle w:val="918"/>
              <w:jc w:val="left"/>
            </w:pPr>
            <w:r>
              <w:t xml:space="preserve">KCM *</w:t>
            </w:r>
            <w:r>
              <w:rPr>
                <w:b/>
                <w:bCs/>
              </w:rPr>
              <w:t xml:space="preserve">.511.047-</w:t>
            </w:r>
          </w:p>
        </w:tc>
      </w:tr>
      <w:tr>
        <w:tc>
          <w:tcPr/>
          <w:p>
            <w:pPr>
              <w:pStyle w:val="918"/>
              <w:jc w:val="right"/>
            </w:pPr>
            <w:r>
              <w:t xml:space="preserve">1623</w:t>
            </w:r>
          </w:p>
        </w:tc>
        <w:tc>
          <w:tcPr/>
          <w:p>
            <w:pPr>
              <w:pStyle w:val="918"/>
              <w:jc w:val="left"/>
            </w:pPr>
            <w:r>
              <w:t xml:space="preserve">KSO *</w:t>
            </w:r>
            <w:r>
              <w:rPr>
                <w:b/>
                <w:bCs/>
              </w:rPr>
              <w:t xml:space="preserve">.170.207-</w:t>
            </w:r>
          </w:p>
        </w:tc>
      </w:tr>
      <w:tr>
        <w:tc>
          <w:tcPr/>
          <w:p>
            <w:pPr>
              <w:pStyle w:val="918"/>
              <w:jc w:val="right"/>
            </w:pPr>
            <w:r>
              <w:t xml:space="preserve">1624</w:t>
            </w:r>
          </w:p>
        </w:tc>
        <w:tc>
          <w:tcPr/>
          <w:p>
            <w:pPr>
              <w:pStyle w:val="918"/>
              <w:jc w:val="left"/>
            </w:pPr>
            <w:r>
              <w:t xml:space="preserve">LHVF *</w:t>
            </w:r>
            <w:r>
              <w:rPr>
                <w:b/>
                <w:bCs/>
              </w:rPr>
              <w:t xml:space="preserve">.467.537-</w:t>
            </w:r>
          </w:p>
        </w:tc>
      </w:tr>
      <w:tr>
        <w:tc>
          <w:tcPr/>
          <w:p>
            <w:pPr>
              <w:pStyle w:val="918"/>
              <w:jc w:val="right"/>
            </w:pPr>
            <w:r>
              <w:t xml:space="preserve">1625</w:t>
            </w:r>
          </w:p>
        </w:tc>
        <w:tc>
          <w:tcPr/>
          <w:p>
            <w:pPr>
              <w:pStyle w:val="918"/>
              <w:jc w:val="left"/>
            </w:pPr>
            <w:r>
              <w:t xml:space="preserve">MCFS *</w:t>
            </w:r>
            <w:r>
              <w:rPr>
                <w:b/>
                <w:bCs/>
              </w:rPr>
              <w:t xml:space="preserve">.370.557-</w:t>
            </w:r>
          </w:p>
        </w:tc>
      </w:tr>
      <w:tr>
        <w:tc>
          <w:tcPr/>
          <w:p>
            <w:pPr>
              <w:pStyle w:val="918"/>
              <w:jc w:val="right"/>
            </w:pPr>
            <w:r>
              <w:t xml:space="preserve">1626</w:t>
            </w:r>
          </w:p>
        </w:tc>
        <w:tc>
          <w:tcPr/>
          <w:p>
            <w:pPr>
              <w:pStyle w:val="918"/>
              <w:jc w:val="left"/>
            </w:pPr>
            <w:r>
              <w:t xml:space="preserve">PNC *</w:t>
            </w:r>
            <w:r>
              <w:rPr>
                <w:b/>
                <w:bCs/>
              </w:rPr>
              <w:t xml:space="preserve">.653.787-</w:t>
            </w:r>
          </w:p>
        </w:tc>
      </w:tr>
      <w:tr>
        <w:tc>
          <w:tcPr/>
          <w:p>
            <w:pPr>
              <w:pStyle w:val="918"/>
              <w:jc w:val="right"/>
            </w:pPr>
            <w:r>
              <w:t xml:space="preserve">1627</w:t>
            </w:r>
          </w:p>
        </w:tc>
        <w:tc>
          <w:tcPr/>
          <w:p>
            <w:pPr>
              <w:pStyle w:val="918"/>
              <w:jc w:val="left"/>
            </w:pPr>
            <w:r>
              <w:t xml:space="preserve">RTL *</w:t>
            </w:r>
            <w:r>
              <w:rPr>
                <w:b/>
                <w:bCs/>
              </w:rPr>
              <w:t xml:space="preserve">.968.737-</w:t>
            </w:r>
          </w:p>
        </w:tc>
      </w:tr>
      <w:tr>
        <w:tc>
          <w:tcPr/>
          <w:p>
            <w:pPr>
              <w:pStyle w:val="918"/>
              <w:jc w:val="right"/>
            </w:pPr>
            <w:r>
              <w:t xml:space="preserve">1628</w:t>
            </w:r>
          </w:p>
        </w:tc>
        <w:tc>
          <w:tcPr/>
          <w:p>
            <w:pPr>
              <w:pStyle w:val="918"/>
              <w:jc w:val="left"/>
            </w:pPr>
            <w:r>
              <w:t xml:space="preserve">RF *</w:t>
            </w:r>
            <w:r>
              <w:rPr>
                <w:b/>
                <w:bCs/>
              </w:rPr>
              <w:t xml:space="preserve">.875.077-</w:t>
            </w:r>
          </w:p>
        </w:tc>
      </w:tr>
      <w:tr>
        <w:tc>
          <w:tcPr/>
          <w:p>
            <w:pPr>
              <w:pStyle w:val="918"/>
              <w:jc w:val="right"/>
            </w:pPr>
            <w:r>
              <w:t xml:space="preserve">1629</w:t>
            </w:r>
          </w:p>
        </w:tc>
        <w:tc>
          <w:tcPr/>
          <w:p>
            <w:pPr>
              <w:pStyle w:val="918"/>
              <w:jc w:val="left"/>
            </w:pPr>
            <w:r>
              <w:t xml:space="preserve">RAS SA *</w:t>
            </w:r>
            <w:r>
              <w:rPr>
                <w:b/>
                <w:bCs/>
              </w:rPr>
              <w:t xml:space="preserve">.987.947-</w:t>
            </w:r>
          </w:p>
        </w:tc>
      </w:tr>
      <w:tr>
        <w:tc>
          <w:tcPr/>
          <w:p>
            <w:pPr>
              <w:pStyle w:val="918"/>
              <w:jc w:val="right"/>
            </w:pPr>
            <w:r>
              <w:t xml:space="preserve">1630</w:t>
            </w:r>
          </w:p>
        </w:tc>
        <w:tc>
          <w:tcPr/>
          <w:p>
            <w:pPr>
              <w:pStyle w:val="918"/>
              <w:jc w:val="left"/>
            </w:pPr>
            <w:r>
              <w:t xml:space="preserve">RAS S *</w:t>
            </w:r>
            <w:r>
              <w:rPr>
                <w:b/>
                <w:bCs/>
              </w:rPr>
              <w:t xml:space="preserve">.426.607-</w:t>
            </w:r>
          </w:p>
        </w:tc>
      </w:tr>
      <w:tr>
        <w:tc>
          <w:tcPr/>
          <w:p>
            <w:pPr>
              <w:pStyle w:val="918"/>
              <w:jc w:val="right"/>
            </w:pPr>
            <w:r>
              <w:t xml:space="preserve">1631</w:t>
            </w:r>
          </w:p>
        </w:tc>
        <w:tc>
          <w:tcPr/>
          <w:p>
            <w:pPr>
              <w:pStyle w:val="918"/>
              <w:jc w:val="left"/>
            </w:pPr>
            <w:r>
              <w:t xml:space="preserve">SCC *</w:t>
            </w:r>
            <w:r>
              <w:rPr>
                <w:b/>
                <w:bCs/>
              </w:rPr>
              <w:t xml:space="preserve">.020.607-</w:t>
            </w:r>
          </w:p>
        </w:tc>
      </w:tr>
    </w:tbl>
    <w:bookmarkEnd w:id="97"/>
    <w:bookmarkStart w:id="98" w:name="identificação-das-constatações"/>
    <w:p>
      <w:pPr>
        <w:pStyle w:val="906"/>
      </w:pPr>
      <w:r>
        <w:t xml:space="preserve">7.0.11 Identificação das Constatações</w:t>
      </w:r>
    </w:p>
    <w:p>
      <w:pPr>
        <w:pStyle w:val="917"/>
      </w:pPr>
      <w:r>
        <w:t xml:space="preserve">Por fim, observou-se que cada constatação é composta por um conjunto de rótulos, tais como Grupo, Subgrupo, Constatação, Evidência, entre outros. Diante disso, tornou-se necessário diferenciar o conjunto de rótulos de cada constatação. Abaixo, apresenta-se um exemplo dos rótulos de uma constatação, conforme registrados no</w:t>
      </w:r>
      <w:r>
        <w:t xml:space="preserve"> </w:t>
      </w:r>
      <w:r>
        <w:rPr>
          <w:i/>
          <w:iCs/>
        </w:rPr>
        <w:t xml:space="preserve">dataframe</w:t>
      </w:r>
      <w:r>
        <w:t xml:space="preserve">:</w:t>
      </w:r>
    </w:p>
    <w:p>
      <w:pPr>
        <w:pStyle w:val="944"/>
      </w:pPr>
      <w:r>
        <w:t xml:space="preserve">Amostra Seção Constatações</w:t>
      </w:r>
    </w:p>
    <w:tbl>
      <w:tblPr>
        <w:tblStyle w:val="Table"/>
        <w:tblW w:type="pct" w:w="4867"/>
        <w:tblLayout w:type="fixed"/>
        <w:tblLook w:firstRow="1" w:lastRow="0" w:firstColumn="0" w:lastColumn="0" w:noHBand="0" w:noVBand="0" w:val="0020"/>
        <w:tblCaption w:val="Amostra Seção Constatações"/>
      </w:tblPr>
      <w:tblGrid>
        <w:gridCol w:w="1795"/>
        <w:gridCol w:w="4118"/>
        <w:gridCol w:w="1795"/>
      </w:tblGrid>
      <w:tr>
        <w:trPr>
          <w:tblHeader w:val="on"/>
        </w:trPr>
        <w:tc>
          <w:tcPr/>
          <w:p>
            <w:pPr>
              <w:pStyle w:val="918"/>
              <w:jc w:val="left"/>
            </w:pPr>
            <w:r>
              <w:t xml:space="preserve">Arquivo</w:t>
            </w:r>
          </w:p>
        </w:tc>
        <w:tc>
          <w:tcPr/>
          <w:p>
            <w:pPr>
              <w:pStyle w:val="918"/>
              <w:jc w:val="left"/>
            </w:pPr>
            <w:r>
              <w:t xml:space="preserve">Rótulo</w:t>
            </w:r>
          </w:p>
        </w:tc>
        <w:tc>
          <w:tcPr/>
          <w:p>
            <w:pPr>
              <w:pStyle w:val="918"/>
              <w:jc w:val="right"/>
            </w:pPr>
            <w:r>
              <w:t xml:space="preserve">Linha Inicial</w:t>
            </w:r>
          </w:p>
        </w:tc>
      </w:tr>
      <w:tr>
        <w:tc>
          <w:tcPr/>
          <w:p>
            <w:pPr>
              <w:pStyle w:val="918"/>
              <w:jc w:val="left"/>
            </w:pPr>
            <w:r>
              <w:t xml:space="preserve">19764_1.pdf</w:t>
            </w:r>
          </w:p>
        </w:tc>
        <w:tc>
          <w:tcPr/>
          <w:p>
            <w:pPr>
              <w:pStyle w:val="918"/>
              <w:jc w:val="left"/>
            </w:pPr>
            <w:r>
              <w:t xml:space="preserve">Tópico</w:t>
            </w:r>
          </w:p>
        </w:tc>
        <w:tc>
          <w:tcPr/>
          <w:p>
            <w:pPr>
              <w:pStyle w:val="918"/>
              <w:jc w:val="right"/>
            </w:pPr>
            <w:r>
              <w:t xml:space="preserve">397</w:t>
            </w:r>
          </w:p>
        </w:tc>
      </w:tr>
      <w:tr>
        <w:tc>
          <w:tcPr/>
          <w:p>
            <w:pPr>
              <w:pStyle w:val="918"/>
              <w:jc w:val="left"/>
            </w:pPr>
            <w:r>
              <w:t xml:space="preserve">19764_1.pdf</w:t>
            </w:r>
          </w:p>
        </w:tc>
        <w:tc>
          <w:tcPr/>
          <w:p>
            <w:pPr>
              <w:pStyle w:val="918"/>
              <w:jc w:val="left"/>
            </w:pPr>
            <w:r>
              <w:t xml:space="preserve">Grupo</w:t>
            </w:r>
          </w:p>
        </w:tc>
        <w:tc>
          <w:tcPr/>
          <w:p>
            <w:pPr>
              <w:pStyle w:val="918"/>
              <w:jc w:val="right"/>
            </w:pPr>
            <w:r>
              <w:t xml:space="preserve">401</w:t>
            </w:r>
          </w:p>
        </w:tc>
      </w:tr>
      <w:tr>
        <w:tc>
          <w:tcPr/>
          <w:p>
            <w:pPr>
              <w:pStyle w:val="918"/>
              <w:jc w:val="left"/>
            </w:pPr>
            <w:r>
              <w:t xml:space="preserve">19764_1.pdf</w:t>
            </w:r>
          </w:p>
        </w:tc>
        <w:tc>
          <w:tcPr/>
          <w:p>
            <w:pPr>
              <w:pStyle w:val="918"/>
              <w:jc w:val="left"/>
            </w:pPr>
            <w:r>
              <w:t xml:space="preserve">Subgrupo</w:t>
            </w:r>
          </w:p>
        </w:tc>
        <w:tc>
          <w:tcPr/>
          <w:p>
            <w:pPr>
              <w:pStyle w:val="918"/>
              <w:jc w:val="right"/>
            </w:pPr>
            <w:r>
              <w:t xml:space="preserve">402</w:t>
            </w:r>
          </w:p>
        </w:tc>
      </w:tr>
      <w:tr>
        <w:tc>
          <w:tcPr/>
          <w:p>
            <w:pPr>
              <w:pStyle w:val="918"/>
              <w:jc w:val="left"/>
            </w:pPr>
            <w:r>
              <w:t xml:space="preserve">19764_1.pdf</w:t>
            </w:r>
          </w:p>
        </w:tc>
        <w:tc>
          <w:tcPr/>
          <w:p>
            <w:pPr>
              <w:pStyle w:val="918"/>
              <w:jc w:val="left"/>
            </w:pPr>
            <w:r>
              <w:t xml:space="preserve">Item</w:t>
            </w:r>
          </w:p>
        </w:tc>
        <w:tc>
          <w:tcPr/>
          <w:p>
            <w:pPr>
              <w:pStyle w:val="918"/>
              <w:jc w:val="right"/>
            </w:pPr>
            <w:r>
              <w:t xml:space="preserve">403</w:t>
            </w:r>
          </w:p>
        </w:tc>
      </w:tr>
      <w:tr>
        <w:tc>
          <w:tcPr/>
          <w:p>
            <w:pPr>
              <w:pStyle w:val="918"/>
              <w:jc w:val="left"/>
            </w:pPr>
            <w:r>
              <w:t xml:space="preserve">19764_1.pdf</w:t>
            </w:r>
          </w:p>
        </w:tc>
        <w:tc>
          <w:tcPr/>
          <w:p>
            <w:pPr>
              <w:pStyle w:val="918"/>
              <w:jc w:val="left"/>
            </w:pPr>
            <w:r>
              <w:t xml:space="preserve">Constatação</w:t>
            </w:r>
          </w:p>
        </w:tc>
        <w:tc>
          <w:tcPr/>
          <w:p>
            <w:pPr>
              <w:pStyle w:val="918"/>
              <w:jc w:val="right"/>
            </w:pPr>
            <w:r>
              <w:t xml:space="preserve">404</w:t>
            </w:r>
          </w:p>
        </w:tc>
      </w:tr>
      <w:tr>
        <w:tc>
          <w:tcPr/>
          <w:p>
            <w:pPr>
              <w:pStyle w:val="918"/>
              <w:jc w:val="left"/>
            </w:pPr>
            <w:r>
              <w:t xml:space="preserve">19764_1.pdf</w:t>
            </w:r>
          </w:p>
        </w:tc>
        <w:tc>
          <w:tcPr/>
          <w:p>
            <w:pPr>
              <w:pStyle w:val="918"/>
              <w:jc w:val="left"/>
            </w:pPr>
            <w:r>
              <w:t xml:space="preserve">Evidência</w:t>
            </w:r>
          </w:p>
        </w:tc>
        <w:tc>
          <w:tcPr/>
          <w:p>
            <w:pPr>
              <w:pStyle w:val="918"/>
              <w:jc w:val="right"/>
            </w:pPr>
            <w:r>
              <w:t xml:space="preserve">405</w:t>
            </w:r>
          </w:p>
        </w:tc>
      </w:tr>
      <w:tr>
        <w:tc>
          <w:tcPr/>
          <w:p>
            <w:pPr>
              <w:pStyle w:val="918"/>
              <w:jc w:val="left"/>
            </w:pPr>
            <w:r>
              <w:t xml:space="preserve">19764_1.pdf</w:t>
            </w:r>
          </w:p>
        </w:tc>
        <w:tc>
          <w:tcPr/>
          <w:p>
            <w:pPr>
              <w:pStyle w:val="918"/>
              <w:jc w:val="left"/>
            </w:pPr>
            <w:r>
              <w:t xml:space="preserve">Fonte da Evidência</w:t>
            </w:r>
          </w:p>
        </w:tc>
        <w:tc>
          <w:tcPr/>
          <w:p>
            <w:pPr>
              <w:pStyle w:val="918"/>
              <w:jc w:val="right"/>
            </w:pPr>
            <w:r>
              <w:t xml:space="preserve">420</w:t>
            </w:r>
          </w:p>
        </w:tc>
      </w:tr>
      <w:tr>
        <w:tc>
          <w:tcPr/>
          <w:p>
            <w:pPr>
              <w:pStyle w:val="918"/>
              <w:jc w:val="left"/>
            </w:pPr>
            <w:r>
              <w:t xml:space="preserve">19764_1.pdf</w:t>
            </w:r>
          </w:p>
        </w:tc>
        <w:tc>
          <w:tcPr/>
          <w:p>
            <w:pPr>
              <w:pStyle w:val="918"/>
              <w:jc w:val="left"/>
            </w:pPr>
            <w:r>
              <w:t xml:space="preserve">Conformidade</w:t>
            </w:r>
          </w:p>
        </w:tc>
        <w:tc>
          <w:tcPr/>
          <w:p>
            <w:pPr>
              <w:pStyle w:val="918"/>
              <w:jc w:val="right"/>
            </w:pPr>
            <w:r>
              <w:t xml:space="preserve">424</w:t>
            </w:r>
          </w:p>
        </w:tc>
      </w:tr>
      <w:tr>
        <w:tc>
          <w:tcPr/>
          <w:p>
            <w:pPr>
              <w:pStyle w:val="918"/>
              <w:jc w:val="left"/>
            </w:pPr>
            <w:r>
              <w:t xml:space="preserve">19764_1.pdf</w:t>
            </w:r>
          </w:p>
        </w:tc>
        <w:tc>
          <w:tcPr/>
          <w:p>
            <w:pPr>
              <w:pStyle w:val="918"/>
              <w:jc w:val="left"/>
            </w:pPr>
            <w:r>
              <w:t xml:space="preserve">Justificativa</w:t>
            </w:r>
          </w:p>
        </w:tc>
        <w:tc>
          <w:tcPr/>
          <w:p>
            <w:pPr>
              <w:pStyle w:val="918"/>
              <w:jc w:val="right"/>
            </w:pPr>
            <w:r>
              <w:t xml:space="preserve">425</w:t>
            </w:r>
          </w:p>
        </w:tc>
      </w:tr>
      <w:tr>
        <w:tc>
          <w:tcPr/>
          <w:p>
            <w:pPr>
              <w:pStyle w:val="918"/>
              <w:jc w:val="left"/>
            </w:pPr>
            <w:r>
              <w:t xml:space="preserve">19764_1.pdf</w:t>
            </w:r>
          </w:p>
        </w:tc>
        <w:tc>
          <w:tcPr/>
          <w:p>
            <w:pPr>
              <w:pStyle w:val="918"/>
              <w:jc w:val="left"/>
            </w:pPr>
            <w:r>
              <w:t xml:space="preserve">Análise da Justificativa</w:t>
            </w:r>
          </w:p>
        </w:tc>
        <w:tc>
          <w:tcPr/>
          <w:p>
            <w:pPr>
              <w:pStyle w:val="918"/>
              <w:jc w:val="right"/>
            </w:pPr>
            <w:r>
              <w:t xml:space="preserve">448</w:t>
            </w:r>
          </w:p>
        </w:tc>
      </w:tr>
      <w:tr>
        <w:tc>
          <w:tcPr/>
          <w:p>
            <w:pPr>
              <w:pStyle w:val="918"/>
              <w:jc w:val="left"/>
            </w:pPr>
            <w:r>
              <w:t xml:space="preserve">19764_1.pdf</w:t>
            </w:r>
          </w:p>
        </w:tc>
        <w:tc>
          <w:tcPr/>
          <w:p>
            <w:pPr>
              <w:pStyle w:val="918"/>
              <w:jc w:val="left"/>
            </w:pPr>
            <w:r>
              <w:t xml:space="preserve">Acatamento da Justificativa</w:t>
            </w:r>
          </w:p>
        </w:tc>
        <w:tc>
          <w:tcPr/>
          <w:p>
            <w:pPr>
              <w:pStyle w:val="918"/>
              <w:jc w:val="right"/>
            </w:pPr>
            <w:r>
              <w:t xml:space="preserve">452</w:t>
            </w:r>
          </w:p>
        </w:tc>
      </w:tr>
      <w:tr>
        <w:tc>
          <w:tcPr/>
          <w:p>
            <w:pPr>
              <w:pStyle w:val="918"/>
              <w:jc w:val="left"/>
            </w:pPr>
            <w:r>
              <w:t xml:space="preserve">19764_1.pdf</w:t>
            </w:r>
          </w:p>
        </w:tc>
        <w:tc>
          <w:tcPr/>
          <w:p>
            <w:pPr>
              <w:pStyle w:val="918"/>
              <w:jc w:val="left"/>
            </w:pPr>
            <w:r>
              <w:t xml:space="preserve">Recomendação</w:t>
            </w:r>
          </w:p>
        </w:tc>
        <w:tc>
          <w:tcPr/>
          <w:p>
            <w:pPr>
              <w:pStyle w:val="918"/>
              <w:jc w:val="right"/>
            </w:pPr>
            <w:r>
              <w:t xml:space="preserve">453</w:t>
            </w:r>
          </w:p>
        </w:tc>
      </w:tr>
      <w:tr>
        <w:tc>
          <w:tcPr/>
          <w:p>
            <w:pPr>
              <w:pStyle w:val="918"/>
              <w:jc w:val="left"/>
            </w:pPr>
            <w:r>
              <w:t xml:space="preserve">19764_1.pdf</w:t>
            </w:r>
          </w:p>
        </w:tc>
        <w:tc>
          <w:tcPr/>
          <w:p>
            <w:pPr>
              <w:pStyle w:val="918"/>
              <w:jc w:val="left"/>
            </w:pPr>
            <w:r>
              <w:t xml:space="preserve">Destinatários da Recomendação</w:t>
            </w:r>
          </w:p>
        </w:tc>
        <w:tc>
          <w:tcPr/>
          <w:p>
            <w:pPr>
              <w:pStyle w:val="918"/>
              <w:jc w:val="right"/>
            </w:pPr>
            <w:r>
              <w:t xml:space="preserve">458</w:t>
            </w:r>
          </w:p>
        </w:tc>
      </w:tr>
      <w:tr>
        <w:tc>
          <w:tcPr/>
          <w:p>
            <w:pPr>
              <w:pStyle w:val="918"/>
              <w:jc w:val="left"/>
            </w:pPr>
            <w:r>
              <w:t xml:space="preserve">19764_1.pdf</w:t>
            </w:r>
          </w:p>
        </w:tc>
        <w:tc>
          <w:tcPr/>
          <w:p>
            <w:pPr>
              <w:pStyle w:val="918"/>
              <w:jc w:val="left"/>
            </w:pPr>
            <w:r>
              <w:t xml:space="preserve">Nome CPF/CNPJ</w:t>
            </w:r>
          </w:p>
        </w:tc>
        <w:tc>
          <w:tcPr/>
          <w:p>
            <w:pPr>
              <w:pStyle w:val="918"/>
              <w:jc w:val="right"/>
            </w:pPr>
            <w:r>
              <w:t xml:space="preserve">459</w:t>
            </w:r>
          </w:p>
        </w:tc>
      </w:tr>
      <w:tr>
        <w:tc>
          <w:tcPr/>
          <w:p>
            <w:pPr>
              <w:pStyle w:val="918"/>
              <w:jc w:val="left"/>
            </w:pPr>
            <w:r>
              <w:t xml:space="preserve">19764_1.pdf</w:t>
            </w:r>
          </w:p>
        </w:tc>
        <w:tc>
          <w:tcPr/>
          <w:p>
            <w:pPr>
              <w:pStyle w:val="918"/>
              <w:jc w:val="left"/>
            </w:pPr>
            <w:r>
              <w:t xml:space="preserve">Grupo</w:t>
            </w:r>
          </w:p>
        </w:tc>
        <w:tc>
          <w:tcPr/>
          <w:p>
            <w:pPr>
              <w:pStyle w:val="918"/>
              <w:jc w:val="right"/>
            </w:pPr>
            <w:r>
              <w:t xml:space="preserve">465</w:t>
            </w:r>
          </w:p>
        </w:tc>
      </w:tr>
      <w:tr>
        <w:tc>
          <w:tcPr/>
          <w:p>
            <w:pPr>
              <w:pStyle w:val="918"/>
              <w:jc w:val="left"/>
            </w:pPr>
            <w:r>
              <w:t xml:space="preserve">19764_1.pdf</w:t>
            </w:r>
          </w:p>
        </w:tc>
        <w:tc>
          <w:tcPr/>
          <w:p>
            <w:pPr>
              <w:pStyle w:val="918"/>
              <w:jc w:val="left"/>
            </w:pPr>
            <w:r>
              <w:t xml:space="preserve">Subgrupo</w:t>
            </w:r>
          </w:p>
        </w:tc>
        <w:tc>
          <w:tcPr/>
          <w:p>
            <w:pPr>
              <w:pStyle w:val="918"/>
              <w:jc w:val="right"/>
            </w:pPr>
            <w:r>
              <w:t xml:space="preserve">466</w:t>
            </w:r>
          </w:p>
        </w:tc>
      </w:tr>
      <w:tr>
        <w:tc>
          <w:tcPr/>
          <w:p>
            <w:pPr>
              <w:pStyle w:val="918"/>
              <w:jc w:val="left"/>
            </w:pPr>
            <w:r>
              <w:t xml:space="preserve">19764_1.pdf</w:t>
            </w:r>
          </w:p>
        </w:tc>
        <w:tc>
          <w:tcPr/>
          <w:p>
            <w:pPr>
              <w:pStyle w:val="918"/>
              <w:jc w:val="left"/>
            </w:pPr>
            <w:r>
              <w:t xml:space="preserve">Item</w:t>
            </w:r>
          </w:p>
        </w:tc>
        <w:tc>
          <w:tcPr/>
          <w:p>
            <w:pPr>
              <w:pStyle w:val="918"/>
              <w:jc w:val="right"/>
            </w:pPr>
            <w:r>
              <w:t xml:space="preserve">467</w:t>
            </w:r>
          </w:p>
        </w:tc>
      </w:tr>
      <w:tr>
        <w:tc>
          <w:tcPr/>
          <w:p>
            <w:pPr>
              <w:pStyle w:val="918"/>
              <w:jc w:val="left"/>
            </w:pPr>
            <w:r>
              <w:t xml:space="preserve">19764_1.pdf</w:t>
            </w:r>
          </w:p>
        </w:tc>
        <w:tc>
          <w:tcPr/>
          <w:p>
            <w:pPr>
              <w:pStyle w:val="918"/>
              <w:jc w:val="left"/>
            </w:pPr>
            <w:r>
              <w:t xml:space="preserve">Constatação</w:t>
            </w:r>
          </w:p>
        </w:tc>
        <w:tc>
          <w:tcPr/>
          <w:p>
            <w:pPr>
              <w:pStyle w:val="918"/>
              <w:jc w:val="right"/>
            </w:pPr>
            <w:r>
              <w:t xml:space="preserve">468</w:t>
            </w:r>
          </w:p>
        </w:tc>
      </w:tr>
      <w:tr>
        <w:tc>
          <w:tcPr/>
          <w:p>
            <w:pPr>
              <w:pStyle w:val="918"/>
              <w:jc w:val="left"/>
            </w:pPr>
            <w:r>
              <w:t xml:space="preserve">19764_1.pdf</w:t>
            </w:r>
          </w:p>
        </w:tc>
        <w:tc>
          <w:tcPr/>
          <w:p>
            <w:pPr>
              <w:pStyle w:val="918"/>
              <w:jc w:val="left"/>
            </w:pPr>
            <w:r>
              <w:t xml:space="preserve">Evidência</w:t>
            </w:r>
          </w:p>
        </w:tc>
        <w:tc>
          <w:tcPr/>
          <w:p>
            <w:pPr>
              <w:pStyle w:val="918"/>
              <w:jc w:val="right"/>
            </w:pPr>
            <w:r>
              <w:t xml:space="preserve">471</w:t>
            </w:r>
          </w:p>
        </w:tc>
      </w:tr>
      <w:tr>
        <w:tc>
          <w:tcPr/>
          <w:p>
            <w:pPr>
              <w:pStyle w:val="918"/>
              <w:jc w:val="left"/>
            </w:pPr>
            <w:r>
              <w:t xml:space="preserve">19764_1.pdf</w:t>
            </w:r>
          </w:p>
        </w:tc>
        <w:tc>
          <w:tcPr/>
          <w:p>
            <w:pPr>
              <w:pStyle w:val="918"/>
              <w:jc w:val="left"/>
            </w:pPr>
            <w:r>
              <w:t xml:space="preserve">Fonte da Evidência</w:t>
            </w:r>
          </w:p>
        </w:tc>
        <w:tc>
          <w:tcPr/>
          <w:p>
            <w:pPr>
              <w:pStyle w:val="918"/>
              <w:jc w:val="right"/>
            </w:pPr>
            <w:r>
              <w:t xml:space="preserve">504</w:t>
            </w:r>
          </w:p>
        </w:tc>
      </w:tr>
      <w:tr>
        <w:tc>
          <w:tcPr/>
          <w:p>
            <w:pPr>
              <w:pStyle w:val="918"/>
              <w:jc w:val="left"/>
            </w:pPr>
            <w:r>
              <w:t xml:space="preserve">19764_1.pdf</w:t>
            </w:r>
          </w:p>
        </w:tc>
        <w:tc>
          <w:tcPr/>
          <w:p>
            <w:pPr>
              <w:pStyle w:val="918"/>
              <w:jc w:val="left"/>
            </w:pPr>
            <w:r>
              <w:t xml:space="preserve">Conformidade</w:t>
            </w:r>
          </w:p>
        </w:tc>
        <w:tc>
          <w:tcPr/>
          <w:p>
            <w:pPr>
              <w:pStyle w:val="918"/>
              <w:jc w:val="right"/>
            </w:pPr>
            <w:r>
              <w:t xml:space="preserve">507</w:t>
            </w:r>
          </w:p>
        </w:tc>
      </w:tr>
      <w:tr>
        <w:tc>
          <w:tcPr/>
          <w:p>
            <w:pPr>
              <w:pStyle w:val="918"/>
              <w:jc w:val="left"/>
            </w:pPr>
            <w:r>
              <w:t xml:space="preserve">19764_1.pdf</w:t>
            </w:r>
          </w:p>
        </w:tc>
        <w:tc>
          <w:tcPr/>
          <w:p>
            <w:pPr>
              <w:pStyle w:val="918"/>
              <w:jc w:val="left"/>
            </w:pPr>
            <w:r>
              <w:t xml:space="preserve">Grupo</w:t>
            </w:r>
          </w:p>
        </w:tc>
        <w:tc>
          <w:tcPr/>
          <w:p>
            <w:pPr>
              <w:pStyle w:val="918"/>
              <w:jc w:val="right"/>
            </w:pPr>
            <w:r>
              <w:t xml:space="preserve">510</w:t>
            </w:r>
          </w:p>
        </w:tc>
      </w:tr>
      <w:tr>
        <w:tc>
          <w:tcPr/>
          <w:p>
            <w:pPr>
              <w:pStyle w:val="918"/>
              <w:jc w:val="left"/>
            </w:pPr>
            <w:r>
              <w:t xml:space="preserve">19764_1.pdf</w:t>
            </w:r>
          </w:p>
        </w:tc>
        <w:tc>
          <w:tcPr/>
          <w:p>
            <w:pPr>
              <w:pStyle w:val="918"/>
              <w:jc w:val="left"/>
            </w:pPr>
            <w:r>
              <w:t xml:space="preserve">Subgrupo</w:t>
            </w:r>
          </w:p>
        </w:tc>
        <w:tc>
          <w:tcPr/>
          <w:p>
            <w:pPr>
              <w:pStyle w:val="918"/>
              <w:jc w:val="right"/>
            </w:pPr>
            <w:r>
              <w:t xml:space="preserve">511</w:t>
            </w:r>
          </w:p>
        </w:tc>
      </w:tr>
      <w:tr>
        <w:tc>
          <w:tcPr/>
          <w:p>
            <w:pPr>
              <w:pStyle w:val="918"/>
              <w:jc w:val="left"/>
            </w:pPr>
            <w:r>
              <w:t xml:space="preserve">19764_1.pdf</w:t>
            </w:r>
          </w:p>
        </w:tc>
        <w:tc>
          <w:tcPr/>
          <w:p>
            <w:pPr>
              <w:pStyle w:val="918"/>
              <w:jc w:val="left"/>
            </w:pPr>
            <w:r>
              <w:t xml:space="preserve">Item</w:t>
            </w:r>
          </w:p>
        </w:tc>
        <w:tc>
          <w:tcPr/>
          <w:p>
            <w:pPr>
              <w:pStyle w:val="918"/>
              <w:jc w:val="right"/>
            </w:pPr>
            <w:r>
              <w:t xml:space="preserve">512</w:t>
            </w:r>
          </w:p>
        </w:tc>
      </w:tr>
      <w:tr>
        <w:tc>
          <w:tcPr/>
          <w:p>
            <w:pPr>
              <w:pStyle w:val="918"/>
              <w:jc w:val="left"/>
            </w:pPr>
            <w:r>
              <w:t xml:space="preserve">19764_1.pdf</w:t>
            </w:r>
          </w:p>
        </w:tc>
        <w:tc>
          <w:tcPr/>
          <w:p>
            <w:pPr>
              <w:pStyle w:val="918"/>
              <w:jc w:val="left"/>
            </w:pPr>
            <w:r>
              <w:t xml:space="preserve">Constatação</w:t>
            </w:r>
          </w:p>
        </w:tc>
        <w:tc>
          <w:tcPr/>
          <w:p>
            <w:pPr>
              <w:pStyle w:val="918"/>
              <w:jc w:val="right"/>
            </w:pPr>
            <w:r>
              <w:t xml:space="preserve">513</w:t>
            </w:r>
          </w:p>
        </w:tc>
      </w:tr>
    </w:tbl>
    <w:p>
      <w:pPr>
        <w:pStyle w:val="916"/>
      </w:pPr>
      <w:r>
        <w:t xml:space="preserve">Foram identificados os seguintes rótulos que antecedem o campo</w:t>
      </w:r>
      <w:r>
        <w:t xml:space="preserve"> </w:t>
      </w:r>
      <w:r>
        <w:t xml:space="preserve">“Constatação”</w:t>
      </w:r>
      <w:r>
        <w:t xml:space="preserve">: Tópico, Grupo, Subgrupo e Item. A princípio, aventou-se a hipótese de que a primeira ocorrência do rótulo</w:t>
      </w:r>
      <w:r>
        <w:t xml:space="preserve"> </w:t>
      </w:r>
      <w:r>
        <w:rPr>
          <w:i/>
          <w:iCs/>
        </w:rPr>
        <w:t xml:space="preserve">Tópico</w:t>
      </w:r>
      <w:r>
        <w:t xml:space="preserve"> </w:t>
      </w:r>
      <w:r>
        <w:t xml:space="preserve">poderia ser utilizada como delimitador do início de uma nova constatação. Para testar essa hipótese, verificou-se se esses rótulos ocorrem com a mesma frequência no corpus analisado.</w:t>
      </w:r>
    </w:p>
    <w:p>
      <w:pPr>
        <w:pStyle w:val="944"/>
      </w:pPr>
      <w:r>
        <w:t xml:space="preserve">Número de Ocorrências Rótulos Constatação</w:t>
      </w:r>
    </w:p>
    <w:tbl>
      <w:tblPr>
        <w:tblStyle w:val="Table"/>
        <w:tblW w:type="pct" w:w="4865"/>
        <w:tblLayout w:type="fixed"/>
        <w:tblLook w:firstRow="1" w:lastRow="0" w:firstColumn="0" w:lastColumn="0" w:noHBand="0" w:noVBand="0" w:val="0020"/>
        <w:tblCaption w:val="Número de Ocorrências Rótulos Constatação"/>
      </w:tblPr>
      <w:tblGrid>
        <w:gridCol w:w="4174"/>
        <w:gridCol w:w="3531"/>
      </w:tblGrid>
      <w:tr>
        <w:trPr>
          <w:tblHeader w:val="on"/>
        </w:trPr>
        <w:tc>
          <w:tcPr/>
          <w:p>
            <w:pPr>
              <w:pStyle w:val="918"/>
              <w:jc w:val="left"/>
            </w:pPr>
            <w:r>
              <w:t xml:space="preserve">Rótulo</w:t>
            </w:r>
          </w:p>
        </w:tc>
        <w:tc>
          <w:tcPr/>
          <w:p>
            <w:pPr>
              <w:pStyle w:val="918"/>
              <w:jc w:val="right"/>
            </w:pPr>
            <w:r>
              <w:t xml:space="preserve">Contagem</w:t>
            </w:r>
          </w:p>
        </w:tc>
      </w:tr>
      <w:tr>
        <w:tc>
          <w:tcPr/>
          <w:p>
            <w:pPr>
              <w:pStyle w:val="918"/>
              <w:jc w:val="left"/>
            </w:pPr>
            <w:r>
              <w:t xml:space="preserve">Grupo</w:t>
            </w:r>
          </w:p>
        </w:tc>
        <w:tc>
          <w:tcPr/>
          <w:p>
            <w:pPr>
              <w:pStyle w:val="918"/>
              <w:jc w:val="right"/>
            </w:pPr>
            <w:r>
              <w:t xml:space="preserve">4978</w:t>
            </w:r>
          </w:p>
        </w:tc>
      </w:tr>
      <w:tr>
        <w:tc>
          <w:tcPr/>
          <w:p>
            <w:pPr>
              <w:pStyle w:val="918"/>
              <w:jc w:val="left"/>
            </w:pPr>
            <w:r>
              <w:t xml:space="preserve">Subgrupo</w:t>
            </w:r>
          </w:p>
        </w:tc>
        <w:tc>
          <w:tcPr/>
          <w:p>
            <w:pPr>
              <w:pStyle w:val="918"/>
              <w:jc w:val="right"/>
            </w:pPr>
            <w:r>
              <w:t xml:space="preserve">4978</w:t>
            </w:r>
          </w:p>
        </w:tc>
      </w:tr>
      <w:tr>
        <w:tc>
          <w:tcPr/>
          <w:p>
            <w:pPr>
              <w:pStyle w:val="918"/>
              <w:jc w:val="left"/>
            </w:pPr>
            <w:r>
              <w:t xml:space="preserve">Item</w:t>
            </w:r>
          </w:p>
        </w:tc>
        <w:tc>
          <w:tcPr/>
          <w:p>
            <w:pPr>
              <w:pStyle w:val="918"/>
              <w:jc w:val="right"/>
            </w:pPr>
            <w:r>
              <w:t xml:space="preserve">4978</w:t>
            </w:r>
          </w:p>
        </w:tc>
      </w:tr>
      <w:tr>
        <w:tc>
          <w:tcPr/>
          <w:p>
            <w:pPr>
              <w:pStyle w:val="918"/>
              <w:jc w:val="left"/>
            </w:pPr>
            <w:r>
              <w:t xml:space="preserve">Constatação</w:t>
            </w:r>
          </w:p>
        </w:tc>
        <w:tc>
          <w:tcPr/>
          <w:p>
            <w:pPr>
              <w:pStyle w:val="918"/>
              <w:jc w:val="right"/>
            </w:pPr>
            <w:r>
              <w:t xml:space="preserve">4978</w:t>
            </w:r>
          </w:p>
        </w:tc>
      </w:tr>
      <w:tr>
        <w:tc>
          <w:tcPr/>
          <w:p>
            <w:pPr>
              <w:pStyle w:val="918"/>
              <w:jc w:val="left"/>
            </w:pPr>
            <w:r>
              <w:t xml:space="preserve">Tópico</w:t>
            </w:r>
          </w:p>
        </w:tc>
        <w:tc>
          <w:tcPr/>
          <w:p>
            <w:pPr>
              <w:pStyle w:val="918"/>
              <w:jc w:val="right"/>
            </w:pPr>
            <w:r>
              <w:t xml:space="preserve">717</w:t>
            </w:r>
          </w:p>
        </w:tc>
      </w:tr>
    </w:tbl>
    <w:p>
      <w:pPr>
        <w:pStyle w:val="916"/>
      </w:pPr>
      <w:r>
        <w:t xml:space="preserve">Conforme demonstrado, os rótulos Grupo, Subgrupo, Item e Constatação aparecem em igual quantidade, o que sugere uma estrutura padronizada de constatação. Já o rótulo Tópico ocorre com frequência menor, indicando que nem todas as constatações o utilizam.</w:t>
      </w:r>
    </w:p>
    <w:p>
      <w:pPr>
        <w:pStyle w:val="916"/>
      </w:pPr>
      <w:r>
        <w:t xml:space="preserve">Diante disso, considera-se viável adotar como marcador do início de uma nova constatação tanto a ocorrência do rótulo Tópico (quando presente) quanto a do rótulo Grupo (quando não precedido por Tópico). Para validar essa abordagem, será necessário verificar se existem casos em que o rótulo Tópico aparece sem ser sucedido por Grupo, o que poderia inviabilizar a solução proposta.</w:t>
      </w:r>
    </w:p>
    <w:p>
      <w:pPr>
        <w:pStyle w:val="916"/>
      </w:pPr>
      <w:r>
        <w:t xml:space="preserve">Adicionalmente, observa-se que a linha que contém o rótulo</w:t>
      </w:r>
      <w:r>
        <w:t xml:space="preserve"> </w:t>
      </w:r>
      <w:r>
        <w:t xml:space="preserve">“Grupo”</w:t>
      </w:r>
      <w:r>
        <w:t xml:space="preserve"> </w:t>
      </w:r>
      <w:r>
        <w:t xml:space="preserve">também apresenta o número original da constatação. Caso essa relação se confirme como uma regra, tal número poderá ser extraído sistematicamente e atribuído a um novo campo denominado</w:t>
      </w:r>
      <w:r>
        <w:t xml:space="preserve"> </w:t>
      </w:r>
      <w:r>
        <w:rPr>
          <w:rStyle w:val="949"/>
        </w:rPr>
        <w:t xml:space="preserve"># Constatação</w:t>
      </w:r>
      <w:r>
        <w:t xml:space="preserve">, contribuindo para a organização e rastreabilidade dos dados estruturados.</w:t>
      </w:r>
    </w:p>
    <w:p>
      <w:pPr>
        <w:pStyle w:val="SourceCode"/>
      </w:pPr>
      <w:r>
        <w:rPr>
          <w:rStyle w:val="949"/>
        </w:rPr>
        <w:t xml:space="preserve">qtd_topicos_nao_sucedidos_grupo &lt;- conteudo_estruturado |&gt;</w:t>
      </w:r>
      <w:r>
        <w:br/>
      </w:r>
      <w:r>
        <w:rPr>
          <w:rStyle w:val="949"/>
        </w:rPr>
        <w:t xml:space="preserve">    filter(`Rótulo` == "Tópico" &amp; lead(`Rótulo`) != "Grupo") |&gt;</w:t>
      </w:r>
      <w:r>
        <w:br/>
      </w:r>
      <w:r>
        <w:rPr>
          <w:rStyle w:val="949"/>
        </w:rPr>
        <w:t xml:space="preserve">    nrow()</w:t>
      </w:r>
      <w:r>
        <w:br/>
      </w:r>
      <w:r>
        <w:br/>
      </w:r>
      <w:r>
        <w:rPr>
          <w:rStyle w:val="949"/>
        </w:rPr>
        <w:t xml:space="preserve">qtd_rotulos_grupo_sem_constatacao &lt;- conteudo_estruturado |&gt;</w:t>
      </w:r>
      <w:r>
        <w:br/>
      </w:r>
      <w:r>
        <w:rPr>
          <w:rStyle w:val="949"/>
        </w:rPr>
        <w:t xml:space="preserve">  filter(`Rótulo` == "Grupo") |&gt;</w:t>
      </w:r>
      <w:r>
        <w:br/>
      </w:r>
      <w:r>
        <w:rPr>
          <w:rStyle w:val="949"/>
        </w:rPr>
        <w:t xml:space="preserve">  filter(!str_detect(`Conteúdo`, "Constata..o N")) |&gt;</w:t>
      </w:r>
      <w:r>
        <w:br/>
      </w:r>
      <w:r>
        <w:rPr>
          <w:rStyle w:val="949"/>
        </w:rPr>
        <w:t xml:space="preserve">  nrow()</w:t>
      </w:r>
      <w:r>
        <w:br/>
      </w:r>
      <w:r>
        <w:br/>
      </w:r>
      <w:r>
        <w:rPr>
          <w:rStyle w:val="949"/>
        </w:rPr>
        <w:t xml:space="preserve"># write_rds(conteudo_estruturado, "./Dados Gerados/conteudo_estruturado.rds")</w:t>
      </w:r>
      <w:r>
        <w:br/>
      </w:r>
      <w:r>
        <w:br/>
      </w:r>
      <w:r>
        <w:rPr>
          <w:rStyle w:val="949"/>
        </w:rPr>
        <w:t xml:space="preserve">conteudo_estruturado_const_delim &lt;- conteudo_estruturado |&gt;</w:t>
      </w:r>
      <w:r>
        <w:br/>
      </w:r>
      <w:r>
        <w:rPr>
          <w:rStyle w:val="949"/>
        </w:rPr>
        <w:t xml:space="preserve">  mutate(</w:t>
      </w:r>
      <w:r>
        <w:br/>
      </w:r>
      <w:r>
        <w:rPr>
          <w:rStyle w:val="949"/>
        </w:rPr>
        <w:t xml:space="preserve">    `# Constatação` = if_else(</w:t>
      </w:r>
      <w:r>
        <w:br/>
      </w:r>
      <w:r>
        <w:rPr>
          <w:rStyle w:val="949"/>
        </w:rPr>
        <w:t xml:space="preserve">        `Rótulo` == "Grupo", </w:t>
      </w:r>
      <w:r>
        <w:br/>
      </w:r>
      <w:r>
        <w:rPr>
          <w:rStyle w:val="949"/>
        </w:rPr>
        <w:t xml:space="preserve">        str_sub(`Conteúdo`, -6),</w:t>
      </w:r>
      <w:r>
        <w:br/>
      </w:r>
      <w:r>
        <w:rPr>
          <w:rStyle w:val="949"/>
        </w:rPr>
        <w:t xml:space="preserve">        NA),</w:t>
      </w:r>
      <w:r>
        <w:br/>
      </w:r>
      <w:r>
        <w:rPr>
          <w:rStyle w:val="949"/>
        </w:rPr>
        <w:t xml:space="preserve">    `# Constatação` = if_else(`Rótulo` == "Tópico", lead(`# Constatação`), `# Constatação`)</w:t>
      </w:r>
      <w:r>
        <w:br/>
      </w:r>
      <w:r>
        <w:rPr>
          <w:rStyle w:val="949"/>
        </w:rPr>
        <w:t xml:space="preserve">  ) |&gt;</w:t>
      </w:r>
      <w:r>
        <w:br/>
      </w:r>
      <w:r>
        <w:rPr>
          <w:rStyle w:val="949"/>
        </w:rPr>
        <w:t xml:space="preserve">  group_by(Arquivo, `Seção`) |&gt;</w:t>
      </w:r>
      <w:r>
        <w:br/>
      </w:r>
      <w:r>
        <w:rPr>
          <w:rStyle w:val="949"/>
        </w:rPr>
        <w:t xml:space="preserve">  fill(`# Constatação`, .direction = "down") |&gt;</w:t>
      </w:r>
      <w:r>
        <w:br/>
      </w:r>
      <w:r>
        <w:rPr>
          <w:rStyle w:val="949"/>
        </w:rPr>
        <w:t xml:space="preserve">  mutate(`# Recomendação` = if_else(`Rótulo` == "Recomendação", 1, 0)) |&gt;</w:t>
      </w:r>
      <w:r>
        <w:br/>
      </w:r>
      <w:r>
        <w:rPr>
          <w:rStyle w:val="949"/>
        </w:rPr>
        <w:t xml:space="preserve">  group_by(`# Constatação`, .add = TRUE) |&gt;</w:t>
      </w:r>
      <w:r>
        <w:br/>
      </w:r>
      <w:r>
        <w:rPr>
          <w:rStyle w:val="949"/>
        </w:rPr>
        <w:t xml:space="preserve">  mutate(`# Recomendação` = cumsum(`# Recomendação`)) |&gt;</w:t>
      </w:r>
      <w:r>
        <w:br/>
      </w:r>
      <w:r>
        <w:rPr>
          <w:rStyle w:val="949"/>
        </w:rPr>
        <w:t xml:space="preserve">  ungroup()</w:t>
      </w:r>
    </w:p>
    <w:p>
      <w:pPr>
        <w:pStyle w:val="917"/>
      </w:pPr>
      <w:r>
        <w:t xml:space="preserve">A hipótese de que o rótulo</w:t>
      </w:r>
      <w:r>
        <w:t xml:space="preserve"> </w:t>
      </w:r>
      <w:r>
        <w:t xml:space="preserve">“Tópico”</w:t>
      </w:r>
      <w:r>
        <w:t xml:space="preserve"> </w:t>
      </w:r>
      <w:r>
        <w:t xml:space="preserve">é sempre imediatamente seguido por</w:t>
      </w:r>
      <w:r>
        <w:t xml:space="preserve"> </w:t>
      </w:r>
      <w:r>
        <w:t xml:space="preserve">“Grupo”</w:t>
      </w:r>
      <w:r>
        <w:t xml:space="preserve"> </w:t>
      </w:r>
      <w:r>
        <w:t xml:space="preserve">foi validada, uma vez que a consulta correspondente retornou zero registros em que essa ordem foi violada. Isso autoriza o uso do rótulo</w:t>
      </w:r>
      <w:r>
        <w:t xml:space="preserve"> </w:t>
      </w:r>
      <w:r>
        <w:t xml:space="preserve">“Tópico”</w:t>
      </w:r>
      <w:r>
        <w:t xml:space="preserve"> </w:t>
      </w:r>
      <w:r>
        <w:t xml:space="preserve">como marcador confiável do início de uma nova constatação, e permite vincular corretamente os dados subsequentes a essa estrutura.</w:t>
      </w:r>
    </w:p>
    <w:p>
      <w:pPr>
        <w:pStyle w:val="916"/>
      </w:pPr>
      <w:r>
        <w:t xml:space="preserve">Além disso, verificou-se que em todos os casos o rótulo</w:t>
      </w:r>
      <w:r>
        <w:t xml:space="preserve"> </w:t>
      </w:r>
      <w:r>
        <w:t xml:space="preserve">“Grupo”</w:t>
      </w:r>
      <w:r>
        <w:t xml:space="preserve"> </w:t>
      </w:r>
      <w:r>
        <w:t xml:space="preserve">contém, em seu conteúdo, a numeração original da constatação, o que corrobora a utilização dessa informação como identificador exclusivo. Como não foram encontrados registros em que essa numeração estivesse ausente, optou-se por extrair o número da constatação diretamente do conteúdo associado ao rótulo</w:t>
      </w:r>
      <w:r>
        <w:t xml:space="preserve"> </w:t>
      </w:r>
      <w:r>
        <w:t xml:space="preserve">“Grupo”</w:t>
      </w:r>
      <w:r>
        <w:t xml:space="preserve"> </w:t>
      </w:r>
      <w:r>
        <w:t xml:space="preserve">e utilizá-lo como chave de referência para vincular os demais campos relativos à mesma constatação.</w:t>
      </w:r>
    </w:p>
    <w:p>
      <w:pPr>
        <w:pStyle w:val="916"/>
      </w:pPr>
      <w:r>
        <w:t xml:space="preserve">Com base nessa estrutura, também foi possível numerar as recomendações associadas a cada constatação, permitindo estabelecer uma relação clara entre elas e facilitar análises futuras.</w:t>
      </w:r>
    </w:p>
    <w:bookmarkEnd w:id="98"/>
    <w:bookmarkStart w:id="99" w:name="conclusão"/>
    <w:p>
      <w:pPr>
        <w:pStyle w:val="906"/>
      </w:pPr>
      <w:r>
        <w:t xml:space="preserve">7.0.12 Conclusão</w:t>
      </w:r>
    </w:p>
    <w:p>
      <w:pPr>
        <w:pStyle w:val="917"/>
      </w:pPr>
      <w:r>
        <w:t xml:space="preserve">Para facilitar o uso e a manipulação das informações estruturadas ao longo deste trabalho, os dados foram organizados em três conjuntos distintos. O primeiro reúne os metadados das auditorias, extraídos da seção</w:t>
      </w:r>
      <w:r>
        <w:t xml:space="preserve"> </w:t>
      </w:r>
      <w:r>
        <w:t xml:space="preserve">“DADOS BÁSICOS”</w:t>
      </w:r>
      <w:r>
        <w:t xml:space="preserve">, contendo informações como número da auditoria, unidade auditada e data de geração do relatório. O segundo concentra os dados relativos às constatações identificadas em cada auditoria, excluindo os campos relacionados às recomendações. O terceiro conjunto agrega as recomendações vinculadas a cada constatação, devidamente numeradas e estruturadas com base em seus respectivos rótulos.</w:t>
      </w:r>
    </w:p>
    <w:p>
      <w:pPr>
        <w:pStyle w:val="916"/>
      </w:pPr>
      <w:r>
        <w:t xml:space="preserve">A separação em três bases (auditorias, constatações e recomendações) tem como objetivo favorecer tanto a análise individualizada dos elementos quanto sua eventual recombinação, possibilitando o cruzamento de informações com alto grau de granularidade e reprodutibilidade.</w:t>
      </w:r>
    </w:p>
    <w:p>
      <w:pPr>
        <w:pStyle w:val="916"/>
      </w:pPr>
      <w:r>
        <w:t xml:space="preserve">Os dados resultantes foram a seguir detalhados:</w:t>
      </w:r>
    </w:p>
    <w:p>
      <w:pPr>
        <w:pStyle w:val="SourceCode"/>
      </w:pPr>
      <w:r>
        <w:rPr>
          <w:rStyle w:val="949"/>
        </w:rPr>
        <w:t xml:space="preserve">auditorias &lt;- conteudo_estruturado_const_delim |&gt;</w:t>
      </w:r>
      <w:r>
        <w:br/>
      </w:r>
      <w:r>
        <w:rPr>
          <w:rStyle w:val="949"/>
        </w:rPr>
        <w:t xml:space="preserve">  filter(`Seção` == "DADOS BÁSICOS") |&gt;</w:t>
      </w:r>
      <w:r>
        <w:br/>
      </w:r>
      <w:r>
        <w:rPr>
          <w:rStyle w:val="949"/>
        </w:rPr>
        <w:t xml:space="preserve">  select(</w:t>
      </w:r>
      <w:r>
        <w:br/>
      </w:r>
      <w:r>
        <w:rPr>
          <w:rStyle w:val="949"/>
        </w:rPr>
        <w:t xml:space="preserve">    `Arquivo`, </w:t>
      </w:r>
      <w:r>
        <w:br/>
      </w:r>
      <w:r>
        <w:rPr>
          <w:rStyle w:val="949"/>
        </w:rPr>
        <w:t xml:space="preserve">    `No. Auditoria`,</w:t>
      </w:r>
      <w:r>
        <w:br/>
      </w:r>
      <w:r>
        <w:rPr>
          <w:rStyle w:val="949"/>
        </w:rPr>
        <w:t xml:space="preserve">    `Rótulo`,</w:t>
      </w:r>
      <w:r>
        <w:br/>
      </w:r>
      <w:r>
        <w:rPr>
          <w:rStyle w:val="949"/>
        </w:rPr>
        <w:t xml:space="preserve">    `Conteúdo`,</w:t>
      </w:r>
      <w:r>
        <w:br/>
      </w:r>
      <w:r>
        <w:rPr>
          <w:rStyle w:val="949"/>
        </w:rPr>
        <w:t xml:space="preserve">    `Data Geração`) |&gt;</w:t>
      </w:r>
      <w:r>
        <w:br/>
      </w:r>
      <w:r>
        <w:rPr>
          <w:rStyle w:val="949"/>
        </w:rPr>
        <w:t xml:space="preserve">  pivot_wider(</w:t>
      </w:r>
      <w:r>
        <w:br/>
      </w:r>
      <w:r>
        <w:rPr>
          <w:rStyle w:val="949"/>
        </w:rPr>
        <w:t xml:space="preserve">    id_cols = c(`Arquivo`, `No. Auditoria`, `Data Geração`), </w:t>
      </w:r>
      <w:r>
        <w:br/>
      </w:r>
      <w:r>
        <w:rPr>
          <w:rStyle w:val="949"/>
        </w:rPr>
        <w:t xml:space="preserve">    names_from = "Rótulo", </w:t>
      </w:r>
      <w:r>
        <w:br/>
      </w:r>
      <w:r>
        <w:rPr>
          <w:rStyle w:val="949"/>
        </w:rPr>
        <w:t xml:space="preserve">    values_from = "Conteúdo")</w:t>
      </w:r>
      <w:r>
        <w:br/>
      </w:r>
      <w:r>
        <w:br/>
      </w:r>
      <w:r>
        <w:rPr>
          <w:rStyle w:val="949"/>
        </w:rPr>
        <w:t xml:space="preserve">rotulos_recomendacao &lt;- conteudo_estruturado_const_delim |&gt;</w:t>
      </w:r>
      <w:r>
        <w:br/>
      </w:r>
      <w:r>
        <w:rPr>
          <w:rStyle w:val="949"/>
        </w:rPr>
        <w:t xml:space="preserve">    filter(`Seção` == "CONSTATAÇÕES") |&gt;</w:t>
      </w:r>
      <w:r>
        <w:br/>
      </w:r>
      <w:r>
        <w:rPr>
          <w:rStyle w:val="949"/>
        </w:rPr>
        <w:t xml:space="preserve">    filter(`# Recomendação` &gt; 0) |&gt;</w:t>
      </w:r>
      <w:r>
        <w:br/>
      </w:r>
      <w:r>
        <w:rPr>
          <w:rStyle w:val="949"/>
        </w:rPr>
        <w:t xml:space="preserve">    select(`Rótulo`) |&gt;</w:t>
      </w:r>
      <w:r>
        <w:br/>
      </w:r>
      <w:r>
        <w:rPr>
          <w:rStyle w:val="949"/>
        </w:rPr>
        <w:t xml:space="preserve">    distinct() |&gt;</w:t>
      </w:r>
      <w:r>
        <w:br/>
      </w:r>
      <w:r>
        <w:rPr>
          <w:rStyle w:val="949"/>
        </w:rPr>
        <w:t xml:space="preserve">    chuck("Rótulo")</w:t>
      </w:r>
      <w:r>
        <w:br/>
      </w:r>
      <w:r>
        <w:br/>
      </w:r>
      <w:r>
        <w:rPr>
          <w:rStyle w:val="949"/>
        </w:rPr>
        <w:t xml:space="preserve">constatacoes &lt;- conteudo_estruturado_const_delim |&gt;</w:t>
      </w:r>
      <w:r>
        <w:br/>
      </w:r>
      <w:r>
        <w:rPr>
          <w:rStyle w:val="949"/>
        </w:rPr>
        <w:t xml:space="preserve">  filter(`Seção` == "CONSTATAÇÕES" &amp; !(`Rótulo` %in% rotulos_recomendacao)) |&gt;</w:t>
      </w:r>
      <w:r>
        <w:br/>
      </w:r>
      <w:r>
        <w:rPr>
          <w:rStyle w:val="949"/>
        </w:rPr>
        <w:t xml:space="preserve">  select(</w:t>
      </w:r>
      <w:r>
        <w:br/>
      </w:r>
      <w:r>
        <w:rPr>
          <w:rStyle w:val="949"/>
        </w:rPr>
        <w:t xml:space="preserve">    `Arquivo`, </w:t>
      </w:r>
      <w:r>
        <w:br/>
      </w:r>
      <w:r>
        <w:rPr>
          <w:rStyle w:val="949"/>
        </w:rPr>
        <w:t xml:space="preserve">    `No. Auditoria`,</w:t>
      </w:r>
      <w:r>
        <w:br/>
      </w:r>
      <w:r>
        <w:rPr>
          <w:rStyle w:val="949"/>
        </w:rPr>
        <w:t xml:space="preserve">    `# Constatação`,</w:t>
      </w:r>
      <w:r>
        <w:br/>
      </w:r>
      <w:r>
        <w:rPr>
          <w:rStyle w:val="949"/>
        </w:rPr>
        <w:t xml:space="preserve">    `Rótulo`,</w:t>
      </w:r>
      <w:r>
        <w:br/>
      </w:r>
      <w:r>
        <w:rPr>
          <w:rStyle w:val="949"/>
        </w:rPr>
        <w:t xml:space="preserve">    `Conteúdo`) |&gt;</w:t>
      </w:r>
      <w:r>
        <w:br/>
      </w:r>
      <w:r>
        <w:rPr>
          <w:rStyle w:val="949"/>
        </w:rPr>
        <w:t xml:space="preserve">  pivot_wider(</w:t>
      </w:r>
      <w:r>
        <w:br/>
      </w:r>
      <w:r>
        <w:rPr>
          <w:rStyle w:val="949"/>
        </w:rPr>
        <w:t xml:space="preserve">    id_cols = c(`Arquivo`, `No. Auditoria`, `# Constatação`), </w:t>
      </w:r>
      <w:r>
        <w:br/>
      </w:r>
      <w:r>
        <w:rPr>
          <w:rStyle w:val="949"/>
        </w:rPr>
        <w:t xml:space="preserve">    names_from = "Rótulo", </w:t>
      </w:r>
      <w:r>
        <w:br/>
      </w:r>
      <w:r>
        <w:rPr>
          <w:rStyle w:val="949"/>
        </w:rPr>
        <w:t xml:space="preserve">    values_from = "Conteúdo")</w:t>
      </w:r>
      <w:r>
        <w:br/>
      </w:r>
      <w:r>
        <w:br/>
      </w:r>
      <w:r>
        <w:rPr>
          <w:rStyle w:val="949"/>
        </w:rPr>
        <w:t xml:space="preserve">recomendacoes &lt;- conteudo_estruturado_const_delim |&gt;</w:t>
      </w:r>
      <w:r>
        <w:br/>
      </w:r>
      <w:r>
        <w:rPr>
          <w:rStyle w:val="949"/>
        </w:rPr>
        <w:t xml:space="preserve">    filter(`Seção` == "CONSTATAÇÕES") |&gt;</w:t>
      </w:r>
      <w:r>
        <w:br/>
      </w:r>
      <w:r>
        <w:rPr>
          <w:rStyle w:val="949"/>
        </w:rPr>
        <w:t xml:space="preserve">    filter(`# Recomendação` &gt; 0) |&gt;</w:t>
      </w:r>
      <w:r>
        <w:br/>
      </w:r>
      <w:r>
        <w:rPr>
          <w:rStyle w:val="949"/>
        </w:rPr>
        <w:t xml:space="preserve">    pivot_wider(</w:t>
      </w:r>
      <w:r>
        <w:br/>
      </w:r>
      <w:r>
        <w:rPr>
          <w:rStyle w:val="949"/>
        </w:rPr>
        <w:t xml:space="preserve">      id_cols = c(`Arquivo`, `No. Auditoria`, `# Constatação`, `# Recomendação`),</w:t>
      </w:r>
      <w:r>
        <w:br/>
      </w:r>
      <w:r>
        <w:rPr>
          <w:rStyle w:val="949"/>
        </w:rPr>
        <w:t xml:space="preserve">      names_from = "Rótulo", </w:t>
      </w:r>
      <w:r>
        <w:br/>
      </w:r>
      <w:r>
        <w:rPr>
          <w:rStyle w:val="949"/>
        </w:rPr>
        <w:t xml:space="preserve">      values_from = "Conteúdo")</w:t>
      </w:r>
      <w:r>
        <w:br/>
      </w:r>
      <w:r>
        <w:br/>
      </w:r>
      <w:r>
        <w:rPr>
          <w:rStyle w:val="949"/>
        </w:rPr>
        <w:t xml:space="preserve">write_rds(auditorias, "./Dados Gerados/auditorias.rds")</w:t>
      </w:r>
      <w:r>
        <w:br/>
      </w:r>
      <w:r>
        <w:rPr>
          <w:rStyle w:val="949"/>
        </w:rPr>
        <w:t xml:space="preserve">write_rds(constatacoes, "./Dados Gerados/constatacoes.rds")</w:t>
      </w:r>
      <w:r>
        <w:br/>
      </w:r>
      <w:r>
        <w:rPr>
          <w:rStyle w:val="949"/>
        </w:rPr>
        <w:t xml:space="preserve">write_rds(recomendacoes, "./Dados Gerados/recomendacoes.rds")</w:t>
      </w:r>
    </w:p>
    <w:p>
      <w:pPr>
        <w:pStyle w:val="917"/>
      </w:pPr>
      <w:r>
        <w:t xml:space="preserve">A seguir, algumas estatísticas descritivas que evidenciam a abrangência do corpus analisado:</w:t>
      </w:r>
    </w:p>
    <w:p>
      <w:pPr>
        <w:pStyle w:val="918"/>
        <w:numPr>
          <w:ilvl w:val="0"/>
          <w:numId w:val="1005"/>
        </w:numPr>
      </w:pPr>
      <w:r>
        <w:t xml:space="preserve">Total de arquivos processados: 399</w:t>
      </w:r>
    </w:p>
    <w:p>
      <w:pPr>
        <w:pStyle w:val="918"/>
        <w:numPr>
          <w:ilvl w:val="0"/>
          <w:numId w:val="1005"/>
        </w:numPr>
      </w:pPr>
      <w:r>
        <w:t xml:space="preserve">Total de auditorias identificadas: 349</w:t>
      </w:r>
    </w:p>
    <w:p>
      <w:pPr>
        <w:pStyle w:val="918"/>
        <w:numPr>
          <w:ilvl w:val="0"/>
          <w:numId w:val="1005"/>
        </w:numPr>
      </w:pPr>
      <w:r>
        <w:t xml:space="preserve">Total de unidades auditadas: 204</w:t>
      </w:r>
    </w:p>
    <w:p>
      <w:pPr>
        <w:pStyle w:val="918"/>
        <w:numPr>
          <w:ilvl w:val="0"/>
          <w:numId w:val="1005"/>
        </w:numPr>
      </w:pPr>
      <w:r>
        <w:t xml:space="preserve">Total de municípios abrangidos: 234</w:t>
      </w:r>
    </w:p>
    <w:p>
      <w:pPr>
        <w:pStyle w:val="918"/>
        <w:numPr>
          <w:ilvl w:val="0"/>
          <w:numId w:val="1005"/>
        </w:numPr>
      </w:pPr>
      <w:r>
        <w:t xml:space="preserve">Total de constatações extraídas: 4.978</w:t>
      </w:r>
    </w:p>
    <w:p>
      <w:pPr>
        <w:pStyle w:val="918"/>
        <w:numPr>
          <w:ilvl w:val="0"/>
          <w:numId w:val="1005"/>
        </w:numPr>
      </w:pPr>
      <w:r>
        <w:t xml:space="preserve">Total constatações com recomendação: 3.383</w:t>
      </w:r>
    </w:p>
    <w:p>
      <w:pPr>
        <w:pStyle w:val="918"/>
        <w:numPr>
          <w:ilvl w:val="0"/>
          <w:numId w:val="1005"/>
        </w:numPr>
      </w:pPr>
      <w:r>
        <w:t xml:space="preserve">Total Recomendações: 4.289</w:t>
      </w:r>
    </w:p>
    <w:p>
      <w:pPr>
        <w:pStyle w:val="917"/>
      </w:pPr>
      <w:r>
        <w:t xml:space="preserve">Esses resultados expressam a magnitude do processo de estruturação automatizada e indicam o potencial analítico dos dados gerados para estudos futuros em auditoria governamental, transparência e avaliação de políticas públicas.</w:t>
      </w:r>
    </w:p>
    <w:bookmarkEnd w:id="99"/>
    <w:bookmarkStart w:id="100" w:name="referências"/>
    <w:p>
      <w:pPr>
        <w:pStyle w:val="906"/>
      </w:pPr>
      <w:r>
        <w:t xml:space="preserve">7.0.13 Referências</w:t>
      </w:r>
    </w:p>
    <w:p>
      <w:pPr>
        <w:pStyle w:val="917"/>
      </w:pPr>
      <w:r>
        <w:t xml:space="preserve">MÜLLER, Kirill; WICKHAM, Hadley.</w:t>
      </w:r>
      <w:r>
        <w:t xml:space="preserve"> </w:t>
      </w:r>
      <w:r>
        <w:rPr>
          <w:b/>
          <w:bCs/>
        </w:rPr>
        <w:t xml:space="preserve">tibble: simple data frames</w:t>
      </w:r>
      <w:r>
        <w:t xml:space="preserve">. [S. l.: s. n.], 2025. R package, versão 3.3.0. DOI: 10.32614/CRAN.package.tibble. Disponível em: https://CRAN.R-project.org/package=tibble. Acesso em: 2 out. 2025.</w:t>
      </w:r>
    </w:p>
    <w:p>
      <w:pPr>
        <w:pStyle w:val="916"/>
      </w:pPr>
      <w:r>
        <w:t xml:space="preserve">OOMS, Jeroen.</w:t>
      </w:r>
      <w:r>
        <w:t xml:space="preserve"> </w:t>
      </w:r>
      <w:r>
        <w:rPr>
          <w:b/>
          <w:bCs/>
        </w:rPr>
        <w:t xml:space="preserve">pdftools: text extraction, rendering and converting of PDF documents.</w:t>
      </w:r>
      <w:r>
        <w:t xml:space="preserve"> </w:t>
      </w:r>
      <w:r>
        <w:t xml:space="preserve">[S. l.: s. n.], 2025. R package, versão 3.6.0. DOI: 10.32614/CRAN.package.pdftools. Disponível em: https://CRAN.R-project.org/package=pdftools. Acesso em: 2 out. 2025.</w:t>
      </w:r>
    </w:p>
    <w:p>
      <w:pPr>
        <w:pStyle w:val="916"/>
      </w:pPr>
      <w:r>
        <w:t xml:space="preserve">WICKHAM, Hadley; BRYAN, Jennifer.</w:t>
      </w:r>
      <w:r>
        <w:t xml:space="preserve"> </w:t>
      </w:r>
      <w:r>
        <w:rPr>
          <w:b/>
          <w:bCs/>
        </w:rPr>
        <w:t xml:space="preserve">readxl: read Excel files</w:t>
      </w:r>
      <w:r>
        <w:t xml:space="preserve">. [S. l.: s. n.], 2025. R package, versão 1.4.5. DOI: 10.32614/CRAN.package.readxl. Disponível em: https://CRAN.R-project.org/package=readxl. Acesso em: 10 out. 2025.</w:t>
      </w:r>
    </w:p>
    <w:p>
      <w:pPr>
        <w:pStyle w:val="916"/>
      </w:pPr>
      <w:r>
        <w:t xml:space="preserve">WICKHAM, Hadley et al. </w:t>
      </w:r>
      <w:r>
        <w:rPr>
          <w:b/>
          <w:bCs/>
        </w:rPr>
        <w:t xml:space="preserve">Welcome to the tidyverse</w:t>
      </w:r>
      <w:r>
        <w:t xml:space="preserve">. Journal of Open Source Software, [S. l.], v. 4, n. 43, p. 1686, 2019. DOI: 10.21105/joss.01686. Acesso em: 10 out. 2025.</w:t>
      </w:r>
    </w:p>
    <w:p>
      <w:r>
        <w:br w:type="page"/>
      </w:r>
    </w:p>
    <w:bookmarkEnd w:id="100"/>
    <w:bookmarkEnd w:id="101"/>
    <w:bookmarkStart w:id="112" w:name="Xa0614071a5a63737f989f52a489676a1b5ed883"/>
    <w:p>
      <w:pPr>
        <w:pStyle w:val="904"/>
      </w:pPr>
      <w:r>
        <w:t xml:space="preserve">8. Apêndice B — Processo de Codificação para Análise das Recomendações do DENASUS</w:t>
      </w:r>
    </w:p>
    <w:bookmarkStart w:id="102" w:name="introdução"/>
    <w:p>
      <w:pPr>
        <w:pStyle w:val="906"/>
      </w:pPr>
      <w:r>
        <w:t xml:space="preserve">8.0.1 Introdução</w:t>
      </w:r>
    </w:p>
    <w:p>
      <w:pPr>
        <w:pStyle w:val="917"/>
      </w:pPr>
      <w:r>
        <w:t xml:space="preserve">Este documento descreve os procedimentos adotados para classificar as recomendações emitidas pelo DENASUS, com base nos critérios definidos na pesquisa.</w:t>
      </w:r>
    </w:p>
    <w:p>
      <w:pPr>
        <w:pStyle w:val="916"/>
      </w:pPr>
      <w:r>
        <w:t xml:space="preserve">De forma geral, a classificação foi realizada por meio de chamadas à API do provedor de LLM selecionado, utilizando-se um prompt estruturado. As instruções de codificação foram inseridas no papel</w:t>
      </w:r>
      <w:r>
        <w:t xml:space="preserve"> </w:t>
      </w:r>
      <w:r>
        <w:rPr>
          <w:i/>
          <w:iCs/>
        </w:rPr>
        <w:t xml:space="preserve">system</w:t>
      </w:r>
      <w:r>
        <w:t xml:space="preserve">, enquanto os dados das recomendações foram inseridos no papel</w:t>
      </w:r>
      <w:r>
        <w:t xml:space="preserve"> </w:t>
      </w:r>
      <w:r>
        <w:rPr>
          <w:i/>
          <w:iCs/>
        </w:rPr>
        <w:t xml:space="preserve">user</w:t>
      </w:r>
      <w:r>
        <w:t xml:space="preserve">.</w:t>
      </w:r>
    </w:p>
    <w:p>
      <w:pPr>
        <w:pStyle w:val="916"/>
      </w:pPr>
      <w:r>
        <w:t xml:space="preserve">O texto também apresenta a estrutura de organização dos dados, os procedimentos de interação com a API, a forma de armazenamento dos resultados conforme o modelo definido e a posterior tabulação das informações.</w:t>
      </w:r>
    </w:p>
    <w:p>
      <w:pPr>
        <w:pStyle w:val="916"/>
      </w:pPr>
      <w:r>
        <w:t xml:space="preserve">A seguir, apresenta-se uma amostra dos dados utilizados na composição dos prompts.</w:t>
      </w:r>
    </w:p>
    <w:p>
      <w:pPr>
        <w:pStyle w:val="SourceCode"/>
      </w:pPr>
      <w:r>
        <w:rPr>
          <w:rStyle w:val="949"/>
        </w:rPr>
        <w:t xml:space="preserve">recomendacoes &lt;- read_rds("./Dados Gerados/dataset_consolidado.rds")</w:t>
      </w:r>
      <w:r>
        <w:br/>
      </w:r>
      <w:r>
        <w:br/>
      </w:r>
      <w:r>
        <w:rPr>
          <w:rStyle w:val="949"/>
        </w:rPr>
        <w:t xml:space="preserve">recomendacoes |&gt;</w:t>
      </w:r>
      <w:r>
        <w:br/>
      </w:r>
      <w:r>
        <w:rPr>
          <w:rStyle w:val="949"/>
        </w:rPr>
        <w:t xml:space="preserve">select(Finalidade, `# Constatação`, `Constatação`, `# Recomendação`, `Recomendação`) |&gt;</w:t>
      </w:r>
      <w:r>
        <w:br/>
      </w:r>
      <w:r>
        <w:rPr>
          <w:rStyle w:val="949"/>
        </w:rPr>
        <w:t xml:space="preserve">head(10) |&gt;</w:t>
      </w:r>
      <w:r>
        <w:br/>
      </w:r>
      <w:r>
        <w:rPr>
          <w:rStyle w:val="949"/>
        </w:rPr>
        <w:t xml:space="preserve">mutate(</w:t>
      </w:r>
      <w:r>
        <w:br/>
      </w:r>
      <w:r>
        <w:rPr>
          <w:rStyle w:val="949"/>
        </w:rPr>
        <w:t xml:space="preserve">    Finalidade = str_trunc(Finalidade, 14, ellipsis = "…"),</w:t>
      </w:r>
      <w:r>
        <w:br/>
      </w:r>
      <w:r>
        <w:rPr>
          <w:rStyle w:val="949"/>
        </w:rPr>
        <w:t xml:space="preserve">    `Constatação` = str_trunc(`Constatação`, 22, ellipsis = "…"),</w:t>
      </w:r>
      <w:r>
        <w:br/>
      </w:r>
      <w:r>
        <w:rPr>
          <w:rStyle w:val="949"/>
        </w:rPr>
        <w:t xml:space="preserve">    `Recomendação` = str_trunc(`Recomendação`, 22, ellipsis = "…")</w:t>
      </w:r>
      <w:r>
        <w:br/>
      </w:r>
      <w:r>
        <w:rPr>
          <w:rStyle w:val="949"/>
        </w:rPr>
        <w:t xml:space="preserve">) |&gt;</w:t>
      </w:r>
      <w:r>
        <w:br/>
      </w:r>
      <w:r>
        <w:rPr>
          <w:rStyle w:val="949"/>
        </w:rPr>
        <w:t xml:space="preserve">rename(</w:t>
      </w:r>
      <w:r>
        <w:br/>
      </w:r>
      <w:r>
        <w:rPr>
          <w:rStyle w:val="949"/>
        </w:rPr>
        <w:t xml:space="preserve">    `# Const.` = `# Constatação`,</w:t>
      </w:r>
      <w:r>
        <w:br/>
      </w:r>
      <w:r>
        <w:rPr>
          <w:rStyle w:val="949"/>
        </w:rPr>
        <w:t xml:space="preserve">    `# Rec.` = `# Recomendação`,</w:t>
      </w:r>
      <w:r>
        <w:br/>
      </w:r>
      <w:r>
        <w:rPr>
          <w:rStyle w:val="949"/>
        </w:rPr>
        <w:t xml:space="preserve">    ) |&gt;</w:t>
      </w:r>
      <w:r>
        <w:br/>
      </w:r>
      <w:r>
        <w:rPr>
          <w:rStyle w:val="949"/>
        </w:rPr>
        <w:t xml:space="preserve">knitr::kable()</w:t>
      </w:r>
    </w:p>
    <w:p>
      <w:pPr>
        <w:pStyle w:val="944"/>
      </w:pPr>
      <w:r>
        <w:t xml:space="preserve">Amostra dos dados de recomendações</w:t>
      </w:r>
    </w:p>
    <w:tbl>
      <w:tblPr>
        <w:tblStyle w:val="Table"/>
        <w:tblW w:type="pct" w:w="4897"/>
        <w:tblLayout w:type="fixed"/>
        <w:tblLook w:firstRow="1" w:lastRow="0" w:firstColumn="0" w:lastColumn="0" w:noHBand="0" w:noVBand="0" w:val="0020"/>
        <w:tblCaption w:val="Amostra dos dados de recomendações"/>
      </w:tblPr>
      <w:tblGrid>
        <w:gridCol w:w="1551"/>
        <w:gridCol w:w="979"/>
        <w:gridCol w:w="2204"/>
        <w:gridCol w:w="816"/>
        <w:gridCol w:w="2204"/>
      </w:tblGrid>
      <w:tr>
        <w:trPr>
          <w:tblHeader w:val="on"/>
        </w:trPr>
        <w:tc>
          <w:tcPr/>
          <w:p>
            <w:pPr>
              <w:pStyle w:val="918"/>
              <w:jc w:val="left"/>
            </w:pPr>
            <w:r>
              <w:t xml:space="preserve">Finalidade</w:t>
            </w:r>
          </w:p>
        </w:tc>
        <w:tc>
          <w:tcPr/>
          <w:p>
            <w:pPr>
              <w:pStyle w:val="918"/>
              <w:jc w:val="left"/>
            </w:pPr>
            <w:r>
              <w:t xml:space="preserve"># Const.</w:t>
            </w:r>
          </w:p>
        </w:tc>
        <w:tc>
          <w:tcPr/>
          <w:p>
            <w:pPr>
              <w:pStyle w:val="918"/>
              <w:jc w:val="left"/>
            </w:pPr>
            <w:r>
              <w:t xml:space="preserve">Constatação</w:t>
            </w:r>
          </w:p>
        </w:tc>
        <w:tc>
          <w:tcPr/>
          <w:p>
            <w:pPr>
              <w:pStyle w:val="918"/>
              <w:jc w:val="right"/>
            </w:pPr>
            <w:r>
              <w:t xml:space="preserve"># Rec.</w:t>
            </w:r>
          </w:p>
        </w:tc>
        <w:tc>
          <w:tcPr/>
          <w:p>
            <w:pPr>
              <w:pStyle w:val="918"/>
              <w:jc w:val="left"/>
            </w:pPr>
            <w:r>
              <w:t xml:space="preserve">Recomendação</w:t>
            </w:r>
          </w:p>
        </w:tc>
      </w:tr>
      <w:tr>
        <w:tc>
          <w:tcPr/>
          <w:p>
            <w:pPr>
              <w:pStyle w:val="918"/>
              <w:jc w:val="left"/>
            </w:pPr>
            <w:r>
              <w:t xml:space="preserve">Verificar a r…</w:t>
            </w:r>
          </w:p>
        </w:tc>
        <w:tc>
          <w:tcPr/>
          <w:p>
            <w:pPr>
              <w:pStyle w:val="918"/>
              <w:jc w:val="left"/>
            </w:pPr>
            <w:r>
              <w:t xml:space="preserve">671301</w:t>
            </w:r>
          </w:p>
        </w:tc>
        <w:tc>
          <w:tcPr/>
          <w:p>
            <w:pPr>
              <w:pStyle w:val="918"/>
              <w:jc w:val="left"/>
            </w:pPr>
            <w:r>
              <w:t xml:space="preserve">A Secretaria Municipa…</w:t>
            </w:r>
          </w:p>
        </w:tc>
        <w:tc>
          <w:tcPr/>
          <w:p>
            <w:pPr>
              <w:pStyle w:val="918"/>
              <w:jc w:val="right"/>
            </w:pPr>
            <w:r>
              <w:t xml:space="preserve">1</w:t>
            </w:r>
          </w:p>
        </w:tc>
        <w:tc>
          <w:tcPr/>
          <w:p>
            <w:pPr>
              <w:pStyle w:val="918"/>
              <w:jc w:val="left"/>
            </w:pPr>
            <w:r>
              <w:t xml:space="preserve">Instruir adequadament…</w:t>
            </w:r>
          </w:p>
        </w:tc>
      </w:tr>
      <w:tr>
        <w:tc>
          <w:tcPr/>
          <w:p>
            <w:pPr>
              <w:pStyle w:val="918"/>
              <w:jc w:val="left"/>
            </w:pPr>
            <w:r>
              <w:t xml:space="preserve">Verificar a r…</w:t>
            </w:r>
          </w:p>
        </w:tc>
        <w:tc>
          <w:tcPr/>
          <w:p>
            <w:pPr>
              <w:pStyle w:val="918"/>
              <w:jc w:val="left"/>
            </w:pPr>
            <w:r>
              <w:t xml:space="preserve">671302</w:t>
            </w:r>
          </w:p>
        </w:tc>
        <w:tc>
          <w:tcPr/>
          <w:p>
            <w:pPr>
              <w:pStyle w:val="918"/>
              <w:jc w:val="left"/>
            </w:pPr>
            <w:r>
              <w:t xml:space="preserve">A Secretaria Municipa…</w:t>
            </w:r>
          </w:p>
        </w:tc>
        <w:tc>
          <w:tcPr/>
          <w:p>
            <w:pPr>
              <w:pStyle w:val="918"/>
              <w:jc w:val="right"/>
            </w:pPr>
            <w:r>
              <w:t xml:space="preserve">1</w:t>
            </w:r>
          </w:p>
        </w:tc>
        <w:tc>
          <w:tcPr/>
          <w:p>
            <w:pPr>
              <w:pStyle w:val="918"/>
              <w:jc w:val="left"/>
            </w:pPr>
            <w:r>
              <w:t xml:space="preserve">Instruir os processos…</w:t>
            </w:r>
          </w:p>
        </w:tc>
      </w:tr>
      <w:tr>
        <w:tc>
          <w:tcPr/>
          <w:p>
            <w:pPr>
              <w:pStyle w:val="918"/>
              <w:jc w:val="left"/>
            </w:pPr>
            <w:r>
              <w:t xml:space="preserve">Verificar a r…</w:t>
            </w:r>
          </w:p>
        </w:tc>
        <w:tc>
          <w:tcPr/>
          <w:p>
            <w:pPr>
              <w:pStyle w:val="918"/>
              <w:jc w:val="left"/>
            </w:pPr>
            <w:r>
              <w:t xml:space="preserve">671304</w:t>
            </w:r>
          </w:p>
        </w:tc>
        <w:tc>
          <w:tcPr/>
          <w:p>
            <w:pPr>
              <w:pStyle w:val="918"/>
              <w:jc w:val="left"/>
            </w:pPr>
            <w:r>
              <w:t xml:space="preserve">Os Avisos de Edital e…</w:t>
            </w:r>
          </w:p>
        </w:tc>
        <w:tc>
          <w:tcPr/>
          <w:p>
            <w:pPr>
              <w:pStyle w:val="918"/>
              <w:jc w:val="right"/>
            </w:pPr>
            <w:r>
              <w:t xml:space="preserve">1</w:t>
            </w:r>
          </w:p>
        </w:tc>
        <w:tc>
          <w:tcPr/>
          <w:p>
            <w:pPr>
              <w:pStyle w:val="918"/>
              <w:jc w:val="left"/>
            </w:pPr>
            <w:r>
              <w:t xml:space="preserve">Realizar as publicaçõ…</w:t>
            </w:r>
          </w:p>
        </w:tc>
      </w:tr>
      <w:tr>
        <w:tc>
          <w:tcPr/>
          <w:p>
            <w:pPr>
              <w:pStyle w:val="918"/>
              <w:jc w:val="left"/>
            </w:pPr>
            <w:r>
              <w:t xml:space="preserve">Verificar a r…</w:t>
            </w:r>
          </w:p>
        </w:tc>
        <w:tc>
          <w:tcPr/>
          <w:p>
            <w:pPr>
              <w:pStyle w:val="918"/>
              <w:jc w:val="left"/>
            </w:pPr>
            <w:r>
              <w:t xml:space="preserve">671305</w:t>
            </w:r>
          </w:p>
        </w:tc>
        <w:tc>
          <w:tcPr/>
          <w:p>
            <w:pPr>
              <w:pStyle w:val="918"/>
              <w:jc w:val="left"/>
            </w:pPr>
            <w:r>
              <w:t xml:space="preserve">As Minutas do Contrat…</w:t>
            </w:r>
          </w:p>
        </w:tc>
        <w:tc>
          <w:tcPr/>
          <w:p>
            <w:pPr>
              <w:pStyle w:val="918"/>
              <w:jc w:val="right"/>
            </w:pPr>
            <w:r>
              <w:t xml:space="preserve">1</w:t>
            </w:r>
          </w:p>
        </w:tc>
        <w:tc>
          <w:tcPr/>
          <w:p>
            <w:pPr>
              <w:pStyle w:val="918"/>
              <w:jc w:val="left"/>
            </w:pPr>
            <w:r>
              <w:t xml:space="preserve">Estabelecer procedime…</w:t>
            </w:r>
          </w:p>
        </w:tc>
      </w:tr>
      <w:tr>
        <w:tc>
          <w:tcPr/>
          <w:p>
            <w:pPr>
              <w:pStyle w:val="918"/>
              <w:jc w:val="left"/>
            </w:pPr>
            <w:r>
              <w:t xml:space="preserve">Verificar a r…</w:t>
            </w:r>
          </w:p>
        </w:tc>
        <w:tc>
          <w:tcPr/>
          <w:p>
            <w:pPr>
              <w:pStyle w:val="918"/>
              <w:jc w:val="left"/>
            </w:pPr>
            <w:r>
              <w:t xml:space="preserve">671306</w:t>
            </w:r>
          </w:p>
        </w:tc>
        <w:tc>
          <w:tcPr/>
          <w:p>
            <w:pPr>
              <w:pStyle w:val="918"/>
              <w:jc w:val="left"/>
            </w:pPr>
            <w:r>
              <w:t xml:space="preserve">As Atas dos Pregões E…</w:t>
            </w:r>
          </w:p>
        </w:tc>
        <w:tc>
          <w:tcPr/>
          <w:p>
            <w:pPr>
              <w:pStyle w:val="918"/>
              <w:jc w:val="right"/>
            </w:pPr>
            <w:r>
              <w:t xml:space="preserve">1</w:t>
            </w:r>
          </w:p>
        </w:tc>
        <w:tc>
          <w:tcPr/>
          <w:p>
            <w:pPr>
              <w:pStyle w:val="918"/>
              <w:jc w:val="left"/>
            </w:pPr>
            <w:r>
              <w:t xml:space="preserve">Implementar medidas p…</w:t>
            </w:r>
          </w:p>
        </w:tc>
      </w:tr>
      <w:tr>
        <w:tc>
          <w:tcPr/>
          <w:p>
            <w:pPr>
              <w:pStyle w:val="918"/>
              <w:jc w:val="left"/>
            </w:pPr>
            <w:r>
              <w:t xml:space="preserve">Verificar a r…</w:t>
            </w:r>
          </w:p>
        </w:tc>
        <w:tc>
          <w:tcPr/>
          <w:p>
            <w:pPr>
              <w:pStyle w:val="918"/>
              <w:jc w:val="left"/>
            </w:pPr>
            <w:r>
              <w:t xml:space="preserve">671307</w:t>
            </w:r>
          </w:p>
        </w:tc>
        <w:tc>
          <w:tcPr/>
          <w:p>
            <w:pPr>
              <w:pStyle w:val="918"/>
              <w:jc w:val="left"/>
            </w:pPr>
            <w:r>
              <w:t xml:space="preserve">A Secretaria Municipa…</w:t>
            </w:r>
          </w:p>
        </w:tc>
        <w:tc>
          <w:tcPr/>
          <w:p>
            <w:pPr>
              <w:pStyle w:val="918"/>
              <w:jc w:val="right"/>
            </w:pPr>
            <w:r>
              <w:t xml:space="preserve">1</w:t>
            </w:r>
          </w:p>
        </w:tc>
        <w:tc>
          <w:tcPr/>
          <w:p>
            <w:pPr>
              <w:pStyle w:val="918"/>
              <w:jc w:val="left"/>
            </w:pPr>
            <w:r>
              <w:t xml:space="preserve">Assegurar que nos cas…</w:t>
            </w:r>
          </w:p>
        </w:tc>
      </w:tr>
      <w:tr>
        <w:tc>
          <w:tcPr/>
          <w:p>
            <w:pPr>
              <w:pStyle w:val="918"/>
              <w:jc w:val="left"/>
            </w:pPr>
            <w:r>
              <w:t xml:space="preserve">Verificar a r…</w:t>
            </w:r>
          </w:p>
        </w:tc>
        <w:tc>
          <w:tcPr/>
          <w:p>
            <w:pPr>
              <w:pStyle w:val="918"/>
              <w:jc w:val="left"/>
            </w:pPr>
            <w:r>
              <w:t xml:space="preserve">671308</w:t>
            </w:r>
          </w:p>
        </w:tc>
        <w:tc>
          <w:tcPr/>
          <w:p>
            <w:pPr>
              <w:pStyle w:val="918"/>
              <w:jc w:val="left"/>
            </w:pPr>
            <w:r>
              <w:t xml:space="preserve">A ratificação do Proc…</w:t>
            </w:r>
          </w:p>
        </w:tc>
        <w:tc>
          <w:tcPr/>
          <w:p>
            <w:pPr>
              <w:pStyle w:val="918"/>
              <w:jc w:val="right"/>
            </w:pPr>
            <w:r>
              <w:t xml:space="preserve">1</w:t>
            </w:r>
          </w:p>
        </w:tc>
        <w:tc>
          <w:tcPr/>
          <w:p>
            <w:pPr>
              <w:pStyle w:val="918"/>
              <w:jc w:val="left"/>
            </w:pPr>
            <w:r>
              <w:t xml:space="preserve">Assegurar que as publ…</w:t>
            </w:r>
          </w:p>
        </w:tc>
      </w:tr>
      <w:tr>
        <w:tc>
          <w:tcPr/>
          <w:p>
            <w:pPr>
              <w:pStyle w:val="918"/>
              <w:jc w:val="left"/>
            </w:pPr>
            <w:r>
              <w:t xml:space="preserve">Verificar a r…</w:t>
            </w:r>
          </w:p>
        </w:tc>
        <w:tc>
          <w:tcPr/>
          <w:p>
            <w:pPr>
              <w:pStyle w:val="918"/>
              <w:jc w:val="left"/>
            </w:pPr>
            <w:r>
              <w:t xml:space="preserve">671312</w:t>
            </w:r>
          </w:p>
        </w:tc>
        <w:tc>
          <w:tcPr/>
          <w:p>
            <w:pPr>
              <w:pStyle w:val="918"/>
              <w:jc w:val="left"/>
            </w:pPr>
            <w:r>
              <w:t xml:space="preserve">O Processo de Dispens…</w:t>
            </w:r>
          </w:p>
        </w:tc>
        <w:tc>
          <w:tcPr/>
          <w:p>
            <w:pPr>
              <w:pStyle w:val="918"/>
              <w:jc w:val="right"/>
            </w:pPr>
            <w:r>
              <w:t xml:space="preserve">1</w:t>
            </w:r>
          </w:p>
        </w:tc>
        <w:tc>
          <w:tcPr/>
          <w:p>
            <w:pPr>
              <w:pStyle w:val="918"/>
              <w:jc w:val="left"/>
            </w:pPr>
            <w:r>
              <w:t xml:space="preserve">Assegurar que os proc…</w:t>
            </w:r>
          </w:p>
        </w:tc>
      </w:tr>
      <w:tr>
        <w:tc>
          <w:tcPr/>
          <w:p>
            <w:pPr>
              <w:pStyle w:val="918"/>
              <w:jc w:val="left"/>
            </w:pPr>
            <w:r>
              <w:t xml:space="preserve">Verificar a r…</w:t>
            </w:r>
          </w:p>
        </w:tc>
        <w:tc>
          <w:tcPr/>
          <w:p>
            <w:pPr>
              <w:pStyle w:val="918"/>
              <w:jc w:val="left"/>
            </w:pPr>
            <w:r>
              <w:t xml:space="preserve">671314</w:t>
            </w:r>
          </w:p>
        </w:tc>
        <w:tc>
          <w:tcPr/>
          <w:p>
            <w:pPr>
              <w:pStyle w:val="918"/>
              <w:jc w:val="left"/>
            </w:pPr>
            <w:r>
              <w:t xml:space="preserve">No Processo de Dispen…</w:t>
            </w:r>
          </w:p>
        </w:tc>
        <w:tc>
          <w:tcPr/>
          <w:p>
            <w:pPr>
              <w:pStyle w:val="918"/>
              <w:jc w:val="right"/>
            </w:pPr>
            <w:r>
              <w:t xml:space="preserve">1</w:t>
            </w:r>
          </w:p>
        </w:tc>
        <w:tc>
          <w:tcPr/>
          <w:p>
            <w:pPr>
              <w:pStyle w:val="918"/>
              <w:jc w:val="left"/>
            </w:pPr>
            <w:r>
              <w:t xml:space="preserve">Adotar medidas que as…</w:t>
            </w:r>
          </w:p>
        </w:tc>
      </w:tr>
      <w:tr>
        <w:tc>
          <w:tcPr/>
          <w:p>
            <w:pPr>
              <w:pStyle w:val="918"/>
              <w:jc w:val="left"/>
            </w:pPr>
            <w:r>
              <w:t xml:space="preserve">Verificar a r…</w:t>
            </w:r>
          </w:p>
        </w:tc>
        <w:tc>
          <w:tcPr/>
          <w:p>
            <w:pPr>
              <w:pStyle w:val="918"/>
              <w:jc w:val="left"/>
            </w:pPr>
            <w:r>
              <w:t xml:space="preserve">671323</w:t>
            </w:r>
          </w:p>
        </w:tc>
        <w:tc>
          <w:tcPr/>
          <w:p>
            <w:pPr>
              <w:pStyle w:val="918"/>
              <w:jc w:val="left"/>
            </w:pPr>
            <w:r>
              <w:t xml:space="preserve">O Processo Administra…</w:t>
            </w:r>
          </w:p>
        </w:tc>
        <w:tc>
          <w:tcPr/>
          <w:p>
            <w:pPr>
              <w:pStyle w:val="918"/>
              <w:jc w:val="right"/>
            </w:pPr>
            <w:r>
              <w:t xml:space="preserve">1</w:t>
            </w:r>
          </w:p>
        </w:tc>
        <w:tc>
          <w:tcPr/>
          <w:p>
            <w:pPr>
              <w:pStyle w:val="918"/>
              <w:jc w:val="left"/>
            </w:pPr>
            <w:r>
              <w:t xml:space="preserve">Adotar medidas que as…</w:t>
            </w:r>
          </w:p>
        </w:tc>
      </w:tr>
    </w:tbl>
    <w:p>
      <w:pPr>
        <w:pStyle w:val="916"/>
      </w:pPr>
      <w:r>
        <w:t xml:space="preserve">O processo de categorização foi dividido em etapas correspondentes aos diferentes prompts definidos na pesquisa. Para cada</w:t>
      </w:r>
      <w:r>
        <w:t xml:space="preserve"> </w:t>
      </w:r>
      <w:r>
        <w:rPr>
          <w:i/>
          <w:iCs/>
        </w:rPr>
        <w:t xml:space="preserve">prompt</w:t>
      </w:r>
      <w:r>
        <w:t xml:space="preserve">, foi realizada uma chamada à API do fornecedor selecionado, e os resultados foram armazenados em arquivos organizados segundo o modelo descrito na próxima seção.</w:t>
      </w:r>
    </w:p>
    <w:p>
      <w:pPr>
        <w:pStyle w:val="916"/>
      </w:pPr>
      <w:r>
        <w:t xml:space="preserve">Ao final, os dados foram consolidados em um</w:t>
      </w:r>
      <w:r>
        <w:t xml:space="preserve"> </w:t>
      </w:r>
      <w:r>
        <w:rPr>
          <w:i/>
          <w:iCs/>
        </w:rPr>
        <w:t xml:space="preserve">dataset</w:t>
      </w:r>
      <w:r>
        <w:t xml:space="preserve"> </w:t>
      </w:r>
      <w:r>
        <w:t xml:space="preserve">final, que serviu de base para a análise.</w:t>
      </w:r>
    </w:p>
    <w:p>
      <w:pPr>
        <w:pStyle w:val="916"/>
      </w:pPr>
      <w:r>
        <w:t xml:space="preserve">A estrutura adotada para organização dos arquivos permitiu identificar eventuais chamadas com erro e repetir apenas essas interações, assegurando a obtenção completa dos resultados para o conjunto de recomendações analisado.</w:t>
      </w:r>
    </w:p>
    <w:bookmarkEnd w:id="102"/>
    <w:bookmarkStart w:id="103" w:name="organização-dos-dados"/>
    <w:p>
      <w:pPr>
        <w:pStyle w:val="906"/>
      </w:pPr>
      <w:r>
        <w:t xml:space="preserve">8.0.2 Organização dos Dados</w:t>
      </w:r>
    </w:p>
    <w:p>
      <w:pPr>
        <w:pStyle w:val="917"/>
      </w:pPr>
      <w:r>
        <w:t xml:space="preserve">Considerando que os fornecedores de LLMs disponibilizam múltiplos modelos e que a pesquisa faz uso de diferentes prompts, optou-se por estruturar os resultados de cada chamada à API em diretórios organizados de forma hierárquica. Essa estrutura leva em conta o identificador do prompt, bem como as variáveis fornecedor, modelo, nome do arquivo do relatório, número da constatação e número da recomendação. O padrão de nomenclatura adotado para os arquivos foi o seguinte:</w:t>
      </w:r>
    </w:p>
    <w:p>
      <w:pPr>
        <w:pStyle w:val="SourceCode"/>
      </w:pPr>
      <w:r>
        <w:rPr>
          <w:rStyle w:val="949"/>
        </w:rPr>
        <w:t xml:space="preserve">&lt;modelo&gt;\&lt;identificador_prompt&gt;\&lt;prefixo nome arquivo&gt;\&lt;# constatação&gt;_&lt;# recomendação&gt;.json</w:t>
      </w:r>
    </w:p>
    <w:p>
      <w:pPr>
        <w:pStyle w:val="917"/>
      </w:pPr>
      <w:r>
        <w:t xml:space="preserve">Onde:</w:t>
      </w:r>
    </w:p>
    <w:p>
      <w:pPr>
        <w:pStyle w:val="918"/>
        <w:numPr>
          <w:ilvl w:val="0"/>
          <w:numId w:val="1006"/>
        </w:numPr>
      </w:pPr>
      <w:r>
        <w:t xml:space="preserve">modelo: Nome do modelo (deepseek-chat, deepseek-reasoner, o4-mini etc.)</w:t>
      </w:r>
    </w:p>
    <w:p>
      <w:pPr>
        <w:pStyle w:val="918"/>
        <w:numPr>
          <w:ilvl w:val="0"/>
          <w:numId w:val="1006"/>
        </w:numPr>
      </w:pPr>
      <w:r>
        <w:t xml:space="preserve">prompt: nome do arquivo que contém o prompt sem a extensão (ex: prompt_1)</w:t>
      </w:r>
    </w:p>
    <w:p>
      <w:pPr>
        <w:pStyle w:val="918"/>
        <w:numPr>
          <w:ilvl w:val="0"/>
          <w:numId w:val="1006"/>
        </w:numPr>
      </w:pPr>
      <w:r>
        <w:t xml:space="preserve">prefixo nome arquivo: (nome do arquivo menos a extenção</w:t>
      </w:r>
      <w:r>
        <w:t xml:space="preserve"> </w:t>
      </w:r>
      <w:r>
        <w:t xml:space="preserve">“.pdf”</w:t>
      </w:r>
      <w:r>
        <w:t xml:space="preserve">)</w:t>
      </w:r>
    </w:p>
    <w:p>
      <w:pPr>
        <w:pStyle w:val="918"/>
        <w:numPr>
          <w:ilvl w:val="0"/>
          <w:numId w:val="1006"/>
        </w:numPr>
      </w:pPr>
      <w:r>
        <w:t xml:space="preserve"># constatação: número que identifica a constatação (extraído do texto do relatório)</w:t>
      </w:r>
    </w:p>
    <w:p>
      <w:pPr>
        <w:pStyle w:val="918"/>
        <w:numPr>
          <w:ilvl w:val="0"/>
          <w:numId w:val="1006"/>
        </w:numPr>
      </w:pPr>
      <w:r>
        <w:t xml:space="preserve"># recomendação: número que identifica a recomendação (numeração incremental criada para cada recomendação no contexto de uma constatação)</w:t>
      </w:r>
    </w:p>
    <w:p>
      <w:pPr>
        <w:pStyle w:val="918"/>
        <w:numPr>
          <w:ilvl w:val="0"/>
          <w:numId w:val="1006"/>
        </w:numPr>
      </w:pPr>
      <w:r>
        <w:t xml:space="preserve">.json sufixo padrão para arquivos no formato</w:t>
      </w:r>
      <w:r>
        <w:t xml:space="preserve"> </w:t>
      </w:r>
      <w:r>
        <w:rPr>
          <w:rStyle w:val="949"/>
        </w:rPr>
        <w:t xml:space="preserve">json</w:t>
      </w:r>
      <w:r>
        <w:t xml:space="preserve">, que é o formato usado pelas APIs.</w:t>
      </w:r>
    </w:p>
    <w:p>
      <w:pPr>
        <w:pStyle w:val="917"/>
      </w:pPr>
      <w:r>
        <w:t xml:space="preserve">Para identificar quais recomendações ainda não foram classificadas, foi gerado, no</w:t>
      </w:r>
      <w:r>
        <w:t xml:space="preserve"> </w:t>
      </w:r>
      <w:r>
        <w:rPr>
          <w:i/>
          <w:iCs/>
        </w:rPr>
        <w:t xml:space="preserve">dataframe</w:t>
      </w:r>
      <w:r>
        <w:t xml:space="preserve"> </w:t>
      </w:r>
      <w:r>
        <w:t xml:space="preserve">das recomendações, o nome do arquivo de destino para cada chamada, conforme o padrão descrito acima. Em seguida, foram filtradas apenas aquelas recomendações cujos respectivos arquivos ainda não constavam entre os já processados. Assim, quando todas as recomendações já tiverem sido classificadas e os arquivos correspondentes existirem, o filtro resultará em um</w:t>
      </w:r>
      <w:r>
        <w:t xml:space="preserve"> </w:t>
      </w:r>
      <w:r>
        <w:rPr>
          <w:i/>
          <w:iCs/>
        </w:rPr>
        <w:t xml:space="preserve">dataframe</w:t>
      </w:r>
      <w:r>
        <w:t xml:space="preserve"> </w:t>
      </w:r>
      <w:r>
        <w:t xml:space="preserve">vazio.</w:t>
      </w:r>
    </w:p>
    <w:p>
      <w:pPr>
        <w:pStyle w:val="916"/>
      </w:pPr>
      <w:r>
        <w:t xml:space="preserve">É importante destacar que, como o nome do arquivo de saída inclui o identificador do</w:t>
      </w:r>
      <w:r>
        <w:t xml:space="preserve"> </w:t>
      </w:r>
      <w:r>
        <w:rPr>
          <w:i/>
          <w:iCs/>
        </w:rPr>
        <w:t xml:space="preserve">prompt</w:t>
      </w:r>
      <w:r>
        <w:t xml:space="preserve">, o nome do fornecedor e o modelo utilizado, qualquer alteração em uma dessas variáveis implicará uma nova rodada de classificação, limitada ao que ainda não foi processado para a nova combinação prompt/modelo.</w:t>
      </w:r>
    </w:p>
    <w:bookmarkEnd w:id="103"/>
    <w:bookmarkStart w:id="104" w:name="implementação-das-funções-de-necessárias"/>
    <w:p>
      <w:pPr>
        <w:pStyle w:val="906"/>
      </w:pPr>
      <w:r>
        <w:t xml:space="preserve">8.0.3 Implementação das Funções de Necessárias</w:t>
      </w:r>
    </w:p>
    <w:p>
      <w:pPr>
        <w:pStyle w:val="917"/>
      </w:pPr>
      <w:r>
        <w:t xml:space="preserve">Com o modelo de organização de dados definido, estruturou-se o processo de chamadas à API em três etapas principais, descritas a seguir:</w:t>
      </w:r>
    </w:p>
    <w:p>
      <w:pPr>
        <w:pStyle w:val="918"/>
        <w:numPr>
          <w:ilvl w:val="0"/>
          <w:numId w:val="1007"/>
        </w:numPr>
      </w:pPr>
      <w:r>
        <w:t xml:space="preserve">A obtenção das recomendações não processadas consiste em gerar, no</w:t>
      </w:r>
      <w:r>
        <w:t xml:space="preserve"> </w:t>
      </w:r>
      <w:r>
        <w:rPr>
          <w:i/>
          <w:iCs/>
        </w:rPr>
        <w:t xml:space="preserve">dataframe,</w:t>
      </w:r>
      <w:r>
        <w:t xml:space="preserve"> </w:t>
      </w:r>
      <w:r>
        <w:t xml:space="preserve">uma coluna com o nome do arquivo onde a recomendação será salva, conforme detalhado na seção anterior. Com base nessa coluna, filtra-se apenas recomendações cujos arquivos ainda não existem no sistema de arquivos, compondo assim o conjunto de recomendações pendentes.</w:t>
      </w:r>
    </w:p>
    <w:p>
      <w:pPr>
        <w:pStyle w:val="918"/>
        <w:numPr>
          <w:ilvl w:val="0"/>
          <w:numId w:val="1007"/>
        </w:numPr>
      </w:pPr>
      <w:r>
        <w:t xml:space="preserve">Com as recomendações pendentes, é criada uma requisição (que representa uma chamada na API) por recomendação e executa-se todas essas chamadas usando-se a função</w:t>
      </w:r>
      <w:r>
        <w:t xml:space="preserve"> </w:t>
      </w:r>
      <w:r>
        <w:rPr>
          <w:rStyle w:val="949"/>
        </w:rPr>
        <w:t xml:space="preserve">req_perform_parallel</w:t>
      </w:r>
      <w:r>
        <w:t xml:space="preserve"> </w:t>
      </w:r>
      <w:r>
        <w:t xml:space="preserve">do pacote</w:t>
      </w:r>
      <w:r>
        <w:t xml:space="preserve"> </w:t>
      </w:r>
      <w:r>
        <w:rPr>
          <w:i/>
          <w:iCs/>
        </w:rPr>
        <w:t xml:space="preserve">httr2</w:t>
      </w:r>
      <w:r>
        <w:t xml:space="preserve"> </w:t>
      </w:r>
      <w:r>
        <w:t xml:space="preserve">(WICKHAM, 2025), o qual implementa todo o controle de chamadas em paralelo.</w:t>
      </w:r>
    </w:p>
    <w:p>
      <w:pPr>
        <w:pStyle w:val="918"/>
        <w:numPr>
          <w:ilvl w:val="0"/>
          <w:numId w:val="1007"/>
        </w:numPr>
      </w:pPr>
      <w:r>
        <w:t xml:space="preserve">Após o término das chamadas, salva-se o conteúdo de cada resposta em um arquivo</w:t>
      </w:r>
      <w:r>
        <w:t xml:space="preserve"> </w:t>
      </w:r>
      <w:r>
        <w:rPr>
          <w:rStyle w:val="949"/>
        </w:rPr>
        <w:t xml:space="preserve">.``json</w:t>
      </w:r>
      <w:r>
        <w:t xml:space="preserve"> </w:t>
      </w:r>
      <w:r>
        <w:t xml:space="preserve">conforme especificado na seção anterior para as chamadas que resultaram em sucesso.</w:t>
      </w:r>
    </w:p>
    <w:p>
      <w:pPr>
        <w:pStyle w:val="917"/>
      </w:pPr>
      <w:r>
        <w:t xml:space="preserve">O fluxo definido acima foi implementado pela função</w:t>
      </w:r>
      <w:r>
        <w:t xml:space="preserve"> </w:t>
      </w:r>
      <w:r>
        <w:rPr>
          <w:rStyle w:val="949"/>
        </w:rPr>
        <w:t xml:space="preserve">executa_chamadas</w:t>
      </w:r>
      <w:r>
        <w:t xml:space="preserve">, utilizada nas seções posteriores para operacionalizar as duas etapas definidas para o presente trabalho.</w:t>
      </w:r>
    </w:p>
    <w:p>
      <w:pPr>
        <w:pStyle w:val="916"/>
      </w:pPr>
      <w:r>
        <w:t xml:space="preserve">A seguir, apresenta-se o conjunto de funções criado para aplicar os prompts e armazenar os resultados:</w:t>
      </w:r>
    </w:p>
    <w:p>
      <w:pPr>
        <w:pStyle w:val="SourceCode"/>
      </w:pPr>
      <w:r>
        <w:rPr>
          <w:rStyle w:val="949"/>
        </w:rPr>
        <w:t xml:space="preserve">#' Função auxiliar que, dada uma pasta de saída, lê os arquivos .json, e</w:t>
      </w:r>
      <w:r>
        <w:br/>
      </w:r>
      <w:r>
        <w:rPr>
          <w:rStyle w:val="949"/>
        </w:rPr>
        <w:t xml:space="preserve">#' retorna o dataset recomendacoes filtrado contendo somente recomendações</w:t>
      </w:r>
      <w:r>
        <w:br/>
      </w:r>
      <w:r>
        <w:rPr>
          <w:rStyle w:val="949"/>
        </w:rPr>
        <w:t xml:space="preserve">#' cujo campo "Arquivo Saída" não consta na lista de arquivos existentes na pasta.</w:t>
      </w:r>
      <w:r>
        <w:br/>
      </w:r>
      <w:r>
        <w:rPr>
          <w:rStyle w:val="949"/>
        </w:rPr>
        <w:t xml:space="preserve">#' @param dataframe</w:t>
      </w:r>
      <w:r>
        <w:br/>
      </w:r>
      <w:r>
        <w:rPr>
          <w:rStyle w:val="949"/>
        </w:rPr>
        <w:t xml:space="preserve">#' @param pasta_saida</w:t>
      </w:r>
      <w:r>
        <w:br/>
      </w:r>
      <w:r>
        <w:rPr>
          <w:rStyle w:val="949"/>
        </w:rPr>
        <w:t xml:space="preserve">obtem_recomendacoes_pendentes &lt;- function(df, pasta_saida){</w:t>
      </w:r>
      <w:r>
        <w:br/>
      </w:r>
      <w:r>
        <w:rPr>
          <w:rStyle w:val="949"/>
        </w:rPr>
        <w:t xml:space="preserve">    recomendacoes_processadas &lt;- list.files(pasta_saida, "*.json$", full.names = TRUE, recursive = TRUE)</w:t>
      </w:r>
      <w:r>
        <w:br/>
      </w:r>
      <w:r>
        <w:rPr>
          <w:rStyle w:val="949"/>
        </w:rPr>
        <w:t xml:space="preserve">    df |&gt;</w:t>
      </w:r>
      <w:r>
        <w:br/>
      </w:r>
      <w:r>
        <w:rPr>
          <w:rStyle w:val="949"/>
        </w:rPr>
        <w:t xml:space="preserve">    filter(!(`Arquivo Saída` %in% recomendacoes_processadas))</w:t>
      </w:r>
      <w:r>
        <w:br/>
      </w:r>
      <w:r>
        <w:rPr>
          <w:rStyle w:val="949"/>
        </w:rPr>
        <w:t xml:space="preserve">}</w:t>
      </w:r>
      <w:r>
        <w:br/>
      </w:r>
      <w:r>
        <w:br/>
      </w:r>
      <w:r>
        <w:rPr>
          <w:rStyle w:val="949"/>
        </w:rPr>
        <w:t xml:space="preserve">#' Função auxiliar que, dado um dataframe com as colunas "Prompt" e "Arquivo Saída",</w:t>
      </w:r>
      <w:r>
        <w:br/>
      </w:r>
      <w:r>
        <w:rPr>
          <w:rStyle w:val="949"/>
        </w:rPr>
        <w:t xml:space="preserve">#' executa as chamadas à API com o system_prompt na role system e o conteúdo da coluna "Prompt"</w:t>
      </w:r>
      <w:r>
        <w:br/>
      </w:r>
      <w:r>
        <w:rPr>
          <w:rStyle w:val="949"/>
        </w:rPr>
        <w:t xml:space="preserve">#' na role user para cada registro do dataframe e salva o resultado</w:t>
      </w:r>
      <w:r>
        <w:br/>
      </w:r>
      <w:r>
        <w:rPr>
          <w:rStyle w:val="949"/>
        </w:rPr>
        <w:t xml:space="preserve">#' no arquivo com o caminho especificado em "Arquivo Saída"</w:t>
      </w:r>
      <w:r>
        <w:br/>
      </w:r>
      <w:r>
        <w:rPr>
          <w:rStyle w:val="949"/>
        </w:rPr>
        <w:t xml:space="preserve">#' @param dataframe dataframe com as colunas "Prompt" e "Arquivo Saída"</w:t>
      </w:r>
      <w:r>
        <w:br/>
      </w:r>
      <w:r>
        <w:rPr>
          <w:rStyle w:val="949"/>
        </w:rPr>
        <w:t xml:space="preserve">#' @param system_prompt string com o prompt para a role system</w:t>
      </w:r>
      <w:r>
        <w:br/>
      </w:r>
      <w:r>
        <w:rPr>
          <w:rStyle w:val="949"/>
        </w:rPr>
        <w:t xml:space="preserve">executa_chamadas &lt;- function(dataframe, system_prompt){</w:t>
      </w:r>
      <w:r>
        <w:br/>
      </w:r>
      <w:r>
        <w:rPr>
          <w:rStyle w:val="949"/>
        </w:rPr>
        <w:t xml:space="preserve">    </w:t>
      </w:r>
      <w:r>
        <w:br/>
      </w:r>
      <w:r>
        <w:rPr>
          <w:rStyle w:val="949"/>
        </w:rPr>
        <w:t xml:space="preserve">    if (!all(c("Prompt", "Arquivo Saída") %in% colnames(dataframe))) {</w:t>
      </w:r>
      <w:r>
        <w:br/>
      </w:r>
      <w:r>
        <w:rPr>
          <w:rStyle w:val="949"/>
        </w:rPr>
        <w:t xml:space="preserve">        stop("Dataframe precisa ter campos 'Prompt' e 'Arquivo Saída'")</w:t>
      </w:r>
      <w:r>
        <w:br/>
      </w:r>
      <w:r>
        <w:rPr>
          <w:rStyle w:val="949"/>
        </w:rPr>
        <w:t xml:space="preserve">    }</w:t>
      </w:r>
      <w:r>
        <w:br/>
      </w:r>
      <w:r>
        <w:rPr>
          <w:rStyle w:val="949"/>
        </w:rPr>
        <w:t xml:space="preserve">    </w:t>
      </w:r>
      <w:r>
        <w:br/>
      </w:r>
      <w:r>
        <w:rPr>
          <w:rStyle w:val="949"/>
        </w:rPr>
        <w:t xml:space="preserve">    sequencia &lt;- seq(1, nrow(dataframe))</w:t>
      </w:r>
      <w:r>
        <w:br/>
      </w:r>
      <w:r>
        <w:br/>
      </w:r>
      <w:r>
        <w:rPr>
          <w:rStyle w:val="949"/>
        </w:rPr>
        <w:t xml:space="preserve">    base_request &lt;- request("https://api.deepseek.com") |&gt; </w:t>
      </w:r>
      <w:r>
        <w:br/>
      </w:r>
      <w:r>
        <w:rPr>
          <w:rStyle w:val="949"/>
        </w:rPr>
        <w:t xml:space="preserve">                req_method("POST") |&gt; </w:t>
      </w:r>
      <w:r>
        <w:br/>
      </w:r>
      <w:r>
        <w:rPr>
          <w:rStyle w:val="949"/>
        </w:rPr>
        <w:t xml:space="preserve">                req_auth_bearer_token(Sys.getenv("API_KEY_DEEPSEEK")) |&gt;</w:t>
      </w:r>
      <w:r>
        <w:br/>
      </w:r>
      <w:r>
        <w:rPr>
          <w:rStyle w:val="949"/>
        </w:rPr>
        <w:t xml:space="preserve">                req_headers("Content-Type"= "application/json") |&gt;</w:t>
      </w:r>
      <w:r>
        <w:br/>
      </w:r>
      <w:r>
        <w:rPr>
          <w:rStyle w:val="949"/>
        </w:rPr>
        <w:t xml:space="preserve">                req_url_path("chat/completions") |&gt;</w:t>
      </w:r>
      <w:r>
        <w:br/>
      </w:r>
      <w:r>
        <w:rPr>
          <w:rStyle w:val="949"/>
        </w:rPr>
        <w:t xml:space="preserve">                req_throttle(capacity = 15, fill_time_s = 60)</w:t>
      </w:r>
      <w:r>
        <w:br/>
      </w:r>
      <w:r>
        <w:br/>
      </w:r>
      <w:r>
        <w:rPr>
          <w:rStyle w:val="949"/>
        </w:rPr>
        <w:t xml:space="preserve">    requests &lt;- map(sequencia,</w:t>
      </w:r>
      <w:r>
        <w:br/>
      </w:r>
      <w:r>
        <w:rPr>
          <w:rStyle w:val="949"/>
        </w:rPr>
        <w:t xml:space="preserve">            \(i) </w:t>
      </w:r>
      <w:r>
        <w:br/>
      </w:r>
      <w:r>
        <w:rPr>
          <w:rStyle w:val="949"/>
        </w:rPr>
        <w:t xml:space="preserve">            base_request |&gt;</w:t>
      </w:r>
      <w:r>
        <w:br/>
      </w:r>
      <w:r>
        <w:rPr>
          <w:rStyle w:val="949"/>
        </w:rPr>
        <w:t xml:space="preserve">            req_body_json(</w:t>
      </w:r>
      <w:r>
        <w:br/>
      </w:r>
      <w:r>
        <w:rPr>
          <w:rStyle w:val="949"/>
        </w:rPr>
        <w:t xml:space="preserve">                list(</w:t>
      </w:r>
      <w:r>
        <w:br/>
      </w:r>
      <w:r>
        <w:rPr>
          <w:rStyle w:val="949"/>
        </w:rPr>
        <w:t xml:space="preserve">                    "model" = modelo,</w:t>
      </w:r>
      <w:r>
        <w:br/>
      </w:r>
      <w:r>
        <w:rPr>
          <w:rStyle w:val="949"/>
        </w:rPr>
        <w:t xml:space="preserve">                    "messages" = list(</w:t>
      </w:r>
      <w:r>
        <w:br/>
      </w:r>
      <w:r>
        <w:rPr>
          <w:rStyle w:val="949"/>
        </w:rPr>
        <w:t xml:space="preserve">                        list(</w:t>
      </w:r>
      <w:r>
        <w:br/>
      </w:r>
      <w:r>
        <w:rPr>
          <w:rStyle w:val="949"/>
        </w:rPr>
        <w:t xml:space="preserve">                            "role" = "system",</w:t>
      </w:r>
      <w:r>
        <w:br/>
      </w:r>
      <w:r>
        <w:rPr>
          <w:rStyle w:val="949"/>
        </w:rPr>
        <w:t xml:space="preserve">                            "content" = system_prompt),</w:t>
      </w:r>
      <w:r>
        <w:br/>
      </w:r>
      <w:r>
        <w:rPr>
          <w:rStyle w:val="949"/>
        </w:rPr>
        <w:t xml:space="preserve">                        list(</w:t>
      </w:r>
      <w:r>
        <w:br/>
      </w:r>
      <w:r>
        <w:rPr>
          <w:rStyle w:val="949"/>
        </w:rPr>
        <w:t xml:space="preserve">                            "role" = "user",</w:t>
      </w:r>
      <w:r>
        <w:br/>
      </w:r>
      <w:r>
        <w:rPr>
          <w:rStyle w:val="949"/>
        </w:rPr>
        <w:t xml:space="preserve">                            "content" = dataframe[i, "Prompt"] |&gt; </w:t>
      </w:r>
      <w:r>
        <w:br/>
      </w:r>
      <w:r>
        <w:rPr>
          <w:rStyle w:val="949"/>
        </w:rPr>
        <w:t xml:space="preserve">                                        purrr::pluck(1) |&gt;</w:t>
      </w:r>
      <w:r>
        <w:br/>
      </w:r>
      <w:r>
        <w:rPr>
          <w:rStyle w:val="949"/>
        </w:rPr>
        <w:t xml:space="preserve">                                        stringr::str_trim())</w:t>
      </w:r>
      <w:r>
        <w:br/>
      </w:r>
      <w:r>
        <w:rPr>
          <w:rStyle w:val="949"/>
        </w:rPr>
        <w:t xml:space="preserve">                    ),</w:t>
      </w:r>
      <w:r>
        <w:br/>
      </w:r>
      <w:r>
        <w:rPr>
          <w:rStyle w:val="949"/>
        </w:rPr>
        <w:t xml:space="preserve">                    "stream" = FALSE,</w:t>
      </w:r>
      <w:r>
        <w:br/>
      </w:r>
      <w:r>
        <w:rPr>
          <w:rStyle w:val="949"/>
        </w:rPr>
        <w:t xml:space="preserve">                    "temperature" = 1.0,</w:t>
      </w:r>
      <w:r>
        <w:br/>
      </w:r>
      <w:r>
        <w:rPr>
          <w:rStyle w:val="949"/>
        </w:rPr>
        <w:t xml:space="preserve">                    "response_format" = list(</w:t>
      </w:r>
      <w:r>
        <w:br/>
      </w:r>
      <w:r>
        <w:rPr>
          <w:rStyle w:val="949"/>
        </w:rPr>
        <w:t xml:space="preserve">                        "type" = "json_object"</w:t>
      </w:r>
      <w:r>
        <w:br/>
      </w:r>
      <w:r>
        <w:rPr>
          <w:rStyle w:val="949"/>
        </w:rPr>
        <w:t xml:space="preserve">                    )</w:t>
      </w:r>
      <w:r>
        <w:br/>
      </w:r>
      <w:r>
        <w:rPr>
          <w:rStyle w:val="949"/>
        </w:rPr>
        <w:t xml:space="preserve">                ), </w:t>
      </w:r>
      <w:r>
        <w:br/>
      </w:r>
      <w:r>
        <w:rPr>
          <w:rStyle w:val="949"/>
        </w:rPr>
        <w:t xml:space="preserve">                auto_unbox = TRUE</w:t>
      </w:r>
      <w:r>
        <w:br/>
      </w:r>
      <w:r>
        <w:rPr>
          <w:rStyle w:val="949"/>
        </w:rPr>
        <w:t xml:space="preserve">            )</w:t>
      </w:r>
      <w:r>
        <w:br/>
      </w:r>
      <w:r>
        <w:rPr>
          <w:rStyle w:val="949"/>
        </w:rPr>
        <w:t xml:space="preserve">        )</w:t>
      </w:r>
      <w:r>
        <w:br/>
      </w:r>
      <w:r>
        <w:br/>
      </w:r>
      <w:r>
        <w:rPr>
          <w:rStyle w:val="949"/>
        </w:rPr>
        <w:t xml:space="preserve">    responses &lt;- req_perform_parallel(</w:t>
      </w:r>
      <w:r>
        <w:br/>
      </w:r>
      <w:r>
        <w:rPr>
          <w:rStyle w:val="949"/>
        </w:rPr>
        <w:t xml:space="preserve">                    requests, </w:t>
      </w:r>
      <w:r>
        <w:br/>
      </w:r>
      <w:r>
        <w:rPr>
          <w:rStyle w:val="949"/>
        </w:rPr>
        <w:t xml:space="preserve">                    on_error = "continue", </w:t>
      </w:r>
      <w:r>
        <w:br/>
      </w:r>
      <w:r>
        <w:rPr>
          <w:rStyle w:val="949"/>
        </w:rPr>
        <w:t xml:space="preserve">                    progress = TRUE)</w:t>
      </w:r>
      <w:r>
        <w:br/>
      </w:r>
      <w:r>
        <w:br/>
      </w:r>
      <w:r>
        <w:rPr>
          <w:rStyle w:val="949"/>
        </w:rPr>
        <w:t xml:space="preserve">    walk(sequencia, function(i) {</w:t>
      </w:r>
      <w:r>
        <w:br/>
      </w:r>
      <w:r>
        <w:rPr>
          <w:rStyle w:val="949"/>
        </w:rPr>
        <w:t xml:space="preserve">        resp &lt;- responses[[i]]</w:t>
      </w:r>
      <w:r>
        <w:br/>
      </w:r>
      <w:r>
        <w:br/>
      </w:r>
      <w:r>
        <w:rPr>
          <w:rStyle w:val="949"/>
        </w:rPr>
        <w:t xml:space="preserve">        arquivo_saida &lt;- dataframe[i, "Arquivo Saída"] |&gt; pluck(1)</w:t>
      </w:r>
      <w:r>
        <w:br/>
      </w:r>
      <w:r>
        <w:rPr>
          <w:rStyle w:val="949"/>
        </w:rPr>
        <w:t xml:space="preserve">        </w:t>
      </w:r>
      <w:r>
        <w:br/>
      </w:r>
      <w:r>
        <w:rPr>
          <w:rStyle w:val="949"/>
        </w:rPr>
        <w:t xml:space="preserve">        dir.create(dirname(arquivo_saida), showWarnings = FALSE, recursive = TRUE)</w:t>
      </w:r>
      <w:r>
        <w:br/>
      </w:r>
      <w:r>
        <w:br/>
      </w:r>
      <w:r>
        <w:rPr>
          <w:rStyle w:val="949"/>
        </w:rPr>
        <w:t xml:space="preserve">        resposta_ok &lt;- "httr2_response" %in% class(resp)  &amp;&amp; </w:t>
      </w:r>
      <w:r>
        <w:br/>
      </w:r>
      <w:r>
        <w:rPr>
          <w:rStyle w:val="949"/>
        </w:rPr>
        <w:t xml:space="preserve">                       resp$status_code == 200 &amp;&amp; </w:t>
      </w:r>
      <w:r>
        <w:br/>
      </w:r>
      <w:r>
        <w:rPr>
          <w:rStyle w:val="949"/>
        </w:rPr>
        <w:t xml:space="preserve">                       resp_has_body(resp)</w:t>
      </w:r>
      <w:r>
        <w:br/>
      </w:r>
      <w:r>
        <w:rPr>
          <w:rStyle w:val="949"/>
        </w:rPr>
        <w:t xml:space="preserve">        if (resposta_ok) {</w:t>
      </w:r>
      <w:r>
        <w:br/>
      </w:r>
      <w:r>
        <w:rPr>
          <w:rStyle w:val="949"/>
        </w:rPr>
        <w:t xml:space="preserve">            resp |&gt;</w:t>
      </w:r>
      <w:r>
        <w:br/>
      </w:r>
      <w:r>
        <w:rPr>
          <w:rStyle w:val="949"/>
        </w:rPr>
        <w:t xml:space="preserve">            resp_body_json(auto_unbox = TRUE) |&gt;</w:t>
      </w:r>
      <w:r>
        <w:br/>
      </w:r>
      <w:r>
        <w:rPr>
          <w:rStyle w:val="949"/>
        </w:rPr>
        <w:t xml:space="preserve">            jsonlite::toJSON(auto_unbox = TRUE, pretty = TRUE) |&gt;</w:t>
      </w:r>
      <w:r>
        <w:br/>
      </w:r>
      <w:r>
        <w:rPr>
          <w:rStyle w:val="949"/>
        </w:rPr>
        <w:t xml:space="preserve">            readr::write_file(arquivo_saida)</w:t>
      </w:r>
      <w:r>
        <w:br/>
      </w:r>
      <w:r>
        <w:rPr>
          <w:rStyle w:val="949"/>
        </w:rPr>
        <w:t xml:space="preserve">        }</w:t>
      </w:r>
      <w:r>
        <w:br/>
      </w:r>
      <w:r>
        <w:rPr>
          <w:rStyle w:val="949"/>
        </w:rPr>
        <w:t xml:space="preserve">    })</w:t>
      </w:r>
      <w:r>
        <w:br/>
      </w:r>
      <w:r>
        <w:rPr>
          <w:rStyle w:val="949"/>
        </w:rPr>
        <w:t xml:space="preserve">    invisible("Feito")</w:t>
      </w:r>
      <w:r>
        <w:br/>
      </w:r>
      <w:r>
        <w:rPr>
          <w:rStyle w:val="949"/>
        </w:rPr>
        <w:t xml:space="preserve">}</w:t>
      </w:r>
    </w:p>
    <w:p>
      <w:pPr>
        <w:pStyle w:val="917"/>
      </w:pPr>
      <w:r>
        <w:t xml:space="preserve">A partir da leitura do conteúdo da função</w:t>
      </w:r>
      <w:r>
        <w:t xml:space="preserve"> </w:t>
      </w:r>
      <w:r>
        <w:rPr>
          <w:rStyle w:val="949"/>
        </w:rPr>
        <w:t xml:space="preserve">executa_chamadas``,</w:t>
      </w:r>
      <w:r>
        <w:t xml:space="preserve"> </w:t>
      </w:r>
      <w:r>
        <w:t xml:space="preserve">definida acima, observa-se que a lista de mensagens enviada em cada chamada à API possui duas entradas: uma para o papel (</w:t>
      </w:r>
      <w:r>
        <w:rPr>
          <w:i/>
          <w:iCs/>
        </w:rPr>
        <w:t xml:space="preserve">role</w:t>
      </w:r>
      <w:r>
        <w:t xml:space="preserve">)</w:t>
      </w:r>
      <w:r>
        <w:t xml:space="preserve"> </w:t>
      </w:r>
      <w:r>
        <w:rPr>
          <w:rStyle w:val="949"/>
        </w:rPr>
        <w:t xml:space="preserve">system</w:t>
      </w:r>
      <w:r>
        <w:t xml:space="preserve"> </w:t>
      </w:r>
      <w:r>
        <w:t xml:space="preserve">e outra para o papel (</w:t>
      </w:r>
      <w:r>
        <w:rPr>
          <w:i/>
          <w:iCs/>
        </w:rPr>
        <w:t xml:space="preserve">user</w:t>
      </w:r>
      <w:r>
        <w:t xml:space="preserve">). Dessa forma, as etapas subsequentes utilizam as funções definidas acima, manipulando essas variáveis para implementar as etapas propostas no processo de classificação.</w:t>
      </w:r>
    </w:p>
    <w:p>
      <w:pPr>
        <w:pStyle w:val="916"/>
      </w:pPr>
      <w:r>
        <w:t xml:space="preserve">Para tabular os dados produzidos, deve-se ler os arquivos</w:t>
      </w:r>
      <w:r>
        <w:t xml:space="preserve"> </w:t>
      </w:r>
      <w:r>
        <w:rPr>
          <w:rStyle w:val="949"/>
        </w:rPr>
        <w:t xml:space="preserve">.``json</w:t>
      </w:r>
      <w:r>
        <w:t xml:space="preserve"> </w:t>
      </w:r>
      <w:r>
        <w:t xml:space="preserve">gerados, associando-os às suas respectivas recomendações. Para tanto, utilizam-se as informações contidas na própria estrutura de diretórios e nos nomes dos arquivos</w:t>
      </w:r>
      <w:r>
        <w:t xml:space="preserve"> </w:t>
      </w:r>
      <w:r>
        <w:rPr>
          <w:rStyle w:val="949"/>
        </w:rPr>
        <w:t xml:space="preserve">.``json``,</w:t>
      </w:r>
      <w:r>
        <w:t xml:space="preserve"> </w:t>
      </w:r>
      <w:r>
        <w:t xml:space="preserve">que permitem criar a chave necessária para realizar essa associação.</w:t>
      </w:r>
    </w:p>
    <w:p>
      <w:pPr>
        <w:pStyle w:val="916"/>
      </w:pPr>
      <w:r>
        <w:t xml:space="preserve">Ressalta-se terem sido utizados os pacotes</w:t>
      </w:r>
      <w:r>
        <w:t xml:space="preserve"> </w:t>
      </w:r>
      <w:r>
        <w:rPr>
          <w:i/>
          <w:iCs/>
        </w:rPr>
        <w:t xml:space="preserve">foreach</w:t>
      </w:r>
      <w:r>
        <w:t xml:space="preserve"> </w:t>
      </w:r>
      <w:r>
        <w:t xml:space="preserve">(MICROSOFT &amp; WESTON, 2022) e</w:t>
      </w:r>
      <w:r>
        <w:t xml:space="preserve"> </w:t>
      </w:r>
      <w:r>
        <w:rPr>
          <w:i/>
          <w:iCs/>
        </w:rPr>
        <w:t xml:space="preserve">doParallel</w:t>
      </w:r>
      <w:r>
        <w:t xml:space="preserve"> </w:t>
      </w:r>
      <w:r>
        <w:t xml:space="preserve">(CORPORATION &amp; WESTON, 2022) para executar a leitura desses arquivos em paralelo.</w:t>
      </w:r>
    </w:p>
    <w:bookmarkEnd w:id="104"/>
    <w:bookmarkStart w:id="105" w:name="etapa-codificação"/>
    <w:p>
      <w:pPr>
        <w:pStyle w:val="906"/>
      </w:pPr>
      <w:r>
        <w:t xml:space="preserve">8.0.4 Etapa Codificação</w:t>
      </w:r>
    </w:p>
    <w:p>
      <w:pPr>
        <w:pStyle w:val="SourceCode"/>
      </w:pPr>
      <w:r>
        <w:rPr>
          <w:rStyle w:val="949"/>
        </w:rPr>
        <w:t xml:space="preserve">prompt &lt;- "cls_cod_2"</w:t>
      </w:r>
      <w:r>
        <w:br/>
      </w:r>
      <w:r>
        <w:br/>
      </w:r>
      <w:r>
        <w:rPr>
          <w:rStyle w:val="949"/>
        </w:rPr>
        <w:t xml:space="preserve">cat("\nPrompt *role* `system`:\n\n")</w:t>
      </w:r>
    </w:p>
    <w:p>
      <w:pPr>
        <w:pStyle w:val="917"/>
      </w:pPr>
      <w:r>
        <w:t xml:space="preserve">Prompt</w:t>
      </w:r>
      <w:r>
        <w:t xml:space="preserve"> </w:t>
      </w:r>
      <w:r>
        <w:rPr>
          <w:i/>
          <w:iCs/>
        </w:rPr>
        <w:t xml:space="preserve">role</w:t>
      </w:r>
      <w:r>
        <w:t xml:space="preserve"> </w:t>
      </w:r>
      <w:r>
        <w:rPr>
          <w:rStyle w:val="949"/>
        </w:rPr>
        <w:t xml:space="preserve">system</w:t>
      </w:r>
      <w:r>
        <w:t xml:space="preserve">:</w:t>
      </w:r>
    </w:p>
    <w:p>
      <w:pPr>
        <w:pStyle w:val="SourceCode"/>
      </w:pPr>
      <w:r>
        <w:rPr>
          <w:rStyle w:val="949"/>
        </w:rPr>
        <w:t xml:space="preserve">cat_system_prompt(prompt)</w:t>
      </w:r>
      <w:r>
        <w:br/>
      </w:r>
      <w:r>
        <w:rPr>
          <w:rStyle w:val="949"/>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Caso a recomendação não contenha uma recomendação de fato, responda "Não se aplica" para os dois critérios.</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 foco, a recomendação... Ja em relação aos efeitos pretendidos pela recomendação...",</w:t>
      </w:r>
      <w:r>
        <w:br/>
      </w:r>
      <w:r>
        <w:rPr>
          <w:rStyle w:val="949"/>
        </w:rPr>
        <w:t xml:space="preserve">   "Foco Causa": "Sim",</w:t>
      </w:r>
      <w:r>
        <w:br/>
      </w:r>
      <w:r>
        <w:rPr>
          <w:rStyle w:val="949"/>
        </w:rPr>
        <w:t xml:space="preserve">   "Efeitos Duradouros": "Sim"</w:t>
      </w:r>
      <w:r>
        <w:br/>
      </w:r>
      <w:r>
        <w:rPr>
          <w:rStyle w:val="949"/>
        </w:rPr>
        <w:t xml:space="preserve">}</w:t>
      </w:r>
      <w:r>
        <w:br/>
      </w:r>
      <w:r>
        <w:br/>
      </w:r>
      <w:r>
        <w:rPr>
          <w:rStyle w:val="949"/>
        </w:rPr>
        <w:t xml:space="preserve">template &lt;- "Finalidade da auditoria: {Finalidade}\n\n</w:t>
      </w:r>
      <w:r>
        <w:br/>
      </w:r>
      <w:r>
        <w:rPr>
          <w:rStyle w:val="949"/>
        </w:rPr>
        <w:t xml:space="preserve">Constatação:\n\n{`Constatação`}\n\n</w:t>
      </w:r>
      <w:r>
        <w:br/>
      </w:r>
      <w:r>
        <w:rPr>
          <w:rStyle w:val="949"/>
        </w:rPr>
        <w:t xml:space="preserve">Recomendação:\n\n{`Recomendação`}"</w:t>
      </w:r>
      <w:r>
        <w:br/>
      </w:r>
      <w:r>
        <w:br/>
      </w:r>
      <w:r>
        <w:rPr>
          <w:rStyle w:val="949"/>
        </w:rPr>
        <w:t xml:space="preserve">dataframe_adaptado &lt;- recomendacoes |&gt;</w:t>
      </w:r>
      <w:r>
        <w:br/>
      </w:r>
      <w:r>
        <w:rPr>
          <w:rStyle w:val="949"/>
        </w:rPr>
        <w:t xml:space="preserve">    adapta_dataframe(obtem_pasta(prompt) , template) </w:t>
      </w:r>
      <w:r>
        <w:br/>
      </w:r>
      <w:r>
        <w:br/>
      </w:r>
      <w:r>
        <w:rPr>
          <w:rStyle w:val="949"/>
        </w:rPr>
        <w:t xml:space="preserve">cat("\nExemplo prompt *role* `user`:\n\n")</w:t>
      </w:r>
    </w:p>
    <w:p>
      <w:pPr>
        <w:pStyle w:val="917"/>
      </w:pPr>
      <w:r>
        <w:t xml:space="preserve">Exemplo</w:t>
      </w:r>
      <w:r>
        <w:t xml:space="preserve"> </w:t>
      </w:r>
      <w:r>
        <w:rPr>
          <w:i/>
          <w:iCs/>
        </w:rPr>
        <w:t xml:space="preserve">prompt role</w:t>
      </w:r>
      <w:r>
        <w:t xml:space="preserve"> </w:t>
      </w:r>
      <w:r>
        <w:rPr>
          <w:rStyle w:val="949"/>
        </w:rPr>
        <w:t xml:space="preserve">user</w:t>
      </w:r>
      <w:r>
        <w:t xml:space="preserve">:</w:t>
      </w:r>
    </w:p>
    <w:p>
      <w:pPr>
        <w:pStyle w:val="SourceCode"/>
      </w:pPr>
      <w:r>
        <w:rPr>
          <w:rStyle w:val="949"/>
        </w:rPr>
        <w:t xml:space="preserve">cat_exemplo_prompt(dataframe_adaptado)</w:t>
      </w:r>
      <w:r>
        <w:br/>
      </w:r>
      <w:r>
        <w:rPr>
          <w:rStyle w:val="949"/>
        </w:rPr>
        <w:t xml:space="preserve">Finalidade da auditoria: Ver. a regular. na execução do Contrato de Gestão (SAMU e UBS), entre mun. Catanduva e a Pró-Saúde.</w:t>
      </w:r>
      <w:r>
        <w:br/>
      </w:r>
      <w:r>
        <w:br/>
      </w:r>
      <w:r>
        <w:br/>
      </w:r>
      <w:r>
        <w:rPr>
          <w:rStyle w:val="949"/>
        </w:rPr>
        <w:t xml:space="preserve">Constatação:</w:t>
      </w:r>
      <w:r>
        <w:br/>
      </w:r>
      <w:r>
        <w:br/>
      </w:r>
      <w:r>
        <w:rPr>
          <w:rStyle w:val="949"/>
        </w:rPr>
        <w:t xml:space="preserve">Secretaria Municipal de Saúde de Catanduva realizou pagamentos para a Pró Saúde Associação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br/>
      </w:r>
      <w:r>
        <w:rPr>
          <w:rStyle w:val="949"/>
        </w:rPr>
        <w:t xml:space="preserve">Recomendação:</w:t>
      </w:r>
      <w:r>
        <w:br/>
      </w:r>
      <w:r>
        <w:br/>
      </w:r>
      <w:r>
        <w:rPr>
          <w:rStyle w:val="949"/>
        </w:rPr>
        <w:t xml:space="preserve">Confirmar a prestação dos serviços e liquidar a despesa mediante a verificação do direito adquirido pelo credor tendo por base os títulos e documentos comprobatórios do respectivo crédito de acordo com os itens I,II e III, do § 2º do art. 63 da Lei Federal 4.320 de 17/03/64 que diz que a liquidação da despesa por fornecimentos feitos ou serviços prestados terá como base: o contrato, ajustes ou acordo respectivos e os comprovantes de entrega de material ou prestação efetiva do serviço, a Lei Federal nº 8.666, de 21/06/93, art. 66 que diz que o contrato deverá ser executado fielmente pelas partes, de acordo com as cláusulas avençadas, artigo 112 que diz que quando o objeto do contrato interessar a mais de uma entidade pública caberá ao órgão contratante, perante a entidade interessada, responder pela sua boa execução, fiscalização e pagamento, combinado com o artigo 116 que diz que aplicam-se as disposições desta Lei, no que couber, aos convênios, acordos ajustes e outros instrumentos congêneres celebrados por órgão e entidades da administração, o Parágrafo único do artigo 70 da Constituição Federal, de 05 de outubro de 1988 que diz que prestará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949"/>
        </w:rPr>
        <w:t xml:space="preserve">recomendacoes_pendentes &lt;- dataframe_adaptado |&gt;</w:t>
      </w:r>
      <w:r>
        <w:br/>
      </w:r>
      <w:r>
        <w:rPr>
          <w:rStyle w:val="949"/>
        </w:rPr>
        <w:t xml:space="preserve">    obtem_recomendacoes_pendentes(obtem_pasta(prompt)) </w:t>
      </w:r>
      <w:r>
        <w:br/>
      </w:r>
      <w:r>
        <w:br/>
      </w:r>
      <w:r>
        <w:rPr>
          <w:rStyle w:val="949"/>
        </w:rPr>
        <w:t xml:space="preserve">if (nrow(recomendacoes_pendentes) &gt; 0 ){     </w:t>
      </w:r>
      <w:r>
        <w:br/>
      </w:r>
      <w:r>
        <w:rPr>
          <w:rStyle w:val="949"/>
        </w:rPr>
        <w:t xml:space="preserve">    executa_chamadas(recomendacoes_pendentes, obtem_prompt_system(prompt))</w:t>
      </w:r>
      <w:r>
        <w:br/>
      </w:r>
      <w:r>
        <w:rPr>
          <w:rStyle w:val="949"/>
        </w:rPr>
        <w:t xml:space="preserve">    consolida_resultados(prompt)</w:t>
      </w:r>
      <w:r>
        <w:br/>
      </w:r>
      <w:r>
        <w:rPr>
          <w:rStyle w:val="949"/>
        </w:rPr>
        <w:t xml:space="preserve">}</w:t>
      </w:r>
    </w:p>
    <w:bookmarkEnd w:id="105"/>
    <w:bookmarkStart w:id="106" w:name="etapa-de-crítica-da-categorização"/>
    <w:p>
      <w:pPr>
        <w:pStyle w:val="906"/>
      </w:pPr>
      <w:r>
        <w:t xml:space="preserve">8.0.5 Etapa de Crítica da Categorização</w:t>
      </w:r>
    </w:p>
    <w:p>
      <w:pPr>
        <w:pStyle w:val="SourceCode"/>
      </w:pPr>
      <w:r>
        <w:rPr>
          <w:rStyle w:val="949"/>
        </w:rPr>
        <w:t xml:space="preserve">prompt_crit &lt;- "cls_crit_2"</w:t>
      </w:r>
      <w:r>
        <w:br/>
      </w:r>
      <w:r>
        <w:br/>
      </w:r>
      <w:r>
        <w:rPr>
          <w:rStyle w:val="949"/>
        </w:rPr>
        <w:t xml:space="preserve">cat("\nPrompt *role* `system`:\n\n")</w:t>
      </w:r>
    </w:p>
    <w:p>
      <w:pPr>
        <w:pStyle w:val="917"/>
      </w:pPr>
      <w:r>
        <w:rPr>
          <w:i/>
          <w:iCs/>
        </w:rPr>
        <w:t xml:space="preserve">Prompt role</w:t>
      </w:r>
      <w:r>
        <w:t xml:space="preserve"> </w:t>
      </w:r>
      <w:r>
        <w:rPr>
          <w:rStyle w:val="949"/>
        </w:rPr>
        <w:t xml:space="preserve">system</w:t>
      </w:r>
      <w:r>
        <w:t xml:space="preserve">:</w:t>
      </w:r>
    </w:p>
    <w:p>
      <w:pPr>
        <w:pStyle w:val="SourceCode"/>
      </w:pPr>
      <w:r>
        <w:rPr>
          <w:rStyle w:val="949"/>
        </w:rPr>
        <w:t xml:space="preserve">cat_system_prompt(prompt_crit)</w:t>
      </w:r>
      <w:r>
        <w:br/>
      </w:r>
      <w:r>
        <w:rPr>
          <w:rStyle w:val="949"/>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949"/>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949"/>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949"/>
        </w:rPr>
        <w:t xml:space="preserve">Agora, o usuário pesquisador pretende que seja feita uma análise crítica da classificação realizada. </w:t>
      </w:r>
      <w:r>
        <w:br/>
      </w:r>
      <w:r>
        <w:br/>
      </w:r>
      <w:r>
        <w:rPr>
          <w:rStyle w:val="949"/>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949"/>
        </w:rPr>
        <w:t xml:space="preserve">Sua função será realizar uma análise crítica da classificação para cada critério e emitir um juízo, que poderá ser materializado nos seguintes sentidos: "Concordo" ou "Discordo". </w:t>
      </w:r>
      <w:r>
        <w:br/>
      </w:r>
      <w:r>
        <w:br/>
      </w:r>
      <w:r>
        <w:rPr>
          <w:rStyle w:val="949"/>
        </w:rPr>
        <w:t xml:space="preserve">Formate sua resposta no formato Json com a seguinte estrutura:</w:t>
      </w:r>
      <w:r>
        <w:br/>
      </w:r>
      <w:r>
        <w:br/>
      </w:r>
      <w:r>
        <w:rPr>
          <w:rStyle w:val="949"/>
        </w:rPr>
        <w:t xml:space="preserve">EXAMPLE JSON OUTPUT:</w:t>
      </w:r>
      <w:r>
        <w:br/>
      </w:r>
      <w:r>
        <w:br/>
      </w:r>
      <w:r>
        <w:rPr>
          <w:rStyle w:val="949"/>
        </w:rPr>
        <w:t xml:space="preserve">{</w:t>
      </w:r>
      <w:r>
        <w:br/>
      </w:r>
      <w:r>
        <w:rPr>
          <w:rStyle w:val="949"/>
        </w:rPr>
        <w:t xml:space="preserve">   "Análise Crítica": "Em relação ao critério...",</w:t>
      </w:r>
      <w:r>
        <w:br/>
      </w:r>
      <w:r>
        <w:rPr>
          <w:rStyle w:val="949"/>
        </w:rPr>
        <w:t xml:space="preserve">   "Análise Foco Causa": "Concordo",</w:t>
      </w:r>
      <w:r>
        <w:br/>
      </w:r>
      <w:r>
        <w:rPr>
          <w:rStyle w:val="949"/>
        </w:rPr>
        <w:t xml:space="preserve">   "Análise Efeitos Duradouros": "Discordo"</w:t>
      </w:r>
      <w:r>
        <w:br/>
      </w:r>
      <w:r>
        <w:rPr>
          <w:rStyle w:val="949"/>
        </w:rPr>
        <w:t xml:space="preserve">}</w:t>
      </w:r>
      <w:r>
        <w:br/>
      </w:r>
      <w:r>
        <w:br/>
      </w:r>
      <w:r>
        <w:rPr>
          <w:rStyle w:val="949"/>
        </w:rPr>
        <w:t xml:space="preserve">df_codificacao &lt;- read_rds(obtem_nome_arquivo_resultados(prompt))</w:t>
      </w:r>
      <w:r>
        <w:br/>
      </w:r>
      <w:r>
        <w:br/>
      </w:r>
      <w:r>
        <w:rPr>
          <w:rStyle w:val="949"/>
        </w:rPr>
        <w:t xml:space="preserve">template_prompt_crit &lt;- "Finalidade da auditoria: {Finalidade}\n</w:t>
      </w:r>
      <w:r>
        <w:br/>
      </w:r>
      <w:r>
        <w:rPr>
          <w:rStyle w:val="949"/>
        </w:rPr>
        <w:t xml:space="preserve">Constatação: {`Constatação`}\n</w:t>
      </w:r>
      <w:r>
        <w:br/>
      </w:r>
      <w:r>
        <w:rPr>
          <w:rStyle w:val="949"/>
        </w:rPr>
        <w:t xml:space="preserve">Recomendação: {`Recomendação`}\n</w:t>
      </w:r>
      <w:r>
        <w:br/>
      </w:r>
      <w:r>
        <w:rPr>
          <w:rStyle w:val="949"/>
        </w:rPr>
        <w:t xml:space="preserve">Análise Codificação: {`Análise`}\n</w:t>
      </w:r>
      <w:r>
        <w:br/>
      </w:r>
      <w:r>
        <w:rPr>
          <w:rStyle w:val="949"/>
        </w:rPr>
        <w:t xml:space="preserve">- Foco Causa: {`Foco Causa`}</w:t>
      </w:r>
      <w:r>
        <w:br/>
      </w:r>
      <w:r>
        <w:rPr>
          <w:rStyle w:val="949"/>
        </w:rPr>
        <w:t xml:space="preserve">- Efeitos Duradouros: {`Efeitos Duradouros`}\n"</w:t>
      </w:r>
      <w:r>
        <w:br/>
      </w:r>
      <w:r>
        <w:br/>
      </w:r>
      <w:r>
        <w:rPr>
          <w:rStyle w:val="949"/>
        </w:rPr>
        <w:t xml:space="preserve">recomendacoes_prompt_crit &lt;- recomendacoes |&gt;</w:t>
      </w:r>
      <w:r>
        <w:br/>
      </w:r>
      <w:r>
        <w:rPr>
          <w:rStyle w:val="949"/>
        </w:rPr>
        <w:t xml:space="preserve">    adapta_dataframe(obtem_pasta(prompt), "") |&gt;</w:t>
      </w:r>
      <w:r>
        <w:br/>
      </w:r>
      <w:r>
        <w:rPr>
          <w:rStyle w:val="949"/>
        </w:rPr>
        <w:t xml:space="preserve">    select(`Arquivo`, `Arquivo Saída`, Finalidade, `# Constatação`, `Constatação`, `# Recomendação`, `Recomendação`) |&gt;</w:t>
      </w:r>
      <w:r>
        <w:br/>
      </w:r>
      <w:r>
        <w:rPr>
          <w:rStyle w:val="949"/>
        </w:rPr>
        <w:t xml:space="preserve">    left_join(</w:t>
      </w:r>
      <w:r>
        <w:br/>
      </w:r>
      <w:r>
        <w:rPr>
          <w:rStyle w:val="949"/>
        </w:rPr>
        <w:t xml:space="preserve">        df_codificacao |&gt;</w:t>
      </w:r>
      <w:r>
        <w:br/>
      </w:r>
      <w:r>
        <w:rPr>
          <w:rStyle w:val="949"/>
        </w:rPr>
        <w:t xml:space="preserve">        select(-finish_reason, -erro) |&gt;</w:t>
      </w:r>
      <w:r>
        <w:br/>
      </w:r>
      <w:r>
        <w:rPr>
          <w:rStyle w:val="949"/>
        </w:rPr>
        <w:t xml:space="preserve">        mutate(`Efeitos Duradouros` = str_to_sentence(`Efeitos Duradouros`)),</w:t>
      </w:r>
      <w:r>
        <w:br/>
      </w:r>
      <w:r>
        <w:rPr>
          <w:rStyle w:val="949"/>
        </w:rPr>
        <w:t xml:space="preserve">        by = c("Arquivo Saída" = "arquivo")</w:t>
      </w:r>
      <w:r>
        <w:br/>
      </w:r>
      <w:r>
        <w:rPr>
          <w:rStyle w:val="949"/>
        </w:rPr>
        <w:t xml:space="preserve">    ) |&gt;</w:t>
      </w:r>
      <w:r>
        <w:br/>
      </w:r>
      <w:r>
        <w:rPr>
          <w:rStyle w:val="949"/>
        </w:rPr>
        <w:t xml:space="preserve">    select(!c(`Arquivo Saída`)) |&gt;</w:t>
      </w:r>
      <w:r>
        <w:br/>
      </w:r>
      <w:r>
        <w:rPr>
          <w:rStyle w:val="949"/>
        </w:rPr>
        <w:t xml:space="preserve">    adapta_dataframe(obtem_pasta(prompt_crit), template_prompt_crit)</w:t>
      </w:r>
      <w:r>
        <w:br/>
      </w:r>
      <w:r>
        <w:br/>
      </w:r>
      <w:r>
        <w:rPr>
          <w:rStyle w:val="949"/>
        </w:rPr>
        <w:t xml:space="preserve">cat("\nExemplo prompt *role* `user`:\n\n")</w:t>
      </w:r>
    </w:p>
    <w:p>
      <w:pPr>
        <w:pStyle w:val="917"/>
      </w:pPr>
      <w:r>
        <w:t xml:space="preserve">Exemplo</w:t>
      </w:r>
      <w:r>
        <w:t xml:space="preserve"> </w:t>
      </w:r>
      <w:r>
        <w:rPr>
          <w:i/>
          <w:iCs/>
        </w:rPr>
        <w:t xml:space="preserve">prompt</w:t>
      </w:r>
      <w:r>
        <w:t xml:space="preserve"> </w:t>
      </w:r>
      <w:r>
        <w:rPr>
          <w:i/>
          <w:iCs/>
        </w:rPr>
        <w:t xml:space="preserve">role</w:t>
      </w:r>
      <w:r>
        <w:t xml:space="preserve"> </w:t>
      </w:r>
      <w:r>
        <w:rPr>
          <w:rStyle w:val="949"/>
        </w:rPr>
        <w:t xml:space="preserve">user</w:t>
      </w:r>
      <w:r>
        <w:t xml:space="preserve">:</w:t>
      </w:r>
    </w:p>
    <w:p>
      <w:pPr>
        <w:pStyle w:val="SourceCode"/>
      </w:pPr>
      <w:r>
        <w:rPr>
          <w:rStyle w:val="949"/>
        </w:rPr>
        <w:t xml:space="preserve">cat_exemplo_prompt(recomendacoes_prompt_crit)</w:t>
      </w:r>
      <w:r>
        <w:br/>
      </w:r>
      <w:r>
        <w:rPr>
          <w:rStyle w:val="949"/>
        </w:rPr>
        <w:t xml:space="preserve">Finalidade da auditoria: Ver. a regular. na execução do Contrato de Gestão (SAMU e UBS), entre mun. Catanduva e a Pró-Saúde.</w:t>
      </w:r>
      <w:r>
        <w:br/>
      </w:r>
      <w:r>
        <w:br/>
      </w:r>
      <w:r>
        <w:rPr>
          <w:rStyle w:val="949"/>
        </w:rPr>
        <w:t xml:space="preserve">Constatação: Secretaria Municipal de Saúde de Catanduva realizou pagamentos para a Pró Saúde Associação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rPr>
          <w:rStyle w:val="949"/>
        </w:rPr>
        <w:t xml:space="preserve">Recomendação: Confirmar a prestação dos serviços e liquidar a despesa mediante a verificação do direito adquirido pelo credor tendo por base os títulos e documentos comprobatórios do respectivo crédito de acordo com os itens I,II e III, do § 2º do art. 63 da Lei Federal 4.320 de 17/03/64 que diz que a liquidação da despesa por fornecimentos feitos ou serviços prestados terá como base: o contrato, ajustes ou acordo respectivos e os comprovantes de entrega de material ou prestação efetiva do serviço, a Lei Federal nº 8.666, de 21/06/93, art. 66 que diz que o contrato deverá ser executado fielmente pelas partes, de acordo com as cláusulas avençadas, artigo 112 que diz que quando o objeto do contrato interessar a mais de uma entidade pública caberá ao órgão contratante, perante a entidade interessada, responder pela sua boa execução, fiscalização e pagamento, combinado com o artigo 116 que diz que aplicam-se as disposições desta Lei, no que couber, aos convênios, acordos ajustes e outros instrumentos congêneres celebrados por órgão e entidades da administração, o Parágrafo único do artigo 70 da Constituição Federal, de 05 de outubro de 1988 que diz que prestará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949"/>
        </w:rPr>
        <w:t xml:space="preserve">Análise Codificação: Em relação ao foco, a recomendação propõe a confirmação da prestação dos serviços e a liquidação da despesa mediante verificação de documentos comprobatórios, o que visa corrigir a condição específica de pagamentos sem comprovação, mas não aborda ações para prevenir a causa raiz do problema, como falhas nos processos de controle ou fiscalização. Já em relação aos efeitos duradouros, como o critério 'Foco Causa' não é atendido, esta análise não se aplica.</w:t>
      </w:r>
      <w:r>
        <w:br/>
      </w:r>
      <w:r>
        <w:br/>
      </w:r>
      <w:r>
        <w:rPr>
          <w:rStyle w:val="949"/>
        </w:rPr>
        <w:t xml:space="preserve">- Foco Causa: Não</w:t>
      </w:r>
      <w:r>
        <w:br/>
      </w:r>
      <w:r>
        <w:rPr>
          <w:rStyle w:val="949"/>
        </w:rPr>
        <w:t xml:space="preserve">- Efeitos Duradouros: Não se aplica</w:t>
      </w:r>
      <w:r>
        <w:br/>
      </w:r>
      <w:r>
        <w:br/>
      </w:r>
      <w:r>
        <w:rPr>
          <w:rStyle w:val="949"/>
        </w:rPr>
        <w:t xml:space="preserve">recomendacoes_pendentes_prompt_crit &lt;- recomendacoes_prompt_crit |&gt;</w:t>
      </w:r>
      <w:r>
        <w:br/>
      </w:r>
      <w:r>
        <w:rPr>
          <w:rStyle w:val="949"/>
        </w:rPr>
        <w:t xml:space="preserve">    obtem_recomendacoes_pendentes(obtem_pasta(prompt_crit)) </w:t>
      </w:r>
      <w:r>
        <w:br/>
      </w:r>
      <w:r>
        <w:br/>
      </w:r>
      <w:r>
        <w:rPr>
          <w:rStyle w:val="949"/>
        </w:rPr>
        <w:t xml:space="preserve">if (nrow(recomendacoes_pendentes_prompt_crit) &gt; 0 ){     </w:t>
      </w:r>
      <w:r>
        <w:br/>
      </w:r>
      <w:r>
        <w:rPr>
          <w:rStyle w:val="949"/>
        </w:rPr>
        <w:t xml:space="preserve">    executa_chamadas(recomendacoes_pendentes_prompt_crit, obtem_prompt_system(prompt_crit))</w:t>
      </w:r>
      <w:r>
        <w:br/>
      </w:r>
      <w:r>
        <w:rPr>
          <w:rStyle w:val="949"/>
        </w:rPr>
        <w:t xml:space="preserve">    consolida_resultados(prompt_crit)</w:t>
      </w:r>
      <w:r>
        <w:br/>
      </w:r>
      <w:r>
        <w:rPr>
          <w:rStyle w:val="949"/>
        </w:rPr>
        <w:t xml:space="preserve">}</w:t>
      </w:r>
    </w:p>
    <w:bookmarkEnd w:id="106"/>
    <w:bookmarkStart w:id="111" w:name="referências-1"/>
    <w:p>
      <w:pPr>
        <w:pStyle w:val="906"/>
      </w:pPr>
      <w:r>
        <w:t xml:space="preserve">8.0.6 Referências</w:t>
      </w:r>
    </w:p>
    <w:p>
      <w:pPr>
        <w:pStyle w:val="917"/>
      </w:pPr>
      <w:r>
        <w:t xml:space="preserve">CORPORATION, Microsoft; WESTON, Steve.</w:t>
      </w:r>
      <w:r>
        <w:t xml:space="preserve"> </w:t>
      </w:r>
      <w:r>
        <w:rPr>
          <w:b/>
          <w:bCs/>
        </w:rPr>
        <w:t xml:space="preserve">doParallel: Foreach Parallel Adaptor for the</w:t>
      </w:r>
      <w:r>
        <w:rPr>
          <w:b/>
          <w:bCs/>
        </w:rPr>
        <w:t xml:space="preserve"> </w:t>
      </w:r>
      <w:r>
        <w:rPr>
          <w:b/>
          <w:bCs/>
        </w:rPr>
        <w:t xml:space="preserve">‘parallel’</w:t>
      </w:r>
      <w:r>
        <w:rPr>
          <w:b/>
          <w:bCs/>
        </w:rPr>
        <w:t xml:space="preserve"> </w:t>
      </w:r>
      <w:r>
        <w:rPr>
          <w:b/>
          <w:bCs/>
        </w:rPr>
        <w:t xml:space="preserve">Package</w:t>
      </w:r>
      <w:r>
        <w:t xml:space="preserve">. [S. l.: s. n.], 2022. R package version 1.0.17. DOI: 10.32614/CRAN.package.doParallel. Disponível em:</w:t>
      </w:r>
      <w:r>
        <w:t xml:space="preserve"> </w:t>
      </w:r>
      <w:hyperlink r:id="rId107">
        <w:r>
          <w:rPr>
            <w:rStyle w:val="952"/>
          </w:rPr>
          <w:t xml:space="preserve">https://CRAN.R-project.org/package=doParallel</w:t>
        </w:r>
      </w:hyperlink>
      <w:r>
        <w:t xml:space="preserve">. Acesso em: 5 out. 2025.</w:t>
      </w:r>
    </w:p>
    <w:p>
      <w:pPr>
        <w:pStyle w:val="916"/>
      </w:pPr>
      <w:r>
        <w:t xml:space="preserve">MICROSOFT; WESTON, Steve.</w:t>
      </w:r>
      <w:r>
        <w:t xml:space="preserve"> </w:t>
      </w:r>
      <w:r>
        <w:rPr>
          <w:b/>
          <w:bCs/>
        </w:rPr>
        <w:t xml:space="preserve">foreach: Provides Foreach Looping Construct</w:t>
      </w:r>
      <w:r>
        <w:t xml:space="preserve">. [S. l.: s. n.], 2022. R package version 1.5.2. DOI: 10.32614/CRAN.package.foreach. Disponível em:</w:t>
      </w:r>
      <w:r>
        <w:t xml:space="preserve"> </w:t>
      </w:r>
      <w:hyperlink r:id="rId108">
        <w:r>
          <w:rPr>
            <w:rStyle w:val="952"/>
          </w:rPr>
          <w:t xml:space="preserve">https://CRAN.R-project.org/package=foreach</w:t>
        </w:r>
      </w:hyperlink>
      <w:r>
        <w:t xml:space="preserve">. Acesso em: 5 out. 2025.</w:t>
      </w:r>
    </w:p>
    <w:p>
      <w:pPr>
        <w:pStyle w:val="916"/>
      </w:pPr>
      <w:r>
        <w:t xml:space="preserve">OOMS, Jeroen.</w:t>
      </w:r>
      <w:r>
        <w:t xml:space="preserve"> </w:t>
      </w:r>
      <w:r>
        <w:rPr>
          <w:b/>
          <w:bCs/>
        </w:rPr>
        <w:t xml:space="preserve">The jsonlite Package: A Practical and Consistent Mapping Between JSON Data and R Objects</w:t>
      </w:r>
      <w:r>
        <w:t xml:space="preserve">. arXiv:1403.2805 [stat.CO], [S. l.], 2014. Disponível em:</w:t>
      </w:r>
      <w:r>
        <w:t xml:space="preserve"> </w:t>
      </w:r>
      <w:hyperlink r:id="rId109">
        <w:r>
          <w:rPr>
            <w:rStyle w:val="952"/>
          </w:rPr>
          <w:t xml:space="preserve">https://arxiv.org/abs/1403.2805</w:t>
        </w:r>
      </w:hyperlink>
      <w:r>
        <w:t xml:space="preserve">. Acesso em: 2 out. 2025.</w:t>
      </w:r>
    </w:p>
    <w:p>
      <w:pPr>
        <w:pStyle w:val="916"/>
      </w:pPr>
      <w:r>
        <w:t xml:space="preserve">WICKHAM, Hadley.</w:t>
      </w:r>
      <w:r>
        <w:t xml:space="preserve"> </w:t>
      </w:r>
      <w:r>
        <w:rPr>
          <w:b/>
          <w:bCs/>
        </w:rPr>
        <w:t xml:space="preserve">httr2: Perform HTTP Requests and Process the Responses</w:t>
      </w:r>
      <w:r>
        <w:t xml:space="preserve">. [S. l.: s. n.], 2025. R package version 1.2.1. DOI: 10.32614/CRAN.package.httr2. Disponível em:</w:t>
      </w:r>
      <w:r>
        <w:t xml:space="preserve"> </w:t>
      </w:r>
      <w:hyperlink r:id="rId110">
        <w:r>
          <w:rPr>
            <w:rStyle w:val="952"/>
          </w:rPr>
          <w:t xml:space="preserve">https://CRAN.R-project.org/package=httr2</w:t>
        </w:r>
      </w:hyperlink>
      <w:r>
        <w:t xml:space="preserve">. Acesso em: 10 out. 2025.</w:t>
      </w:r>
    </w:p>
    <w:p>
      <w:r>
        <w:br w:type="page"/>
      </w:r>
    </w:p>
    <w:bookmarkEnd w:id="111"/>
    <w:bookmarkEnd w:id="112"/>
    <w:bookmarkStart w:id="192" w:name="X0cee4b23936f32e973ca6a61db315688e9c082a"/>
    <w:p>
      <w:pPr>
        <w:pStyle w:val="904"/>
      </w:pPr>
      <w:r>
        <w:t xml:space="preserve">9. Apêndice C — Exploração dos tipos de ação recomendada</w:t>
      </w:r>
    </w:p>
    <w:p>
      <w:pPr>
        <w:pStyle w:val="917"/>
      </w:pPr>
      <w:r>
        <w:t xml:space="preserve">Este apêndice documenta uma exploração complementar dos tipos de ação presentes em 500 recomendações. As etiquetas foram inicialmente identificadas na leitura de registros do acervo e oferecidas ao modelo para reutilização, com a possibilidade de sugerir novos rótulos. O procedimento buscou descrever o repertório de medidas propostas pelo DENASUS e não substituiu a classificação</w:t>
      </w:r>
      <w:r>
        <w:t xml:space="preserve"> </w:t>
      </w:r>
      <w:r>
        <w:rPr>
          <w:i/>
          <w:iCs/>
        </w:rPr>
        <w:t xml:space="preserve">cause-based/condition-based</w:t>
      </w:r>
      <w:r>
        <w:t xml:space="preserve"> </w:t>
      </w:r>
      <w:r>
        <w:t xml:space="preserve">aplicada à totalidade das 4.289 recomendações. Os resultados apresentados neste apêndice dizem respeito apenas ao subconjunto examinado; não devem ser interpretados como frequências estimadas para todo o corpus.</w:t>
      </w:r>
    </w:p>
    <w:bookmarkStart w:id="113" w:name="prompt"/>
    <w:p>
      <w:pPr>
        <w:pStyle w:val="906"/>
      </w:pPr>
      <w:r>
        <w:t xml:space="preserve">9.0.1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O objetivo do trabalho consiste em etiquetar as ações propostas e seus escopos em uma dada recomendação.</w:t>
      </w:r>
      <w:r>
        <w:br/>
      </w:r>
      <w:r>
        <w:br/>
      </w:r>
      <w:r>
        <w:rPr>
          <w:rStyle w:val="949"/>
        </w:rPr>
        <w:t xml:space="preserve">Para tanto, usuário pesquisador irá fornecer uma breve descrição da finalidade do trabalho de auditoria realizado, a constatação que motivou a emissão da recomendação e a própria recomendação e o seu trabalho será analisar as ações propostas e propor etiquetas para as mesmas.</w:t>
      </w:r>
      <w:r>
        <w:br/>
      </w:r>
      <w:r>
        <w:br/>
      </w:r>
      <w:r>
        <w:rPr>
          <w:rStyle w:val="949"/>
        </w:rPr>
        <w:t xml:space="preserve">Exemplo 1: </w:t>
      </w:r>
      <w:r>
        <w:br/>
      </w:r>
      <w:r>
        <w:br/>
      </w:r>
      <w:r>
        <w:rPr>
          <w:rStyle w:val="949"/>
        </w:rPr>
        <w:t xml:space="preserve">Finalidade: Verificar se a SMS possui controles internos capazes de assegurar adequadamente a Cadeia de Frio.</w:t>
      </w:r>
      <w:r>
        <w:br/>
      </w:r>
      <w:r>
        <w:rPr>
          <w:rStyle w:val="949"/>
        </w:rPr>
        <w:t xml:space="preserve">Constatação: A estrutura física da Central Municipal da Rede de Frio (CMRF) de Gurupi/TO não atende aos requisitos mínimos para manutenção da cadeia de frio, conforme preconizado pelo Programa Nacional de Imunizações.</w:t>
      </w:r>
      <w:r>
        <w:br/>
      </w:r>
      <w:r>
        <w:rPr>
          <w:rStyle w:val="949"/>
        </w:rPr>
        <w:t xml:space="preserve">Recomendação: Adequar a estrutura física da CMRF para incluir áreas específicas e identificadas para recebimento, expedição e armazenamento, a fim de garantir a conformidade com as melhores práticas de gestão de imunobiológicos, conforme preconizado na RDC ANVISA n.º 63, de 25 de novembro de 2011, que estabelece o dever do estabelecimento de saúde em fornecer todos os recursos necessários, incluindo ambientes identificados, equipamentos, materiais e suporte logístico, combinado com o Manual de Rede de Frio do PNI, 2017, quanto a necessidade das áreas separadas e identificadas para recebimento e expedição (pág. 75).</w:t>
      </w:r>
      <w:r>
        <w:br/>
      </w:r>
      <w:r>
        <w:br/>
      </w:r>
      <w:r>
        <w:rPr>
          <w:rStyle w:val="949"/>
        </w:rPr>
        <w:t xml:space="preserve">Para a recomendação acima, notamos que existe somente uma ação proposta, que é a adequação da estrutura física da CMRF. Essa adequação visa incluir áreas que são preconizadas na RDC ANVISA nº 63.</w:t>
      </w:r>
      <w:r>
        <w:br/>
      </w:r>
      <w:r>
        <w:br/>
      </w:r>
      <w:r>
        <w:rPr>
          <w:rStyle w:val="949"/>
        </w:rPr>
        <w:t xml:space="preserve">Esta é uma ação que poderia ser etiquetada como "Adequação de espaço físico"</w:t>
      </w:r>
      <w:r>
        <w:br/>
      </w:r>
      <w:r>
        <w:br/>
      </w:r>
      <w:r>
        <w:rPr>
          <w:rStyle w:val="949"/>
        </w:rPr>
        <w:t xml:space="preserve">Exemplo 2:</w:t>
      </w:r>
      <w:r>
        <w:br/>
      </w:r>
      <w:r>
        <w:br/>
      </w:r>
      <w:r>
        <w:rPr>
          <w:rStyle w:val="949"/>
        </w:rPr>
        <w:t xml:space="preserve">Finalidade: Verificar irregularidades na gestão e no sistema de sobreaviso dos Médicos Vinculados ao Hospital</w:t>
      </w:r>
      <w:r>
        <w:br/>
      </w:r>
      <w:r>
        <w:rPr>
          <w:rStyle w:val="949"/>
        </w:rPr>
        <w:t xml:space="preserve">Constatação: A UPA e a SMS não monitoram o número de pacientes que retornam à UPA em até 72 horas com a mesma queixa do primeiro atendimento.</w:t>
      </w:r>
      <w:r>
        <w:br/>
      </w:r>
      <w:r>
        <w:rPr>
          <w:rStyle w:val="949"/>
        </w:rPr>
        <w:t xml:space="preserve">Recomendação: A Secretaria Municipal de Saúde (SMS) e a UPA devem implementar indicadores específicos para monitorar o número de pacientes que retornam à unidade em até 72 horas com a mesma queixa do primeiro atendimento. Embora a SMS tenha adotado uma planilha de monitoramento desde agosto de 2024, que inclui dados sobre tempos de espera e retornos, ainda não é possível identificar claramente as causas dos retornos, o que compromete a avaliação da resolutividade do atendimento. A SMS deve aprimorar esse monitoramento, permitindo uma análise precisa da eficácia do atendimento prestado e tomando medidas corretivas quando necessário para melhorar a qualidade dos serviços oferecidos.</w:t>
      </w:r>
      <w:r>
        <w:br/>
      </w:r>
      <w:r>
        <w:br/>
      </w:r>
      <w:r>
        <w:rPr>
          <w:rStyle w:val="949"/>
        </w:rPr>
        <w:t xml:space="preserve">Para a recomendação acima, sugere-se a implementação de indicadores específicos para monitorar o número de pacientes que retornam à unidade em até 72 horas com a mesma queixa do primeiro atendimento.</w:t>
      </w:r>
      <w:r>
        <w:br/>
      </w:r>
      <w:r>
        <w:br/>
      </w:r>
      <w:r>
        <w:rPr>
          <w:rStyle w:val="949"/>
        </w:rPr>
        <w:t xml:space="preserve">Tal ação poderia ser etiquetada como "Implementação de melhoria de processo organizacional"</w:t>
      </w:r>
      <w:r>
        <w:br/>
      </w:r>
      <w:r>
        <w:br/>
      </w:r>
      <w:r>
        <w:rPr>
          <w:rStyle w:val="949"/>
        </w:rPr>
        <w:t xml:space="preserve">Exemplo 3:</w:t>
      </w:r>
      <w:r>
        <w:br/>
      </w:r>
      <w:r>
        <w:br/>
      </w:r>
      <w:r>
        <w:rPr>
          <w:rStyle w:val="949"/>
        </w:rPr>
        <w:t xml:space="preserve">Finalidade: Auditoria na PNSMAD - 2024</w:t>
      </w:r>
      <w:r>
        <w:br/>
      </w:r>
      <w:r>
        <w:rPr>
          <w:rStyle w:val="949"/>
        </w:rPr>
        <w:t xml:space="preserve">Constatação: Os registros dos atendimentos em saúde mental não estão sendo coletados de forma detalhada e atualizada nas UBS visitadas.</w:t>
      </w:r>
      <w:r>
        <w:br/>
      </w:r>
      <w:r>
        <w:rPr>
          <w:rStyle w:val="949"/>
        </w:rPr>
        <w:t xml:space="preserve">Recomendação: Atender os subitens X e XV do item 4.1 referente ao Capítulo I do Anexo da a Portaria de Consolidação n. 2, de 28 de setembro de 2017, Anexo 1 do Anexo XXII (texto originário da antiga Portaria n. 2.436, de 21 de setembro de 2017) que citam respectivamente que dentre as atribuições dos profissionais da atenção básica estão: a utilização do Sistema de Informação da Atenção Básica...</w:t>
      </w:r>
      <w:r>
        <w:br/>
      </w:r>
      <w:r>
        <w:br/>
      </w:r>
      <w:r>
        <w:rPr>
          <w:rStyle w:val="949"/>
        </w:rPr>
        <w:t xml:space="preserve">Tal ação pode ser etiquetada como "Cumprimento de requisito normativo"</w:t>
      </w:r>
      <w:r>
        <w:br/>
      </w:r>
      <w:r>
        <w:br/>
      </w:r>
      <w:r>
        <w:rPr>
          <w:rStyle w:val="949"/>
        </w:rPr>
        <w:t xml:space="preserve">Exemplo 4:</w:t>
      </w:r>
      <w:r>
        <w:br/>
      </w:r>
      <w:r>
        <w:br/>
      </w:r>
      <w:r>
        <w:rPr>
          <w:rStyle w:val="949"/>
        </w:rPr>
        <w:t xml:space="preserve">Finalidade: Verificar a regularidade da produção inserida nos sistemas do SUS.</w:t>
      </w:r>
      <w:r>
        <w:br/>
      </w:r>
      <w:r>
        <w:rPr>
          <w:rStyle w:val="949"/>
        </w:rPr>
        <w:t xml:space="preserve">Constatação: A Secretaria Municipal de Saúde de Turiúba inseriu dados no Sistema de Informações Ambulatoriais - SIA/SUS do procedimento de Unidade de remuneração para deslocamento de acompanhante por transporte terrestre (cada 50 km de distância) e do procedimento Unidade de remuneração para deslocamento de paciente por transporte terrestre (cada 50 km) no exercício de 2021, da Unidade Básica de Saúde Benedito Ap. Fabricio dos Santos e não comprovou a realização dos procedimentos, ocasionando proposta de devolução dos recursos recebidos.</w:t>
      </w:r>
      <w:r>
        <w:br/>
      </w:r>
      <w:r>
        <w:rPr>
          <w:rStyle w:val="949"/>
        </w:rPr>
        <w:t xml:space="preserve">Recomendação: Restituir o FNS, o valor total de R$ 501.568,65, conforme o contido no item 9.3.4, do ACÓRDÃO Nº 1072/2017 do TCU,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r>
        <w:br/>
      </w:r>
      <w:r>
        <w:br/>
      </w:r>
      <w:r>
        <w:rPr>
          <w:rStyle w:val="949"/>
        </w:rPr>
        <w:t xml:space="preserve">Tal ação pode ser etiquetada como "Reparação de prejuízo"</w:t>
      </w:r>
      <w:r>
        <w:br/>
      </w:r>
      <w:r>
        <w:br/>
      </w:r>
      <w:r>
        <w:rPr>
          <w:rStyle w:val="949"/>
        </w:rPr>
        <w:t xml:space="preserve">Dessa forma, sua função é sugerir etiquetas para as ações propostas na recomendação. Como cada recomendação pode ter mais de uma ação proposta, selecione a ação mais relevante da recomendação para fazer a sugestão.</w:t>
      </w:r>
      <w:r>
        <w:br/>
      </w:r>
      <w:r>
        <w:br/>
      </w:r>
      <w:r>
        <w:rPr>
          <w:rStyle w:val="949"/>
        </w:rPr>
        <w:t xml:space="preserve">As etiquetas abaixo já foram detectadas em rodadas anteriores. Se alguma delas se aplicar ao caso, use-a.</w:t>
      </w:r>
      <w:r>
        <w:br/>
      </w:r>
      <w:r>
        <w:br/>
      </w:r>
      <w:r>
        <w:rPr>
          <w:rStyle w:val="949"/>
        </w:rPr>
        <w:t xml:space="preserve">- Cumprimento de requisito normativo</w:t>
      </w:r>
      <w:r>
        <w:br/>
      </w:r>
      <w:r>
        <w:rPr>
          <w:rStyle w:val="949"/>
        </w:rPr>
        <w:t xml:space="preserve">- Reparação de prejuízo</w:t>
      </w:r>
      <w:r>
        <w:br/>
      </w:r>
      <w:r>
        <w:rPr>
          <w:rStyle w:val="949"/>
        </w:rPr>
        <w:t xml:space="preserve">- Implementação de controle interno </w:t>
      </w:r>
      <w:r>
        <w:br/>
      </w:r>
      <w:r>
        <w:rPr>
          <w:rStyle w:val="949"/>
        </w:rPr>
        <w:t xml:space="preserve">- Implementação de melhoria de processo organizacional </w:t>
      </w:r>
      <w:r>
        <w:br/>
      </w:r>
      <w:r>
        <w:rPr>
          <w:rStyle w:val="949"/>
        </w:rPr>
        <w:t xml:space="preserve">- Adequação de estrutura organizacional</w:t>
      </w:r>
      <w:r>
        <w:br/>
      </w:r>
      <w:r>
        <w:rPr>
          <w:rStyle w:val="949"/>
        </w:rPr>
        <w:t xml:space="preserve">- Revisão e correção de práticas orçamentárias e de gestão financeira</w:t>
      </w:r>
      <w:r>
        <w:br/>
      </w:r>
      <w:r>
        <w:rPr>
          <w:rStyle w:val="949"/>
        </w:rPr>
        <w:t xml:space="preserve">- Capacitação de pessoal</w:t>
      </w:r>
      <w:r>
        <w:br/>
      </w:r>
      <w:r>
        <w:rPr>
          <w:rStyle w:val="949"/>
        </w:rPr>
        <w:t xml:space="preserve">- Estabelecimento de programa de capacitação continuada</w:t>
      </w:r>
      <w:r>
        <w:br/>
      </w:r>
      <w:r>
        <w:rPr>
          <w:rStyle w:val="949"/>
        </w:rPr>
        <w:t xml:space="preserve">- Revisão de procedimentos internos</w:t>
      </w:r>
      <w:r>
        <w:br/>
      </w:r>
      <w:r>
        <w:rPr>
          <w:rStyle w:val="949"/>
        </w:rPr>
        <w:t xml:space="preserve">- Adequação de espaço físico </w:t>
      </w:r>
      <w:r>
        <w:br/>
      </w:r>
      <w:r>
        <w:rPr>
          <w:rStyle w:val="949"/>
        </w:rPr>
        <w:t xml:space="preserve">- Revisão de documento de caráter institucional</w:t>
      </w:r>
      <w:r>
        <w:br/>
      </w:r>
      <w:r>
        <w:rPr>
          <w:rStyle w:val="949"/>
        </w:rPr>
        <w:t xml:space="preserve">- Informar a terceiro sobre a necessidade de fazer ou deixar de fazer algo</w:t>
      </w:r>
      <w:r>
        <w:br/>
      </w:r>
      <w:r>
        <w:rPr>
          <w:rStyle w:val="949"/>
        </w:rPr>
        <w:t xml:space="preserve">- Adequação ou saneamento de processo de contratação ou contrato vigente</w:t>
      </w:r>
      <w:r>
        <w:br/>
      </w:r>
      <w:r>
        <w:br/>
      </w:r>
      <w:r>
        <w:rPr>
          <w:rStyle w:val="949"/>
        </w:rPr>
        <w:t xml:space="preserve">Caso o texto fornecido não seja uma recomendação de fato, sugira "Não se aplica".</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"Etiqueta": "Cumprimento de requisito normativo"</w:t>
      </w:r>
      <w:r>
        <w:br/>
      </w:r>
      <w:r>
        <w:rPr>
          <w:rStyle w:val="949"/>
        </w:rPr>
        <w:t xml:space="preserve">} </w:t>
      </w:r>
    </w:p>
    <w:bookmarkEnd w:id="113"/>
    <w:bookmarkStart w:id="114" w:name="resultados"/>
    <w:p>
      <w:pPr>
        <w:pStyle w:val="906"/>
      </w:pPr>
      <w:r>
        <w:t xml:space="preserve">9.0.2 Resultados</w:t>
      </w:r>
    </w:p>
    <w:tbl>
      <w:tblPr>
        <w:tblStyle w:val="Table"/>
        <w:tblW w:type="pct" w:w="4892"/>
        <w:tblLayout w:type="fixed"/>
        <w:tblLook w:firstRow="1" w:lastRow="0" w:firstColumn="0" w:lastColumn="0" w:noHBand="0" w:noVBand="0" w:val="0020"/>
      </w:tblPr>
      <w:tblGrid>
        <w:gridCol w:w="6387"/>
        <w:gridCol w:w="681"/>
        <w:gridCol w:w="681"/>
      </w:tblGrid>
      <w:tr>
        <w:trPr>
          <w:tblHeader w:val="on"/>
        </w:trPr>
        <w:tc>
          <w:tcPr/>
          <w:p>
            <w:pPr>
              <w:pStyle w:val="918"/>
              <w:jc w:val="left"/>
            </w:pPr>
            <w:r>
              <w:t xml:space="preserve">Etiqueta</w:t>
            </w:r>
          </w:p>
        </w:tc>
        <w:tc>
          <w:tcPr/>
          <w:p>
            <w:pPr>
              <w:pStyle w:val="918"/>
              <w:jc w:val="right"/>
            </w:pPr>
            <w:r>
              <w:t xml:space="preserve">Total</w:t>
            </w:r>
          </w:p>
        </w:tc>
        <w:tc>
          <w:tcPr/>
          <w:p>
            <w:pPr>
              <w:pStyle w:val="918"/>
              <w:jc w:val="right"/>
            </w:pPr>
            <w:r>
              <w:t xml:space="preserve">%</w:t>
            </w:r>
          </w:p>
        </w:tc>
      </w:tr>
      <w:tr>
        <w:tc>
          <w:tcPr/>
          <w:p>
            <w:pPr>
              <w:pStyle w:val="918"/>
              <w:jc w:val="left"/>
            </w:pPr>
            <w:r>
              <w:t xml:space="preserve">Cumprimento de requisito normativo</w:t>
            </w:r>
          </w:p>
        </w:tc>
        <w:tc>
          <w:tcPr/>
          <w:p>
            <w:pPr>
              <w:pStyle w:val="918"/>
              <w:jc w:val="right"/>
            </w:pPr>
            <w:r>
              <w:t xml:space="preserve">223</w:t>
            </w:r>
          </w:p>
        </w:tc>
        <w:tc>
          <w:tcPr/>
          <w:p>
            <w:pPr>
              <w:pStyle w:val="918"/>
              <w:jc w:val="right"/>
            </w:pPr>
            <w:r>
              <w:t xml:space="preserve">44.6</w:t>
            </w:r>
          </w:p>
        </w:tc>
      </w:tr>
      <w:tr>
        <w:tc>
          <w:tcPr/>
          <w:p>
            <w:pPr>
              <w:pStyle w:val="918"/>
              <w:jc w:val="left"/>
            </w:pPr>
            <w:r>
              <w:t xml:space="preserve">Implementação de controle interno</w:t>
            </w:r>
          </w:p>
        </w:tc>
        <w:tc>
          <w:tcPr/>
          <w:p>
            <w:pPr>
              <w:pStyle w:val="918"/>
              <w:jc w:val="right"/>
            </w:pPr>
            <w:r>
              <w:t xml:space="preserve">66</w:t>
            </w:r>
          </w:p>
        </w:tc>
        <w:tc>
          <w:tcPr/>
          <w:p>
            <w:pPr>
              <w:pStyle w:val="918"/>
              <w:jc w:val="right"/>
            </w:pPr>
            <w:r>
              <w:t xml:space="preserve">13.2</w:t>
            </w:r>
          </w:p>
        </w:tc>
      </w:tr>
      <w:tr>
        <w:tc>
          <w:tcPr/>
          <w:p>
            <w:pPr>
              <w:pStyle w:val="918"/>
              <w:jc w:val="left"/>
            </w:pPr>
            <w:r>
              <w:t xml:space="preserve">Implementação de melhoria de processo organizacional</w:t>
            </w:r>
          </w:p>
        </w:tc>
        <w:tc>
          <w:tcPr/>
          <w:p>
            <w:pPr>
              <w:pStyle w:val="918"/>
              <w:jc w:val="right"/>
            </w:pPr>
            <w:r>
              <w:t xml:space="preserve">47</w:t>
            </w:r>
          </w:p>
        </w:tc>
        <w:tc>
          <w:tcPr/>
          <w:p>
            <w:pPr>
              <w:pStyle w:val="918"/>
              <w:jc w:val="right"/>
            </w:pPr>
            <w:r>
              <w:t xml:space="preserve">9.4</w:t>
            </w:r>
          </w:p>
        </w:tc>
      </w:tr>
      <w:tr>
        <w:tc>
          <w:tcPr/>
          <w:p>
            <w:pPr>
              <w:pStyle w:val="918"/>
              <w:jc w:val="left"/>
            </w:pPr>
            <w:r>
              <w:t xml:space="preserve">Reparação de prejuízo</w:t>
            </w:r>
          </w:p>
        </w:tc>
        <w:tc>
          <w:tcPr/>
          <w:p>
            <w:pPr>
              <w:pStyle w:val="918"/>
              <w:jc w:val="right"/>
            </w:pPr>
            <w:r>
              <w:t xml:space="preserve">42</w:t>
            </w:r>
          </w:p>
        </w:tc>
        <w:tc>
          <w:tcPr/>
          <w:p>
            <w:pPr>
              <w:pStyle w:val="918"/>
              <w:jc w:val="right"/>
            </w:pPr>
            <w:r>
              <w:t xml:space="preserve">8.4</w:t>
            </w:r>
          </w:p>
        </w:tc>
      </w:tr>
      <w:tr>
        <w:tc>
          <w:tcPr/>
          <w:p>
            <w:pPr>
              <w:pStyle w:val="918"/>
              <w:jc w:val="left"/>
            </w:pPr>
            <w:r>
              <w:t xml:space="preserve">Revisão de procedimentos internos</w:t>
            </w:r>
          </w:p>
        </w:tc>
        <w:tc>
          <w:tcPr/>
          <w:p>
            <w:pPr>
              <w:pStyle w:val="918"/>
              <w:jc w:val="right"/>
            </w:pPr>
            <w:r>
              <w:t xml:space="preserve">34</w:t>
            </w:r>
          </w:p>
        </w:tc>
        <w:tc>
          <w:tcPr/>
          <w:p>
            <w:pPr>
              <w:pStyle w:val="918"/>
              <w:jc w:val="right"/>
            </w:pPr>
            <w:r>
              <w:t xml:space="preserve">6.8</w:t>
            </w:r>
          </w:p>
        </w:tc>
      </w:tr>
      <w:tr>
        <w:tc>
          <w:tcPr/>
          <w:p>
            <w:pPr>
              <w:pStyle w:val="918"/>
              <w:jc w:val="left"/>
            </w:pPr>
            <w:r>
              <w:t xml:space="preserve">Adequação de espaço físico</w:t>
            </w:r>
          </w:p>
        </w:tc>
        <w:tc>
          <w:tcPr/>
          <w:p>
            <w:pPr>
              <w:pStyle w:val="918"/>
              <w:jc w:val="right"/>
            </w:pPr>
            <w:r>
              <w:t xml:space="preserve">16</w:t>
            </w:r>
          </w:p>
        </w:tc>
        <w:tc>
          <w:tcPr/>
          <w:p>
            <w:pPr>
              <w:pStyle w:val="918"/>
              <w:jc w:val="right"/>
            </w:pPr>
            <w:r>
              <w:t xml:space="preserve">3.2</w:t>
            </w:r>
          </w:p>
        </w:tc>
      </w:tr>
      <w:tr>
        <w:tc>
          <w:tcPr/>
          <w:p>
            <w:pPr>
              <w:pStyle w:val="918"/>
              <w:jc w:val="left"/>
            </w:pPr>
            <w:r>
              <w:t xml:space="preserve">Revisão e correção de práticas orçamentárias e de gestão financeira</w:t>
            </w:r>
          </w:p>
        </w:tc>
        <w:tc>
          <w:tcPr/>
          <w:p>
            <w:pPr>
              <w:pStyle w:val="918"/>
              <w:jc w:val="right"/>
            </w:pPr>
            <w:r>
              <w:t xml:space="preserve">15</w:t>
            </w:r>
          </w:p>
        </w:tc>
        <w:tc>
          <w:tcPr/>
          <w:p>
            <w:pPr>
              <w:pStyle w:val="918"/>
              <w:jc w:val="right"/>
            </w:pPr>
            <w:r>
              <w:t xml:space="preserve">3.0</w:t>
            </w:r>
          </w:p>
        </w:tc>
      </w:tr>
      <w:tr>
        <w:tc>
          <w:tcPr/>
          <w:p>
            <w:pPr>
              <w:pStyle w:val="918"/>
              <w:jc w:val="left"/>
            </w:pPr>
            <w:r>
              <w:t xml:space="preserve">Estabelecimento de programa de capacitação continuada</w:t>
            </w:r>
          </w:p>
        </w:tc>
        <w:tc>
          <w:tcPr/>
          <w:p>
            <w:pPr>
              <w:pStyle w:val="918"/>
              <w:jc w:val="right"/>
            </w:pPr>
            <w:r>
              <w:t xml:space="preserve">14</w:t>
            </w:r>
          </w:p>
        </w:tc>
        <w:tc>
          <w:tcPr/>
          <w:p>
            <w:pPr>
              <w:pStyle w:val="918"/>
              <w:jc w:val="right"/>
            </w:pPr>
            <w:r>
              <w:t xml:space="preserve">2.8</w:t>
            </w:r>
          </w:p>
        </w:tc>
      </w:tr>
      <w:tr>
        <w:tc>
          <w:tcPr/>
          <w:p>
            <w:pPr>
              <w:pStyle w:val="918"/>
              <w:jc w:val="left"/>
            </w:pPr>
            <w:r>
              <w:t xml:space="preserve">Capacitação de pessoal</w:t>
            </w:r>
          </w:p>
        </w:tc>
        <w:tc>
          <w:tcPr/>
          <w:p>
            <w:pPr>
              <w:pStyle w:val="918"/>
              <w:jc w:val="right"/>
            </w:pPr>
            <w:r>
              <w:t xml:space="preserve">13</w:t>
            </w:r>
          </w:p>
        </w:tc>
        <w:tc>
          <w:tcPr/>
          <w:p>
            <w:pPr>
              <w:pStyle w:val="918"/>
              <w:jc w:val="right"/>
            </w:pPr>
            <w:r>
              <w:t xml:space="preserve">2.6</w:t>
            </w:r>
          </w:p>
        </w:tc>
      </w:tr>
      <w:tr>
        <w:tc>
          <w:tcPr/>
          <w:p>
            <w:pPr>
              <w:pStyle w:val="918"/>
              <w:jc w:val="left"/>
            </w:pPr>
            <w:r>
              <w:t xml:space="preserve">Adequação ou saneamento de processo de contratação ou contrato vigente</w:t>
            </w:r>
          </w:p>
        </w:tc>
        <w:tc>
          <w:tcPr/>
          <w:p>
            <w:pPr>
              <w:pStyle w:val="918"/>
              <w:jc w:val="right"/>
            </w:pPr>
            <w:r>
              <w:t xml:space="preserve">12</w:t>
            </w:r>
          </w:p>
        </w:tc>
        <w:tc>
          <w:tcPr/>
          <w:p>
            <w:pPr>
              <w:pStyle w:val="918"/>
              <w:jc w:val="right"/>
            </w:pPr>
            <w:r>
              <w:t xml:space="preserve">2.4</w:t>
            </w:r>
          </w:p>
        </w:tc>
      </w:tr>
      <w:tr>
        <w:tc>
          <w:tcPr/>
          <w:p>
            <w:pPr>
              <w:pStyle w:val="918"/>
              <w:jc w:val="left"/>
            </w:pPr>
            <w:r>
              <w:t xml:space="preserve">Informar a terceiro sobre a necessidade de fazer ou deixar de fazer algo</w:t>
            </w:r>
          </w:p>
        </w:tc>
        <w:tc>
          <w:tcPr/>
          <w:p>
            <w:pPr>
              <w:pStyle w:val="918"/>
              <w:jc w:val="right"/>
            </w:pPr>
            <w:r>
              <w:t xml:space="preserve">11</w:t>
            </w:r>
          </w:p>
        </w:tc>
        <w:tc>
          <w:tcPr/>
          <w:p>
            <w:pPr>
              <w:pStyle w:val="918"/>
              <w:jc w:val="right"/>
            </w:pPr>
            <w:r>
              <w:t xml:space="preserve">2.2</w:t>
            </w:r>
          </w:p>
        </w:tc>
      </w:tr>
      <w:tr>
        <w:tc>
          <w:tcPr/>
          <w:p>
            <w:pPr>
              <w:pStyle w:val="918"/>
              <w:jc w:val="left"/>
            </w:pPr>
            <w:r>
              <w:t xml:space="preserve">Revisão de documento de caráter institucional</w:t>
            </w:r>
          </w:p>
        </w:tc>
        <w:tc>
          <w:tcPr/>
          <w:p>
            <w:pPr>
              <w:pStyle w:val="918"/>
              <w:jc w:val="right"/>
            </w:pPr>
            <w:r>
              <w:t xml:space="preserve">4</w:t>
            </w:r>
          </w:p>
        </w:tc>
        <w:tc>
          <w:tcPr/>
          <w:p>
            <w:pPr>
              <w:pStyle w:val="918"/>
              <w:jc w:val="right"/>
            </w:pPr>
            <w:r>
              <w:t xml:space="preserve">0.8</w:t>
            </w:r>
          </w:p>
        </w:tc>
      </w:tr>
      <w:tr>
        <w:tc>
          <w:tcPr/>
          <w:p>
            <w:pPr>
              <w:pStyle w:val="918"/>
              <w:jc w:val="left"/>
            </w:pPr>
            <w:r>
              <w:t xml:space="preserve">Adequação de estrutura organizacional</w:t>
            </w:r>
          </w:p>
        </w:tc>
        <w:tc>
          <w:tcPr/>
          <w:p>
            <w:pPr>
              <w:pStyle w:val="918"/>
              <w:jc w:val="right"/>
            </w:pPr>
            <w:r>
              <w:t xml:space="preserve">2</w:t>
            </w:r>
          </w:p>
        </w:tc>
        <w:tc>
          <w:tcPr/>
          <w:p>
            <w:pPr>
              <w:pStyle w:val="918"/>
              <w:jc w:val="right"/>
            </w:pPr>
            <w:r>
              <w:t xml:space="preserve">0.4</w:t>
            </w:r>
          </w:p>
        </w:tc>
      </w:tr>
      <w:tr>
        <w:tc>
          <w:tcPr/>
          <w:p>
            <w:pPr>
              <w:pStyle w:val="918"/>
              <w:jc w:val="left"/>
            </w:pPr>
            <w:r>
              <w:t xml:space="preserve">Não se aplica</w:t>
            </w:r>
          </w:p>
        </w:tc>
        <w:tc>
          <w:tcPr/>
          <w:p>
            <w:pPr>
              <w:pStyle w:val="918"/>
              <w:jc w:val="right"/>
            </w:pPr>
            <w:r>
              <w:t xml:space="preserve">1</w:t>
            </w:r>
          </w:p>
        </w:tc>
        <w:tc>
          <w:tcPr/>
          <w:p>
            <w:pPr>
              <w:pStyle w:val="918"/>
              <w:jc w:val="right"/>
            </w:pPr>
            <w:r>
              <w:t xml:space="preserve">0.2</w:t>
            </w:r>
          </w:p>
        </w:tc>
      </w:tr>
    </w:tbl>
    <w:bookmarkEnd w:id="114"/>
    <w:bookmarkStart w:id="115" w:name="listagem-5"/>
    <w:p>
      <w:pPr>
        <w:pStyle w:val="906"/>
      </w:pPr>
      <w:r>
        <w:t xml:space="preserve">9.0.3 Listagem</w:t>
      </w:r>
    </w:p>
    <w:bookmarkEnd w:id="115"/>
    <w:bookmarkStart w:id="121" w:name="adequação-de-espaço-físico"/>
    <w:p>
      <w:pPr>
        <w:pStyle w:val="906"/>
      </w:pPr>
      <w:r>
        <w:t xml:space="preserve">9.0.4 Adequação de espaço físico</w:t>
      </w:r>
    </w:p>
    <w:bookmarkStart w:id="116" w:name="auditoria-19786-constatação-nº-694494"/>
    <w:p>
      <w:pPr>
        <w:pStyle w:val="907"/>
      </w:pPr>
      <w:r>
        <w:t xml:space="preserve">9.0.4.1 Auditoria 19786, Constatação Nº 694494</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Os equipamentos disponíveis na Central Municipal não são apropriados para o armazenamento dos imunobiológicos.</w:t>
      </w:r>
    </w:p>
    <w:p>
      <w:pPr>
        <w:pStyle w:val="937"/>
      </w:pPr>
      <w:r>
        <w:rPr>
          <w:b/>
          <w:bCs/>
        </w:rPr>
        <w:t xml:space="preserve">Recomendação</w:t>
      </w:r>
      <w:r>
        <w:t xml:space="preserve">: Adquirir termômetro de infravermelho com mira para controle de temperatura durante o recebimento do material imunobiológico, conforme Manual de Rede de Frio, páginas 59 e 60.</w:t>
      </w:r>
    </w:p>
    <w:bookmarkEnd w:id="116"/>
    <w:bookmarkStart w:id="117" w:name="auditoria-19745-constatação-nº-694848"/>
    <w:p>
      <w:pPr>
        <w:pStyle w:val="907"/>
      </w:pPr>
      <w:r>
        <w:t xml:space="preserve">9.0.4.2 Auditoria 19745, Constatação Nº 694848</w:t>
      </w:r>
    </w:p>
    <w:p>
      <w:pPr>
        <w:pStyle w:val="937"/>
      </w:pPr>
      <w:r>
        <w:rPr>
          <w:b/>
          <w:bCs/>
        </w:rPr>
        <w:t xml:space="preserve">Finalidade</w:t>
      </w:r>
      <w:r>
        <w:t xml:space="preserve">: Verificar se a CMRF possui controles internos capazes de assegurar adequadamente a Cadeia de Frios</w:t>
      </w:r>
    </w:p>
    <w:p>
      <w:pPr>
        <w:pStyle w:val="937"/>
      </w:pPr>
      <w:r>
        <w:rPr>
          <w:b/>
          <w:bCs/>
        </w:rPr>
        <w:t xml:space="preserve">Constatação</w:t>
      </w:r>
      <w:r>
        <w:t xml:space="preserve">: A Central Municipal de Rede de Frio - CMRF de Manacapuru não dispõe de estrutura física compatível, conforme preconizado pelo Programa Nacional de Imunizações.</w:t>
      </w:r>
    </w:p>
    <w:p>
      <w:pPr>
        <w:pStyle w:val="937"/>
      </w:pPr>
      <w:r>
        <w:rPr>
          <w:b/>
          <w:bCs/>
        </w:rPr>
        <w:t xml:space="preserve">Recomendação</w:t>
      </w:r>
      <w:r>
        <w:t xml:space="preserve">: Adequar a atual estrutura física da Central Municipal de Rede de Frio e garantir a transferência da mesma para a nova sede, que está em obra, a fim de atender aos requisitos exigidos no Manual de Rede Frio do PNI, 2017, Item 08, páginas 88 a 116 e Resolução - RDC Nº 63, de 25/11/2011, Arts. 7º (alíneas b e c, Inciso II), 17, 36, 38 e 42, nas quais, tratam sobre os aspectos e disposições dos ambientes que devem conter nas Centrais Municipais de Rede de Frio para uma melhor armazenagem, conservação e distribuição dos imunobiológicos.</w:t>
      </w:r>
    </w:p>
    <w:bookmarkEnd w:id="117"/>
    <w:bookmarkStart w:id="118" w:name="auditoria-19784-constatação-nº-693162"/>
    <w:p>
      <w:pPr>
        <w:pStyle w:val="907"/>
      </w:pPr>
      <w:r>
        <w:t xml:space="preserve">9.0.4.3 Auditoria 19784, Constatação Nº 693162</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CMRF de Três Lagoas não dispõe de estrutura física compatível, conforme preconizado pelo Programa Nacional de Imunizações.</w:t>
      </w:r>
    </w:p>
    <w:p>
      <w:pPr>
        <w:pStyle w:val="937"/>
      </w:pPr>
      <w:r>
        <w:rPr>
          <w:b/>
          <w:bCs/>
        </w:rPr>
        <w:t xml:space="preserve">Recomendação</w:t>
      </w:r>
      <w:r>
        <w:t xml:space="preserve">: Realizar melhorias na estrutura física da CMRF, principalmente em relação a divisão das salas de recepção/inspeção, armazenamento e distribuição dos imunobiológicos, seguindo as orientações, constantes no item 8, pág. 88 a 116, do Manual da Rede de Frio do PNI (2017).</w:t>
      </w:r>
    </w:p>
    <w:bookmarkEnd w:id="118"/>
    <w:bookmarkStart w:id="119" w:name="auditoria-19741-constatação-nº-691229"/>
    <w:p>
      <w:pPr>
        <w:pStyle w:val="907"/>
      </w:pPr>
      <w:r>
        <w:t xml:space="preserve">9.0.4.4 Auditoria 19741, Constatação Nº 691229</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transporte dos imunobiológicos enviados da CRRF da I Geres (Instância Estadual) e distribuídos da CMRF de Olinda para as Salas de Vacinação não atende as orientações preconizadas pelo PNI.</w:t>
      </w:r>
    </w:p>
    <w:p>
      <w:pPr>
        <w:pStyle w:val="937"/>
      </w:pPr>
      <w:r>
        <w:rPr>
          <w:b/>
          <w:bCs/>
        </w:rPr>
        <w:t xml:space="preserve">Recomendação</w:t>
      </w:r>
      <w:r>
        <w:t xml:space="preserve">: À SMS, adequar ou substituir o veículo utilizado para transporte dos imunobiológicos da CMRF com o objetivo de atender o Subitem 4.6 do Manual de Rede Frio do PNI (2017) e Art. 61 da Lei nº 6.360, de 23/09/1976, quanto aos parâmetros a serem observados para o transporte de imunobiológicos.</w:t>
      </w:r>
    </w:p>
    <w:bookmarkEnd w:id="119"/>
    <w:bookmarkStart w:id="120" w:name="auditoria-19727-constatação-nº-691842"/>
    <w:p>
      <w:pPr>
        <w:pStyle w:val="907"/>
      </w:pPr>
      <w:r>
        <w:t xml:space="preserve">9.0.4.5 Auditoria 19727, Constatação Nº 691842</w:t>
      </w:r>
    </w:p>
    <w:p>
      <w:pPr>
        <w:pStyle w:val="937"/>
      </w:pPr>
      <w:r>
        <w:rPr>
          <w:b/>
          <w:bCs/>
        </w:rPr>
        <w:t xml:space="preserve">Finalidade</w:t>
      </w:r>
      <w:r>
        <w:t xml:space="preserve">: Avaliar a gestão e funcionamento do Serviço de Atendimento Móvel de Urgência - SAMU 192</w:t>
      </w:r>
    </w:p>
    <w:p>
      <w:pPr>
        <w:pStyle w:val="937"/>
      </w:pPr>
      <w:r>
        <w:rPr>
          <w:b/>
          <w:bCs/>
        </w:rPr>
        <w:t xml:space="preserve">Constatação</w:t>
      </w:r>
      <w:r>
        <w:t xml:space="preserve">: A infraestrutura física da Base Descentralizada do SAMU 192 de Campina Grande/PB não está compatível com os critérios definidos em lei.</w:t>
      </w:r>
    </w:p>
    <w:p>
      <w:pPr>
        <w:pStyle w:val="937"/>
      </w:pPr>
      <w:r>
        <w:rPr>
          <w:b/>
          <w:bCs/>
        </w:rPr>
        <w:t xml:space="preserve">Recomendação</w:t>
      </w:r>
      <w:r>
        <w:t xml:space="preserve">: I) À SMS/CG/PB para revisar a distribuição de espaços nas bases descentralizadas, priorizando as necessidades do SAMU 192 e realocando áreas conforme apropriado e para construir ou adaptar as instalações da base de acordo com os critérios exigidos pelo Programa Arquitetônico Mínimo Base Descentralizada SAMU 192, Versão 2.0/2018, que prevê os critérios dos ambientes mínimos obrigatórios das Bases Descentralizadas. Adequar a infraestrutura física da Base Descentralizada do SAMU 192 conforme critérios legais é fundamental para garantir a segurança, eficiência operacional, e bem-estar dos profissionais. Além disso, assegura a conformidade legal, melhora a qualidade do espaço dos colaboradores, e contribui para uma gestão responsável e sustentável dos recursos públicos. Investir na adequação das bases é essencial para fortalecer o SAMU 192 e assegurar a continuidade e a qualidade dos serviços prestados à população. II) Armazenar os cilindros de oxigênio em locais secos, bem ventilados e protegidos da chuva e do sol; Manter os cilindros na posição vertical; Separar os cilindros cheios dos vazios; Manter uma distância de alguns metros entre os cilindros; Manter os cilindros longe de fontes de calor e ignição; Manter equipamentos de segurança próximos da área de estocagem; Evitar que pessoas sem prática manuseiem os cilindros; Evitar grandes choques na estrutura dos cilindros; Evitar que a válvula dos cilindros seja atingida durante o manuseio, em observância a Norma Regulamentadora - NR 32 alterada pela Portaria MTP n.º 4.219, de 20/12/2022, Portaria nº 3.214 do MTE de 08/06/1978; NBR 12188 de 07/03/2016 - Sistemas centralizados de suprimento de gases medicinais, de gases para dispositivos médicos e de vácuo para uso em serviços de saúde; NBR 12276 de 30/11/1999 - Cilindros Para Gases - Identificação do Conteúdo e Resolução da Diretoria Colegiada - RDC Nº 50, de 21/02/2002, do Ministério da Saúde, Agência Nacional de Vigilância Sanitária, para não ocorrer incidentes contra a saúde e a vida dos trabalhadores do SAMU 192 de Campina Grande.</w:t>
      </w:r>
    </w:p>
    <w:bookmarkEnd w:id="120"/>
    <w:bookmarkEnd w:id="121"/>
    <w:bookmarkStart w:id="124" w:name="adequação-de-estrutura-organizacional"/>
    <w:p>
      <w:pPr>
        <w:pStyle w:val="906"/>
      </w:pPr>
      <w:r>
        <w:t xml:space="preserve">9.0.5 Adequação de estrutura organizacional</w:t>
      </w:r>
    </w:p>
    <w:bookmarkStart w:id="122" w:name="auditoria-19293-constatação-nº-683503"/>
    <w:p>
      <w:pPr>
        <w:pStyle w:val="907"/>
      </w:pPr>
      <w:r>
        <w:t xml:space="preserve">9.0.5.1 Auditoria 19293, Constatação Nº 683503</w:t>
      </w:r>
    </w:p>
    <w:p>
      <w:pPr>
        <w:pStyle w:val="937"/>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p>
    <w:p>
      <w:pPr>
        <w:pStyle w:val="937"/>
      </w:pPr>
      <w:r>
        <w:rPr>
          <w:b/>
          <w:bCs/>
        </w:rPr>
        <w:t xml:space="preserve">Constatação</w:t>
      </w:r>
      <w:r>
        <w:t xml:space="preserve">: A Revisão da Política Remuneratória da SES/TO foi ineficiente para sanar as demandas remuneratórias dos profissionais da saúde.</w:t>
      </w:r>
    </w:p>
    <w:p>
      <w:pPr>
        <w:pStyle w:val="937"/>
      </w:pPr>
      <w:r>
        <w:rPr>
          <w:b/>
          <w:bCs/>
        </w:rPr>
        <w:t xml:space="preserve">Recomendação</w:t>
      </w:r>
      <w:r>
        <w:t xml:space="preserve">: Buscar meios para que a SES/TO participe das discussões da Política Remuneratória com outras instâncias do governo estadual, em especial, com a Secretaria de Administração do Estado do Tocantins. Como também, garantir que situações observadas nas unidades hospitalares relativas às atribuições de coordenações e funções ocupadas por profissionais de saúde, que esses possam ser remunerados conforme as responsabilidades assumidas. Evitando-se dessa forma que desigualdades remuneratórias de profissionais que ocupam mesmas funções prevaleçam nas unidades hospitalares, no intuito de cumprir o item 1.2 (Revisar a Política Remuneratória pelo Grupo Intersetorial), da Auditora 2, do Plano de Ação, de 28/9/2022.</w:t>
      </w:r>
    </w:p>
    <w:bookmarkEnd w:id="122"/>
    <w:bookmarkStart w:id="123" w:name="auditoria-19813-constatação-nº-694303"/>
    <w:p>
      <w:pPr>
        <w:pStyle w:val="907"/>
      </w:pPr>
      <w:r>
        <w:t xml:space="preserve">9.0.5.2 Auditoria 19813, Constatação Nº 694303</w:t>
      </w:r>
    </w:p>
    <w:p>
      <w:pPr>
        <w:pStyle w:val="937"/>
      </w:pPr>
      <w:r>
        <w:rPr>
          <w:b/>
          <w:bCs/>
        </w:rPr>
        <w:t xml:space="preserve">Finalidade</w:t>
      </w:r>
      <w:r>
        <w:t xml:space="preserve">: Avaliar se a Atenção Primária exerce as atribuições de coordenadora da Rede de Atenção Psicossocial</w:t>
      </w:r>
    </w:p>
    <w:p>
      <w:pPr>
        <w:pStyle w:val="937"/>
      </w:pPr>
      <w:r>
        <w:rPr>
          <w:b/>
          <w:bCs/>
        </w:rPr>
        <w:t xml:space="preserve">Constatação</w:t>
      </w:r>
      <w:r>
        <w:t xml:space="preserve">: Ausência de Grupo Condutor Municipal (GCM) em Saúde Mental no Município de João Pessoa.</w:t>
      </w:r>
    </w:p>
    <w:p>
      <w:pPr>
        <w:pStyle w:val="937"/>
      </w:pPr>
      <w:r>
        <w:rPr>
          <w:b/>
          <w:bCs/>
        </w:rPr>
        <w:t xml:space="preserve">Recomendação</w:t>
      </w:r>
      <w:r>
        <w:t xml:space="preserve">: Instituir e coordenar o Grupo Condutor Municipal, considerando a sua competência na operacionalização da RAPS, de acordo com o disposto na alínea c, inciso III, Art. 14, e inciso III, Art. 15, do Anexo V, da Portaria de Consolidação n.° 3, de 28/9/2017. A instituição e coordenação do Grupo Condutor Municipal pela SMS são essenciais para garantir a pactuação e implementação efetiva da RAPS, promovendo articulação intersetorial, alinhamento das ações de saúde mental e qualificação dos serviços, assegurando cuidado integral e contínuo aos usuários.</w:t>
      </w:r>
    </w:p>
    <w:bookmarkEnd w:id="123"/>
    <w:bookmarkEnd w:id="124"/>
    <w:bookmarkStart w:id="130" w:name="X43cd15e3e0388d144f703d2a0a8fa57db50c396"/>
    <w:p>
      <w:pPr>
        <w:pStyle w:val="906"/>
      </w:pPr>
      <w:r>
        <w:t xml:space="preserve">9.0.6 Adequação ou saneamento de processo de contratação ou contrato vigente</w:t>
      </w:r>
    </w:p>
    <w:bookmarkStart w:id="125" w:name="auditoria-19197-constatação-nº-654780"/>
    <w:p>
      <w:pPr>
        <w:pStyle w:val="907"/>
      </w:pPr>
      <w:r>
        <w:t xml:space="preserve">9.0.6.1 Auditoria 19197, Constatação Nº 654780</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As etiquetas das OPME fixadas nos prontuários não seguem plenamente as exigências constantes nas normativas vigentes.</w:t>
      </w:r>
    </w:p>
    <w:p>
      <w:pPr>
        <w:pStyle w:val="937"/>
      </w:pPr>
      <w:r>
        <w:rPr>
          <w:b/>
          <w:bCs/>
        </w:rPr>
        <w:t xml:space="preserve">Recomendação</w:t>
      </w:r>
      <w:r>
        <w:t xml:space="preserve">: Incluir em todos os Termos de Referência produzidos pela unidade cláusula que exige que as etiquetas das OPMEs entregues pelas empresas fornecedoras tenham todas as informações exigidas pela RDC n°14 Anvisa, de 5 de abril de 2011.</w:t>
      </w:r>
    </w:p>
    <w:bookmarkEnd w:id="125"/>
    <w:bookmarkStart w:id="126" w:name="auditoria-19623-constatação-nº-680680"/>
    <w:p>
      <w:pPr>
        <w:pStyle w:val="907"/>
      </w:pPr>
      <w:r>
        <w:t xml:space="preserve">9.0.6.2 Auditoria 19623, Constatação Nº 680680</w:t>
      </w:r>
    </w:p>
    <w:p>
      <w:pPr>
        <w:pStyle w:val="937"/>
      </w:pPr>
      <w:r>
        <w:rPr>
          <w:b/>
          <w:bCs/>
        </w:rPr>
        <w:t xml:space="preserve">Finalidade</w:t>
      </w:r>
      <w:r>
        <w:t xml:space="preserve">: Verificar as medidas empreendidas pela SES/AM no enfrentamento à COVID- 19.</w:t>
      </w:r>
    </w:p>
    <w:p>
      <w:pPr>
        <w:pStyle w:val="937"/>
      </w:pPr>
      <w:r>
        <w:rPr>
          <w:b/>
          <w:bCs/>
        </w:rPr>
        <w:t xml:space="preserve">Constatação</w:t>
      </w:r>
      <w:r>
        <w:t xml:space="preserve">: Incompatibilidade entre o tipo de ambulância contratada pela Secretaria de Estado da Saúde do Estado de Amazonas - SUSAM/AM, com a especificidade do serviço de transporte sanitário de pacientes em estado crítico, suspeito ou confirmado, com vírus SARS-COV-2 (Covid 19) no Contrato nº 016/2020.</w:t>
      </w:r>
    </w:p>
    <w:p>
      <w:pPr>
        <w:pStyle w:val="937"/>
      </w:pPr>
      <w:r>
        <w:rPr>
          <w:b/>
          <w:bCs/>
        </w:rPr>
        <w:t xml:space="preserve">Recomendação</w:t>
      </w:r>
      <w:r>
        <w:t xml:space="preserve">: A gestão da SUSAM deve envidar esforços para o monitoramento do cumprimento do art. 18, incisos I, II e VII, da Lei 14.133/2021 que revogou a Lei 8.666/93, vigente à época da ocorrência dos fatos, no que se refere a especificação dos objetos das contratações em acordo com as necessidades dos serviços a serem prestados aos usuários do SUS, devendo a equipe ou profissional responsável juntamente com a Comissão de Licitação ou Setor de Compras realizá-lo em conformidade com as normas vigentes do MS que no caso em tela seria a Portaria GM/MS 2048/2002, especificamente quando se tratar de ambulâncias para a remoção de pacientes, devendo na execução dos contratos ser observados os critérios previamente estabelecidos no ato convocatório e de acordo com os fatores exclusivamente nele referidos, de maneira a possibilitar sua aferição pelos licitantes e pelos órgãos de controle.</w:t>
      </w:r>
    </w:p>
    <w:bookmarkEnd w:id="126"/>
    <w:bookmarkStart w:id="127" w:name="auditoria-18885-constatação-nº-664800"/>
    <w:p>
      <w:pPr>
        <w:pStyle w:val="907"/>
      </w:pPr>
      <w:r>
        <w:t xml:space="preserve">9.0.6.3 Auditoria 18885, Constatação Nº 664800</w:t>
      </w:r>
    </w:p>
    <w:p>
      <w:pPr>
        <w:pStyle w:val="937"/>
      </w:pPr>
      <w:r>
        <w:rPr>
          <w:b/>
          <w:bCs/>
        </w:rPr>
        <w:t xml:space="preserve">Finalidade</w:t>
      </w:r>
      <w:r>
        <w:t xml:space="preserve">: Auditar a SMS de Catanduva/SP, focando Contrato de Gestão n°. 01/2015, com OSCIP Mahatma Gandhi</w:t>
      </w:r>
    </w:p>
    <w:p>
      <w:pPr>
        <w:pStyle w:val="937"/>
      </w:pPr>
      <w:r>
        <w:rPr>
          <w:b/>
          <w:bCs/>
        </w:rPr>
        <w:t xml:space="preserve">Constatação</w:t>
      </w:r>
      <w:r>
        <w:t xml:space="preserve">: Foram realizados pagamentos para serviços de assessoria e consultoria decorrentes do Contrato de Gestão nº 01/2015, sem a comprovação da prestação dos serviços, em desconformidade com a legislação.</w:t>
      </w:r>
    </w:p>
    <w:p>
      <w:pPr>
        <w:pStyle w:val="937"/>
      </w:pPr>
      <w:r>
        <w:rPr>
          <w:b/>
          <w:bCs/>
        </w:rPr>
        <w:t xml:space="preserve">Recomendação</w:t>
      </w:r>
      <w:r>
        <w:t xml:space="preserve">: Executar o contrato fielmente de acordo com as cláusulas avençadas de acordo com os incisos II e I do Parágrafo único do artigo 39 da Portaria Interministerial MP/MF/CGU nº 127 de 29 de maio de 2008, que regulamenta o Decreto Federal nº 6.170 de 25 de julho de 2007, que estabelece que os convênios ou contratos de repasse celebrados com entidades privadas sem fins lucrativos, poderão acolher despesas administrativas, desde que estejam expressamente previstas no plano de trabalho e que estejam diretamente relacionadas ao objeto do convênio ou contrato de repasse, e também com o art. 76, combinado com o artigo 116 da Lei Federal 8.666 de 21 de junho de 1993 que estabelece que a Administração rejeitará, no todo ou em parte, obra, serviço ou fornecimento executado em desacordo com o contrato. Não foi encontrado, nos documentos apresentados pela Secretaria Municipal de Saúde, documentos que expressamente autorizem tais despesas, o que também contraria o Parágrafo único do artigo 39 da Portaria Interministerial MP/MF/CGU nº 127 de 29 de maio de 2008, que regulamenta o Decreto Federal nº 6.170 de 25/07/2007.</w:t>
      </w:r>
    </w:p>
    <w:bookmarkEnd w:id="127"/>
    <w:bookmarkStart w:id="128" w:name="auditoria-19201-constatação-nº-663647"/>
    <w:p>
      <w:pPr>
        <w:pStyle w:val="907"/>
      </w:pPr>
      <w:r>
        <w:t xml:space="preserve">9.0.6.4 Auditoria 19201, Constatação Nº 663647</w:t>
      </w:r>
    </w:p>
    <w:p>
      <w:pPr>
        <w:pStyle w:val="937"/>
      </w:pPr>
      <w:r>
        <w:rPr>
          <w:b/>
          <w:bCs/>
        </w:rPr>
        <w:t xml:space="preserve">Finalidade</w:t>
      </w:r>
      <w:r>
        <w:t xml:space="preserve">: Analisar a regularidade na execução do Contrato da Tomada de Preços nº 07/2018- SMS Lagoa Nova/RN</w:t>
      </w:r>
    </w:p>
    <w:p>
      <w:pPr>
        <w:pStyle w:val="937"/>
      </w:pPr>
      <w:r>
        <w:rPr>
          <w:b/>
          <w:bCs/>
        </w:rPr>
        <w:t xml:space="preserve">Constatação</w:t>
      </w:r>
      <w:r>
        <w:t xml:space="preserve">: O Processo da Tomada de Preços nº 07/2018 apresenta irregularidades quanto a modalidade de licitação utilizada.</w:t>
      </w:r>
    </w:p>
    <w:p>
      <w:pPr>
        <w:pStyle w:val="937"/>
      </w:pPr>
      <w:r>
        <w:rPr>
          <w:b/>
          <w:bCs/>
        </w:rPr>
        <w:t xml:space="preserve">Recomendação</w:t>
      </w:r>
      <w:r>
        <w:t xml:space="preserve">: Obedecer a norma a qual estabelece que a modalidade de licitação será determinada em função do valor estimado da contratação - concorrência - acima de R$ 650.000,00 (seiscentos e cinqüenta mil reais), conforme disposto nos termos do art. 23, II, da Lei n° 8.666/93. Devendo ser observado no que couber os termos da nova lei de licitação n° 14.133/2021.</w:t>
      </w:r>
    </w:p>
    <w:bookmarkEnd w:id="128"/>
    <w:bookmarkStart w:id="129" w:name="auditoria-19469-constatação-nº-675818"/>
    <w:p>
      <w:pPr>
        <w:pStyle w:val="907"/>
      </w:pPr>
      <w:r>
        <w:t xml:space="preserve">9.0.6.5 Auditoria 19469, Constatação Nº 675818</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 procedimento licitatório nº 20104/2022 - Pregão Eletrônico - Sistema de Registro de Preços nº 151/2022, para aquisição de material permanente destinado à execução do SAMU 192 ocorreu em desacordo com as exigências da legislação federal pertinente.</w:t>
      </w:r>
    </w:p>
    <w:p>
      <w:pPr>
        <w:pStyle w:val="937"/>
      </w:pPr>
      <w:r>
        <w:rPr>
          <w:b/>
          <w:bCs/>
        </w:rPr>
        <w:t xml:space="preserve">Recomendação</w:t>
      </w:r>
      <w:r>
        <w:t xml:space="preserve">: Realizar processos licitatórios que atendam na integralidade os preceitos legais que regem a matéria, sobretudo quanto ao cumprimento das exigências necessárias aos termos de referência e ao adequado processo de pesquisa de preços para balizar a contratação, nos termos do parágrafo §2º e inciso V do art. 9º do Decreto Federal nº 5450/2005 e inciso V do art. 15 da Lei Federal nº 8666/1993.</w:t>
      </w:r>
    </w:p>
    <w:bookmarkEnd w:id="129"/>
    <w:bookmarkEnd w:id="130"/>
    <w:bookmarkStart w:id="136" w:name="capacitação-de-pessoal"/>
    <w:p>
      <w:pPr>
        <w:pStyle w:val="906"/>
      </w:pPr>
      <w:r>
        <w:t xml:space="preserve">9.0.7 Capacitação de pessoal</w:t>
      </w:r>
    </w:p>
    <w:bookmarkStart w:id="131" w:name="auditoria-19610-constatação-nº-674186"/>
    <w:p>
      <w:pPr>
        <w:pStyle w:val="907"/>
      </w:pPr>
      <w:r>
        <w:t xml:space="preserve">9.0.7.1 Auditoria 19610, Constatação Nº 674186</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Prorrogação de contrato firmado com empresa para prestação de serviços gráficos com justificativa de serviço continuado.</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bookmarkEnd w:id="131"/>
    <w:bookmarkStart w:id="132" w:name="auditoria-19720-constatação-nº-696962"/>
    <w:p>
      <w:pPr>
        <w:pStyle w:val="907"/>
      </w:pPr>
      <w:r>
        <w:t xml:space="preserve">9.0.7.2 Auditoria 19720, Constatação Nº 696962</w:t>
      </w:r>
    </w:p>
    <w:p>
      <w:pPr>
        <w:pStyle w:val="937"/>
      </w:pPr>
      <w:r>
        <w:rPr>
          <w:b/>
          <w:bCs/>
        </w:rPr>
        <w:t xml:space="preserve">Finalidade</w:t>
      </w:r>
      <w:r>
        <w:t xml:space="preserve">: Verificar a regularidade da produção inserida nos sistemas do SUS em São José de Lagoa Tapada/PB.</w:t>
      </w:r>
    </w:p>
    <w:p>
      <w:pPr>
        <w:pStyle w:val="937"/>
      </w:pPr>
      <w:r>
        <w:rPr>
          <w:b/>
          <w:bCs/>
        </w:rPr>
        <w:t xml:space="preserve">Constatação</w:t>
      </w:r>
      <w:r>
        <w:t xml:space="preserve">: A SMS de São José da Lagoa Tapada/PB não comprovou a totalidade produção ambulatorial do procedimento de Consulta Médica em Atenção Especializada, Código 03.01.01.007-2 no Sistema de Informações Ambulatoriais do SUS (SIA-SUS), no exercício de 2022, para a Policlínica Dr. Pedro Queiroga de Oliveira Sousa, Cnes 5469813.</w:t>
      </w:r>
    </w:p>
    <w:p>
      <w:pPr>
        <w:pStyle w:val="937"/>
      </w:pPr>
      <w:r>
        <w:rPr>
          <w:b/>
          <w:bCs/>
        </w:rPr>
        <w:t xml:space="preserve">Recomendação</w:t>
      </w:r>
      <w:r>
        <w:t xml:space="preserve">: À SMS de São José da Lagoa Tapada/PB: Orientar a equipe médica sobre a importância de elaborar prontuários médicos de forma legível, incluindo todos os dados clínicos necessários para conduzir o caso. O prontuário deve ser preenchido em cada avaliação, seguindo uma ordem cronológica com data, hora, assinatura e número de registro do médico no Conselho Regional de Medicina, conforme estipulado pelo Art. 87 da Resolução CFM 2217, de 27/09/2018 - Código de Ética Médica.</w:t>
      </w:r>
    </w:p>
    <w:bookmarkEnd w:id="132"/>
    <w:bookmarkStart w:id="133" w:name="auditoria-19885-constatação-nº-702432"/>
    <w:p>
      <w:pPr>
        <w:pStyle w:val="907"/>
      </w:pPr>
      <w:r>
        <w:t xml:space="preserve">9.0.7.3 Auditoria 19885, Constatação Nº 702432</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Houve internações para quimioterapia de administração contínua sem a efetiva realização deste procedimento.</w:t>
      </w:r>
    </w:p>
    <w:p>
      <w:pPr>
        <w:pStyle w:val="937"/>
      </w:pPr>
      <w:r>
        <w:rPr>
          <w:b/>
          <w:bCs/>
        </w:rPr>
        <w:t xml:space="preserve">Recomendação</w:t>
      </w:r>
      <w:r>
        <w:t xml:space="preserve">: O Provedor da Santa Casa de Araçatuba, assim como a equipe técnica e administrativa, deverão capacitar, monitorar e avaliar as descrições dos procedimentos, tanto ambulatorial quanto hospitalar, solicitados, autorizados, realizados e faturados de acordo com o disposto no Manual de Oncologia - Bases Técnicas - MS/INCA de agosto de 2022, assim como verificar a descrição e compatibilidade dos procedimentos e utilização dos respectivos códigos inerentes à tabela SIGTAP atualizada.</w:t>
      </w:r>
    </w:p>
    <w:bookmarkEnd w:id="133"/>
    <w:bookmarkStart w:id="134" w:name="auditoria-19805-constatação-nº-693810"/>
    <w:p>
      <w:pPr>
        <w:pStyle w:val="907"/>
      </w:pPr>
      <w:r>
        <w:t xml:space="preserve">9.0.7.4 Auditoria 19805, Constatação Nº 693810</w:t>
      </w:r>
    </w:p>
    <w:p>
      <w:pPr>
        <w:pStyle w:val="937"/>
      </w:pPr>
      <w:r>
        <w:rPr>
          <w:b/>
          <w:bCs/>
        </w:rPr>
        <w:t xml:space="preserve">Finalidade</w:t>
      </w:r>
      <w:r>
        <w:t xml:space="preserve">: Verificar se a At. Primária exerce as atribuições de coordenadora da Rede de Atenção Psicossocial</w:t>
      </w:r>
    </w:p>
    <w:p>
      <w:pPr>
        <w:pStyle w:val="937"/>
      </w:pPr>
      <w:r>
        <w:rPr>
          <w:b/>
          <w:bCs/>
        </w:rPr>
        <w:t xml:space="preserve">Constatação</w:t>
      </w:r>
      <w:r>
        <w:t xml:space="preserve">: Os atendimentos em saúde mental não estão sendo registrados de forma detalhada e atualizada pelas UBSs visitadas.</w:t>
      </w:r>
    </w:p>
    <w:p>
      <w:pPr>
        <w:pStyle w:val="937"/>
      </w:pPr>
      <w:r>
        <w:rPr>
          <w:b/>
          <w:bCs/>
        </w:rPr>
        <w:t xml:space="preserve">Recomendação</w:t>
      </w:r>
      <w:r>
        <w:t xml:space="preserve">: À SMS, promover a qualificação dos registros atendimentos em saúde mental nos Prontuários Eletrônicos do Cidadão (PEC), tendo como referência as necessidades explicitadas nos Guias para Qualificação da APS (PEC), bem como a Portaria de Consolidação GM/MS nº 2, de 28/09/2017, Anexo 1 do Anexo XXII, Capítulo I, Item 4.1, incisos X e XV, que estabelece como atribuições comuns a todos os membros das Equipes que atuam na Atenção Básica utilizar o Sistema de Informação da Atenção Básica vigente para registro das ações de saúde na AB, visando subsidiar a gestão, planejamento, investigação clínica e epidemiológica, e a avaliação dos serviços de saúde.</w:t>
      </w:r>
    </w:p>
    <w:bookmarkEnd w:id="134"/>
    <w:bookmarkStart w:id="135" w:name="auditoria-19616-constatação-nº-676221"/>
    <w:p>
      <w:pPr>
        <w:pStyle w:val="907"/>
      </w:pPr>
      <w:r>
        <w:t xml:space="preserve">9.0.7.5 Auditoria 19616, Constatação Nº 676221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Carência de subsídios para a atuação dos fiscais técnicos de convênio.</w:t>
      </w:r>
    </w:p>
    <w:p>
      <w:pPr>
        <w:pStyle w:val="937"/>
      </w:pPr>
      <w:r>
        <w:rPr>
          <w:b/>
          <w:bCs/>
        </w:rPr>
        <w:t xml:space="preserve">Recomendação</w:t>
      </w:r>
      <w:r>
        <w:t xml:space="preserve">: Implementar plano de capacitação direcionado aos fiscais de convênios de saúde indígena, qualificando-os para as atribuições de sua competência para a atender os artigos 41, 42, 56 e 59 da Portaria Interministerial MP/MF/CGU nº 424/2016.</w:t>
      </w:r>
    </w:p>
    <w:bookmarkEnd w:id="135"/>
    <w:bookmarkEnd w:id="136"/>
    <w:bookmarkStart w:id="142" w:name="cumprimento-de-requisito-normativo"/>
    <w:p>
      <w:pPr>
        <w:pStyle w:val="906"/>
      </w:pPr>
      <w:r>
        <w:t xml:space="preserve">9.0.8 Cumprimento de requisito normativo</w:t>
      </w:r>
    </w:p>
    <w:bookmarkStart w:id="137" w:name="auditoria-19389-constatação-nº-663247"/>
    <w:p>
      <w:pPr>
        <w:pStyle w:val="907"/>
      </w:pPr>
      <w:r>
        <w:t xml:space="preserve">9.0.8.1 Auditoria 19389, Constatação Nº 663247</w:t>
      </w:r>
    </w:p>
    <w:p>
      <w:pPr>
        <w:pStyle w:val="937"/>
      </w:pPr>
      <w:r>
        <w:rPr>
          <w:b/>
          <w:bCs/>
        </w:rPr>
        <w:t xml:space="preserve">Finalidade</w:t>
      </w:r>
      <w:r>
        <w:t xml:space="preserve">: Verificar a regularidade na produção amb dos procedimentos relacionados à reabilitação pós-COVID</w:t>
      </w:r>
    </w:p>
    <w:p>
      <w:pPr>
        <w:pStyle w:val="937"/>
      </w:pPr>
      <w:r>
        <w:rPr>
          <w:b/>
          <w:bCs/>
        </w:rPr>
        <w:t xml:space="preserve">Constatação</w:t>
      </w:r>
      <w:r>
        <w:t xml:space="preserve">: Os instrumentos de gestão do SUS em Pedreiras - MA não mencionam a previsão do quantitativo de procedimentos de reabilitação pós-COVID-19 a ser realizado, considerando os dados de saúde da população para o exercício de 2022.</w:t>
      </w:r>
    </w:p>
    <w:p>
      <w:pPr>
        <w:pStyle w:val="937"/>
      </w:pPr>
      <w:r>
        <w:rPr>
          <w:b/>
          <w:bCs/>
        </w:rPr>
        <w:t xml:space="preserve">Recomendação</w:t>
      </w:r>
      <w:r>
        <w:t xml:space="preserve">: Cumprir com os Arts. 95, 96, 97 e 99, da Portaria de Consolidação GM/MS nº 1, de 28 de setembro de 2017, combinado com o §1º, Art. 30 da Lei Complementar nº 141, de 13 de janeiro de 2012, quanto ao processo de planejamento ser elaborado a partir das necessidades de saúde da população, não inserindo informações fictícias nos Instrumentos de Gestão do Município de Pedreiras.</w:t>
      </w:r>
    </w:p>
    <w:bookmarkEnd w:id="137"/>
    <w:bookmarkStart w:id="138" w:name="auditoria-19488-constatação-nº-671390"/>
    <w:p>
      <w:pPr>
        <w:pStyle w:val="907"/>
      </w:pPr>
      <w:r>
        <w:t xml:space="preserve">9.0.8.2 Auditoria 19488, Constatação Nº 671390</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Os veículos recebidos em doação do Ministério da Saúde não foram incorporados ao patrimônio do município de Cajazeiras/PB.</w:t>
      </w:r>
    </w:p>
    <w:p>
      <w:pPr>
        <w:pStyle w:val="937"/>
      </w:pPr>
      <w:r>
        <w:rPr>
          <w:b/>
          <w:bCs/>
        </w:rPr>
        <w:t xml:space="preserve">Recomendação</w:t>
      </w:r>
      <w:r>
        <w:t xml:space="preserve">: Requerer ao Departamento Estadual de Trânsito da Paraíba (DETRAN/PB) a disponibilização de Autorização para Transferência de Propriedade de Veículo em meio digital (ATPV-e) das unidades móveis doados ao Município de Cajazeiras/PB antes de 04/01/2021, nos termos do Inciso II do art. 13 da Resolução CONTRAN nº 809, de 15/12/2020; Registrar no portal de serviços do DETRAN/PB a Autorização para Transferência de Propriedade de Veículo em meio digital (ATPV-e) para todas as unidades móveis doadas ao Município de Cajazeiras/PB que ainda não completaram o processo de transferência de propriedade para o referido município.</w:t>
      </w:r>
    </w:p>
    <w:bookmarkEnd w:id="138"/>
    <w:bookmarkStart w:id="139" w:name="auditoria-19734-constatação-nº-694082"/>
    <w:p>
      <w:pPr>
        <w:pStyle w:val="907"/>
      </w:pPr>
      <w:r>
        <w:t xml:space="preserve">9.0.8.3 Auditoria 19734, Constatação Nº 694082</w:t>
      </w:r>
    </w:p>
    <w:p>
      <w:pPr>
        <w:pStyle w:val="937"/>
      </w:pPr>
      <w:r>
        <w:rPr>
          <w:b/>
          <w:bCs/>
        </w:rPr>
        <w:t xml:space="preserve">Finalidade</w:t>
      </w:r>
      <w:r>
        <w:t xml:space="preserve">: Verificar o cumprimento das diretrizes e dos protocolos do Min. da Saúde para o parto humanizado.</w:t>
      </w:r>
    </w:p>
    <w:p>
      <w:pPr>
        <w:pStyle w:val="937"/>
      </w:pPr>
      <w:r>
        <w:rPr>
          <w:b/>
          <w:bCs/>
        </w:rPr>
        <w:t xml:space="preserve">Constatação</w:t>
      </w:r>
      <w:r>
        <w:t xml:space="preserve">: O serviço de atenção obstétrica e neonatal não possui licença sanitária atualizada e afixada em local visível ao público.</w:t>
      </w:r>
    </w:p>
    <w:p>
      <w:pPr>
        <w:pStyle w:val="937"/>
      </w:pPr>
      <w:r>
        <w:rPr>
          <w:b/>
          <w:bCs/>
        </w:rPr>
        <w:t xml:space="preserve">Recomendação</w:t>
      </w:r>
      <w:r>
        <w:t xml:space="preserve">: Providenciar a regularização da licença sanitária a fim de atender o estabelecido no Item 4.2 da RDC nº 36 de 3/6/2008 que determina que o Serviço de Atenção Obstétrica e Neonatal com CNPJ próprio deve possuir alvará de licenciamento atualizado, expedido pela vigilância sanitária local.</w:t>
      </w:r>
    </w:p>
    <w:bookmarkEnd w:id="139"/>
    <w:bookmarkStart w:id="140" w:name="auditoria-19617-constatação-nº-675245"/>
    <w:p>
      <w:pPr>
        <w:pStyle w:val="907"/>
      </w:pPr>
      <w:r>
        <w:t xml:space="preserve">9.0.8.4 Auditoria 19617, Constatação Nº 675245</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contrato de serviço de Assessoria em Departamento Pessoal.</w:t>
      </w:r>
    </w:p>
    <w:p>
      <w:pPr>
        <w:pStyle w:val="937"/>
      </w:pPr>
      <w:r>
        <w:rPr>
          <w:b/>
          <w:bCs/>
        </w:rPr>
        <w:t xml:space="preserve">Recomendação</w:t>
      </w:r>
      <w:r>
        <w:t xml:space="preserve">: Notificar a convenente para que insira o Contrato de Prestação de Serviço de Assessoria em Departamento Pessoal, no Transferegov, conforme o §2º do art. 45 da Portaria Interministerial nº 424/2016.</w:t>
      </w:r>
    </w:p>
    <w:bookmarkEnd w:id="140"/>
    <w:bookmarkStart w:id="141" w:name="auditoria-19335-constatação-nº-665592"/>
    <w:p>
      <w:pPr>
        <w:pStyle w:val="907"/>
      </w:pPr>
      <w:r>
        <w:t xml:space="preserve">9.0.8.5 Auditoria 19335, Constatação Nº 665592</w:t>
      </w:r>
    </w:p>
    <w:p>
      <w:pPr>
        <w:pStyle w:val="937"/>
      </w:pPr>
      <w:r>
        <w:rPr>
          <w:b/>
          <w:bCs/>
        </w:rPr>
        <w:t xml:space="preserve">Finalidade</w:t>
      </w:r>
      <w:r>
        <w:t xml:space="preserve">: Verificar a regularidade da utilização de Dispositivos Médicos Implantáveis - DMI.</w:t>
      </w:r>
    </w:p>
    <w:p>
      <w:pPr>
        <w:pStyle w:val="937"/>
      </w:pPr>
      <w:r>
        <w:rPr>
          <w:b/>
          <w:bCs/>
        </w:rPr>
        <w:t xml:space="preserve">Constatação</w:t>
      </w:r>
      <w:r>
        <w:t xml:space="preserve">: Os Laudos para Solicitação de Autorização de Internação Hospitalar, Solicitação/Autorização de Mudança de Procedimento de Internação Hospitalar e para Solicitação/Autorização de Procedimentos Especiais não estavam anexados em parte dos prontuários médicos analisados e devidamente preenchidos.</w:t>
      </w:r>
    </w:p>
    <w:p>
      <w:pPr>
        <w:pStyle w:val="937"/>
      </w:pPr>
      <w:r>
        <w:rPr>
          <w:b/>
          <w:bCs/>
        </w:rPr>
        <w:t xml:space="preserve">Recomendação</w:t>
      </w:r>
      <w:r>
        <w:t xml:space="preserve">: Anexar os Laudos para Solicitação de Internação/Autorização Hospitalar, Laudos para Solicitação/Autorização de Procedimentos Especiais e/ou Mudanças de Procedimento aos prontuários dos pacientes, conforme disposto no subitem 4.2, item 8 e subitem 23.2 do Manual Técnico Operacional do Sistema de Informação Hospitalar versão 2017, aprovado pela Portaria GM/MS nº 396, de 12/04/2000. Fazer registros legíveis, sem abreviaturas nos laudos supracitados e com as assinaturas e carimbos do profissional solicitante e autorizador conforme o art. 2º e art. 5º da Portaria MS/SAS nº 1.011, de 03/10/2014.</w:t>
      </w:r>
    </w:p>
    <w:bookmarkEnd w:id="141"/>
    <w:bookmarkEnd w:id="142"/>
    <w:bookmarkStart w:id="148" w:name="X2a0c6ef9e6719efe0b7acc3499da3f1509250bd"/>
    <w:p>
      <w:pPr>
        <w:pStyle w:val="906"/>
      </w:pPr>
      <w:r>
        <w:t xml:space="preserve">9.0.9 Estabelecimento de programa de capacitação continuada</w:t>
      </w:r>
    </w:p>
    <w:bookmarkStart w:id="143" w:name="auditoria-19734-constatação-nº-694076"/>
    <w:p>
      <w:pPr>
        <w:pStyle w:val="907"/>
      </w:pPr>
      <w:r>
        <w:t xml:space="preserve">9.0.9.1 Auditoria 19734, Constatação Nº 694076</w:t>
      </w:r>
    </w:p>
    <w:p>
      <w:pPr>
        <w:pStyle w:val="937"/>
      </w:pPr>
      <w:r>
        <w:rPr>
          <w:b/>
          <w:bCs/>
        </w:rPr>
        <w:t xml:space="preserve">Finalidade</w:t>
      </w:r>
      <w:r>
        <w:t xml:space="preserve">: Verificar o cumprimento das diretrizes e dos protocolos do Min. da Saúde para o parto humanizado.</w:t>
      </w:r>
    </w:p>
    <w:p>
      <w:pPr>
        <w:pStyle w:val="937"/>
      </w:pPr>
      <w:r>
        <w:rPr>
          <w:b/>
          <w:bCs/>
        </w:rPr>
        <w:t xml:space="preserve">Constatação</w:t>
      </w:r>
      <w:r>
        <w:t xml:space="preserve">: As equipes de assistência à atenção obstétrica e neonatal não são capacitadas para o atendimento humanizado as gestantes, puérperas e recém-nascidos.</w:t>
      </w:r>
    </w:p>
    <w:p>
      <w:pPr>
        <w:pStyle w:val="937"/>
      </w:pPr>
      <w:r>
        <w:rPr>
          <w:b/>
          <w:bCs/>
        </w:rPr>
        <w:t xml:space="preserve">Recomendação</w:t>
      </w:r>
      <w:r>
        <w:t xml:space="preserve">: Implementar a capacitação dos profissionais de forma permanente e em conformidade com as atividades desenvolvidas, em atendimento ao Item 6.4 da RDC nº 36 de 3/6/2008.</w:t>
      </w:r>
    </w:p>
    <w:bookmarkEnd w:id="143"/>
    <w:bookmarkStart w:id="144" w:name="auditoria-19780-constatação-nº-692235"/>
    <w:p>
      <w:pPr>
        <w:pStyle w:val="907"/>
      </w:pPr>
      <w:r>
        <w:t xml:space="preserve">9.0.9.2 Auditoria 19780, Constatação Nº 692235</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Central Municipal de Rede de Frio de Lagarto/SE não estabelece programas de treinamentos regulares, especialmente para procedimentos, equipamentos e tecnologias relacionadas à Cadeia de Frio.</w:t>
      </w:r>
    </w:p>
    <w:p>
      <w:pPr>
        <w:pStyle w:val="937"/>
      </w:pPr>
      <w:r>
        <w:rPr>
          <w:b/>
          <w:bCs/>
        </w:rPr>
        <w:t xml:space="preserve">Recomendação</w:t>
      </w:r>
      <w:r>
        <w:t xml:space="preserve">: Incluir Plano de Capacitação permanente de toda a equipe da Central Municipal de Rede de Frio de acordo com as atividades desenvolvidas pelos profissionais, visando a melhoria continuada da eficiência, eficácia e qualidade dos serviços públicos prestados no tocante as boas práticas de armazenamento, distribuição e transporte, conforme estipulado no art. 32, parágrafo único, Seção V, Capítulo II, e art. 33, Seção V, Capítulo II, ambos da RDC nº 63, de 25/11/2011; e Subitem 7.4, Item 7 do Manual de Rede Frio do PNI (5ª Edição, 2017).</w:t>
      </w:r>
    </w:p>
    <w:bookmarkEnd w:id="144"/>
    <w:bookmarkStart w:id="145" w:name="auditoria-19813-constatação-nº-694275"/>
    <w:p>
      <w:pPr>
        <w:pStyle w:val="907"/>
      </w:pPr>
      <w:r>
        <w:t xml:space="preserve">9.0.9.3 Auditoria 19813, Constatação Nº 694275</w:t>
      </w:r>
    </w:p>
    <w:p>
      <w:pPr>
        <w:pStyle w:val="937"/>
      </w:pPr>
      <w:r>
        <w:rPr>
          <w:b/>
          <w:bCs/>
        </w:rPr>
        <w:t xml:space="preserve">Finalidade</w:t>
      </w:r>
      <w:r>
        <w:t xml:space="preserve">: Avaliar se a Atenção Primária exerce as atribuições de coordenadora da Rede de Atenção Psicossocial</w:t>
      </w:r>
    </w:p>
    <w:p>
      <w:pPr>
        <w:pStyle w:val="937"/>
      </w:pPr>
      <w:r>
        <w:rPr>
          <w:b/>
          <w:bCs/>
        </w:rPr>
        <w:t xml:space="preserve">Constatação</w:t>
      </w:r>
      <w:r>
        <w:t xml:space="preserve">: A SMS de João Pessoa/PB não realiza levantamento de necessidade de capacitação para os profissionais que atuam na atenção primária, sobre a temática de saúde mental.</w:t>
      </w:r>
    </w:p>
    <w:p>
      <w:pPr>
        <w:pStyle w:val="937"/>
      </w:pPr>
      <w:r>
        <w:rPr>
          <w:b/>
          <w:bCs/>
        </w:rPr>
        <w:t xml:space="preserve">Recomendação</w:t>
      </w:r>
      <w:r>
        <w:t xml:space="preserve">: À SMS para realizar, continuadamente, levantamentos das necessidades de capacitação dos profissionais que atuam na atenção primária, sobre a temática de saúde mental, para que não haja interferência na qualidade da assistência ofertada aos usuários, conforme a Portaria de Consolidação nº 2, de 28 de setembro de 2017, Anexo 1 do Anexo XXII, Capítulo I, Item 4.2.5, Inciso XII e a Portaria de Consolidação nº 3 de 28 de setembro de 2017, Anexo V, Art 2º, Inciso XI.</w:t>
      </w:r>
    </w:p>
    <w:bookmarkEnd w:id="145"/>
    <w:bookmarkStart w:id="146" w:name="auditoria-19832-constatação-nº-696015"/>
    <w:p>
      <w:pPr>
        <w:pStyle w:val="907"/>
      </w:pPr>
      <w:r>
        <w:t xml:space="preserve">9.0.9.4 Auditoria 19832, Constatação Nº 696015</w:t>
      </w:r>
    </w:p>
    <w:p>
      <w:pPr>
        <w:pStyle w:val="937"/>
      </w:pPr>
      <w:r>
        <w:rPr>
          <w:b/>
          <w:bCs/>
        </w:rPr>
        <w:t xml:space="preserve">Finalidade</w:t>
      </w:r>
      <w:r>
        <w:t xml:space="preserve">: Auditoria na PNSMAD - 2024</w:t>
      </w:r>
    </w:p>
    <w:p>
      <w:pPr>
        <w:pStyle w:val="937"/>
      </w:pPr>
      <w:r>
        <w:rPr>
          <w:b/>
          <w:bCs/>
        </w:rPr>
        <w:t xml:space="preserve">Constatação</w:t>
      </w:r>
      <w:r>
        <w:t xml:space="preserve">: As ações do Programa Saúde na Escola relacionadas à Saúde Mental no período de 2022 a 2023 não foram realizadas.</w:t>
      </w:r>
    </w:p>
    <w:p>
      <w:pPr>
        <w:pStyle w:val="937"/>
      </w:pPr>
      <w:r>
        <w:rPr>
          <w:b/>
          <w:bCs/>
        </w:rPr>
        <w:t xml:space="preserve">Recomendação</w:t>
      </w:r>
      <w:r>
        <w:t xml:space="preserve">: Promover regularmente campanhas educativas para pais e responsáveis, abordando a importância do apoio à saúde mental das crianças, adolescentes e a redução do estigma relacionado ao cuidado psicológico; Articular com a rede de educação ações direcionadas a alunos em situação de vulnerabilidade social, como pessoas em situação de rua, crianças de famílias com histórico de violência doméstica, ou que enfrentam dificuldades financeiras, que são mais propensas a desenvolver problemas de saúde mental; Articular com a rede de educação, treinamentos continuados para professores, coordenadores, gestores escolares e profissionais da saúde sobre a identificação precoce de sinais de transtornos mentais em estudantes, como ansiedade, depressão, bullying, dificuldades de aprendizagem e questões emocionais. Em consonância com o preconizado nos artigos 2º e 4º do Decreto Federal nº 6.286, de 5 de dezembro de 2007 e com o disposto no inciso VIII, item 5, Capítulo I do Anexo XXII da Portaria de Consolidação GM/MS nº 2/2017.</w:t>
      </w:r>
    </w:p>
    <w:bookmarkEnd w:id="146"/>
    <w:bookmarkStart w:id="147" w:name="auditoria-19768-constatação-nº-693424"/>
    <w:p>
      <w:pPr>
        <w:pStyle w:val="907"/>
      </w:pPr>
      <w:r>
        <w:t xml:space="preserve">9.0.9.5 Auditoria 19768, Constatação Nº 693424</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CMRF não possui programas de treinamento regulares para os profissionais da unidade.</w:t>
      </w:r>
    </w:p>
    <w:p>
      <w:pPr>
        <w:pStyle w:val="937"/>
      </w:pPr>
      <w:r>
        <w:rPr>
          <w:b/>
          <w:bCs/>
        </w:rPr>
        <w:t xml:space="preserve">Recomendação</w:t>
      </w:r>
      <w:r>
        <w:t xml:space="preserve">: Adotar as seguintes medidas visando atender o estabelecido no Art. 32 e o Inciso VII, do Art. 33, da Seção V, do Capítulo II, da Resolução - RDC nº 63, de 25/11/2011, e o Subitem 7.4 do Item 7, págs. 78 e 79, do Manual de Rede Frio do PNI de 2017: - Realizar levantamento das competências necessárias para as atividades desempenhadas na CMRF e alinhar os treinamentos as necessidades detectadas; - Elaborar Plano de Capacitação Anual que identifique as necessidades de treinamento específicas para os profissionais da CMRF; - Promover treinamentos regulares e atualizações sobre a Rede de Frios para todos os profissionais, incluindo os motoristas que realizam o transporte dos imunobiológicos; e - Realizar o registro de todas as capacitações realizadas incluindo participantes, conteúdos abordados e resultados obtidos; e - Estabelecer rotinas para a realização de capacitações quando da integração de novos colaboradores, abordando POPs aplicados à unidade e as normatizações estabelecidas das boas práticas aplicadas à Rede de Frio.</w:t>
      </w:r>
    </w:p>
    <w:bookmarkEnd w:id="147"/>
    <w:bookmarkEnd w:id="148"/>
    <w:bookmarkStart w:id="154" w:name="implementação-de-controle-interno"/>
    <w:p>
      <w:pPr>
        <w:pStyle w:val="906"/>
      </w:pPr>
      <w:r>
        <w:t xml:space="preserve">9.0.10 Implementação de controle interno</w:t>
      </w:r>
    </w:p>
    <w:bookmarkStart w:id="149" w:name="auditoria-19628-constatação-nº-685451"/>
    <w:p>
      <w:pPr>
        <w:pStyle w:val="907"/>
      </w:pPr>
      <w:r>
        <w:t xml:space="preserve">9.0.10.1 Auditoria 19628, Constatação Nº 685451</w:t>
      </w:r>
    </w:p>
    <w:p>
      <w:pPr>
        <w:pStyle w:val="937"/>
      </w:pPr>
      <w:r>
        <w:rPr>
          <w:b/>
          <w:bCs/>
        </w:rPr>
        <w:t xml:space="preserve">Finalidade</w:t>
      </w:r>
      <w:r>
        <w:t xml:space="preserve">: Verificar regularidade de recebimento, armazenamento, saída, dispensação e utilização das OPME</w:t>
      </w:r>
    </w:p>
    <w:p>
      <w:pPr>
        <w:pStyle w:val="937"/>
      </w:pPr>
      <w:r>
        <w:rPr>
          <w:b/>
          <w:bCs/>
        </w:rPr>
        <w:t xml:space="preserve">Constatação</w:t>
      </w:r>
      <w:r>
        <w:t xml:space="preserve">: Os exames de imagem para controle da utilização das OPME cardiovasculares implantadas nos pacientes submetidos à intervenção cirúrgica no Hospital Federal de Bonsucesso (HFB) não foram anexados em todos os prontuários analisados.</w:t>
      </w:r>
    </w:p>
    <w:p>
      <w:pPr>
        <w:pStyle w:val="937"/>
      </w:pPr>
      <w:r>
        <w:rPr>
          <w:b/>
          <w:bCs/>
        </w:rPr>
        <w:t xml:space="preserve">Recomendação</w:t>
      </w:r>
      <w:r>
        <w:t xml:space="preserve">: Estabelecer medidas que assegurem a direção, o controle e a supervisão de planos, programas, projetos e atividades, relacionados à prevenção, ao diagnóstico e ao tratamento das diversas patologias atendidas pelo Hospital, conforme estabelecido pela Portaria nº 1419/2017.</w:t>
      </w:r>
    </w:p>
    <w:bookmarkEnd w:id="149"/>
    <w:bookmarkStart w:id="150" w:name="auditoria-19614-constatação-nº-676583"/>
    <w:p>
      <w:pPr>
        <w:pStyle w:val="907"/>
      </w:pPr>
      <w:r>
        <w:t xml:space="preserve">9.0.10.2 Auditoria 19614, Constatação Nº 676583</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 Fundação São Vicente de Paulo se utiliza de peça jurídica, que contraria a Lei 8.866/93, para contratação de serviços de assessoria e consultoria pelo Convênio nº 878439/2018.</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de cotação de preços pela convenente inserida no sistema, em conformidade ao previsto no art. 45 e 46, da Portaria Interministerial MP/MF/CGU nº 424/2016; art. 12 da Portaria de Consolidação Sesai/MS nº 1/2020; §2º do art. 54, art. 56 e art. 77 da Portaria Interministerial MP/MF/CGU nº 424/2016, no sentido de evitar desobediência aos normativos e cometimento de eventuais irregularidades nos atos praticados pela convenente.</w:t>
      </w:r>
    </w:p>
    <w:bookmarkEnd w:id="150"/>
    <w:bookmarkStart w:id="151" w:name="auditoria-19745-constatação-nº-694882"/>
    <w:p>
      <w:pPr>
        <w:pStyle w:val="907"/>
      </w:pPr>
      <w:r>
        <w:t xml:space="preserve">9.0.10.3 Auditoria 19745, Constatação Nº 694882</w:t>
      </w:r>
    </w:p>
    <w:p>
      <w:pPr>
        <w:pStyle w:val="937"/>
      </w:pPr>
      <w:r>
        <w:rPr>
          <w:b/>
          <w:bCs/>
        </w:rPr>
        <w:t xml:space="preserve">Finalidade</w:t>
      </w:r>
      <w:r>
        <w:t xml:space="preserve">: Verificar se a CMRF possui controles internos capazes de assegurar adequadamente a Cadeia de Frios</w:t>
      </w:r>
    </w:p>
    <w:p>
      <w:pPr>
        <w:pStyle w:val="937"/>
      </w:pPr>
      <w:r>
        <w:rPr>
          <w:b/>
          <w:bCs/>
        </w:rPr>
        <w:t xml:space="preserve">Constatação</w:t>
      </w:r>
      <w:r>
        <w:t xml:space="preserve">: A Central Municipal da Rede de Frio - CMRF de Manacapuru não realiza monitoramento contínuo dos controles implementados na Cadeia de Frio.</w:t>
      </w:r>
    </w:p>
    <w:p>
      <w:pPr>
        <w:pStyle w:val="937"/>
      </w:pPr>
      <w:r>
        <w:rPr>
          <w:b/>
          <w:bCs/>
        </w:rPr>
        <w:t xml:space="preserve">Recomendação</w:t>
      </w:r>
      <w:r>
        <w:t xml:space="preserve">: Implementar um sistema de monitoramento que permita a detecção imediata de variações indesejadas na temperatura ou problemas na rede elétrica, bem como, desenvolver e implementar POP específico para a CMRF, detalhando as etapas de monitoramento e ações caso ocorram desvios estabelecendo os responsáveis pelas ações, deverá ainda desenvolver um plano que inclua procedimentos específicos em caso de falhas nos sistema de refrigeração e interrupções de energia, definindo equipe de resposta rápida capacitada para lidar com as emergências, para cumprimento dos Subitem 6.2.7, Item 6; e o Subitem 7.2, Item 7, pag. 77 do Manual de Rede Frio do PNI, 2017.</w:t>
      </w:r>
    </w:p>
    <w:bookmarkEnd w:id="151"/>
    <w:bookmarkStart w:id="152" w:name="auditoria-19686-constatação-nº-689424"/>
    <w:p>
      <w:pPr>
        <w:pStyle w:val="907"/>
      </w:pPr>
      <w:r>
        <w:t xml:space="preserve">9.0.10.4 Auditoria 19686, Constatação Nº 689424</w:t>
      </w:r>
    </w:p>
    <w:p>
      <w:pPr>
        <w:pStyle w:val="937"/>
      </w:pPr>
      <w:r>
        <w:rPr>
          <w:b/>
          <w:bCs/>
        </w:rPr>
        <w:t xml:space="preserve">Finalidade</w:t>
      </w:r>
      <w:r>
        <w:t xml:space="preserve">: Verificar a regularidade no Sistema de Regulação em Saúde de Alagoas.</w:t>
      </w:r>
    </w:p>
    <w:p>
      <w:pPr>
        <w:pStyle w:val="937"/>
      </w:pPr>
      <w:r>
        <w:rPr>
          <w:b/>
          <w:bCs/>
        </w:rPr>
        <w:t xml:space="preserve">Constatação</w:t>
      </w:r>
      <w:r>
        <w:t xml:space="preserve">: Fragilidades no monitoramento e controle da produção realizada com a pactuada no SISREG III, pelos serviços de controle e avaliação da produção assistencial, regulação do acesso e auditoria assistencial da Secretaria de Estado da Saúde de Alagoas (SESAU/AL).</w:t>
      </w:r>
    </w:p>
    <w:p>
      <w:pPr>
        <w:pStyle w:val="937"/>
      </w:pPr>
      <w:r>
        <w:rPr>
          <w:b/>
          <w:bCs/>
        </w:rPr>
        <w:t xml:space="preserve">Recomendação</w:t>
      </w:r>
      <w:r>
        <w:t xml:space="preserve">: A Gestão da SESAU/AL deve criar instrumentos de controle, no Complexo Regulador da SESAU, que possibilitem a integração dos sistemas de regulação utilizados pela Rede (Maceió e Arapiraca); atualizar a Programação Pactuada Integrada no SISREG III; fazer o levantamento crítico das solicitações médicas que aguardam para serem inclusas nos sistemas de regulação; fortalecer o monitoramento e controle da produção realizada com a pactuada no SISREG III, pelos serviços de controle e avaliação da produção assistencial, regulação do acesso e auditoria assistencial da Secretaria de Estado da Saúde de Alagoas (SESAU/AL). Cumprir os incisos VI, VII e VIII do art. 4º da Portaria de Consolidação nº 2, de 28/09/2017.</w:t>
      </w:r>
    </w:p>
    <w:bookmarkEnd w:id="152"/>
    <w:bookmarkStart w:id="153" w:name="auditoria-19748-constatação-nº-690829"/>
    <w:p>
      <w:pPr>
        <w:pStyle w:val="907"/>
      </w:pPr>
      <w:r>
        <w:t xml:space="preserve">9.0.10.5 Auditoria 19748, Constatação Nº 690829</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Secretaria Municipal de Saúde de Ponto Belo não definiu instâncias e mecanismos de controle, avaliação e fiscalização das ações e serviços de saúde.</w:t>
      </w:r>
    </w:p>
    <w:p>
      <w:pPr>
        <w:pStyle w:val="937"/>
      </w:pPr>
      <w:r>
        <w:rPr>
          <w:b/>
          <w:bCs/>
        </w:rPr>
        <w:t xml:space="preserve">Recomendação</w:t>
      </w:r>
      <w:r>
        <w:t xml:space="preserve">: -Definir instâncias e mecanismos de controle, avaliação e de fiscalização das ações e serviços de saúde ofertados aos munícipes de Ponto Belo, conforme estabelecido no Inciso I do artigo 15 da Lei nº 8.080/1990. - Controlar e avaliar as ações e os serviços de saúde, de acordo com o estabelecido no Inciso I do artigo 18 da Lei nº 8.080/1990. -Controlar e avaliar a produção ambulatorial processada e enviada ao gestor federal, conforme estabelecido no Item 2.3 do Manual de Operação do Sistema SIA - Sistema de Informações Ambulatoriais do SUS (2016) e posteriores, e no parágrafo primeiro do artigo 294 da Portaria de Consolidação GM/MS nº 01/2017. -Prestar ao pessoal em exercício no SNA, toda informação necessária ao desempenho das atividades de controle, avaliação e auditoria, em atendimento ao disposto no artigo 11 do Decreto n° 1651/1995.</w:t>
      </w:r>
    </w:p>
    <w:bookmarkEnd w:id="153"/>
    <w:bookmarkEnd w:id="154"/>
    <w:bookmarkStart w:id="160" w:name="X7fffdfeb35aca2397a6afa23087957c427f1bc6"/>
    <w:p>
      <w:pPr>
        <w:pStyle w:val="906"/>
      </w:pPr>
      <w:r>
        <w:t xml:space="preserve">9.0.11 Implementação de melhoria de processo organizacional</w:t>
      </w:r>
    </w:p>
    <w:bookmarkStart w:id="155" w:name="auditoria-19755-constatação-nº-693226"/>
    <w:p>
      <w:pPr>
        <w:pStyle w:val="907"/>
      </w:pPr>
      <w:r>
        <w:t xml:space="preserve">9.0.11.1 Auditoria 19755, Constatação Nº 693226</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Central Municipal de Rede de Frio de São Carlos não realiza o monitoramento contínuo dos controles implementados na cadeia de frio para promover seu aprimoramento e tampouco utiliza indicadores de gestão para subsidiar a tomada de decisões.</w:t>
      </w:r>
    </w:p>
    <w:p>
      <w:pPr>
        <w:pStyle w:val="937"/>
      </w:pPr>
      <w:r>
        <w:rPr>
          <w:b/>
          <w:bCs/>
        </w:rPr>
        <w:t xml:space="preserve">Recomendação</w:t>
      </w:r>
      <w:r>
        <w:t xml:space="preserve">: Realizar a manutenção regular e a calibração adequada dos equipamentos conforme consta nos itens 5.5 - Manutenção e 5.6 - Programas de Manutenção do Manual de Rede de Frio do PNI de 2017, que estabelecem a necessidade de assegurar a confiabilidade dos equipamentos para garantir a segurança operacional, a qualidade dos produtos armazenados e a otimização de recursos. Utilizar indicadores de gestão para potencializar a capacidade dos líderes identificarem verdadeiramente a situação das atividades desenvolvidas, desde a implementação do sistema da qualidade, por exemplo, até o monitoramento dos processos de trabalho e o gerenciamento do risco, conforme consta no item 6.2.7 do Manual de Rede Frio do PNI, 2017.</w:t>
      </w:r>
    </w:p>
    <w:bookmarkEnd w:id="155"/>
    <w:bookmarkStart w:id="156" w:name="auditoria-19806-constatação-nº-694407"/>
    <w:p>
      <w:pPr>
        <w:pStyle w:val="907"/>
      </w:pPr>
      <w:r>
        <w:t xml:space="preserve">9.0.11.2 Auditoria 19806, Constatação Nº 694407</w:t>
      </w:r>
    </w:p>
    <w:p>
      <w:pPr>
        <w:pStyle w:val="937"/>
      </w:pPr>
      <w:r>
        <w:rPr>
          <w:b/>
          <w:bCs/>
        </w:rPr>
        <w:t xml:space="preserve">Finalidade</w:t>
      </w:r>
      <w:r>
        <w:t xml:space="preserve">: Auditoria na PNSMAD - 2024. Verificar se a APS está exercendo as atribuições de coord. da Raps.</w:t>
      </w:r>
    </w:p>
    <w:p>
      <w:pPr>
        <w:pStyle w:val="937"/>
      </w:pPr>
      <w:r>
        <w:rPr>
          <w:b/>
          <w:bCs/>
        </w:rPr>
        <w:t xml:space="preserve">Constatação</w:t>
      </w:r>
      <w:r>
        <w:t xml:space="preserve">: As UBS visitadas não realizam continuidade do cuidado ou ações de redução de danos a grupos específicos de pacientes.</w:t>
      </w:r>
    </w:p>
    <w:p>
      <w:pPr>
        <w:pStyle w:val="937"/>
      </w:pPr>
      <w:r>
        <w:rPr>
          <w:b/>
          <w:bCs/>
        </w:rPr>
        <w:t xml:space="preserve">Recomendação</w:t>
      </w:r>
      <w:r>
        <w:t xml:space="preserve">: a) Elaborar e implementar protocolos clínicos e operacionais nas UBS de Teresina para o atendimento a grupos específicos de pacientes voltados para a saúde mental e o combate ao uso nocivo de álcool e outras drogas, em conformidade com o Inciso I do Art. ° 4 do Anexo V da Portaria de Consolidação GM/MS n.° 3/2017; b) Realizar capacitações periódicas das equipes de saúde da Atenção Primária para sensibilização e qualificação no manejo de casos relacionados à saúde mental e à redução de danos. c) Estabelecer parcerias com instituições locais, como Centros de Atenção Psicossocial (Caps) e organizações não governamentais, para ampliar a oferta de ações de cuidado e suporte aos usuários. d) Disponibilizar materiais educativos e de orientação para pacientes e familiares, abordando estratégias de redução de danos e os serviços de apoio disponíveis. e) Monitorar e avaliar, de forma contínua, a execução das ações de cuidado por meio de indicadores específicos, garantindo o cumprimento das diretrizes previstas na legislação.</w:t>
      </w:r>
    </w:p>
    <w:bookmarkEnd w:id="156"/>
    <w:bookmarkStart w:id="157" w:name="auditoria-19863-constatação-nº-703542"/>
    <w:p>
      <w:pPr>
        <w:pStyle w:val="907"/>
      </w:pPr>
      <w:r>
        <w:t xml:space="preserve">9.0.11.3 Auditoria 19863, Constatação Nº 703542</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A SES/TO não comprovou em sua totalidade a operacionalização da Comissão de Ética de Enfermagem.</w:t>
      </w:r>
    </w:p>
    <w:p>
      <w:pPr>
        <w:pStyle w:val="937"/>
      </w:pPr>
      <w:r>
        <w:rPr>
          <w:b/>
          <w:bCs/>
        </w:rPr>
        <w:t xml:space="preserve">Recomendação</w:t>
      </w:r>
      <w:r>
        <w:t xml:space="preserve">: Operacionalizar a Comissão de Ética de Enfermagem dos Hospitais Geral de Gurupi, Maternidade Dona Regina, Regional de Augustinópolis, Regional de Dianópolis, Regional de Guaraí, Regional de Miracema, Regional de Paraíso, Regional de Porto Nacional, Maternidade Tia Dedé, Regional de Alvorada, Regional de Araguaçu, Regional de Arapoema, Regional de Arraias, Regional de Pedro Afonso e Regional de Xambioá, conforme acordado no item 2.3 do Plano de Ação SES/TO 2022.</w:t>
      </w:r>
    </w:p>
    <w:bookmarkEnd w:id="157"/>
    <w:bookmarkStart w:id="158" w:name="auditoria-19818-constatação-nº-696113"/>
    <w:p>
      <w:pPr>
        <w:pStyle w:val="907"/>
      </w:pPr>
      <w:r>
        <w:t xml:space="preserve">9.0.11.4 Auditoria 19818, Constatação Nº 696113</w:t>
      </w:r>
    </w:p>
    <w:p>
      <w:pPr>
        <w:pStyle w:val="937"/>
      </w:pPr>
      <w:r>
        <w:rPr>
          <w:b/>
          <w:bCs/>
        </w:rPr>
        <w:t xml:space="preserve">Finalidade</w:t>
      </w:r>
      <w:r>
        <w:t xml:space="preserve">: Auditoria na PNSMAD - 2024</w:t>
      </w:r>
    </w:p>
    <w:p>
      <w:pPr>
        <w:pStyle w:val="937"/>
      </w:pPr>
      <w:r>
        <w:rPr>
          <w:b/>
          <w:bCs/>
        </w:rPr>
        <w:t xml:space="preserve">Constatação</w:t>
      </w:r>
      <w:r>
        <w:t xml:space="preserve">: As Unidades de Saúde visitadas não realizaram avaliação e monitoramento (ou sala de situação) dos casos de saúde mental mais prevalentes no território, no período auditado.</w:t>
      </w:r>
    </w:p>
    <w:p>
      <w:pPr>
        <w:pStyle w:val="937"/>
      </w:pPr>
      <w:r>
        <w:rPr>
          <w:b/>
          <w:bCs/>
        </w:rPr>
        <w:t xml:space="preserve">Recomendação</w:t>
      </w:r>
      <w:r>
        <w:t xml:space="preserve">: A Secretaria Municipal de Saúde (SMS) de Aracaju/SE deve implementar e coordenar o Grupo Condutor Municipal da Rede de Atenção Psicossocial e estabelecer os mecanismos de controle, a avaliação e o monitoramento dos casos de saúde mental mais prevalentes no território, bem como o financiamento, a contratualização com os pontos de atenção à saúde sob sua gestão conforme preconiza o item III do Art. 15 do Anexo V da Portaria de Consolidação nº 3, de 28 de setembro de 2017 e as orientações contidas nos Cadernos de Atenção Básica, Acolhimento a Demandas Espontâneas, Queixas mais Comuns na Atenção Básica, nº 28, Volume II, p. 216 - item 2.23, e com os itens 3, 4 e 5 do Anexo 1 do Anexo XXII, Capítulo I, Art. 9º da Portaria de Consolidação nº 2, de 28 de setembro de 2017.</w:t>
      </w:r>
    </w:p>
    <w:bookmarkEnd w:id="158"/>
    <w:bookmarkStart w:id="159" w:name="auditoria-19627-constatação-nº-685174"/>
    <w:p>
      <w:pPr>
        <w:pStyle w:val="907"/>
      </w:pPr>
      <w:r>
        <w:t xml:space="preserve">9.0.11.5 Auditoria 19627, Constatação Nº 685174</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documentos de suporte ao relatório de acompanhamento mensal dos Eixos de Saneamento Ambiental e Edificações de Saúde Indígena.</w:t>
      </w:r>
    </w:p>
    <w:p>
      <w:pPr>
        <w:pStyle w:val="937"/>
      </w:pPr>
      <w:r>
        <w:rPr>
          <w:b/>
          <w:bCs/>
        </w:rPr>
        <w:t xml:space="preserve">Recomendação</w:t>
      </w:r>
      <w:r>
        <w:t xml:space="preserve">: À Sesai: Determinar à CGPO que apoie e oriente os fiscais de acompanhamento, nos processos acompanhamento e monitoramento, bem como na inserção de dados junto ao Transferegov visando atender a Portaria de Consolidação Sesai/MS nº 1/2020, especificamente o inciso I, do art. 10; e os incisos II, IV e V do art. 12.</w:t>
      </w:r>
    </w:p>
    <w:bookmarkEnd w:id="159"/>
    <w:bookmarkEnd w:id="160"/>
    <w:bookmarkStart w:id="166" w:name="X07b97efc4d087d6133ef4d2ab1243b08eb617f3"/>
    <w:p>
      <w:pPr>
        <w:pStyle w:val="906"/>
      </w:pPr>
      <w:r>
        <w:t xml:space="preserve">9.0.12 Informar a terceiro sobre a necessidade de fazer ou deixar de fazer algo</w:t>
      </w:r>
    </w:p>
    <w:bookmarkStart w:id="161" w:name="auditoria-19641-constatação-nº-682685"/>
    <w:p>
      <w:pPr>
        <w:pStyle w:val="907"/>
      </w:pPr>
      <w:r>
        <w:t xml:space="preserve">9.0.12.1 Auditoria 19641, Constatação Nº 682685</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Não apresentação de cópias dos cupons vinculados e receitas médicas solicitadas.</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bookmarkEnd w:id="161"/>
    <w:bookmarkStart w:id="162" w:name="auditoria-19615-constatação-nº-675104"/>
    <w:p>
      <w:pPr>
        <w:pStyle w:val="907"/>
      </w:pPr>
      <w:r>
        <w:t xml:space="preserve">9.0.12.2 Auditoria 19615, Constatação Nº 675104</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fiscal financeiro vinculado para acompanhamento do Convênio nº 882478/2019.</w:t>
      </w:r>
    </w:p>
    <w:p>
      <w:pPr>
        <w:pStyle w:val="937"/>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p>
    <w:bookmarkEnd w:id="162"/>
    <w:bookmarkStart w:id="163" w:name="auditoria-19611-constatação-nº-674402"/>
    <w:p>
      <w:pPr>
        <w:pStyle w:val="907"/>
      </w:pPr>
      <w:r>
        <w:t xml:space="preserve">9.0.12.3 Auditoria 19611, Constatação Nº 674402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Funcionário contratado pela convenente assinou contrato de locação de imóvel para a sede do Instituto Ovídio Machado, em São Luís/MA.</w:t>
      </w:r>
    </w:p>
    <w:p>
      <w:pPr>
        <w:pStyle w:val="937"/>
      </w:pPr>
      <w:r>
        <w:rPr>
          <w:b/>
          <w:bCs/>
        </w:rPr>
        <w:t xml:space="preserve">Recomendação</w:t>
      </w:r>
      <w:r>
        <w:t xml:space="preserve">: Notificar a convenente para apuração dos fatos e envio de justificativas quanto ao constatado, tendo em vista o disposto no Parágrafo único, art. 2º, da Lei nº 8.429, de 2 de junho de 1992.</w:t>
      </w:r>
    </w:p>
    <w:bookmarkEnd w:id="163"/>
    <w:bookmarkStart w:id="164" w:name="auditoria-19627-constatação-nº-685067"/>
    <w:p>
      <w:pPr>
        <w:pStyle w:val="907"/>
      </w:pPr>
      <w:r>
        <w:t xml:space="preserve">9.0.12.4 Auditoria 19627, Constatação Nº 685067</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Pagamento de despesas sem a comprovação da execução dos serviços.</w:t>
      </w:r>
    </w:p>
    <w:p>
      <w:pPr>
        <w:pStyle w:val="937"/>
      </w:pPr>
      <w:r>
        <w:rPr>
          <w:b/>
          <w:bCs/>
        </w:rPr>
        <w:t xml:space="preserve">Recomendação</w:t>
      </w:r>
      <w:r>
        <w:t xml:space="preserve">: Comunicar à Irmandade Santa Casa de Andradina, caso não seja comprovada a execução dos serviços, a irregularidade decorrente do uso dos recursos, fixando o prazo de 45 dias para saneamento ou apresentação de informações e esclarecimentos, conforme estabelece o art. 57 da Portaria Interministerial MP/MF/CGU nº 424/2016.</w:t>
      </w:r>
    </w:p>
    <w:bookmarkEnd w:id="164"/>
    <w:bookmarkStart w:id="165" w:name="auditoria-19517-constatação-nº-671855"/>
    <w:p>
      <w:pPr>
        <w:pStyle w:val="907"/>
      </w:pPr>
      <w:r>
        <w:t xml:space="preserve">9.0.12.5 Auditoria 19517, Constatação Nº 671855</w:t>
      </w:r>
    </w:p>
    <w:p>
      <w:pPr>
        <w:pStyle w:val="937"/>
      </w:pPr>
      <w:r>
        <w:rPr>
          <w:b/>
          <w:bCs/>
        </w:rPr>
        <w:t xml:space="preserve">Finalidade</w:t>
      </w:r>
      <w:r>
        <w:t xml:space="preserve">: Verificar a regularidade da execução do Programa Farmácia Popular do Brasil (PFPB)</w:t>
      </w:r>
    </w:p>
    <w:p>
      <w:pPr>
        <w:pStyle w:val="937"/>
      </w:pPr>
      <w:r>
        <w:rPr>
          <w:b/>
          <w:bCs/>
        </w:rPr>
        <w:t xml:space="preserve">Constatação</w:t>
      </w:r>
      <w:r>
        <w:t xml:space="preserve">: Registro de dispensações de medicamentos em nome de pessoa falecida.</w:t>
      </w:r>
    </w:p>
    <w:p>
      <w:pPr>
        <w:pStyle w:val="937"/>
      </w:pPr>
      <w:r>
        <w:rPr>
          <w:b/>
          <w:bCs/>
        </w:rPr>
        <w:t xml:space="preserve">Recomendação</w:t>
      </w:r>
      <w:r>
        <w:t xml:space="preserve">: Ao Departamento de Assistência Farmacêutica e Insumos Estratégicos (DAF/SECTICS/MS) para conhecimento da presente constatação e adoção dos procedimentos a seu cargo, conforme estabelece o Inciso IV do artigo 17 do Decreto nº 9.795 de 21/05/2019, combinado com o Inciso VIII do artigo 2º do Decreto nº 3.964, de 11/10/2001, visando a elisão do dano e/ou impropriedade ocorrida com recursos de origem federal, indicados no Capítulo Proposição de Devolução, efetuando os devidos acréscimos legais, observados os princípios norteadores dos processos administrativos.</w:t>
      </w:r>
    </w:p>
    <w:bookmarkEnd w:id="165"/>
    <w:bookmarkEnd w:id="166"/>
    <w:bookmarkStart w:id="168" w:name="não-se-aplica"/>
    <w:p>
      <w:pPr>
        <w:pStyle w:val="906"/>
      </w:pPr>
      <w:r>
        <w:t xml:space="preserve">9.0.13 Não se aplica</w:t>
      </w:r>
    </w:p>
    <w:bookmarkStart w:id="167" w:name="auditoria-19378-constatação-nº-662377"/>
    <w:p>
      <w:pPr>
        <w:pStyle w:val="907"/>
      </w:pPr>
      <w:r>
        <w:t xml:space="preserve">9.0.13.1 Auditoria 19378, Constatação Nº 662377</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O Município de Paulo Ramos não possui Setor de Controle, Avaliação e Monitoramento das ações e serviços de saúde implantado e organizado, havendo acompanhamento e análise da produção ambulatorial e hospitalar informados nos Sistemas de Informação Ambulatorial e Hospitalar - SIA/SIH/SUS, pela gestão municipal de saúde.</w:t>
      </w:r>
    </w:p>
    <w:p>
      <w:pPr>
        <w:pStyle w:val="937"/>
      </w:pPr>
      <w:r>
        <w:rPr>
          <w:b/>
          <w:bCs/>
        </w:rPr>
        <w:t xml:space="preserve">Recomendação</w:t>
      </w:r>
      <w:r>
        <w:t xml:space="preserve">: À Secretária Atenção Especializada à Saúde-SAES/MS para conhecimento da presente constatação e adoção dos procedimentos a seu cargo, conforme estabelecido no Art. 25, do Decreto nº 11.358, 01/01/2023, objetivando melhor controle, monitoramento e avaliação das produções informadas pelos municípios.</w:t>
      </w:r>
    </w:p>
    <w:bookmarkEnd w:id="167"/>
    <w:bookmarkEnd w:id="168"/>
    <w:bookmarkStart w:id="174" w:name="reparação-de-prejuízo"/>
    <w:p>
      <w:pPr>
        <w:pStyle w:val="906"/>
      </w:pPr>
      <w:r>
        <w:t xml:space="preserve">9.0.14 Reparação de prejuízo</w:t>
      </w:r>
    </w:p>
    <w:bookmarkStart w:id="169" w:name="auditoria-19435-constatação-nº-671642"/>
    <w:p>
      <w:pPr>
        <w:pStyle w:val="907"/>
      </w:pPr>
      <w:r>
        <w:t xml:space="preserve">9.0.14.1 Auditoria 19435, Constatação Nº 671642</w:t>
      </w:r>
    </w:p>
    <w:p>
      <w:pPr>
        <w:pStyle w:val="937"/>
      </w:pPr>
      <w:r>
        <w:rPr>
          <w:b/>
          <w:bCs/>
        </w:rPr>
        <w:t xml:space="preserve">Finalidade</w:t>
      </w:r>
      <w:r>
        <w:t xml:space="preserve">: Verificar a regularidade da execução do Programa Farmácia Popular do Brasil (PFPB)</w:t>
      </w:r>
    </w:p>
    <w:p>
      <w:pPr>
        <w:pStyle w:val="937"/>
      </w:pPr>
      <w:r>
        <w:rPr>
          <w:b/>
          <w:bCs/>
        </w:rPr>
        <w:t xml:space="preserve">Constatação</w:t>
      </w:r>
      <w:r>
        <w:t xml:space="preserve">: Irregularidades em cupons e receitas médicas apresentadas pela empresa.</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 9.795/2019 de 21/05/2019, combinado com o Inciso VIII do Artigo 2º do Decreto n. 3.964, de 11/10/2001, visando à elisão do dano e/ou impropriedade ocorrida com recursos de origem federal, indicado no Capítulo PROPOSIÇÃO DE DEVOLUÇÃO do presente Relatório, no montante de R$ 252,48 (duzentos e cinquenta e dois reais e quarenta e oito centavos), a ser acrescido das devidas correções legais, observados os princípios norteadores dos processos administrativos.</w:t>
      </w:r>
    </w:p>
    <w:bookmarkEnd w:id="169"/>
    <w:bookmarkStart w:id="170" w:name="auditoria-19739-constatação-nº-694396"/>
    <w:p>
      <w:pPr>
        <w:pStyle w:val="907"/>
      </w:pPr>
      <w:r>
        <w:t xml:space="preserve">9.0.14.2 Auditoria 19739, Constatação Nº 694396</w:t>
      </w:r>
    </w:p>
    <w:p>
      <w:pPr>
        <w:pStyle w:val="937"/>
      </w:pPr>
      <w:r>
        <w:rPr>
          <w:b/>
          <w:bCs/>
        </w:rPr>
        <w:t xml:space="preserve">Finalidade</w:t>
      </w:r>
      <w:r>
        <w:t xml:space="preserve">: Verificar a regularidade na inserção da produção no Sistema de Informação Ambulatorial (SIA/SUS)</w:t>
      </w:r>
    </w:p>
    <w:p>
      <w:pPr>
        <w:pStyle w:val="937"/>
      </w:pPr>
      <w:r>
        <w:rPr>
          <w:b/>
          <w:bCs/>
        </w:rPr>
        <w:t xml:space="preserve">Constatação</w:t>
      </w:r>
      <w:r>
        <w:t xml:space="preserve">: Os dados de produção inseridos no Sistema de Informações Ambulatoriais - SIA/SUS referentes a 2019 não são compatíveis com a produção de serviços efetivamente realizados dos procedimentos de Pesquisa de Anticorpos IGG Contra o Vírus da Hepatite A (HAV-IGG), de Atendimento Médico em Unidade de Pronto Atendimento e de Radiografia de Escápula/Ombro (Três Posições).</w:t>
      </w:r>
    </w:p>
    <w:p>
      <w:pPr>
        <w:pStyle w:val="937"/>
      </w:pPr>
      <w:r>
        <w:rPr>
          <w:b/>
          <w:bCs/>
        </w:rPr>
        <w:t xml:space="preserve">Recomendação</w:t>
      </w:r>
      <w:r>
        <w:t xml:space="preserve">: a) Proceder ao cumprimento dos normativos vigentes adotando providências no sentido de proceder a correta alimentação dos Bancos de Dados Nacionais que integram o Sistema Único de Saúde, conforme responsabilidade atribuída à gestão do SUS estabelecida no parágrafo primeiro do art. 294 da Portaria de Consolidação GM/MS n.º 1/2017; b) Restituir o valor de R$ 400.000,00 ao Fundo Nacional de Saúde/MS, conforme apontamentos registrados nesta constatação, atualizado monetariamente segundo o</w:t>
      </w:r>
      <w:r>
        <w:t xml:space="preserve"> </w:t>
      </w:r>
      <w:r>
        <w:t xml:space="preserve">‘Sistema Débito’</w:t>
      </w:r>
      <w:r>
        <w:t xml:space="preserve"> </w:t>
      </w:r>
      <w:r>
        <w:t xml:space="preserve">do Tribunal de Contas da União, em cumprimento ao inciso VII do art. 2º do Decreto nº 3.964, de 10 de outubro de 2001 e ao subitem 9.3.4 do Acórdão/TCU nº 1.072/2017- Plenário; c) Manter-se atualizada em relação às legislações afetas aos repasses e incentivos financeiros, sobretudo a Cartilha de Emendas Parlamentares para a Proposta de Lei Orçamentária Anual (PLOA) 2025, bem como a Lei Complementar nº 210, de 25/11/2024, que regulamenta a proposição e execução das emendas parlamentares; a fim de evitar devoluções de recursos que possam impactar no planejamento das ações de saúde pública implicando em danos à saúde dos munícipes.</w:t>
      </w:r>
    </w:p>
    <w:bookmarkEnd w:id="170"/>
    <w:bookmarkStart w:id="171" w:name="auditoria-18892-constatação-nº-667289"/>
    <w:p>
      <w:pPr>
        <w:pStyle w:val="907"/>
      </w:pPr>
      <w:r>
        <w:t xml:space="preserve">9.0.14.3 Auditoria 18892, Constatação Nº 667289</w:t>
      </w:r>
    </w:p>
    <w:p>
      <w:pPr>
        <w:pStyle w:val="937"/>
      </w:pPr>
      <w:r>
        <w:rPr>
          <w:b/>
          <w:bCs/>
        </w:rPr>
        <w:t xml:space="preserve">Finalidade</w:t>
      </w:r>
      <w:r>
        <w:t xml:space="preserve">: Avaliar a aplic. de recursos e prestação de serviços na Atenção Básica e Assist. Farm. Básica.</w:t>
      </w:r>
    </w:p>
    <w:p>
      <w:pPr>
        <w:pStyle w:val="937"/>
      </w:pPr>
      <w:r>
        <w:rPr>
          <w:b/>
          <w:bCs/>
        </w:rPr>
        <w:t xml:space="preserve">Constatação</w:t>
      </w:r>
      <w:r>
        <w:t xml:space="preserve">: Realização de pagamentos de notas fiscais de medicamentos e insumos sem o devido registro de entrada dos produtos no almoxarifado da Secretaria Municipal de Saúde de Monte Alegre (SESMA).</w:t>
      </w:r>
    </w:p>
    <w:p>
      <w:pPr>
        <w:pStyle w:val="937"/>
      </w:pPr>
      <w:r>
        <w:rPr>
          <w:b/>
          <w:bCs/>
        </w:rPr>
        <w:t xml:space="preserve">Recomendação</w:t>
      </w:r>
      <w:r>
        <w:t xml:space="preserve">: Restituir o valor de R$ 14.365,00 (quatorze mil, trezentos e sessenta e cinco reais) ao Fundo Nacional de Saúde, conforme apontamentos registrados neste item, atualizado monetariamente segundo o</w:t>
      </w:r>
      <w:r>
        <w:t xml:space="preserve"> </w:t>
      </w:r>
      <w:r>
        <w:t xml:space="preserve">“Sistema Débito”</w:t>
      </w:r>
      <w:r>
        <w:t xml:space="preserve"> </w:t>
      </w:r>
      <w:r>
        <w:t xml:space="preserve">do Tribunal de Contas da União, em cumprimento aos incisos VII e VIII do art. 2º do Decreto nº 3.964/2001 e ao item 9.3.4 do Acórdão/TCU nº 1.072/2017-Plenário.</w:t>
      </w:r>
    </w:p>
    <w:bookmarkEnd w:id="171"/>
    <w:bookmarkStart w:id="172" w:name="auditoria-19488-constatação-nº-673840"/>
    <w:p>
      <w:pPr>
        <w:pStyle w:val="907"/>
      </w:pPr>
      <w:r>
        <w:t xml:space="preserve">9.0.14.4 Auditoria 19488, Constatação Nº 673840</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A SMS de Cajazeiras/PB não comprovou em sua totalidade, as despesas efetuadas com os recursos financeiros repassados pelo Fundo Nacional de Saúde (FNS) ao Fundo Municipal de Saúde (FMS).</w:t>
      </w:r>
    </w:p>
    <w:p>
      <w:pPr>
        <w:pStyle w:val="937"/>
      </w:pPr>
      <w:r>
        <w:rPr>
          <w:b/>
          <w:bCs/>
        </w:rPr>
        <w:t xml:space="preserve">Recomendação</w:t>
      </w:r>
      <w:r>
        <w:t xml:space="preserve">: Dar ciência ao responsável pela irregularidade mencionada neste item e tomar providências para garantir a restituição ao Fundo Nacional de Saúde (FNS) do montante de R$ 507.719,00 (quinhentos e sete mil setecentos e dezenove reais), em conformidade com o item 9.3.3 do Acórdão/TCU n.º 1.072/2017-Plenário, com o objetivo de evitar prejuízos ao erário.</w:t>
      </w:r>
    </w:p>
    <w:bookmarkEnd w:id="172"/>
    <w:bookmarkStart w:id="173" w:name="auditoria-19434-constatação-nº-665136"/>
    <w:p>
      <w:pPr>
        <w:pStyle w:val="907"/>
      </w:pPr>
      <w:r>
        <w:t xml:space="preserve">9.0.14.5 Auditoria 19434, Constatação Nº 665136</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Irregularidades nas dispensações registradas nas cópias dos cupons e prescrições médicas apresentadas.</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nº 9.795, de 17.05.2019, combinado com o inciso VIII, do artigo 2º, do Decreto nº 3.964, de 10.10.2001, visando à elisão do dano e/ou impropriedade ocorrida com recursos de origem federal com características de PREJUÍZO, indicado no capítulo PROPOSIÇÃO DE DEVOLUÇÃO do presente relatório, no valor de R$ 1.281,60 (um mil, duzentos e oitenta e um reais e sessenta centavos), com os acréscimos legais, observados os princípios norteadores dos processos administrativos.</w:t>
      </w:r>
    </w:p>
    <w:bookmarkEnd w:id="173"/>
    <w:bookmarkEnd w:id="174"/>
    <w:bookmarkStart w:id="179" w:name="X43ee0b26dd1854c6420d5023c64741cf9b4d235"/>
    <w:p>
      <w:pPr>
        <w:pStyle w:val="906"/>
      </w:pPr>
      <w:r>
        <w:t xml:space="preserve">9.0.15 Revisão de documento de caráter institucional</w:t>
      </w:r>
    </w:p>
    <w:bookmarkStart w:id="175" w:name="auditoria-19863-constatação-nº-703520"/>
    <w:p>
      <w:pPr>
        <w:pStyle w:val="907"/>
      </w:pPr>
      <w:r>
        <w:t xml:space="preserve">9.0.15.1 Auditoria 19863, Constatação Nº 703520</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A SES/TO não comprovou a revisão do Regimento Interno do Hospital Regional de Gurupi. .</w:t>
      </w:r>
    </w:p>
    <w:p>
      <w:pPr>
        <w:pStyle w:val="937"/>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tendo em vista o compromisso assumido para revisão do Regimento Interno do Hospital Regional de Gurupi.</w:t>
      </w:r>
    </w:p>
    <w:bookmarkEnd w:id="175"/>
    <w:bookmarkStart w:id="176" w:name="auditoria-19763-constatação-nº-693035"/>
    <w:p>
      <w:pPr>
        <w:pStyle w:val="907"/>
      </w:pPr>
      <w:r>
        <w:t xml:space="preserve">9.0.15.2 Auditoria 19763, Constatação Nº 693035</w:t>
      </w:r>
    </w:p>
    <w:p>
      <w:pPr>
        <w:pStyle w:val="937"/>
      </w:pPr>
      <w:r>
        <w:rPr>
          <w:b/>
          <w:bCs/>
        </w:rPr>
        <w:t xml:space="preserve">Finalidade</w:t>
      </w:r>
      <w:r>
        <w:t xml:space="preserve">: Verificar se as Centrais Municipais de Rede de Frios (CMRFs) possuem controles internos</w:t>
      </w:r>
    </w:p>
    <w:p>
      <w:pPr>
        <w:pStyle w:val="937"/>
      </w:pPr>
      <w:r>
        <w:rPr>
          <w:b/>
          <w:bCs/>
        </w:rPr>
        <w:t xml:space="preserve">Constatação</w:t>
      </w:r>
      <w:r>
        <w:t xml:space="preserve">: A CMRF não está representada na estrutura organizacional da SMS.</w:t>
      </w:r>
    </w:p>
    <w:p>
      <w:pPr>
        <w:pStyle w:val="937"/>
      </w:pPr>
      <w:r>
        <w:rPr>
          <w:b/>
          <w:bCs/>
        </w:rPr>
        <w:t xml:space="preserve">Recomendação</w:t>
      </w:r>
      <w:r>
        <w:t xml:space="preserve">: Revisar e atualizar os documentos regulatórios da SMS, assegurando que a CMRF esteja claramente representada na estrutura organizacional e que as suas responsabilidades e competências sejam formalmente reconhecidas no Setor de Imunizações, conforme determina o art. 9º da RDC ANVISA nº 63/2011.</w:t>
      </w:r>
    </w:p>
    <w:bookmarkEnd w:id="176"/>
    <w:bookmarkStart w:id="177" w:name="auditoria-19565-constatação-nº-679603"/>
    <w:p>
      <w:pPr>
        <w:pStyle w:val="907"/>
      </w:pPr>
      <w:r>
        <w:t xml:space="preserve">9.0.15.3 Auditoria 19565, Constatação Nº 679603</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Ausência de plano formalizado para contingência em casos de catástrofes, desastres e atendimentos a múltiplas vítimas (AMV) do SAMU Teresina.</w:t>
      </w:r>
    </w:p>
    <w:p>
      <w:pPr>
        <w:pStyle w:val="937"/>
      </w:pPr>
      <w:r>
        <w:rPr>
          <w:b/>
          <w:bCs/>
        </w:rPr>
        <w:t xml:space="preserve">Recomendação</w:t>
      </w:r>
      <w:r>
        <w:t xml:space="preserve">: Formalizar e participar da elaboração dos Planos de Atenção a Eventos com Múltiplas Vítimas e Desastres, do município ou região de sua área de abrangência, fornecendo dados epidemiológicos, contextualizando os agravos atendidos e identificando os fatores facilitadores e de estrangulamento das ações conforme o disposto no Anexo 4 do Anexo III da PRC nº 3 de 28/09/17, que trata das Atribuições da Regulação Médica das Urgências.</w:t>
      </w:r>
    </w:p>
    <w:bookmarkEnd w:id="177"/>
    <w:bookmarkStart w:id="178" w:name="auditoria-19863-constatação-nº-703517"/>
    <w:p>
      <w:pPr>
        <w:pStyle w:val="907"/>
      </w:pPr>
      <w:r>
        <w:t xml:space="preserve">9.0.15.4 Auditoria 19863, Constatação Nº 703517</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A SES/TO não comprovou a revisão do Regimento Interno do Hospital Regional de Augustinópolis.</w:t>
      </w:r>
    </w:p>
    <w:p>
      <w:pPr>
        <w:pStyle w:val="937"/>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de acordo com o compromisso assumido para revisão do Regimento Interno do Hospital Regional de Augustinópolis.</w:t>
      </w:r>
    </w:p>
    <w:bookmarkEnd w:id="178"/>
    <w:bookmarkEnd w:id="179"/>
    <w:bookmarkStart w:id="185" w:name="revisão-de-procedimentos-internos"/>
    <w:p>
      <w:pPr>
        <w:pStyle w:val="906"/>
      </w:pPr>
      <w:r>
        <w:t xml:space="preserve">9.0.16 Revisão de procedimentos internos</w:t>
      </w:r>
    </w:p>
    <w:bookmarkStart w:id="180" w:name="auditoria-19610-constatação-nº-674108"/>
    <w:p>
      <w:pPr>
        <w:pStyle w:val="907"/>
      </w:pPr>
      <w:r>
        <w:t xml:space="preserve">9.0.16.1 Auditoria 19610, Constatação Nº 674108</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discriminação das despesas administrativas estabelecidas no Plano de Trabalho de 2022.</w:t>
      </w:r>
    </w:p>
    <w:p>
      <w:pPr>
        <w:pStyle w:val="937"/>
      </w:pPr>
      <w:r>
        <w:rPr>
          <w:b/>
          <w:bCs/>
        </w:rPr>
        <w:t xml:space="preserve">Recomendação</w:t>
      </w:r>
      <w:r>
        <w:t xml:space="preserve">: Adotar critérios mínimos de detalhamento das despesas previstas nos planos de trabalho pelas proponentes/convenentes, seja na fase do chamamento público ou na aditivação ao convênio, no sentido de dar clareza ao serviço/produto que deve ser adquirido por meio do instrumento, com definição do quantitativo total/unitário, previsão de datas, inclusão do plano de ação juntamente ao plano de trabalho, em conformidade às disposições do inciso XXIV, do § 1º, do art. 1º e arts. 19 e 20, da Portaria MP/MF/CGU nº 424/2016.</w:t>
      </w:r>
    </w:p>
    <w:bookmarkEnd w:id="180"/>
    <w:bookmarkStart w:id="181" w:name="auditoria-19617-constatação-nº-675244"/>
    <w:p>
      <w:pPr>
        <w:pStyle w:val="907"/>
      </w:pPr>
      <w:r>
        <w:t xml:space="preserve">9.0.16.2 Auditoria 19617, Constatação Nº 675244</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especificação no Plano de Trabalho para a despesa administrativa relacionada à contratação de serviços referentes ao Sistema Integrado de Gestão.</w:t>
      </w:r>
    </w:p>
    <w:p>
      <w:pPr>
        <w:pStyle w:val="937"/>
      </w:pPr>
      <w:r>
        <w:rPr>
          <w:b/>
          <w:bCs/>
        </w:rPr>
        <w:t xml:space="preserve">Recomendação</w:t>
      </w:r>
      <w:r>
        <w:t xml:space="preserve">: Adotar critérios mínimos de detalhamento das despesas previstas nos planos de trabalho pelas proponentes/convenentes, seja na fase do chamamento público ou na aditivação ao convênio, no sentido de dar clareza ao serviço/produto que deve ser adquirido por meio do instrumento, com definição do quantitativo total/unitário, previsão de datas, inclusão do plano de ação juntamente ao plano de trabalho, em conformidade às disposições do inciso XXIV, do § 1º, do art. 1º e arts. 19 e 20, da Portaria MP/MF/CGU nº 424/2016.</w:t>
      </w:r>
    </w:p>
    <w:bookmarkEnd w:id="181"/>
    <w:bookmarkStart w:id="182" w:name="auditoria-19839-constatação-nº-701621"/>
    <w:p>
      <w:pPr>
        <w:pStyle w:val="907"/>
      </w:pPr>
      <w:r>
        <w:t xml:space="preserve">9.0.16.3 Auditoria 19839, Constatação Nº 701621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Semus de Joselândia não comprovou a inserção de informações sobre a Atenção Especializada ofertada no município em todos os instrumentos de gestão de 2021.</w:t>
      </w:r>
    </w:p>
    <w:p>
      <w:pPr>
        <w:pStyle w:val="937"/>
      </w:pPr>
      <w:r>
        <w:rPr>
          <w:b/>
          <w:bCs/>
        </w:rPr>
        <w:t xml:space="preserve">Recomendação</w:t>
      </w:r>
      <w:r>
        <w:t xml:space="preserve">: -Revisar e fortalecer seus processos internos de planejamento, execução e monitoramento. Isso implica em elaborar o PMS e a PAS a partir de uma análise situacional detalhada das necessidades da população e peculiaridades do município, garantindo a alocação transparente dos recursos orçamentários para a Atenção Especializada, e, subsequentemente, utilizar o RAG para apresentar os resultados alcançados com a execução da PAS e orientar eventuais redirecionamentos necessários no Plano de Saúde, assegurando assim uma gestão mais eficiente e responsável. Dessa forma garantir que a Atenção Especializada seja adequadamente contemplada nos instrumentos de gestão em conformidade com os arts. 95 a 97 da Portaria de Consolidação GM/MS nº 1/2017. -Assegurar a ampla divulgação dos instrumentos de gestão em saúde (PMS, PAS e RAG), por meio de canais acessíveis e de fácil compreensão, incluindo portais oficiais e espaços de participação social. Essa medida visa garantir a transparência da administração pública, promover o controle social e subsidiar a participação informada da população nas decisões do setor saúde, em conformidade com os princípios da publicidade e da participação popular previstos na Constituição Federal de 1988, bem como com o disposto no art. 31 da seção I da Lei Complementar nº 141/2012.</w:t>
      </w:r>
    </w:p>
    <w:bookmarkEnd w:id="182"/>
    <w:bookmarkStart w:id="183" w:name="auditoria-19832-constatação-nº-696011"/>
    <w:p>
      <w:pPr>
        <w:pStyle w:val="907"/>
      </w:pPr>
      <w:r>
        <w:t xml:space="preserve">9.0.16.4 Auditoria 19832, Constatação Nº 696011</w:t>
      </w:r>
    </w:p>
    <w:p>
      <w:pPr>
        <w:pStyle w:val="937"/>
      </w:pPr>
      <w:r>
        <w:rPr>
          <w:b/>
          <w:bCs/>
        </w:rPr>
        <w:t xml:space="preserve">Finalidade</w:t>
      </w:r>
      <w:r>
        <w:t xml:space="preserve">: Auditoria na PNSMAD - 2024</w:t>
      </w:r>
    </w:p>
    <w:p>
      <w:pPr>
        <w:pStyle w:val="937"/>
      </w:pPr>
      <w:r>
        <w:rPr>
          <w:b/>
          <w:bCs/>
        </w:rPr>
        <w:t xml:space="preserve">Constatação</w:t>
      </w:r>
      <w:r>
        <w:t xml:space="preserve">: A Unidade Básica de Saúde - UBS Jardim Luiza não tem estabelecida a classificação de riscos no atendimento e continuidade do atendimento.</w:t>
      </w:r>
    </w:p>
    <w:p>
      <w:pPr>
        <w:pStyle w:val="937"/>
      </w:pPr>
      <w:r>
        <w:rPr>
          <w:b/>
          <w:bCs/>
        </w:rPr>
        <w:t xml:space="preserve">Recomendação</w:t>
      </w:r>
      <w:r>
        <w:t xml:space="preserve">: Recomenda-se aos gestores: 1. Elaborar documento operacional padrão visando estabelecer e consolidar o fluxo de atendimento ao usuário, com critérios de risco e vulnerabilidades, que considerem as especificidades relacionadas a questões de saúde mental; 2. Implementar, como procedimento padrão a ser adotado por todos os profissionais que atuam na APS, o acolhimento com estratificação de riscos nos casos relacionados a Saúde Mental atendidos na UBS Jardim Luiza, registrando em prontuário do paciente esse atendimento realizado; 3. Promover ações de educação permanente aos profissionais que atuam na APS, quanto à utilização dos critérios de classificação de riscos e vulnerabilidades, bem como quanto aos procedimentos que envolvem o acolhimento. Em consonância com o Caderno de Atenção Básica, Acolhimento a demandas espontâneas. Queixas mais comuns na Atenção Básica. Nº 28. Volume II. Item 2.23 e Item 2.23; e Portaria de Consolidação nº 2 de 28 de setembro de 2017, Anexo 1 do Anexo XXII, Capítulo I Itens 3, 4, 5, III e VI.</w:t>
      </w:r>
    </w:p>
    <w:bookmarkEnd w:id="183"/>
    <w:bookmarkStart w:id="184" w:name="auditoria-19533-constatação-nº-674474"/>
    <w:p>
      <w:pPr>
        <w:pStyle w:val="907"/>
      </w:pPr>
      <w:r>
        <w:t xml:space="preserve">9.0.16.5 Auditoria 19533, Constatação Nº 674474</w:t>
      </w:r>
    </w:p>
    <w:p>
      <w:pPr>
        <w:pStyle w:val="937"/>
      </w:pPr>
      <w:r>
        <w:rPr>
          <w:b/>
          <w:bCs/>
        </w:rPr>
        <w:t xml:space="preserve">Finalidade</w:t>
      </w:r>
      <w:r>
        <w:t xml:space="preserve">: Averiguação quanto à possível superfaturamento na aquisição de medicamentos</w:t>
      </w:r>
    </w:p>
    <w:p>
      <w:pPr>
        <w:pStyle w:val="937"/>
      </w:pPr>
      <w:r>
        <w:rPr>
          <w:b/>
          <w:bCs/>
        </w:rPr>
        <w:t xml:space="preserve">Constatação</w:t>
      </w:r>
      <w:r>
        <w:t xml:space="preserve">: O recebimento e aceitação dos medicamentos e insumos correlatos adquiridos em decorrência do Contrato nº 53/2018 não foram realizados de acordo com a legislação.</w:t>
      </w:r>
    </w:p>
    <w:p>
      <w:pPr>
        <w:pStyle w:val="937"/>
      </w:pPr>
      <w:r>
        <w:rPr>
          <w:b/>
          <w:bCs/>
        </w:rPr>
        <w:t xml:space="preserve">Recomendação</w:t>
      </w:r>
      <w:r>
        <w:t xml:space="preserve">: Aceitar e receber medicamentos e insumos correlatos por servidor designado para este fim de acordo com o item 3.4 da Instrução Normativa da Presidência da República nº 205 de 08/04/1988 que estabelece que o material que apenas depender de conferência com os termos do pedido e do documento de entrega, será recebido e aceito pelo encarregado do almoxarifado ou por servidor designado para esse fim.</w:t>
      </w:r>
    </w:p>
    <w:bookmarkEnd w:id="184"/>
    <w:bookmarkEnd w:id="185"/>
    <w:bookmarkStart w:id="191" w:name="X6ae8461effafd584cf3eeda2fbba98217d669a4"/>
    <w:p>
      <w:pPr>
        <w:pStyle w:val="906"/>
      </w:pPr>
      <w:r>
        <w:t xml:space="preserve">9.0.17 Revisão e correção de práticas orçamentárias e de gestão financeira</w:t>
      </w:r>
    </w:p>
    <w:bookmarkStart w:id="186" w:name="auditoria-19565-constatação-nº-679558"/>
    <w:p>
      <w:pPr>
        <w:pStyle w:val="907"/>
      </w:pPr>
      <w:r>
        <w:t xml:space="preserve">9.0.17.1 Auditoria 19565, Constatação Nº 679558</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 Relatório Anual de Gestão de 2022 não demonstra a totalidade da execução das despesas do SAMU 192.</w:t>
      </w:r>
    </w:p>
    <w:p>
      <w:pPr>
        <w:pStyle w:val="937"/>
      </w:pPr>
      <w:r>
        <w:rPr>
          <w:b/>
          <w:bCs/>
        </w:rPr>
        <w:t xml:space="preserve">Recomendação</w:t>
      </w:r>
      <w:r>
        <w:t xml:space="preserve">: Garantir que os valores do custeio do SAMU estejam integralmente refletidos na execução financeira, evitando desconexões que possam comprometer a transparência na gestão dos recursos, em conformidade com as normativas legais, como o inciso IV do Art. 4, da Lei nº 8.142 de 28/12/1990, e o § 1º do art. 36 da Lei Complementar nº 141 de 13/01/2012.</w:t>
      </w:r>
    </w:p>
    <w:bookmarkEnd w:id="186"/>
    <w:bookmarkStart w:id="187" w:name="auditoria-19718-constatação-nº-699092"/>
    <w:p>
      <w:pPr>
        <w:pStyle w:val="907"/>
      </w:pPr>
      <w:r>
        <w:t xml:space="preserve">9.0.17.2 Auditoria 19718, Constatação Nº 699092</w:t>
      </w:r>
    </w:p>
    <w:p>
      <w:pPr>
        <w:pStyle w:val="937"/>
      </w:pPr>
      <w:r>
        <w:rPr>
          <w:b/>
          <w:bCs/>
        </w:rPr>
        <w:t xml:space="preserve">Finalidade</w:t>
      </w:r>
      <w:r>
        <w:t xml:space="preserve">: Verificar a regularidade da prestação de contas de internação pelo Hosp. Psiquiátrico Allan Kardec.</w:t>
      </w:r>
    </w:p>
    <w:p>
      <w:pPr>
        <w:pStyle w:val="937"/>
      </w:pPr>
      <w:r>
        <w:rPr>
          <w:b/>
          <w:bCs/>
        </w:rPr>
        <w:t xml:space="preserve">Constatação</w:t>
      </w:r>
      <w:r>
        <w:t xml:space="preserve">: A Secretaria Municipal de Saúde de Franca/SP, realizou pagamentos para o Hospital Psiquiátrico da Fundação Espírita Allan Kardec - FEAK, em atendimento à determinação de Ação Civil Pública, utilizando-se de recursos da União, em desacordo com a legislação.</w:t>
      </w:r>
    </w:p>
    <w:p>
      <w:pPr>
        <w:pStyle w:val="937"/>
      </w:pPr>
      <w:r>
        <w:rPr>
          <w:b/>
          <w:bCs/>
        </w:rPr>
        <w:t xml:space="preserve">Recomendação</w:t>
      </w:r>
      <w:r>
        <w:t xml:space="preserve">: Promover a aplicação do recurso devolvido ao Fundo Municipal de Saúde no valor de R$ 981.710,60 (novecentos e oitenta e um mil, setecentos e dez reais e sessenta centavos), nas ações da Média e Alta Complexidade com a devida prestação de contas das ações à Secretária de Atenção Especializada a Saúde, conforme previsto no parágrafo 2º, do artigo 3º da PT/GM/MS de 28.12.2017, que cita: Os recursos que compõem cada Bloco de Financiamento devem ser aplicados em ações e serviços públicos de saúde relacionados ao próprio bloco, devendo ser observados: I - a vinculação dos recursos, ao final do exercício financeiro, com a finalidade definida em cada Programa de Trabalho do Orçamento Geral da União que deu origem aos repasses realizados;§ 3º A vinculação de que trata o inciso I do § 2º é válida até a aplicação integral dos recursos relacionados a cada Programa de Trabalho do Orçamento Geral da União que deu origem ao repasse, ainda que em exercício diverso daquele em que ocorreu o ingresso no fundo de saúde do Estado, do Distrito Federal ou do Município.</w:t>
      </w:r>
    </w:p>
    <w:bookmarkEnd w:id="187"/>
    <w:bookmarkStart w:id="188" w:name="auditoria-18714-constatação-nº-671367"/>
    <w:p>
      <w:pPr>
        <w:pStyle w:val="907"/>
      </w:pPr>
      <w:r>
        <w:t xml:space="preserve">9.0.17.3 Auditoria 18714, Constatação Nº 671367</w:t>
      </w:r>
    </w:p>
    <w:p>
      <w:pPr>
        <w:pStyle w:val="937"/>
      </w:pPr>
      <w:r>
        <w:rPr>
          <w:b/>
          <w:bCs/>
        </w:rPr>
        <w:t xml:space="preserve">Finalidade</w:t>
      </w:r>
      <w:r>
        <w:t xml:space="preserve">: Verificar a regular utilização de recursos da fonte n°117 na aquisição de veículos pela SMS.</w:t>
      </w:r>
    </w:p>
    <w:p>
      <w:pPr>
        <w:pStyle w:val="937"/>
      </w:pPr>
      <w:r>
        <w:rPr>
          <w:b/>
          <w:bCs/>
        </w:rPr>
        <w:t xml:space="preserve">Constatação</w:t>
      </w:r>
      <w:r>
        <w:t xml:space="preserve">: A Secretaria Municipal de Saúde de Cabo Frio/RJ realizou despesa por meio da nota de empenho nº 188/2018 com fonte de recursos federais - 869 - Hematologia e Hemoterapia, em Programa de Trabalho não correlato com Orçamento Geral da União que deu origem ao repasse.</w:t>
      </w:r>
    </w:p>
    <w:p>
      <w:pPr>
        <w:pStyle w:val="937"/>
      </w:pPr>
      <w:r>
        <w:rPr>
          <w:b/>
          <w:bCs/>
        </w:rPr>
        <w:t xml:space="preserve">Recomendação</w:t>
      </w:r>
      <w:r>
        <w:t xml:space="preserve">: Adotar medidas que assegurem que os repasses de recursos federais sejam aplicados nos objetos compatíveis com o definido no Programa de Trabalho do Orçamento Geral da União, conforme previsto no art. 3º da Portaria de Consolidação nº 06, de 28/09/2017.</w:t>
      </w:r>
    </w:p>
    <w:bookmarkEnd w:id="188"/>
    <w:bookmarkStart w:id="189" w:name="auditoria-19617-constatação-nº-675238"/>
    <w:p>
      <w:pPr>
        <w:pStyle w:val="907"/>
      </w:pPr>
      <w:r>
        <w:t xml:space="preserve">9.0.17.4 Auditoria 19617, Constatação Nº 675238</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Registro de afastamento do trabalho na folha de frequência sem que esteja acompanhado de atestado médico ou justificativa da ocorrência.</w:t>
      </w:r>
    </w:p>
    <w:p>
      <w:pPr>
        <w:pStyle w:val="937"/>
      </w:pPr>
      <w:r>
        <w:rPr>
          <w:b/>
          <w:bCs/>
        </w:rPr>
        <w:t xml:space="preserve">Recomendação</w:t>
      </w:r>
      <w:r>
        <w:t xml:space="preserve">: Notificar a convenente para que insira toda a documentação comprobatória e correta no Transferegov com vistas a sanear todas as 23 impropriedades evidenciadas, para fins de prestação de contas pelo convênio, conforme o disposto no art. 27, inciso X e Capítulo IV, da Portaria Interministerial MP/MF/CGU nº 424/2016, bem como no § 2º, art. 63, da 4.320/64, que dispõe que a liquidação da despesa por fornecimentos feitos ou serviços prestados terá por base a sua prestação efetiva.</w:t>
      </w:r>
    </w:p>
    <w:bookmarkEnd w:id="189"/>
    <w:bookmarkStart w:id="190" w:name="auditoria-19475-constatação-nº-666122"/>
    <w:p>
      <w:pPr>
        <w:pStyle w:val="907"/>
      </w:pPr>
      <w:r>
        <w:t xml:space="preserve">9.0.17.5 Auditoria 19475, Constatação Nº 666122</w:t>
      </w:r>
    </w:p>
    <w:p>
      <w:pPr>
        <w:pStyle w:val="937"/>
      </w:pPr>
      <w:r>
        <w:rPr>
          <w:b/>
          <w:bCs/>
        </w:rPr>
        <w:t xml:space="preserve">Finalidade</w:t>
      </w:r>
      <w:r>
        <w:t xml:space="preserve">: Verificar a regularidade da gestão e funcionamento do Serviço de Atendimento Móvel de Urgência 192.</w:t>
      </w:r>
    </w:p>
    <w:p>
      <w:pPr>
        <w:pStyle w:val="937"/>
      </w:pPr>
      <w:r>
        <w:rPr>
          <w:b/>
          <w:bCs/>
        </w:rPr>
        <w:t xml:space="preserve">Constatação</w:t>
      </w:r>
      <w:r>
        <w:t xml:space="preserve">: A SESAU/RR, e a SMSA de Boa Vista, não cumpriram com a contrapartida pactuada, dos recursos que foram repassados ao SAMU 192 de Boa Vista em 2022.</w:t>
      </w:r>
    </w:p>
    <w:p>
      <w:pPr>
        <w:pStyle w:val="937"/>
      </w:pPr>
      <w:r>
        <w:rPr>
          <w:b/>
          <w:bCs/>
        </w:rPr>
        <w:t xml:space="preserve">Recomendação</w:t>
      </w:r>
      <w:r>
        <w:t xml:space="preserve">: Recomenda-se a SMSA de Boa Vista que: Faça o levantamento dos repasses estaduais que não cumpriram os percentuais mínimos e tome as ações cabíveis (notificação, articulação via CIB, entre outras) para o envio da diferença entre o valor repassado e o repasse pactuado, conforme preconizado no Art. 938 e Parágrafo Único, Seção IV, Capítulo II, Título VIII, Anexo III, da Portaria de Consolidação GM/MS nº 06, de 28 de setembro de 2017, para manutenção das atividades do SAMU 192 de Boa Vista. Faça o levantamento dos repasses estaduais que não cumpriram os percentuais mínimos e tome as ações cabíveis (notificação, articulação via CIB, entre outras) para o envio da diferença entre o valor repassado e o repasse pactuado, conforme preconizado no Art. 938 e Parágrafo Único, Seção IV, Capítulo II, Título VIII, Anexo III, da Portaria de Consolidação GM/MS nº 06, de 28 de setembro de 2017, para manutenção das atividades do SAMU 192 de Boa Vista.</w:t>
      </w:r>
    </w:p>
    <w:p>
      <w:r>
        <w:br w:type="page"/>
      </w:r>
    </w:p>
    <w:bookmarkEnd w:id="190"/>
    <w:bookmarkEnd w:id="191"/>
    <w:bookmarkEnd w:id="192"/>
    <w:bookmarkStart w:id="238" w:name="Xe46ba0ff3afa768561fd31c1cc37f92d071daa4"/>
    <w:p>
      <w:pPr>
        <w:pStyle w:val="904"/>
      </w:pPr>
      <w:r>
        <w:t xml:space="preserve">10. Apêndice D — Prompt de Codificação — Tentativa 1</w:t>
      </w:r>
    </w:p>
    <w:bookmarkStart w:id="193" w:name="prompt-1"/>
    <w:p>
      <w:pPr>
        <w:pStyle w:val="906"/>
      </w:pPr>
      <w:r>
        <w:t xml:space="preserve">10.0.1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achados de auditoria (também chamados de constatações) e que podem ensejar, por sua vez, recomendações dirigidas aos entes auditados, caso sejam detectadas inconformidades. As recomendações são, por conseguinte, definidas como sugestões técnicas que visam corrigir discrepâncias entre o que foi observado e os critérios normativos, operacionais ou legais que embasam o trabalho de auditoria.</w:t>
      </w:r>
      <w:r>
        <w:br/>
      </w:r>
      <w:r>
        <w:br/>
      </w:r>
      <w:r>
        <w:rPr>
          <w:rStyle w:val="949"/>
        </w:rPr>
        <w:t xml:space="preserve">O objetivo do trabalho consiste em classificar as recomendações exaradas pelo DENASUS, segundo a tipologia difundida pelo Institute of Internal Auditors (IIA) que distingue entre recomendações orientadas à abordagem das causas dos problemas identificados (cause-based) ou à condição observada (condition-based), conforme definido a seguir:</w:t>
      </w:r>
      <w:r>
        <w:br/>
      </w:r>
      <w:r>
        <w:br/>
      </w:r>
      <w:r>
        <w:rPr>
          <w:rStyle w:val="949"/>
        </w:rPr>
        <w:t xml:space="preserve">- Recomendações com foco na causa (cause-based): são aquelas que propõem ações necessárias para evitar que a condição ou a observação volte a ocorrer. Normalmente envolvem soluções de longo prazo e podem demandar mais tempo (exemplo: criação e implementação de uma política de revisão de acessos).</w:t>
      </w:r>
      <w:r>
        <w:br/>
      </w:r>
      <w:r>
        <w:br/>
      </w:r>
      <w:r>
        <w:rPr>
          <w:rStyle w:val="949"/>
        </w:rPr>
        <w:t xml:space="preserve">- Recomendações com foco na condição (condition-based): consistem em medidas cuja finalidade é corrigir a condição encontrada. Fornecem uma solução temporária para corrigir a condição atual (exemplo: remoção de acessos indevidos).</w:t>
      </w:r>
      <w:r>
        <w:br/>
      </w:r>
      <w:r>
        <w:br/>
      </w:r>
      <w:r>
        <w:rPr>
          <w:rStyle w:val="949"/>
        </w:rPr>
        <w:t xml:space="preserve">Importante: Para uma recomendação ser considerada como tendo foco na causa (cause-based), exige-se que ela tenha como objetivo não apenas enfrentar as causas estruturais dos problemas identificados, de forma genérica, mas, conforme salientado na definição expressa acima, a recomendação deve propor "ações necessárias para evitar que a condição ou a observação volte a ocorrer". Além disso, é preciso verificar se a solução encarnada na recomendação tem vocação para para perdurar no tempo, envolvendo, portanto, "soluções de longo prazo".</w:t>
      </w:r>
      <w:r>
        <w:br/>
      </w:r>
      <w:r>
        <w:br/>
      </w:r>
      <w:r>
        <w:rPr>
          <w:rStyle w:val="949"/>
        </w:rPr>
        <w:t xml:space="preserve">Recomendações centradas na condição observada (condition-based), por sua vez, são indicativas de uma lógica institucional preponderantemente corretiva e reativa, direcionada à resolução de inconformidades pontuais e imediatas, com capacidade potencialmente reduzida de induzir alterações estruturais duradouras nos processos organizacionais do SUS, visto não se prestarem a promover mudanças na arquitetura institucional do sistema. Essas recomendações traduzem medidas indispensáveis à sua manutenção e desempenho cotidiano e tendem a, quando assimiladas pelo ente auditado, gerar impacto restrito.</w:t>
      </w:r>
      <w:r>
        <w:br/>
      </w:r>
      <w:r>
        <w:br/>
      </w:r>
      <w:r>
        <w:rPr>
          <w:rStyle w:val="949"/>
        </w:rPr>
        <w:t xml:space="preserve">Ressalta-se que o usuário pesquisador irá fornecer uma breve descrição da finalidade do trabalho de auditoria realizado, a constatação (ou achado de auditoria) que motivou a emissão da recomendação e a própria recomendação. Sua função consistirá em avaliar o foco predominante da recomendação, baseando-se, para tanto, nas definições acima mencionadas. Por fim, estruture sua cadeia de raciocínio executando as três etapas apontadas abaixo, de modo sequencial:</w:t>
      </w:r>
      <w:r>
        <w:br/>
      </w:r>
      <w:r>
        <w:br/>
      </w:r>
      <w:r>
        <w:rPr>
          <w:rStyle w:val="949"/>
        </w:rPr>
        <w:t xml:space="preserve">- Critério "Causa Identificada": A recomendação identifica a causa que levou à condição detectada? </w:t>
      </w:r>
      <w:r>
        <w:br/>
      </w:r>
      <w:r>
        <w:rPr>
          <w:rStyle w:val="949"/>
        </w:rPr>
        <w:t xml:space="preserve">- Critério "Ação Proposta": A recomendação traz uma sugestão de ação a ser tomada pelo gestor objetivando mitigar o risco de novas ocorrências da condição?</w:t>
      </w:r>
      <w:r>
        <w:br/>
      </w:r>
      <w:r>
        <w:rPr>
          <w:rStyle w:val="949"/>
        </w:rPr>
        <w:t xml:space="preserve">- Critério "Efeitos Duradouros": Os efeitos pretendidos da ação proposta permanecem mesmo se os atores envolvidos mudarem?</w:t>
      </w:r>
      <w:r>
        <w:br/>
      </w:r>
      <w:r>
        <w:rPr>
          <w:rStyle w:val="949"/>
        </w:rPr>
        <w:t xml:space="preserve">- Critério "Ação Genérica": A ação proposta se restringe a sugerir que o destinatário da recomendação cumpra um normativo legal já existente?</w:t>
      </w:r>
      <w:r>
        <w:br/>
      </w:r>
      <w:r>
        <w:br/>
      </w:r>
      <w:r>
        <w:rPr>
          <w:rStyle w:val="949"/>
        </w:rPr>
        <w:t xml:space="preserve">Instruções adicionais para avaliação dos critérios.</w:t>
      </w:r>
      <w:r>
        <w:br/>
      </w:r>
      <w:r>
        <w:br/>
      </w:r>
      <w:r>
        <w:rPr>
          <w:rStyle w:val="949"/>
        </w:rPr>
        <w:t xml:space="preserve">No caso do critério "Causa Identificada", se a recomendação traz uma ação proposta a partir da qual pode-se inferir a causa, considere que a causa está identificada.</w:t>
      </w:r>
      <w:r>
        <w:br/>
      </w:r>
      <w:r>
        <w:br/>
      </w:r>
      <w:r>
        <w:rPr>
          <w:rStyle w:val="949"/>
        </w:rPr>
        <w:t xml:space="preserve">No caso do critério "Ação Proposta", ações que se restrinjam a sugerir o cumprimento de um normativo já existente devem ser consideradas como proposições.</w:t>
      </w:r>
      <w:r>
        <w:br/>
      </w:r>
      <w:r>
        <w:br/>
      </w:r>
      <w:r>
        <w:rPr>
          <w:rStyle w:val="949"/>
        </w:rPr>
        <w:t xml:space="preserve">No caso do critério "Efeitos Duradouros", o que se pretende avaliar é se a ação proposta produz uma alteração institucional para além dos atores específicos que estavam a atuar quando da ocorrência da condição que motivou a recomendação.</w:t>
      </w:r>
      <w:r>
        <w:br/>
      </w:r>
      <w:r>
        <w:br/>
      </w:r>
      <w:r>
        <w:rPr>
          <w:rStyle w:val="949"/>
        </w:rPr>
        <w:t xml:space="preserve">No caso do critério "Ação Genérica", o que se pretende é diferenciar ações que se restringem a sugerir que o destinatário da recomendação cumpra um normativo legal já existente em detrimento de uma proposta de ação concreta que trate a causa do não cumprimento da norma já existente.</w:t>
      </w:r>
      <w:r>
        <w:br/>
      </w:r>
      <w:r>
        <w:br/>
      </w:r>
      <w:r>
        <w:rPr>
          <w:rStyle w:val="949"/>
        </w:rPr>
        <w:t xml:space="preserve">A cadeia de pensamento deverá constar no campo "Análise" da resposta, que será sucedido pelos campos referentes aos critérios delineados acima.</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aos efeitos, a recomendação... Ja em relação à ação proposta, a recomendação...",</w:t>
      </w:r>
      <w:r>
        <w:br/>
      </w:r>
      <w:r>
        <w:rPr>
          <w:rStyle w:val="949"/>
        </w:rPr>
        <w:t xml:space="preserve">   "Causa Identificada": "sim",</w:t>
      </w:r>
      <w:r>
        <w:br/>
      </w:r>
      <w:r>
        <w:rPr>
          <w:rStyle w:val="949"/>
        </w:rPr>
        <w:t xml:space="preserve">   "Ação Proposta": "sim",</w:t>
      </w:r>
      <w:r>
        <w:br/>
      </w:r>
      <w:r>
        <w:rPr>
          <w:rStyle w:val="949"/>
        </w:rPr>
        <w:t xml:space="preserve">   "Efeitos Duradouros": "não",</w:t>
      </w:r>
      <w:r>
        <w:br/>
      </w:r>
      <w:r>
        <w:rPr>
          <w:rStyle w:val="949"/>
        </w:rPr>
        <w:t xml:space="preserve">   "Ação Genérica": "sim"</w:t>
      </w:r>
      <w:r>
        <w:br/>
      </w:r>
      <w:r>
        <w:rPr>
          <w:rStyle w:val="949"/>
        </w:rPr>
        <w:t xml:space="preserve">} </w:t>
      </w:r>
    </w:p>
    <w:bookmarkEnd w:id="193"/>
    <w:bookmarkStart w:id="194" w:name="resultados-1"/>
    <w:p>
      <w:pPr>
        <w:pStyle w:val="906"/>
      </w:pPr>
      <w:r>
        <w:t xml:space="preserve">10.0.2 Resultados</w:t>
      </w:r>
    </w:p>
    <w:tbl>
      <w:tblPr>
        <w:tblStyle w:val="Table"/>
        <w:tblW w:type="pct" w:w="4923"/>
        <w:tblLayout w:type="fixed"/>
        <w:tblLook w:firstRow="1" w:lastRow="0" w:firstColumn="0" w:lastColumn="0" w:noHBand="0" w:noVBand="0" w:val="0020"/>
      </w:tblPr>
      <w:tblGrid>
        <w:gridCol w:w="1705"/>
        <w:gridCol w:w="1705"/>
        <w:gridCol w:w="1705"/>
        <w:gridCol w:w="1705"/>
        <w:gridCol w:w="487"/>
        <w:gridCol w:w="487"/>
      </w:tblGrid>
      <w:tr>
        <w:trPr>
          <w:tblHeader w:val="on"/>
        </w:trPr>
        <w:tc>
          <w:tcPr/>
          <w:p>
            <w:pPr>
              <w:pStyle w:val="918"/>
              <w:jc w:val="left"/>
            </w:pPr>
            <w:r>
              <w:t xml:space="preserve">Causa Identificada</w:t>
            </w:r>
          </w:p>
        </w:tc>
        <w:tc>
          <w:tcPr/>
          <w:p>
            <w:pPr>
              <w:pStyle w:val="918"/>
              <w:jc w:val="left"/>
            </w:pPr>
            <w:r>
              <w:t xml:space="preserve">Ação Proposta</w:t>
            </w:r>
          </w:p>
        </w:tc>
        <w:tc>
          <w:tcPr/>
          <w:p>
            <w:pPr>
              <w:pStyle w:val="918"/>
              <w:jc w:val="left"/>
            </w:pPr>
            <w:r>
              <w:t xml:space="preserve">Efeitos Duradouros</w:t>
            </w:r>
          </w:p>
        </w:tc>
        <w:tc>
          <w:tcPr/>
          <w:p>
            <w:pPr>
              <w:pStyle w:val="918"/>
              <w:jc w:val="left"/>
            </w:pPr>
            <w:r>
              <w:t xml:space="preserve">Ação Genérica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right"/>
            </w:pPr>
            <w:r>
              <w:t xml:space="preserve">119</w:t>
            </w:r>
          </w:p>
        </w:tc>
        <w:tc>
          <w:tcPr/>
          <w:p>
            <w:pPr>
              <w:pStyle w:val="918"/>
              <w:jc w:val="right"/>
            </w:pPr>
            <w:r>
              <w:t xml:space="preserve">2.77</w:t>
            </w:r>
          </w:p>
        </w:tc>
      </w:tr>
      <w:tr>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right"/>
            </w:pPr>
            <w:r>
              <w:t xml:space="preserve">29</w:t>
            </w:r>
          </w:p>
        </w:tc>
        <w:tc>
          <w:tcPr/>
          <w:p>
            <w:pPr>
              <w:pStyle w:val="918"/>
              <w:jc w:val="right"/>
            </w:pPr>
            <w:r>
              <w:t xml:space="preserve">0.68</w:t>
            </w:r>
          </w:p>
        </w:tc>
      </w:tr>
      <w:tr>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2054</w:t>
            </w:r>
          </w:p>
        </w:tc>
        <w:tc>
          <w:tcPr/>
          <w:p>
            <w:pPr>
              <w:pStyle w:val="918"/>
              <w:jc w:val="right"/>
            </w:pPr>
            <w:r>
              <w:t xml:space="preserve">47.89</w:t>
            </w:r>
          </w:p>
        </w:tc>
      </w:tr>
      <w:tr>
        <w:tc>
          <w:tcPr/>
          <w:p>
            <w:pPr>
              <w:pStyle w:val="918"/>
              <w:jc w:val="left"/>
            </w:pPr>
            <w:r>
              <w:t xml:space="preserve">não</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right"/>
            </w:pPr>
            <w:r>
              <w:t xml:space="preserve">2</w:t>
            </w:r>
          </w:p>
        </w:tc>
        <w:tc>
          <w:tcPr/>
          <w:p>
            <w:pPr>
              <w:pStyle w:val="918"/>
              <w:jc w:val="right"/>
            </w:pPr>
            <w:r>
              <w:t xml:space="preserve">0.05</w:t>
            </w:r>
          </w:p>
        </w:tc>
      </w:tr>
      <w:tr>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right"/>
            </w:pPr>
            <w:r>
              <w:t xml:space="preserve">22</w:t>
            </w:r>
          </w:p>
        </w:tc>
        <w:tc>
          <w:tcPr/>
          <w:p>
            <w:pPr>
              <w:pStyle w:val="918"/>
              <w:jc w:val="right"/>
            </w:pPr>
            <w:r>
              <w:t xml:space="preserve">0.51</w:t>
            </w:r>
          </w:p>
        </w:tc>
      </w:tr>
      <w:tr>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198</w:t>
            </w:r>
          </w:p>
        </w:tc>
        <w:tc>
          <w:tcPr/>
          <w:p>
            <w:pPr>
              <w:pStyle w:val="918"/>
              <w:jc w:val="right"/>
            </w:pPr>
            <w:r>
              <w:t xml:space="preserve">4.62</w:t>
            </w:r>
          </w:p>
        </w:tc>
      </w:tr>
      <w:tr>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 se aplica</w:t>
            </w:r>
          </w:p>
        </w:tc>
        <w:tc>
          <w:tcPr/>
          <w:p>
            <w:pPr>
              <w:pStyle w:val="918"/>
              <w:jc w:val="right"/>
            </w:pPr>
            <w:r>
              <w:t xml:space="preserve">1</w:t>
            </w:r>
          </w:p>
        </w:tc>
        <w:tc>
          <w:tcPr/>
          <w:p>
            <w:pPr>
              <w:pStyle w:val="918"/>
              <w:jc w:val="right"/>
            </w:pPr>
            <w:r>
              <w:t xml:space="preserve">0.02</w:t>
            </w:r>
          </w:p>
        </w:tc>
      </w:tr>
      <w:tr>
        <w:tc>
          <w:tcPr/>
          <w:p>
            <w:pPr>
              <w:pStyle w:val="918"/>
              <w:jc w:val="left"/>
            </w:pPr>
            <w:r>
              <w:t xml:space="preserve">não é possível determinar</w:t>
            </w:r>
          </w:p>
        </w:tc>
        <w:tc>
          <w:tcPr/>
          <w:p>
            <w:pPr>
              <w:pStyle w:val="918"/>
              <w:jc w:val="left"/>
            </w:pPr>
            <w:r>
              <w:t xml:space="preserve">não é possível determinar</w:t>
            </w:r>
          </w:p>
        </w:tc>
        <w:tc>
          <w:tcPr/>
          <w:p>
            <w:pPr>
              <w:pStyle w:val="918"/>
              <w:jc w:val="left"/>
            </w:pPr>
            <w:r>
              <w:t xml:space="preserve">não é possível determinar</w:t>
            </w:r>
          </w:p>
        </w:tc>
        <w:tc>
          <w:tcPr/>
          <w:p>
            <w:pPr>
              <w:pStyle w:val="918"/>
              <w:jc w:val="left"/>
            </w:pPr>
            <w:r>
              <w:t xml:space="preserve">não é possível determinar</w:t>
            </w:r>
          </w:p>
        </w:tc>
        <w:tc>
          <w:tcPr/>
          <w:p>
            <w:pPr>
              <w:pStyle w:val="918"/>
              <w:jc w:val="right"/>
            </w:pPr>
            <w:r>
              <w:t xml:space="preserve">1</w:t>
            </w:r>
          </w:p>
        </w:tc>
        <w:tc>
          <w:tcPr/>
          <w:p>
            <w:pPr>
              <w:pStyle w:val="918"/>
              <w:jc w:val="right"/>
            </w:pPr>
            <w:r>
              <w:t xml:space="preserve">0.02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right"/>
            </w:pPr>
            <w:r>
              <w:t xml:space="preserve">2</w:t>
            </w:r>
          </w:p>
        </w:tc>
        <w:tc>
          <w:tcPr/>
          <w:p>
            <w:pPr>
              <w:pStyle w:val="918"/>
              <w:jc w:val="right"/>
            </w:pPr>
            <w:r>
              <w:t xml:space="preserve">0.05</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10</w:t>
            </w:r>
          </w:p>
        </w:tc>
        <w:tc>
          <w:tcPr/>
          <w:p>
            <w:pPr>
              <w:pStyle w:val="918"/>
              <w:jc w:val="right"/>
            </w:pPr>
            <w:r>
              <w:t xml:space="preserve">0.23</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parcialmente</w:t>
            </w:r>
          </w:p>
        </w:tc>
        <w:tc>
          <w:tcPr/>
          <w:p>
            <w:pPr>
              <w:pStyle w:val="918"/>
              <w:jc w:val="right"/>
            </w:pPr>
            <w:r>
              <w:t xml:space="preserve">4</w:t>
            </w:r>
          </w:p>
        </w:tc>
        <w:tc>
          <w:tcPr/>
          <w:p>
            <w:pPr>
              <w:pStyle w:val="918"/>
              <w:jc w:val="right"/>
            </w:pPr>
            <w:r>
              <w:t xml:space="preserve">0.09</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right"/>
            </w:pPr>
            <w:r>
              <w:t xml:space="preserve">4</w:t>
            </w:r>
          </w:p>
        </w:tc>
        <w:tc>
          <w:tcPr/>
          <w:p>
            <w:pPr>
              <w:pStyle w:val="918"/>
              <w:jc w:val="right"/>
            </w:pPr>
            <w:r>
              <w:t xml:space="preserve">0.09</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right"/>
            </w:pPr>
            <w:r>
              <w:t xml:space="preserve">5</w:t>
            </w:r>
          </w:p>
        </w:tc>
        <w:tc>
          <w:tcPr/>
          <w:p>
            <w:pPr>
              <w:pStyle w:val="918"/>
              <w:jc w:val="right"/>
            </w:pPr>
            <w:r>
              <w:t xml:space="preserve">0.12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5</w:t>
            </w:r>
          </w:p>
        </w:tc>
        <w:tc>
          <w:tcPr/>
          <w:p>
            <w:pPr>
              <w:pStyle w:val="918"/>
              <w:jc w:val="right"/>
            </w:pPr>
            <w:r>
              <w:t xml:space="preserve">0.12</w:t>
            </w:r>
          </w:p>
        </w:tc>
      </w:tr>
      <w:tr>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right"/>
            </w:pPr>
            <w:r>
              <w:t xml:space="preserve">2</w:t>
            </w:r>
          </w:p>
        </w:tc>
        <w:tc>
          <w:tcPr/>
          <w:p>
            <w:pPr>
              <w:pStyle w:val="918"/>
              <w:jc w:val="right"/>
            </w:pPr>
            <w:r>
              <w:t xml:space="preserve">0.05</w:t>
            </w:r>
          </w:p>
        </w:tc>
      </w:tr>
      <w:tr>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right"/>
            </w:pPr>
            <w:r>
              <w:t xml:space="preserve">82</w:t>
            </w:r>
          </w:p>
        </w:tc>
        <w:tc>
          <w:tcPr/>
          <w:p>
            <w:pPr>
              <w:pStyle w:val="918"/>
              <w:jc w:val="right"/>
            </w:pPr>
            <w:r>
              <w:t xml:space="preserve">1.91</w:t>
            </w:r>
          </w:p>
        </w:tc>
      </w:tr>
      <w:tr>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752</w:t>
            </w:r>
          </w:p>
        </w:tc>
        <w:tc>
          <w:tcPr/>
          <w:p>
            <w:pPr>
              <w:pStyle w:val="918"/>
              <w:jc w:val="right"/>
            </w:pPr>
            <w:r>
              <w:t xml:space="preserve">17.53</w:t>
            </w:r>
          </w:p>
        </w:tc>
      </w:tr>
      <w:tr>
        <w:tc>
          <w:tcPr/>
          <w:p>
            <w:pPr>
              <w:pStyle w:val="918"/>
              <w:jc w:val="left"/>
            </w:pPr>
            <w:r>
              <w:t xml:space="preserve">sim</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right"/>
            </w:pPr>
            <w:r>
              <w:t xml:space="preserve">2</w:t>
            </w:r>
          </w:p>
        </w:tc>
        <w:tc>
          <w:tcPr/>
          <w:p>
            <w:pPr>
              <w:pStyle w:val="918"/>
              <w:jc w:val="right"/>
            </w:pPr>
            <w:r>
              <w:t xml:space="preserve">0.05</w:t>
            </w:r>
          </w:p>
        </w:tc>
      </w:tr>
      <w:tr>
        <w:tc>
          <w:tcPr/>
          <w:p>
            <w:pPr>
              <w:pStyle w:val="918"/>
              <w:jc w:val="left"/>
            </w:pPr>
            <w:r>
              <w:t xml:space="preserve">sim</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right"/>
            </w:pPr>
            <w:r>
              <w:t xml:space="preserve">4</w:t>
            </w:r>
          </w:p>
        </w:tc>
        <w:tc>
          <w:tcPr/>
          <w:p>
            <w:pPr>
              <w:pStyle w:val="918"/>
              <w:jc w:val="right"/>
            </w:pPr>
            <w:r>
              <w:t xml:space="preserve">0.09</w:t>
            </w:r>
          </w:p>
        </w:tc>
      </w:tr>
      <w:tr>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right"/>
            </w:pPr>
            <w:r>
              <w:t xml:space="preserve">519</w:t>
            </w:r>
          </w:p>
        </w:tc>
        <w:tc>
          <w:tcPr/>
          <w:p>
            <w:pPr>
              <w:pStyle w:val="918"/>
              <w:jc w:val="right"/>
            </w:pPr>
            <w:r>
              <w:t xml:space="preserve">12.10</w:t>
            </w:r>
          </w:p>
        </w:tc>
      </w:tr>
      <w:tr>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445</w:t>
            </w:r>
          </w:p>
        </w:tc>
        <w:tc>
          <w:tcPr/>
          <w:p>
            <w:pPr>
              <w:pStyle w:val="918"/>
              <w:jc w:val="right"/>
            </w:pPr>
            <w:r>
              <w:t xml:space="preserve">10.38</w:t>
            </w:r>
          </w:p>
        </w:tc>
      </w:tr>
      <w:tr>
        <w:tc>
          <w:tcPr/>
          <w:p>
            <w:pPr>
              <w:pStyle w:val="918"/>
              <w:jc w:val="left"/>
            </w:pPr>
            <w:r>
              <w:t xml:space="preserve">NA</w:t>
            </w:r>
          </w:p>
        </w:tc>
        <w:tc>
          <w:tcPr/>
          <w:p>
            <w:pPr>
              <w:pStyle w:val="918"/>
              <w:jc w:val="left"/>
            </w:pPr>
            <w:r>
              <w:t xml:space="preserve">NA</w:t>
            </w:r>
          </w:p>
        </w:tc>
        <w:tc>
          <w:tcPr/>
          <w:p>
            <w:pPr>
              <w:pStyle w:val="918"/>
              <w:jc w:val="left"/>
            </w:pPr>
            <w:r>
              <w:t xml:space="preserve">NA</w:t>
            </w:r>
          </w:p>
        </w:tc>
        <w:tc>
          <w:tcPr/>
          <w:p>
            <w:pPr>
              <w:pStyle w:val="918"/>
              <w:jc w:val="left"/>
            </w:pPr>
            <w:r>
              <w:t xml:space="preserve">NA</w:t>
            </w:r>
          </w:p>
        </w:tc>
        <w:tc>
          <w:tcPr/>
          <w:p>
            <w:pPr>
              <w:pStyle w:val="918"/>
              <w:jc w:val="right"/>
            </w:pPr>
            <w:r>
              <w:t xml:space="preserve">23</w:t>
            </w:r>
          </w:p>
        </w:tc>
        <w:tc>
          <w:tcPr/>
          <w:p>
            <w:pPr>
              <w:pStyle w:val="918"/>
              <w:jc w:val="right"/>
            </w:pPr>
            <w:r>
              <w:t xml:space="preserve">0.54</w:t>
            </w:r>
          </w:p>
        </w:tc>
      </w:tr>
    </w:tbl>
    <w:bookmarkEnd w:id="194"/>
    <w:bookmarkStart w:id="237" w:name="listagem-1"/>
    <w:p>
      <w:pPr>
        <w:pStyle w:val="906"/>
      </w:pPr>
      <w:r>
        <w:t xml:space="preserve">10.0.3 Listagem</w:t>
      </w:r>
    </w:p>
    <w:bookmarkStart w:id="195" w:name="auditoria-19806-constatação-nº-694420"/>
    <w:p>
      <w:pPr>
        <w:pStyle w:val="907"/>
      </w:pPr>
      <w:r>
        <w:t xml:space="preserve">10.0.3.1 Auditoria 19806, Constatação Nº 694420</w:t>
      </w:r>
    </w:p>
    <w:p>
      <w:pPr>
        <w:pStyle w:val="917"/>
      </w:pPr>
      <w:r>
        <w:rPr>
          <w:b/>
          <w:bCs/>
        </w:rPr>
        <w:t xml:space="preserve">Finalidade</w:t>
      </w:r>
      <w:r>
        <w:t xml:space="preserve">: Auditoria na PNSMAD - 2024. Verificar se a APS está exercendo as atribuições de coord. da Raps.</w:t>
      </w:r>
    </w:p>
    <w:p>
      <w:pPr>
        <w:pStyle w:val="916"/>
      </w:pPr>
      <w:r>
        <w:rPr>
          <w:b/>
          <w:bCs/>
        </w:rPr>
        <w:t xml:space="preserve">Constatação</w:t>
      </w:r>
      <w:r>
        <w:t xml:space="preserve">: A FMS não comprovou que as ações relacionadas à saúde mental, álcool e outras drogas na atenção básica do Plano de Ação Municipal estão alinhadas às ações do Plano de Ação Regional.</w:t>
      </w:r>
    </w:p>
    <w:p>
      <w:pPr>
        <w:pStyle w:val="916"/>
      </w:pPr>
      <w:r>
        <w:rPr>
          <w:b/>
          <w:bCs/>
        </w:rPr>
        <w:t xml:space="preserve">Recomendação</w:t>
      </w:r>
      <w:r>
        <w:t xml:space="preserve">: a) Elaborar Plano de Ação Municipal, previsto na Raps, em consonância com o Plano de Ação Regional e considerando ainda as especificidades locais; b) Que a FMS preste, sempre que exigida ao pessoal em exercício no SNA, toda informação necessária ao desempenho das atividades de controle, avaliação e auditoria, facilitando-lhes o acesso a documentos, pessoas e instalações, conforme o art. 11 do Decreto nº 1.651/1995.</w:t>
      </w:r>
    </w:p>
    <w:p>
      <w:pPr>
        <w:pStyle w:val="916"/>
      </w:pPr>
      <w:r>
        <w:rPr>
          <w:b/>
          <w:bCs/>
        </w:rPr>
        <w:t xml:space="preserve">Análise Codificação</w:t>
      </w:r>
      <w:r>
        <w:t xml:space="preserve">: A recomendação (a) propõe a elaboração de um Plano de Ação Municipal alinhado ao regional, o que sugere uma ação para evitar a repetição da falta de alinhamento, mas não identifica explicitamente a causa subjacente, como falhas na coordenação ou capacitação. A ação proposta visa mitigar o risco de novas ocorrências ao estabelecer um plano, porém seus efeitos podem ser duradouros se institucionalizados, embora dependam da implementação contínua. A ação não é genérica, pois vai além do mero cumprimento normativo ao especificar a elaboração de um plano. Já a recomendação (b) é claramente genérica, focando no cumprimento de um decreto existente sem abordar causas ou propor mudanças estruturais, sendo reativa e de efeitos limitados. Considerando o foco principal da recomendação (a) como mais relevante para a classificação, ela se aproxima de uma abordagem cause-based, mas com limitações na identificação direta da causa e na durabilidade.</w:t>
      </w:r>
    </w:p>
    <w:p>
      <w:pPr>
        <w:pStyle w:val="918"/>
        <w:numPr>
          <w:ilvl w:val="0"/>
          <w:numId w:val="1008"/>
        </w:numPr>
      </w:pPr>
      <w:r>
        <w:t xml:space="preserve">Causa Identificada: não</w:t>
      </w:r>
    </w:p>
    <w:p>
      <w:pPr>
        <w:pStyle w:val="918"/>
        <w:numPr>
          <w:ilvl w:val="0"/>
          <w:numId w:val="1008"/>
        </w:numPr>
      </w:pPr>
      <w:r>
        <w:t xml:space="preserve">Ação Proposta: sim</w:t>
      </w:r>
    </w:p>
    <w:p>
      <w:pPr>
        <w:pStyle w:val="918"/>
        <w:numPr>
          <w:ilvl w:val="0"/>
          <w:numId w:val="1008"/>
        </w:numPr>
      </w:pPr>
      <w:r>
        <w:t xml:space="preserve">Efeitos Duradouros: parcialmente</w:t>
      </w:r>
    </w:p>
    <w:p>
      <w:pPr>
        <w:pStyle w:val="918"/>
        <w:numPr>
          <w:ilvl w:val="0"/>
          <w:numId w:val="1008"/>
        </w:numPr>
      </w:pPr>
      <w:r>
        <w:t xml:space="preserve">Ação Genérica: não</w:t>
      </w:r>
    </w:p>
    <w:bookmarkEnd w:id="195"/>
    <w:bookmarkStart w:id="196" w:name="auditoria-19399-constatação-nº-663962"/>
    <w:p>
      <w:pPr>
        <w:pStyle w:val="907"/>
      </w:pPr>
      <w:r>
        <w:t xml:space="preserve">10.0.3.2 Auditoria 19399, Constatação Nº 663962</w:t>
      </w:r>
    </w:p>
    <w:p>
      <w:pPr>
        <w:pStyle w:val="917"/>
      </w:pPr>
      <w:r>
        <w:rPr>
          <w:b/>
          <w:bCs/>
        </w:rPr>
        <w:t xml:space="preserve">Finalidade</w:t>
      </w:r>
      <w:r>
        <w:t xml:space="preserve">: Verificar a regularidade da execução do Programa Farmácia Popular do Brasil (PFPB)</w:t>
      </w:r>
    </w:p>
    <w:p>
      <w:pPr>
        <w:pStyle w:val="916"/>
      </w:pPr>
      <w:r>
        <w:rPr>
          <w:b/>
          <w:bCs/>
        </w:rPr>
        <w:t xml:space="preserve">Constatação</w:t>
      </w:r>
      <w:r>
        <w:t xml:space="preserve">: Registro de dispensação de medicamentos pelo Programa Farmácia Popular do Brasil sem a comprovação das aquisições por meio de notas fiscais, no período de janeiro de 2017 a março de 2020.</w:t>
      </w:r>
    </w:p>
    <w:p>
      <w:pPr>
        <w:pStyle w:val="916"/>
      </w:pPr>
      <w:r>
        <w:rPr>
          <w:b/>
          <w:bCs/>
        </w:rPr>
        <w:t xml:space="preserve">Recomendação</w:t>
      </w:r>
      <w:r>
        <w:t xml:space="preserve">: 1-Apresentar a documentação solicitada pelos órgãos de controle do SUS e as entidades privadas, que dele participarem de forma complementar ao pessoal em exercício no SNA toda informação necessária ao desempenho da atividade de auditoria, em observância a determinação contida no artigo 11 do Decreto Federal nº 1.651 de 28/09/1995. 2- Manter os documentos fiscais de aquisição dos medicamentos e/ou fraldas geriátricas do PFPB, por um prazo de 10 (dez) anos, com arquivamento de 2 (duas) cópias, mantidas em locais distintos, uma em meio físico e outra em arquivo digitalizado, conforme estabelecido no inciso II e § 1º do artigo 22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inciso I do artigo 37 do Anexo LXXVII da Portaria de Consolidação GM/MS nº 5 de 28/09/2017, alterado pelo artigo 1º da Portaria GM/MS nº 2898 de 03/11/2021.</w:t>
      </w:r>
    </w:p>
    <w:p>
      <w:pPr>
        <w:pStyle w:val="916"/>
      </w:pPr>
      <w:r>
        <w:rPr>
          <w:b/>
          <w:bCs/>
        </w:rPr>
        <w:t xml:space="preserve">Análise Codificação</w:t>
      </w:r>
      <w:r>
        <w:t xml:space="preserve">: A recomendação é composta por três itens distintos. O primeiro item trata da apresentação de documentação solicitada por órgãos de controle, focando em cumprir exigências legais existentes sem propor ações específicas para evitar a causa da falta de documentação. O segundo item estabelece procedimentos de arquivamento de documentos fiscais, que embora possa ter efeitos duradouros ao instituir uma prática organizacional, não aborda diretamente as causas da não comprovação das aquisições. O terceiro item recomenda a observância das regras do programa, sendo uma ação genérica de cumprimento normativo. Em conjunto, as recomendações priorizam a correção da condição atual (falta de documentação) e o cumprimento de normas, sem propor ações claras para evitar a reincidência ao enfrentar causas subjacentes, como falhas em processos de aquisição ou controle interno.</w:t>
      </w:r>
    </w:p>
    <w:p>
      <w:pPr>
        <w:pStyle w:val="918"/>
        <w:numPr>
          <w:ilvl w:val="0"/>
          <w:numId w:val="1009"/>
        </w:numPr>
      </w:pPr>
      <w:r>
        <w:t xml:space="preserve">Causa Identificada: não</w:t>
      </w:r>
    </w:p>
    <w:p>
      <w:pPr>
        <w:pStyle w:val="918"/>
        <w:numPr>
          <w:ilvl w:val="0"/>
          <w:numId w:val="1009"/>
        </w:numPr>
      </w:pPr>
      <w:r>
        <w:t xml:space="preserve">Ação Proposta: sim</w:t>
      </w:r>
    </w:p>
    <w:p>
      <w:pPr>
        <w:pStyle w:val="918"/>
        <w:numPr>
          <w:ilvl w:val="0"/>
          <w:numId w:val="1009"/>
        </w:numPr>
      </w:pPr>
      <w:r>
        <w:t xml:space="preserve">Efeitos Duradouros: parcialmente</w:t>
      </w:r>
    </w:p>
    <w:p>
      <w:pPr>
        <w:pStyle w:val="918"/>
        <w:numPr>
          <w:ilvl w:val="0"/>
          <w:numId w:val="1009"/>
        </w:numPr>
      </w:pPr>
      <w:r>
        <w:t xml:space="preserve">Ação Genérica: sim</w:t>
      </w:r>
    </w:p>
    <w:bookmarkEnd w:id="196"/>
    <w:bookmarkStart w:id="197" w:name="auditoria-19508-constatação-nº-669076"/>
    <w:p>
      <w:pPr>
        <w:pStyle w:val="907"/>
      </w:pPr>
      <w:r>
        <w:t xml:space="preserve">10.0.3.3 Auditoria 19508, Constatação Nº 669076</w:t>
      </w:r>
    </w:p>
    <w:p>
      <w:pPr>
        <w:pStyle w:val="917"/>
      </w:pPr>
      <w:r>
        <w:rPr>
          <w:b/>
          <w:bCs/>
        </w:rPr>
        <w:t xml:space="preserve">Finalidade</w:t>
      </w:r>
      <w:r>
        <w:t xml:space="preserve">: Verificar a regularidade da execução do Programa Farmácia Popular do Brasil/PFPB</w:t>
      </w:r>
    </w:p>
    <w:p>
      <w:pPr>
        <w:pStyle w:val="916"/>
      </w:pPr>
      <w:r>
        <w:rPr>
          <w:b/>
          <w:bCs/>
        </w:rPr>
        <w:t xml:space="preserve">Constatação</w:t>
      </w:r>
      <w:r>
        <w:t xml:space="preserve">: Falta de apresentação das cópias dos cupons vinculados e prescrições médicas solicitados no período de 1º/1/2015 a 17/12/2019.</w:t>
      </w:r>
    </w:p>
    <w:p>
      <w:pPr>
        <w:pStyle w:val="916"/>
      </w:pPr>
      <w:r>
        <w:rPr>
          <w:b/>
          <w:bCs/>
        </w:rPr>
        <w:t xml:space="preserve">Recomendação</w:t>
      </w:r>
      <w:r>
        <w:t xml:space="preserve">: Devolver ao Fundo Nacional de Saúde o valor de R$ 12,00 (doze reais), conforme detalhado no Anexo IV deste relatório, com a devida correção a partir da data constante das Proposições de Devolução. Prestar, quando exigida, ao pessoal em exercício no Sistema Nacional de Auditoria (SNA), toda informação necessária ao desempenho das atividades de controle, avaliação e auditoria, facilitando-lhes o acesso a documentos, pessoas e instalações, em observância à determinação contida no artigo 11 do Decreto Federal nº 1.651 de 28/09/1995. Manter, por 10 (dez) anos as vias assinadas dos cupons vinculados, do documento fiscal, da prescrição, laudo ou atestado médico e do documento de identidade oficial apresentado no ato da compra, em ordem cronológica de emissão, com arquivamento em locais distintos, de 2 (duas) cópias, uma em meio físico e outra em arquivo digitalizado, conforme estabelecido no § 2º do artigo 21 combinado com o artigo 22, do Anexo LXXVII da Portaria de Consolidação GM/MS nº 5 de 28/09/2017, alterada pela Portaria GM/MS nº 2.898, de 26/10/2021.</w:t>
      </w:r>
    </w:p>
    <w:p>
      <w:pPr>
        <w:pStyle w:val="916"/>
      </w:pPr>
      <w:r>
        <w:rPr>
          <w:b/>
          <w:bCs/>
        </w:rPr>
        <w:t xml:space="preserve">Análise Codificação</w:t>
      </w:r>
      <w:r>
        <w:t xml:space="preserve">: A recomendação é composta por três ações distintas: (1) devolução de valores, (2) prestação de informações ao SNA, e (3) manutenção de documentação por 10 anos. Em relação ao critério</w:t>
      </w:r>
      <w:r>
        <w:t xml:space="preserve"> </w:t>
      </w:r>
      <w:r>
        <w:t xml:space="preserve">‘Causa Identificada’</w:t>
      </w:r>
      <w:r>
        <w:t xml:space="preserve">, a recomendação não explicita a causa da falta de apresentação dos documentos, limitando-se a propor ações corretivas e preventivas. Quanto à</w:t>
      </w:r>
      <w:r>
        <w:t xml:space="preserve"> </w:t>
      </w:r>
      <w:r>
        <w:t xml:space="preserve">‘Ação Proposta’</w:t>
      </w:r>
      <w:r>
        <w:t xml:space="preserve">, a recomendação sugere medidas específicas, incluindo a devolução de valores e a manutenção de documentos, mas não aborda diretamente a prevenção de novas ocorrências da condição inicial. Sobre</w:t>
      </w:r>
      <w:r>
        <w:t xml:space="preserve"> </w:t>
      </w:r>
      <w:r>
        <w:t xml:space="preserve">‘Efeitos Duradouros’</w:t>
      </w:r>
      <w:r>
        <w:t xml:space="preserve">, a ação de manter documentação por 10 anos pode ter efeitos prolongados, mas as demais ações são pontuais ou reativas. No critério</w:t>
      </w:r>
      <w:r>
        <w:t xml:space="preserve"> </w:t>
      </w:r>
      <w:r>
        <w:t xml:space="preserve">‘Ação Genérica’</w:t>
      </w:r>
      <w:r>
        <w:t xml:space="preserve">, a recomendação inclui referências a normativos legais existentes, como o Decreto Federal e a Portaria GM/MS, indicando que parte das ações se restringe ao cumprimento de normas pré-estabelecidas, sem propor soluções inovadoras para as causas subjacentes.</w:t>
      </w:r>
    </w:p>
    <w:p>
      <w:pPr>
        <w:pStyle w:val="918"/>
        <w:numPr>
          <w:ilvl w:val="0"/>
          <w:numId w:val="1010"/>
        </w:numPr>
      </w:pPr>
      <w:r>
        <w:t xml:space="preserve">Causa Identificada: não</w:t>
      </w:r>
    </w:p>
    <w:p>
      <w:pPr>
        <w:pStyle w:val="918"/>
        <w:numPr>
          <w:ilvl w:val="0"/>
          <w:numId w:val="1010"/>
        </w:numPr>
      </w:pPr>
      <w:r>
        <w:t xml:space="preserve">Ação Proposta: sim</w:t>
      </w:r>
    </w:p>
    <w:p>
      <w:pPr>
        <w:pStyle w:val="918"/>
        <w:numPr>
          <w:ilvl w:val="0"/>
          <w:numId w:val="1010"/>
        </w:numPr>
      </w:pPr>
      <w:r>
        <w:t xml:space="preserve">Efeitos Duradouros: parcialmente</w:t>
      </w:r>
    </w:p>
    <w:p>
      <w:pPr>
        <w:pStyle w:val="918"/>
        <w:numPr>
          <w:ilvl w:val="0"/>
          <w:numId w:val="1010"/>
        </w:numPr>
      </w:pPr>
      <w:r>
        <w:t xml:space="preserve">Ação Genérica: sim</w:t>
      </w:r>
    </w:p>
    <w:bookmarkEnd w:id="197"/>
    <w:bookmarkStart w:id="198" w:name="auditoria-19591-constatação-nº-682488"/>
    <w:p>
      <w:pPr>
        <w:pStyle w:val="907"/>
      </w:pPr>
      <w:r>
        <w:t xml:space="preserve">10.0.3.4 Auditoria 19591, Constatação Nº 682488</w:t>
      </w:r>
    </w:p>
    <w:p>
      <w:pPr>
        <w:pStyle w:val="917"/>
      </w:pPr>
      <w:r>
        <w:rPr>
          <w:b/>
          <w:bCs/>
        </w:rPr>
        <w:t xml:space="preserve">Finalidade</w:t>
      </w:r>
      <w:r>
        <w:t xml:space="preserve">: Verificar a implementação da Política Nac. de Atenção ao Portador de Doença Renal. Estágios 4 e 5</w:t>
      </w:r>
    </w:p>
    <w:p>
      <w:pPr>
        <w:pStyle w:val="916"/>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916"/>
      </w:pPr>
      <w:r>
        <w:rPr>
          <w:b/>
          <w:bCs/>
        </w:rPr>
        <w:t xml:space="preserve">Recomendação</w:t>
      </w:r>
      <w:r>
        <w:t xml:space="preserve">: Recomendação descrita na Constatação n.° 677630.</w:t>
      </w:r>
    </w:p>
    <w:p>
      <w:pPr>
        <w:pStyle w:val="916"/>
      </w:pPr>
      <w:r>
        <w:rPr>
          <w:b/>
          <w:bCs/>
        </w:rPr>
        <w:t xml:space="preserve">Análise Codificação</w:t>
      </w:r>
      <w:r>
        <w:t xml:space="preserve">: A recomendação não foi fornecida explicitamente, apenas referenciada a partir de outra constatação. Sem o conteúdo específico da recomendação, não é possível avaliar se ela identifica a causa, propõe ações para evitar recorrências, tem efeitos duradouros ou se é genérica. Portanto, todos os critérios são considerados não aplicáveis.</w:t>
      </w:r>
    </w:p>
    <w:p>
      <w:pPr>
        <w:pStyle w:val="918"/>
        <w:numPr>
          <w:ilvl w:val="0"/>
          <w:numId w:val="1011"/>
        </w:numPr>
      </w:pPr>
      <w:r>
        <w:t xml:space="preserve">Causa Identificada: não se aplica</w:t>
      </w:r>
    </w:p>
    <w:p>
      <w:pPr>
        <w:pStyle w:val="918"/>
        <w:numPr>
          <w:ilvl w:val="0"/>
          <w:numId w:val="1011"/>
        </w:numPr>
      </w:pPr>
      <w:r>
        <w:t xml:space="preserve">Ação Proposta: não se aplica</w:t>
      </w:r>
    </w:p>
    <w:p>
      <w:pPr>
        <w:pStyle w:val="918"/>
        <w:numPr>
          <w:ilvl w:val="0"/>
          <w:numId w:val="1011"/>
        </w:numPr>
      </w:pPr>
      <w:r>
        <w:t xml:space="preserve">Efeitos Duradouros: não se aplica</w:t>
      </w:r>
    </w:p>
    <w:p>
      <w:pPr>
        <w:pStyle w:val="918"/>
        <w:numPr>
          <w:ilvl w:val="0"/>
          <w:numId w:val="1011"/>
        </w:numPr>
      </w:pPr>
      <w:r>
        <w:t xml:space="preserve">Ação Genérica: não se aplica</w:t>
      </w:r>
    </w:p>
    <w:bookmarkEnd w:id="198"/>
    <w:bookmarkStart w:id="199" w:name="auditoria-19590-constatação-nº-684816"/>
    <w:p>
      <w:pPr>
        <w:pStyle w:val="907"/>
      </w:pPr>
      <w:r>
        <w:t xml:space="preserve">10.0.3.5 Auditoria 19590, Constatação Nº 684816</w:t>
      </w:r>
    </w:p>
    <w:p>
      <w:pPr>
        <w:pStyle w:val="917"/>
      </w:pPr>
      <w:r>
        <w:rPr>
          <w:b/>
          <w:bCs/>
        </w:rPr>
        <w:t xml:space="preserve">Finalidade</w:t>
      </w:r>
      <w:r>
        <w:t xml:space="preserve">: Verificar a implementação da Pol. Nac. ao Portador de Doença Ren. Crônica, nos estágios 4 e 5 em TRS</w:t>
      </w:r>
    </w:p>
    <w:p>
      <w:pPr>
        <w:pStyle w:val="916"/>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916"/>
      </w:pPr>
      <w:r>
        <w:rPr>
          <w:b/>
          <w:bCs/>
        </w:rPr>
        <w:t xml:space="preserve">Recomendação</w:t>
      </w:r>
      <w:r>
        <w:t xml:space="preserve">: Recomendação descrita na Constatação n.° 684813.</w:t>
      </w:r>
    </w:p>
    <w:p>
      <w:pPr>
        <w:pStyle w:val="916"/>
      </w:pPr>
      <w:r>
        <w:rPr>
          <w:b/>
          <w:bCs/>
        </w:rPr>
        <w:t xml:space="preserve">Análise Codificação</w:t>
      </w:r>
      <w:r>
        <w:t xml:space="preserve">: A recomendação não foi fornecida explicitamente, sendo apenas referenciada como</w:t>
      </w:r>
      <w:r>
        <w:t xml:space="preserve"> </w:t>
      </w:r>
      <w:r>
        <w:t xml:space="preserve">‘Recomendação descrita na Constatação n.° 684813’</w:t>
      </w:r>
      <w:r>
        <w:t xml:space="preserve">. Sem o conteúdo específico da recomendação, não é possível avaliar se ela identifica a causa da condição (manutenção inadequada da estrutura física), se propõe ações para evitar recorrências, se gera efeitos duradouros ou se é uma ação genérica. Portanto, todos os critérios não podem ser determinados com base nas informações disponíveis.</w:t>
      </w:r>
    </w:p>
    <w:p>
      <w:pPr>
        <w:pStyle w:val="918"/>
        <w:numPr>
          <w:ilvl w:val="0"/>
          <w:numId w:val="1012"/>
        </w:numPr>
      </w:pPr>
      <w:r>
        <w:t xml:space="preserve">Causa Identificada: não é possível determinar</w:t>
      </w:r>
    </w:p>
    <w:p>
      <w:pPr>
        <w:pStyle w:val="918"/>
        <w:numPr>
          <w:ilvl w:val="0"/>
          <w:numId w:val="1012"/>
        </w:numPr>
      </w:pPr>
      <w:r>
        <w:t xml:space="preserve">Ação Proposta: não é possível determinar</w:t>
      </w:r>
    </w:p>
    <w:p>
      <w:pPr>
        <w:pStyle w:val="918"/>
        <w:numPr>
          <w:ilvl w:val="0"/>
          <w:numId w:val="1012"/>
        </w:numPr>
      </w:pPr>
      <w:r>
        <w:t xml:space="preserve">Efeitos Duradouros: não é possível determinar</w:t>
      </w:r>
    </w:p>
    <w:p>
      <w:pPr>
        <w:pStyle w:val="918"/>
        <w:numPr>
          <w:ilvl w:val="0"/>
          <w:numId w:val="1012"/>
        </w:numPr>
      </w:pPr>
      <w:r>
        <w:t xml:space="preserve">Ação Genérica: não é possível determinar</w:t>
      </w:r>
    </w:p>
    <w:bookmarkEnd w:id="199"/>
    <w:bookmarkStart w:id="200" w:name="auditoria-19657-constatação-nº-685645"/>
    <w:p>
      <w:pPr>
        <w:pStyle w:val="907"/>
      </w:pPr>
      <w:r>
        <w:t xml:space="preserve">10.0.3.6 Auditoria 19657, Constatação Nº 685645</w:t>
      </w:r>
    </w:p>
    <w:p>
      <w:pPr>
        <w:pStyle w:val="917"/>
      </w:pPr>
      <w:r>
        <w:rPr>
          <w:b/>
          <w:bCs/>
        </w:rPr>
        <w:t xml:space="preserve">Finalidade</w:t>
      </w:r>
      <w:r>
        <w:t xml:space="preserve">: Auditoria no PREVINE - PAA/2024</w:t>
      </w:r>
    </w:p>
    <w:p>
      <w:pPr>
        <w:pStyle w:val="916"/>
      </w:pPr>
      <w:r>
        <w:rPr>
          <w:b/>
          <w:bCs/>
        </w:rPr>
        <w:t xml:space="preserve">Constatação</w:t>
      </w:r>
      <w:r>
        <w:t xml:space="preserve">: O Município de Novo Airão não comprovou ao menos uma das ações propostas previstas na NOTA TÉCNICA Nº 15/2022-SAPS/MS, referente ao indicador 3 - Proporção de gestantes com atendimento odontológico.</w:t>
      </w:r>
    </w:p>
    <w:p>
      <w:pPr>
        <w:pStyle w:val="916"/>
      </w:pPr>
      <w:r>
        <w:rPr>
          <w:b/>
          <w:bCs/>
        </w:rPr>
        <w:t xml:space="preserve">Recomendação</w:t>
      </w:r>
      <w:r>
        <w:t xml:space="preserve">: Desenvolver ações e estratégias para melhorias do Indicador nº 3, conforme Nota Técnica nº 15/2022-SAPS/MS, tais como: Realizar marcação de consulta com a Equipe de saúde bucal no momento da confirmação da gestação, manter vaga aberta na agenda para consulta e criar canal de comunicação direto entre as equipes para verificar o encaminhamento e retorno mesmo que ambas as equipes estejam no mesmo ambiente físico.</w:t>
      </w:r>
    </w:p>
    <w:p>
      <w:pPr>
        <w:pStyle w:val="916"/>
      </w:pPr>
      <w:r>
        <w:rPr>
          <w:b/>
          <w:bCs/>
        </w:rPr>
        <w:t xml:space="preserve">Análise Codificação</w:t>
      </w:r>
      <w:r>
        <w:t xml:space="preserve">: A recomendação propõe ações específicas para melhorar o indicador de atendimento odontológico a gestantes, incluindo marcação de consulta na confirmação da gestação, manutenção de vagas na agenda e criação de canal de comunicação entre equipes. Embora identifique parcialmente causas relacionadas à falta de integração entre serviços e dificuldades de acesso, as ações focam principalmente na correção imediata da condição observada (baixa proporção de atendimento), sem abordar explicitamente causas estruturais como capacitação de profissionais ou alocação de recursos. Os efeitos das ações propostas dependem da continuidade das práticas pelos atores atuais, sem garantir mudanças institucionais duradouras se houver rotatividade. A recomendação vai além de simplesmente sugerir o cumprimento da nota técnica, propondo medidas operacionais concretas.</w:t>
      </w:r>
    </w:p>
    <w:p>
      <w:pPr>
        <w:pStyle w:val="918"/>
        <w:numPr>
          <w:ilvl w:val="0"/>
          <w:numId w:val="1013"/>
        </w:numPr>
      </w:pPr>
      <w:r>
        <w:t xml:space="preserve">Causa Identificada: parcialmente</w:t>
      </w:r>
    </w:p>
    <w:p>
      <w:pPr>
        <w:pStyle w:val="918"/>
        <w:numPr>
          <w:ilvl w:val="0"/>
          <w:numId w:val="1013"/>
        </w:numPr>
      </w:pPr>
      <w:r>
        <w:t xml:space="preserve">Ação Proposta: sim</w:t>
      </w:r>
    </w:p>
    <w:p>
      <w:pPr>
        <w:pStyle w:val="918"/>
        <w:numPr>
          <w:ilvl w:val="0"/>
          <w:numId w:val="1013"/>
        </w:numPr>
      </w:pPr>
      <w:r>
        <w:t xml:space="preserve">Efeitos Duradouros: não</w:t>
      </w:r>
    </w:p>
    <w:p>
      <w:pPr>
        <w:pStyle w:val="918"/>
        <w:numPr>
          <w:ilvl w:val="0"/>
          <w:numId w:val="1013"/>
        </w:numPr>
      </w:pPr>
      <w:r>
        <w:t xml:space="preserve">Ação Genérica: não</w:t>
      </w:r>
    </w:p>
    <w:bookmarkEnd w:id="200"/>
    <w:bookmarkStart w:id="201" w:name="auditoria-19683-constatação-nº-696741"/>
    <w:p>
      <w:pPr>
        <w:pStyle w:val="907"/>
      </w:pPr>
      <w:r>
        <w:t xml:space="preserve">10.0.3.7 Auditoria 19683, Constatação Nº 696741</w:t>
      </w:r>
    </w:p>
    <w:p>
      <w:pPr>
        <w:pStyle w:val="917"/>
      </w:pPr>
      <w:r>
        <w:rPr>
          <w:b/>
          <w:bCs/>
        </w:rPr>
        <w:t xml:space="preserve">Finalidade</w:t>
      </w:r>
      <w:r>
        <w:t xml:space="preserve">: Realizar auditoria no Convênio 878444/2018 com a Santa Casa de Misericórdia de Sabará</w:t>
      </w:r>
    </w:p>
    <w:p>
      <w:pPr>
        <w:pStyle w:val="916"/>
      </w:pPr>
      <w:r>
        <w:rPr>
          <w:b/>
          <w:bCs/>
        </w:rPr>
        <w:t xml:space="preserve">Constatação</w:t>
      </w:r>
      <w:r>
        <w:t xml:space="preserve">: Impropriedades relacionadas ao acompanhamento e ao monitoramento das ações do Subeixo Educação Permanente.</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determina que as unidades de acompanhamento elaborem relatórios mensais baseados em documentos específicos e adotem medidas preventivas ou corretivas em caso de não cumprimento do convênio, referenciando dispositivos legais. Quanto à</w:t>
      </w:r>
      <w:r>
        <w:t xml:space="preserve"> </w:t>
      </w:r>
      <w:r>
        <w:t xml:space="preserve">‘Causa Identificada’</w:t>
      </w:r>
      <w:r>
        <w:t xml:space="preserve">, a recomendação não explicita a causa raiz da impropriedade no acompanhamento, como falta de capacitação ou recursos, mas foca na ação de elaborar relatórios, que pode inferir uma causa relacionada à falta de monitoramento sistemático. Para</w:t>
      </w:r>
      <w:r>
        <w:t xml:space="preserve"> </w:t>
      </w:r>
      <w:r>
        <w:t xml:space="preserve">‘Ação Proposta’</w:t>
      </w:r>
      <w:r>
        <w:t xml:space="preserve">, a recomendação sugere ações concretas (elaborar relatórios e adotar medidas), embora parte dela se baseie em cumprir normativos existentes. Sobre</w:t>
      </w:r>
      <w:r>
        <w:t xml:space="preserve"> </w:t>
      </w:r>
      <w:r>
        <w:t xml:space="preserve">‘Efeitos Duradouros’</w:t>
      </w:r>
      <w:r>
        <w:t xml:space="preserve">, a ação de elaborar relatórios mensais pode criar um processo contínuo, mas depende da adesão dos atores atuais, não garantindo mudanças institucionais permanentes se houver rotatividade. Em relação à</w:t>
      </w:r>
      <w:r>
        <w:t xml:space="preserve"> </w:t>
      </w:r>
      <w:r>
        <w:t xml:space="preserve">‘Ação Genérica’</w:t>
      </w:r>
      <w:r>
        <w:t xml:space="preserve">, a recomendação inclui referências a portarias existentes, mas vai além ao propor a elaboração de relatórios e medidas específicas, não se restringindo apenas ao cumprimento genérico de normas.</w:t>
      </w:r>
    </w:p>
    <w:p>
      <w:pPr>
        <w:pStyle w:val="918"/>
        <w:numPr>
          <w:ilvl w:val="0"/>
          <w:numId w:val="1014"/>
        </w:numPr>
      </w:pPr>
      <w:r>
        <w:t xml:space="preserve">Causa Identificada: parcialmente</w:t>
      </w:r>
    </w:p>
    <w:p>
      <w:pPr>
        <w:pStyle w:val="918"/>
        <w:numPr>
          <w:ilvl w:val="0"/>
          <w:numId w:val="1014"/>
        </w:numPr>
      </w:pPr>
      <w:r>
        <w:t xml:space="preserve">Ação Proposta: sim</w:t>
      </w:r>
    </w:p>
    <w:p>
      <w:pPr>
        <w:pStyle w:val="918"/>
        <w:numPr>
          <w:ilvl w:val="0"/>
          <w:numId w:val="1014"/>
        </w:numPr>
      </w:pPr>
      <w:r>
        <w:t xml:space="preserve">Efeitos Duradouros: não</w:t>
      </w:r>
    </w:p>
    <w:p>
      <w:pPr>
        <w:pStyle w:val="918"/>
        <w:numPr>
          <w:ilvl w:val="0"/>
          <w:numId w:val="1014"/>
        </w:numPr>
      </w:pPr>
      <w:r>
        <w:t xml:space="preserve">Ação Genérica: não</w:t>
      </w:r>
    </w:p>
    <w:bookmarkEnd w:id="201"/>
    <w:bookmarkStart w:id="202" w:name="auditoria-19613-constatação-nº-677735"/>
    <w:p>
      <w:pPr>
        <w:pStyle w:val="907"/>
      </w:pPr>
      <w:r>
        <w:t xml:space="preserve">10.0.3.8 Auditoria 19613, Constatação Nº 677735</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aos relatórios mensais de acompanhamento do Eixo de Atenção à Saúde Indígena.</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 3º e 4º do art. 4º; inciso VI do art. 11; inciso V e parágrafo único do art. 12; e incisos I e II do art. 14.</w:t>
      </w:r>
    </w:p>
    <w:p>
      <w:pPr>
        <w:pStyle w:val="916"/>
      </w:pPr>
      <w:r>
        <w:rPr>
          <w:b/>
          <w:bCs/>
        </w:rPr>
        <w:t xml:space="preserve">Análise Codificação</w:t>
      </w:r>
      <w:r>
        <w:t xml:space="preserve">: A recomendação propõe que as unidades de acompanhamento elaborem relatórios mensais com base em informações fidedignas e adotem medidas preventivas ou corretivas em caso de não cumprimento do convênio, referenciando dispositivos legais específicos. Em relação ao critério</w:t>
      </w:r>
      <w:r>
        <w:t xml:space="preserve"> </w:t>
      </w:r>
      <w:r>
        <w:t xml:space="preserve">‘Causa Identificada’</w:t>
      </w:r>
      <w:r>
        <w:t xml:space="preserve">, a recomendação não explicita claramente a causa das impropriedades nos relatórios, mas sugere ações que podem inferir causas como falta de base em informações confiáveis ou ausência de medidas de controle. Quanto à</w:t>
      </w:r>
      <w:r>
        <w:t xml:space="preserve"> </w:t>
      </w:r>
      <w:r>
        <w:t xml:space="preserve">‘Ação Proposta’</w:t>
      </w:r>
      <w:r>
        <w:t xml:space="preserve">, a recomendação sugere ações específicas (elaborar relatórios com base em documentos e adotar medidas), mas estas se limitam a cumprir normativos já existentes, sem propor mudanças estruturais para evitar recorrências. Sobre</w:t>
      </w:r>
      <w:r>
        <w:t xml:space="preserve"> </w:t>
      </w:r>
      <w:r>
        <w:t xml:space="preserve">‘Efeitos Duradouros’</w:t>
      </w:r>
      <w:r>
        <w:t xml:space="preserve">, as ações propostas dependem da atuação contínua das unidades e não criam mudanças institucionais permanentes que persistam independentemente dos atores. Por fim, em</w:t>
      </w:r>
      <w:r>
        <w:t xml:space="preserve"> </w:t>
      </w:r>
      <w:r>
        <w:t xml:space="preserve">‘Ação Genérica’</w:t>
      </w:r>
      <w:r>
        <w:t xml:space="preserve">, a recomendação se baseia em citar dispositivos legais preexistentes, sem inovar em soluções para as causas subjacentes.</w:t>
      </w:r>
    </w:p>
    <w:p>
      <w:pPr>
        <w:pStyle w:val="918"/>
        <w:numPr>
          <w:ilvl w:val="0"/>
          <w:numId w:val="1015"/>
        </w:numPr>
      </w:pPr>
      <w:r>
        <w:t xml:space="preserve">Causa Identificada: parcialmente</w:t>
      </w:r>
    </w:p>
    <w:p>
      <w:pPr>
        <w:pStyle w:val="918"/>
        <w:numPr>
          <w:ilvl w:val="0"/>
          <w:numId w:val="1015"/>
        </w:numPr>
      </w:pPr>
      <w:r>
        <w:t xml:space="preserve">Ação Proposta: sim</w:t>
      </w:r>
    </w:p>
    <w:p>
      <w:pPr>
        <w:pStyle w:val="918"/>
        <w:numPr>
          <w:ilvl w:val="0"/>
          <w:numId w:val="1015"/>
        </w:numPr>
      </w:pPr>
      <w:r>
        <w:t xml:space="preserve">Efeitos Duradouros: não</w:t>
      </w:r>
    </w:p>
    <w:p>
      <w:pPr>
        <w:pStyle w:val="918"/>
        <w:numPr>
          <w:ilvl w:val="0"/>
          <w:numId w:val="1015"/>
        </w:numPr>
      </w:pPr>
      <w:r>
        <w:t xml:space="preserve">Ação Genérica: sim</w:t>
      </w:r>
    </w:p>
    <w:bookmarkEnd w:id="202"/>
    <w:bookmarkStart w:id="203" w:name="auditoria-19616-constatação-nº-676228"/>
    <w:p>
      <w:pPr>
        <w:pStyle w:val="907"/>
      </w:pPr>
      <w:r>
        <w:t xml:space="preserve">10.0.3.9 Auditoria 19616, Constatação Nº 676228</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 acompanhamento mensal do Eixo de Atenção à Saúde Indígena.</w:t>
      </w:r>
    </w:p>
    <w:p>
      <w:pPr>
        <w:pStyle w:val="916"/>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16"/>
      </w:pPr>
      <w:r>
        <w:rPr>
          <w:b/>
          <w:bCs/>
        </w:rPr>
        <w:t xml:space="preserve">Análise Codificação</w:t>
      </w:r>
      <w:r>
        <w:t xml:space="preserve">: A recomendação propõe que o DSEI realize a conferência da documentação comprobatória/complementar inserida no Transferegov para evitar manutenção de informações incorretas no sistema, cumprindo a Portaria de Consolidação nº 1 SESAI/MS/2020. Em relação ao critério</w:t>
      </w:r>
      <w:r>
        <w:t xml:space="preserve"> </w:t>
      </w:r>
      <w:r>
        <w:t xml:space="preserve">‘Causa Identificada’</w:t>
      </w:r>
      <w:r>
        <w:t xml:space="preserve">, a ação de conferir a documentação sugere que a causa da condição (informações incorretas no sistema) está relacionada à falta de verificação adequada, embora não explicite a causa raiz. Para o critério</w:t>
      </w:r>
      <w:r>
        <w:t xml:space="preserve"> </w:t>
      </w:r>
      <w:r>
        <w:t xml:space="preserve">‘Ação Proposta’</w:t>
      </w:r>
      <w:r>
        <w:t xml:space="preserve">, a recomendação sugere uma ação específica (conferir documentação) que visa mitigar o risco de novas ocorrências. No critério</w:t>
      </w:r>
      <w:r>
        <w:t xml:space="preserve"> </w:t>
      </w:r>
      <w:r>
        <w:t xml:space="preserve">‘Efeitos Duradouros’</w:t>
      </w:r>
      <w:r>
        <w:t xml:space="preserve">, a ação proposta depende da execução contínua pelos atores atuais e não estabelece mudanças institucionais permanentes que persistam independentemente de mudanças de pessoal. Quanto ao critério</w:t>
      </w:r>
      <w:r>
        <w:t xml:space="preserve"> </w:t>
      </w:r>
      <w:r>
        <w:t xml:space="preserve">‘Ação Genérica’</w:t>
      </w:r>
      <w:r>
        <w:t xml:space="preserve">, a recomendação se baseia no cumprimento de um normativo legal existente (Portaria de Consolidação), sem propor ações adicionais para tratar a causa subjacente do não cumprimento.</w:t>
      </w:r>
    </w:p>
    <w:p>
      <w:pPr>
        <w:pStyle w:val="918"/>
        <w:numPr>
          <w:ilvl w:val="0"/>
          <w:numId w:val="1016"/>
        </w:numPr>
      </w:pPr>
      <w:r>
        <w:t xml:space="preserve">Causa Identificada: parcialmente</w:t>
      </w:r>
    </w:p>
    <w:p>
      <w:pPr>
        <w:pStyle w:val="918"/>
        <w:numPr>
          <w:ilvl w:val="0"/>
          <w:numId w:val="1016"/>
        </w:numPr>
      </w:pPr>
      <w:r>
        <w:t xml:space="preserve">Ação Proposta: sim</w:t>
      </w:r>
    </w:p>
    <w:p>
      <w:pPr>
        <w:pStyle w:val="918"/>
        <w:numPr>
          <w:ilvl w:val="0"/>
          <w:numId w:val="1016"/>
        </w:numPr>
      </w:pPr>
      <w:r>
        <w:t xml:space="preserve">Efeitos Duradouros: não</w:t>
      </w:r>
    </w:p>
    <w:p>
      <w:pPr>
        <w:pStyle w:val="918"/>
        <w:numPr>
          <w:ilvl w:val="0"/>
          <w:numId w:val="1016"/>
        </w:numPr>
      </w:pPr>
      <w:r>
        <w:t xml:space="preserve">Ação Genérica: sim</w:t>
      </w:r>
    </w:p>
    <w:bookmarkEnd w:id="203"/>
    <w:bookmarkStart w:id="204" w:name="auditoria-19627-constatação-nº-685176"/>
    <w:p>
      <w:pPr>
        <w:pStyle w:val="907"/>
      </w:pPr>
      <w:r>
        <w:t xml:space="preserve">10.0.3.10 Auditoria 19627, Constatação Nº 685176</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Incompletude e inconsistências nas informações encontradas nos relatórios mensais de acompanhamento do Eixo Controle Social e os respectivos documentos de suporte.</w:t>
      </w:r>
    </w:p>
    <w:p>
      <w:pPr>
        <w:pStyle w:val="916"/>
      </w:pPr>
      <w:r>
        <w:rPr>
          <w:b/>
          <w:bCs/>
        </w:rPr>
        <w:t xml:space="preserve">Recomendação</w:t>
      </w:r>
      <w:r>
        <w:t xml:space="preserve">: À Sesai: Determinar às unidades de acompanhamento que: (i) elaborem relatórios mensais com base nas informações, mapas de produção, atas das reuniões e listas de presença enviados pelas unidades de acompanhamento do Dsei Litoral Sul, devendo ser inseridos no Transferegov até o dia 20 do mês subsequente ao mês acompanhado; (ii) e adotem medidas de natureza preventiva ou corretiva na hipótese do não cumprimento do disposto no objeto do convênio e/ou Plano de Trabalho,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propõe ações específicas para lidar com a incompletude e inconsistências nos relatórios mensais, focando na correção imediata da condição observada. Ela identifica parcialmente a causa ao sugerir a elaboração de relatórios baseados em documentos específicos e a adoção de medidas preventivas ou corretivas, mas não aborda explicitamente as causas subjacentes, como falta de capacitação ou recursos. A ação proposta é direcionada a mitigar o risco de novas ocorrências, porém os efeitos não são claramente duradouros, pois dependem da adesão contínua dos atores atuais. Além disso, a recomendação se baseia em normativos existentes, como a Portaria de Consolidação Sesai/MS nº 1/2020, sem propor inovações estruturais.</w:t>
      </w:r>
    </w:p>
    <w:p>
      <w:pPr>
        <w:pStyle w:val="918"/>
        <w:numPr>
          <w:ilvl w:val="0"/>
          <w:numId w:val="1017"/>
        </w:numPr>
      </w:pPr>
      <w:r>
        <w:t xml:space="preserve">Causa Identificada: parcialmente</w:t>
      </w:r>
    </w:p>
    <w:p>
      <w:pPr>
        <w:pStyle w:val="918"/>
        <w:numPr>
          <w:ilvl w:val="0"/>
          <w:numId w:val="1017"/>
        </w:numPr>
      </w:pPr>
      <w:r>
        <w:t xml:space="preserve">Ação Proposta: sim</w:t>
      </w:r>
    </w:p>
    <w:p>
      <w:pPr>
        <w:pStyle w:val="918"/>
        <w:numPr>
          <w:ilvl w:val="0"/>
          <w:numId w:val="1017"/>
        </w:numPr>
      </w:pPr>
      <w:r>
        <w:t xml:space="preserve">Efeitos Duradouros: não</w:t>
      </w:r>
    </w:p>
    <w:p>
      <w:pPr>
        <w:pStyle w:val="918"/>
        <w:numPr>
          <w:ilvl w:val="0"/>
          <w:numId w:val="1017"/>
        </w:numPr>
      </w:pPr>
      <w:r>
        <w:t xml:space="preserve">Ação Genérica: sim</w:t>
      </w:r>
    </w:p>
    <w:bookmarkEnd w:id="204"/>
    <w:bookmarkStart w:id="205" w:name="auditoria-19648-constatação-nº-685881"/>
    <w:p>
      <w:pPr>
        <w:pStyle w:val="907"/>
      </w:pPr>
      <w:r>
        <w:t xml:space="preserve">10.0.3.11 Auditoria 19648, Constatação Nº 685881</w:t>
      </w:r>
    </w:p>
    <w:p>
      <w:pPr>
        <w:pStyle w:val="917"/>
      </w:pPr>
      <w:r>
        <w:rPr>
          <w:b/>
          <w:bCs/>
        </w:rPr>
        <w:t xml:space="preserve">Finalidade</w:t>
      </w:r>
      <w:r>
        <w:t xml:space="preserve">: Avaliar os indicadores de desempenho do programa Previne Brasil no município de Lindoeste/PR.</w:t>
      </w:r>
    </w:p>
    <w:p>
      <w:pPr>
        <w:pStyle w:val="916"/>
      </w:pPr>
      <w:r>
        <w:rPr>
          <w:b/>
          <w:bCs/>
        </w:rPr>
        <w:t xml:space="preserve">Constatação</w:t>
      </w:r>
      <w:r>
        <w:t xml:space="preserve">: O município não disponibilizou documentação comprobatória de adoção de ao menos uma das ações propostas na Nota Técnica n.°22/2022-SAPS/MS, referente ao indicador 5 - Cobertura vacinal de Poliomielite inativada e de Pentavalente, no exercício de 2022.</w:t>
      </w:r>
    </w:p>
    <w:p>
      <w:pPr>
        <w:pStyle w:val="916"/>
      </w:pPr>
      <w:r>
        <w:rPr>
          <w:b/>
          <w:bCs/>
        </w:rPr>
        <w:t xml:space="preserve">Recomendação</w:t>
      </w:r>
      <w:r>
        <w:t xml:space="preserve">: 1. Monitorar permanentemente o cadastro individual completo e mantê-lo atualizado, incluindo dados sociodemográficos e de condições e situações de saúde, estabelecendo uma rotina de acompanhamento das Cadernetas da Criança, tanto na aplicação do calendário vacinal (incluindo as vacinas de campanha) quanto de registros anteriores de vacinação no prontuário do cidadão, como definido no Item 5 da Nota Técnica Nº 22/2022- SAPS/MS. 2. Registrar de forma individualizada em sistema próprio de prontuário eletrônico as doses das vacinas aplicadas de acordo com as especificações do Guia de Qualificação THRIFT.</w:t>
      </w:r>
    </w:p>
    <w:p>
      <w:pPr>
        <w:pStyle w:val="916"/>
      </w:pPr>
      <w:r>
        <w:rPr>
          <w:b/>
          <w:bCs/>
        </w:rPr>
        <w:t xml:space="preserve">Análise Codificação</w:t>
      </w:r>
      <w:r>
        <w:t xml:space="preserve">: A recomendação propõe ações para corrigir a condição específica de falta de documentação comprobatória das ações da Nota Técnica, focando na implementação de processos de monitoramento e registro. Embora identifique parcialmente a causa (falta de rotina de acompanhamento), a ação proposta é genérica, limitando-se a sugerir o cumprimento de normativos existentes (Nota Técnica e Guia THRIFT) sem abordar causas estruturais subjacentes, como capacitação ou recursos. Os efeitos dependem da continuidade dos processos por atores específicos, sem alterações institucionais duradouras que persistam independentemente de mudanças na equipe.</w:t>
      </w:r>
    </w:p>
    <w:p>
      <w:pPr>
        <w:pStyle w:val="918"/>
        <w:numPr>
          <w:ilvl w:val="0"/>
          <w:numId w:val="1018"/>
        </w:numPr>
      </w:pPr>
      <w:r>
        <w:t xml:space="preserve">Causa Identificada: parcialmente</w:t>
      </w:r>
    </w:p>
    <w:p>
      <w:pPr>
        <w:pStyle w:val="918"/>
        <w:numPr>
          <w:ilvl w:val="0"/>
          <w:numId w:val="1018"/>
        </w:numPr>
      </w:pPr>
      <w:r>
        <w:t xml:space="preserve">Ação Proposta: sim</w:t>
      </w:r>
    </w:p>
    <w:p>
      <w:pPr>
        <w:pStyle w:val="918"/>
        <w:numPr>
          <w:ilvl w:val="0"/>
          <w:numId w:val="1018"/>
        </w:numPr>
      </w:pPr>
      <w:r>
        <w:t xml:space="preserve">Efeitos Duradouros: não</w:t>
      </w:r>
    </w:p>
    <w:p>
      <w:pPr>
        <w:pStyle w:val="918"/>
        <w:numPr>
          <w:ilvl w:val="0"/>
          <w:numId w:val="1018"/>
        </w:numPr>
      </w:pPr>
      <w:r>
        <w:t xml:space="preserve">Ação Genérica: sim</w:t>
      </w:r>
    </w:p>
    <w:bookmarkEnd w:id="205"/>
    <w:bookmarkStart w:id="206" w:name="auditoria-19768-constatação-nº-693416"/>
    <w:p>
      <w:pPr>
        <w:pStyle w:val="907"/>
      </w:pPr>
      <w:r>
        <w:t xml:space="preserve">10.0.3.12 Auditoria 19768, Constatação Nº 693416</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A CMRF não realiza manutenção preventiva, corretiva, preditiva e qualificação térmica nos equipamentos.</w:t>
      </w:r>
    </w:p>
    <w:p>
      <w:pPr>
        <w:pStyle w:val="916"/>
      </w:pPr>
      <w:r>
        <w:rPr>
          <w:b/>
          <w:bCs/>
        </w:rPr>
        <w:t xml:space="preserve">Recomendação</w:t>
      </w:r>
      <w:r>
        <w:t xml:space="preserve">: Adotar as seguintes medidas visando atender o estabelecido nas alíneas b e c, do Inciso II, do Art. 7º, da Seção I, Capítulo II, da Resolução, e no Inciso IX, do Art. 23, da Seção III, Capítulo II, da Resolução - RDC nº 63, de 25/11/2011; no Inciso XXIII, do Art. 3º; no Inciso XI, do Art. 18, Seção III, e no § 4º, do Art. 43, da Seção IV, da Resolução de Diretoria Colegiada - RDC nº 430, de 08/10/2020; bem como nos Subitens 5.5 e 5.6, Item 5, páginas 37/38, e nos Subitens 6.13 e 6.14, Item 6, páginas 63 a 65, do Manual de Rede Frio do PNI, 2017: - Elaborar um cronograma para a realização das manutenções preventivas nos equipamentos da CMRF, a fim de assegurar a sua integridade e funcionamento contínuo; - Executar regularmente a qualificação térmica dos equipamentos para verificar a homogeneidade térmica destes e das áreas de temperatura controlada, garantindo condições adequadas de armazenamento e transporte de imunobiológicos da CMRF; - Realizar a calibração dos equipamentos antes do primeiro uso e em intervalos definidos, a fim de assegurar o seu correto funcionamento; e - Implementar rotina diária de conferência das condições do ambiente, de modo a garantir que a temperatura e umidade sejam mantidas dentro dos parâmetros exigidos para melhorar a eficácia dos imunobiológicos.</w:t>
      </w:r>
    </w:p>
    <w:p>
      <w:pPr>
        <w:pStyle w:val="916"/>
      </w:pPr>
      <w:r>
        <w:rPr>
          <w:b/>
          <w:bCs/>
        </w:rPr>
        <w:t xml:space="preserve">Análise Codificação</w:t>
      </w:r>
      <w:r>
        <w:t xml:space="preserve">: A recomendação apresenta medidas específicas para corrigir a condição de falta de manutenção e qualificação térmica nos equipamentos da CMRF. Embora identifique parcialmente as causas ao propor ações como elaboração de cronograma e implementação de rotinas, as ações são predominantemente focadas na correção imediata da condição observada. A recomendação se baseia no cumprimento de normativos já existentes e não propõe mudanças estruturais que alterem processos organizacionais de forma duradoura, mantendo-se no âmbito da conformidade com regulamentos previamente estabelecidos.</w:t>
      </w:r>
    </w:p>
    <w:p>
      <w:pPr>
        <w:pStyle w:val="918"/>
        <w:numPr>
          <w:ilvl w:val="0"/>
          <w:numId w:val="1019"/>
        </w:numPr>
      </w:pPr>
      <w:r>
        <w:t xml:space="preserve">Causa Identificada: parcialmente</w:t>
      </w:r>
    </w:p>
    <w:p>
      <w:pPr>
        <w:pStyle w:val="918"/>
        <w:numPr>
          <w:ilvl w:val="0"/>
          <w:numId w:val="1019"/>
        </w:numPr>
      </w:pPr>
      <w:r>
        <w:t xml:space="preserve">Ação Proposta: sim</w:t>
      </w:r>
    </w:p>
    <w:p>
      <w:pPr>
        <w:pStyle w:val="918"/>
        <w:numPr>
          <w:ilvl w:val="0"/>
          <w:numId w:val="1019"/>
        </w:numPr>
      </w:pPr>
      <w:r>
        <w:t xml:space="preserve">Efeitos Duradouros: não</w:t>
      </w:r>
    </w:p>
    <w:p>
      <w:pPr>
        <w:pStyle w:val="918"/>
        <w:numPr>
          <w:ilvl w:val="0"/>
          <w:numId w:val="1019"/>
        </w:numPr>
      </w:pPr>
      <w:r>
        <w:t xml:space="preserve">Ação Genérica: sim</w:t>
      </w:r>
    </w:p>
    <w:bookmarkEnd w:id="206"/>
    <w:bookmarkStart w:id="207" w:name="auditoria-19834-constatação-nº-701470"/>
    <w:p>
      <w:pPr>
        <w:pStyle w:val="907"/>
      </w:pPr>
      <w:r>
        <w:t xml:space="preserve">10.0.3.13 Auditoria 19834, Constatação Nº 701470</w:t>
      </w:r>
    </w:p>
    <w:p>
      <w:pPr>
        <w:pStyle w:val="917"/>
      </w:pPr>
      <w:r>
        <w:rPr>
          <w:b/>
          <w:bCs/>
        </w:rPr>
        <w:t xml:space="preserve">Finalidade</w:t>
      </w:r>
      <w:r>
        <w:t xml:space="preserve">: Realizar auditoria financeira e administrativa no Hospital de Cataguases/Sta Casa de Misericórdia</w:t>
      </w:r>
    </w:p>
    <w:p>
      <w:pPr>
        <w:pStyle w:val="916"/>
      </w:pPr>
      <w:r>
        <w:rPr>
          <w:b/>
          <w:bCs/>
        </w:rPr>
        <w:t xml:space="preserve">Constatação</w:t>
      </w:r>
      <w:r>
        <w:t xml:space="preserve">: Os indicadores hospitalares referentes às taxas de ocupação e de Parto Cesariano do Hospital de Cataguases não estão sendo monitorados efetivamente em conformidade com as configurações estabelecidas pelos Ministério da Saúde e por órgãos reguladores.</w:t>
      </w:r>
    </w:p>
    <w:p>
      <w:pPr>
        <w:pStyle w:val="916"/>
      </w:pPr>
      <w:r>
        <w:rPr>
          <w:b/>
          <w:bCs/>
        </w:rPr>
        <w:t xml:space="preserve">Recomendação</w:t>
      </w:r>
      <w:r>
        <w:t xml:space="preserve">: Cumprir as diretrizes estabelecidas pela Portaria nº 306, de 28 de março de 2016, e em consonância com as boas práticas obstétricas preconizadas pelo Ministério da Saúde, como previsto na Portaria GM/MS nº 1.459, de 24 de junho de 2011, que institui a Rede Cegonha, e na Portaria GM/MS nº 5.350, de 12 de setembro de 2024, que implementa a Rede Alyne. Adotar um modelo de atenção obstétrica pautado na integralidade do cuidado à mulher e à criança, valorizando o parto normal, com foco na humanização da assistência e na segurança da gestante e do recém-nascido e ações alinhadas com essas diretrizes e outras iniciativas do SUS que promovem a redução de cesarianas desnecessárias, torna-se essencial a realização de diagnóstico das causas do aumento de partos cesáreos no hospital, promovendo também ações de sensibilização. No que se refere à taxa de ocupação hospitalar, cumprir a Política Nacional de Atenção Hospitalar (PNHOSP), instituída pela Portaria de Consolidação nº 2, de 28 de setembro de 2017, que orienta sobre a otimização da capacidade instalada, qualificação do cuidado e uso racional dos recursos públicos. Nesse contexto, deve-se implantar um sistema de monitoramento efetivo da taxa de ocupação dos leitos, mantendo-se entre 75% e 85%, conforme parâmetros da Agência Nacional de Saúde Suplementar (ANS) e da PNHOSP- Política Nacional de Atenção Hospitalar. Por fim, recomenda-se a elaboração de um Planejamento Estratégico que contenha diretrizes, objetivos e metas para nortear ações que solucionem as fragilidades identificadas, promovendo a efetividade da gestão hospitalar por meio de medidas corretivas que otimizem a utilização dos leitos e contribuam para a redução da elevada taxa de cesáreas, em conformidade com os normativos vigentes.</w:t>
      </w:r>
    </w:p>
    <w:p>
      <w:pPr>
        <w:pStyle w:val="916"/>
      </w:pPr>
      <w:r>
        <w:rPr>
          <w:b/>
          <w:bCs/>
        </w:rPr>
        <w:t xml:space="preserve">Análise Codificação</w:t>
      </w:r>
      <w:r>
        <w:t xml:space="preserve">: A recomendação apresenta elementos mistos. Em relação à taxa de ocupação, propõe a implantação de um sistema de monitoramento específico e a manutenção de parâmetros definidos, o que sugere uma ação concreta, mas ainda focada na condição observada de falta de monitoramento. Para a taxa de parto cesariano, além de cumprir diretrizes existentes, inclui a realização de diagnóstico das causas do aumento e ações de sensibilização, indicando um esforço para abordar causas subjacentes. No entanto, a ênfase principal recai sobre o cumprimento de normativos já estabelecidos e a elaboração de um planejamento estratégico genérico, sem detalhar ações específicas para modificar processos ou estruturas de forma duradoura. Os efeitos propostos dependem da implementação contínua de monitoramento e sensibilização, mas não claramente de mudanças institucionais permanentes independentes de atores específicos.</w:t>
      </w:r>
    </w:p>
    <w:p>
      <w:pPr>
        <w:pStyle w:val="918"/>
        <w:numPr>
          <w:ilvl w:val="0"/>
          <w:numId w:val="1020"/>
        </w:numPr>
      </w:pPr>
      <w:r>
        <w:t xml:space="preserve">Causa Identificada: parcialmente</w:t>
      </w:r>
    </w:p>
    <w:p>
      <w:pPr>
        <w:pStyle w:val="918"/>
        <w:numPr>
          <w:ilvl w:val="0"/>
          <w:numId w:val="1020"/>
        </w:numPr>
      </w:pPr>
      <w:r>
        <w:t xml:space="preserve">Ação Proposta: sim</w:t>
      </w:r>
    </w:p>
    <w:p>
      <w:pPr>
        <w:pStyle w:val="918"/>
        <w:numPr>
          <w:ilvl w:val="0"/>
          <w:numId w:val="1020"/>
        </w:numPr>
      </w:pPr>
      <w:r>
        <w:t xml:space="preserve">Efeitos Duradouros: não</w:t>
      </w:r>
    </w:p>
    <w:p>
      <w:pPr>
        <w:pStyle w:val="918"/>
        <w:numPr>
          <w:ilvl w:val="0"/>
          <w:numId w:val="1020"/>
        </w:numPr>
      </w:pPr>
      <w:r>
        <w:t xml:space="preserve">Ação Genérica: sim</w:t>
      </w:r>
    </w:p>
    <w:bookmarkEnd w:id="207"/>
    <w:bookmarkStart w:id="208" w:name="auditoria-19855-constatação-nº-701834"/>
    <w:p>
      <w:pPr>
        <w:pStyle w:val="907"/>
      </w:pPr>
      <w:r>
        <w:t xml:space="preserve">10.0.3.14 Auditoria 19855, Constatação Nº 701834</w:t>
      </w:r>
    </w:p>
    <w:p>
      <w:pPr>
        <w:pStyle w:val="917"/>
      </w:pPr>
      <w:r>
        <w:rPr>
          <w:b/>
          <w:bCs/>
        </w:rPr>
        <w:t xml:space="preserve">Finalidade</w:t>
      </w:r>
      <w:r>
        <w:t xml:space="preserve">: Verificar a gestão e o gerenciamento dos Centros de Referência em Saúde do Trabalhador - CERESTs</w:t>
      </w:r>
    </w:p>
    <w:p>
      <w:pPr>
        <w:pStyle w:val="916"/>
      </w:pPr>
      <w:r>
        <w:rPr>
          <w:b/>
          <w:bCs/>
        </w:rPr>
        <w:t xml:space="preserve">Constatação</w:t>
      </w:r>
      <w:r>
        <w:t xml:space="preserve">: O Conselho Municipal de Saúde (CMS) de Maricá/RJ não realizou a fiscalização dos recursos repassados pelo Ministério da Saúde (MS) para custear às ações de manutenção do CEREST Regional Maricá/RJ nos anos de 2023 e 2024.</w:t>
      </w:r>
    </w:p>
    <w:p>
      <w:pPr>
        <w:pStyle w:val="916"/>
      </w:pPr>
      <w:r>
        <w:rPr>
          <w:b/>
          <w:bCs/>
        </w:rPr>
        <w:t xml:space="preserve">Recomendação</w:t>
      </w:r>
      <w:r>
        <w:t xml:space="preserve">: 1- Aprimorar os Relatórios Anuais de Gestão (RAG), de forma a garantir a plena evidência da aplicação dos recursos recebidos para o CEREST, conforme previsto no Art. 25 do Anexo X da Portaria de Consolidação GM/MS nº 3/2017. 2- Dar ciência ao Conselho Municipal de Saúde acerca da obrigatoriedade de fiscalizar os recursos repassados pelo Fundo Nacional de Saúde para o Fundo Municipal de Saúde no bloco de gestão do SUS e no bloco de financiamento da média e alta complexidade, conforme preconizado no § 2º, Art. 1097, Capítulo V, da Portaria de Consolidação MS/GM 06, de 28/09/2017.</w:t>
      </w:r>
    </w:p>
    <w:p>
      <w:pPr>
        <w:pStyle w:val="916"/>
      </w:pPr>
      <w:r>
        <w:rPr>
          <w:b/>
          <w:bCs/>
        </w:rPr>
        <w:t xml:space="preserve">Análise Codificação</w:t>
      </w:r>
      <w:r>
        <w:t xml:space="preserve">: A recomendação possui dois componentes distintos. O primeiro componente (</w:t>
      </w:r>
      <w:r>
        <w:t xml:space="preserve">‘Aprimorar os Relatórios Anuais de Gestão’</w:t>
      </w:r>
      <w:r>
        <w:t xml:space="preserve">) foca na melhoria documental para evidenciar a aplicação de recursos, o que pode ser considerado uma ação que trata parcialmente a causa (falta de transparência/evidência), mas não necessariamente impede a reocorrência da falta de fiscalização. O segundo componente (</w:t>
      </w:r>
      <w:r>
        <w:t xml:space="preserve">‘Dar ciência ao Conselho Municipal de Saúde acerca da obrigatoriedade de fiscalizar’</w:t>
      </w:r>
      <w:r>
        <w:t xml:space="preserve">) é essencialmente uma ação de comunicação sobre uma obrigação legal preexistente, sem propor mecanismos concretos para garantir que a fiscalização ocorra efetivamente. Ambos os componentes têm efeitos que dependem da continuidade das ações dos atores envolvidos (melhoria contínua dos relatórios e manutenção da comunicação), mas não estabelecem mudanças estruturais permanentes. A recomendação como um todo se baseia fortemente em citar normativos já existentes, sem propor soluções inovadoras ou específicas para as causas profundas da não fiscalização.</w:t>
      </w:r>
    </w:p>
    <w:p>
      <w:pPr>
        <w:pStyle w:val="918"/>
        <w:numPr>
          <w:ilvl w:val="0"/>
          <w:numId w:val="1021"/>
        </w:numPr>
      </w:pPr>
      <w:r>
        <w:t xml:space="preserve">Causa Identificada: parcialmente</w:t>
      </w:r>
    </w:p>
    <w:p>
      <w:pPr>
        <w:pStyle w:val="918"/>
        <w:numPr>
          <w:ilvl w:val="0"/>
          <w:numId w:val="1021"/>
        </w:numPr>
      </w:pPr>
      <w:r>
        <w:t xml:space="preserve">Ação Proposta: sim</w:t>
      </w:r>
    </w:p>
    <w:p>
      <w:pPr>
        <w:pStyle w:val="918"/>
        <w:numPr>
          <w:ilvl w:val="0"/>
          <w:numId w:val="1021"/>
        </w:numPr>
      </w:pPr>
      <w:r>
        <w:t xml:space="preserve">Efeitos Duradouros: não</w:t>
      </w:r>
    </w:p>
    <w:p>
      <w:pPr>
        <w:pStyle w:val="918"/>
        <w:numPr>
          <w:ilvl w:val="0"/>
          <w:numId w:val="1021"/>
        </w:numPr>
      </w:pPr>
      <w:r>
        <w:t xml:space="preserve">Ação Genérica: sim</w:t>
      </w:r>
    </w:p>
    <w:bookmarkEnd w:id="208"/>
    <w:bookmarkStart w:id="209" w:name="auditoria-19857-constatação-nº-702619"/>
    <w:p>
      <w:pPr>
        <w:pStyle w:val="907"/>
      </w:pPr>
      <w:r>
        <w:t xml:space="preserve">10.0.3.15 Auditoria 19857, Constatação Nº 702619</w:t>
      </w:r>
    </w:p>
    <w:p>
      <w:pPr>
        <w:pStyle w:val="917"/>
      </w:pPr>
      <w:r>
        <w:rPr>
          <w:b/>
          <w:bCs/>
        </w:rPr>
        <w:t xml:space="preserve">Finalidade</w:t>
      </w:r>
      <w:r>
        <w:t xml:space="preserve">: Verificar a regularidade da execução da emenda parlamentar federal nº 3630007.</w:t>
      </w:r>
    </w:p>
    <w:p>
      <w:pPr>
        <w:pStyle w:val="916"/>
      </w:pPr>
      <w:r>
        <w:rPr>
          <w:b/>
          <w:bCs/>
        </w:rPr>
        <w:t xml:space="preserve">Constatação</w:t>
      </w:r>
      <w:r>
        <w:t xml:space="preserve">: Realização de transações bancárias sem a devida comprovação por notas fiscais.</w:t>
      </w:r>
    </w:p>
    <w:p>
      <w:pPr>
        <w:pStyle w:val="916"/>
      </w:pPr>
      <w:r>
        <w:rPr>
          <w:b/>
          <w:bCs/>
        </w:rPr>
        <w:t xml:space="preserve">Recomendação</w:t>
      </w:r>
      <w:r>
        <w:t xml:space="preserve">: 1. Realizar, durante prestação de contas, a conciliação bancária de todas as transações bancárias identificadas na auditoria com as suas respectivas notas fiscais de modo a estabelecer nexo de causalidade entre as despesas pagas e o serviço executado, segundo Acórdão TCU nº 2164/2022 - Plenário. 2. Estabelecer controles financeiros a ações correlatas de saúde realizadas via incremento temporário por Termo de Fomento/Cooperação ou similar confrontando, minimamente a execução física dos itens contratados com a apresentação de notas fiscais dos itens de maior valor, conforme Art. 39 do Decreto GDF n.º 37.843 de 13/12/2016. 3. Providenciar a devolução ao Fundo Nacional de Saúde, consoante Item 9.3.3 do Acórdão/TCU n.º 1.072/2017/Plenário, de todas as transações bancárias que não puderem ser comprovadas por meio de notas fiscais (R$ 3.306.245,50) ou que não haja nexo de causalidade entre as despesas pagas e o serviço executado, segundo Acórdão TCU nº 2164/2022 - Plenário.</w:t>
      </w:r>
    </w:p>
    <w:p>
      <w:pPr>
        <w:pStyle w:val="916"/>
      </w:pPr>
      <w:r>
        <w:rPr>
          <w:b/>
          <w:bCs/>
        </w:rPr>
        <w:t xml:space="preserve">Análise Codificação</w:t>
      </w:r>
      <w:r>
        <w:t xml:space="preserve">: A recomendação aborda três ações distintas. A primeira ação propõe conciliação bancária para estabelecer nexo causal, focando na correção da condição atual de falta de comprovação. A segunda ação sugere estabelecer controles financeiros confrontando execução física com notas fiscais, o que pode inferir uma causa relacionada à falta de controles preventivos, mas a ação é genérica ao referir-se a normativos existentes e não especifica mudanças estruturais duradouras. A terceira ação trata da devolução de valores não comprovados, sendo claramente corretiva e pontual. No geral, as ações são predominantemente reativas, voltadas para resolver a condição imediata de irregularidades, sem propor medidas específicas e duradouras para evitar a recorrência, como a implementação de sistemas ou políticas permanentes de controle.</w:t>
      </w:r>
    </w:p>
    <w:p>
      <w:pPr>
        <w:pStyle w:val="918"/>
        <w:numPr>
          <w:ilvl w:val="0"/>
          <w:numId w:val="1022"/>
        </w:numPr>
      </w:pPr>
      <w:r>
        <w:t xml:space="preserve">Causa Identificada: parcialmente</w:t>
      </w:r>
    </w:p>
    <w:p>
      <w:pPr>
        <w:pStyle w:val="918"/>
        <w:numPr>
          <w:ilvl w:val="0"/>
          <w:numId w:val="1022"/>
        </w:numPr>
      </w:pPr>
      <w:r>
        <w:t xml:space="preserve">Ação Proposta: sim</w:t>
      </w:r>
    </w:p>
    <w:p>
      <w:pPr>
        <w:pStyle w:val="918"/>
        <w:numPr>
          <w:ilvl w:val="0"/>
          <w:numId w:val="1022"/>
        </w:numPr>
      </w:pPr>
      <w:r>
        <w:t xml:space="preserve">Efeitos Duradouros: não</w:t>
      </w:r>
    </w:p>
    <w:p>
      <w:pPr>
        <w:pStyle w:val="918"/>
        <w:numPr>
          <w:ilvl w:val="0"/>
          <w:numId w:val="1022"/>
        </w:numPr>
      </w:pPr>
      <w:r>
        <w:t xml:space="preserve">Ação Genérica: sim</w:t>
      </w:r>
    </w:p>
    <w:bookmarkEnd w:id="209"/>
    <w:bookmarkStart w:id="210" w:name="auditoria-19877-constatação-nº-703161"/>
    <w:p>
      <w:pPr>
        <w:pStyle w:val="907"/>
      </w:pPr>
      <w:r>
        <w:t xml:space="preserve">10.0.3.16 Auditoria 19877, Constatação Nº 703161</w:t>
      </w:r>
    </w:p>
    <w:p>
      <w:pPr>
        <w:pStyle w:val="917"/>
      </w:pPr>
      <w:r>
        <w:rPr>
          <w:b/>
          <w:bCs/>
        </w:rPr>
        <w:t xml:space="preserve">Finalidade</w:t>
      </w:r>
      <w:r>
        <w:t xml:space="preserve">: Verificar a regularidade da produção nos sistemas de informação (SIA/SIH) em oncologia</w:t>
      </w:r>
    </w:p>
    <w:p>
      <w:pPr>
        <w:pStyle w:val="916"/>
      </w:pPr>
      <w:r>
        <w:rPr>
          <w:b/>
          <w:bCs/>
        </w:rPr>
        <w:t xml:space="preserve">Constatação</w:t>
      </w:r>
      <w:r>
        <w:t xml:space="preserve">: Houve cobrança irregular de procedimentos cirúrgicos sob o código 04.15.02.005-0 - Procedimentos Sequenciais em Oncologia - no HSJ.</w:t>
      </w:r>
    </w:p>
    <w:p>
      <w:pPr>
        <w:pStyle w:val="916"/>
      </w:pPr>
      <w:r>
        <w:rPr>
          <w:b/>
          <w:bCs/>
        </w:rPr>
        <w:t xml:space="preserve">Recomendação</w:t>
      </w:r>
      <w:r>
        <w:t xml:space="preserve">: - Estabelecer mecanismos eficazes de monitoramento, avaliação e fiscalização das Unidades de média e alta complexidade em oncologia, conforme o estabelecido no Inciso l, Artigo 15 da Lei nº 8080/ 1990. -Proceder perícia pós-operatória de AIH com cobrança do procedimento 04.15.02.005-0 - procedimentos sequenciais em oncologia, conforme recomendado no Manual de Bases Técnicas da Oncologia (2022). - Dar ciência aos responsáveis pela irregularidade apontada nesta constatação para ressarcimento junto ao FNS no valor de R$ 38.465,02 (trinta e oito mil, quatrocentos e sessenta e cinco reais e dois centavos), atualizado monetariamente e com os acréscimos legais adotados por esse ente federado, conforme indicativo do Anexo X - Planilha de Débito e no Capítulo Proposição da Devolução deste relatório, com base no item 9.3.3, do Acórdão TCU n.º 1072/2017, que prevê:</w:t>
      </w:r>
      <w:r>
        <w:t xml:space="preserve"> </w:t>
      </w:r>
      <w:r>
        <w:rPr>
          <w:rStyle w:val="949"/>
        </w:rPr>
        <w:t xml:space="preserve">tratando-se de débito decorrente de ``dano`` ao erário propriamente dito, cabe ao gestor responsável pela irregularidade a obrigação de devolver os recursos, visto que, nessas situações, não há evidências de ``que eles tenham sido aplicados em prol de alguma finalidade pública, devendo a recomposição ser feita ao Fundo Nacional de Saúde (FNS), em respeito ao disposto no art. 2º, inciso VII, do Decreto 3.964/2001 combinado com o art. 33, § 4º, da Lei 8.080/1990;.</w:t>
      </w:r>
      <w:r>
        <w:t xml:space="preserve"> </w:t>
      </w:r>
      <w:r>
        <w:t xml:space="preserve">e o Acórdão TCU nº 2079/2023 -Segunda Câmara (itens 33.1.5 e 33.1.1.8), que diz:</w:t>
      </w:r>
      <w:r>
        <w:t xml:space="preserve"> </w:t>
      </w:r>
      <w:r>
        <w:rPr>
          <w:rStyle w:val="949"/>
        </w:rPr>
        <w:t xml:space="preserve">Portanto, além dos gestores públicos ora responsabilizados, somente a entidade privada deve responder pelo prejuízo aos cofres do Fundo Nacional de Saúde decorrentes das cobranças e consequentes pagamentos ``indevidos</w:t>
      </w:r>
      <w:r>
        <w:t xml:space="preserve"> </w:t>
      </w:r>
      <w:r>
        <w:t xml:space="preserve">.</w:t>
      </w:r>
    </w:p>
    <w:p>
      <w:pPr>
        <w:pStyle w:val="916"/>
      </w:pPr>
      <w:r>
        <w:rPr>
          <w:b/>
          <w:bCs/>
        </w:rPr>
        <w:t xml:space="preserve">Análise Codificação</w:t>
      </w:r>
      <w:r>
        <w:t xml:space="preserve">: A recomendação apresenta três ações distintas. A primeira ação propõe estabelecer mecanismos de monitoramento, avaliação e fiscalização, o que sugere uma abordagem preventiva para evitar a reincidência da irregularidade, identificando implicitamente a causa como falhas nos sistemas de controle. A segunda ação, realizar perícia pós-operatória, é uma medida corretiva pontual para a condição específica. A terceira ação, dar ciência para ressarcimento, é uma medida reparatória imediata. Considerando o conjunto, a recomendação tem elementos de ambas as abordagens, mas a ação de estabelecer mecanismos de monitoramento atende parcialmente aos critérios de causa, pois propõe uma ação para mitigar riscos futuros, embora não especifique claramente as causas estruturais. Os efeitos duradouros são limitados, pois as ações não alteram profundamente a estrutura institucional, e há uma ação genérica que se baseia no cumprimento de normativos existentes.</w:t>
      </w:r>
    </w:p>
    <w:p>
      <w:pPr>
        <w:pStyle w:val="918"/>
        <w:numPr>
          <w:ilvl w:val="0"/>
          <w:numId w:val="1023"/>
        </w:numPr>
      </w:pPr>
      <w:r>
        <w:t xml:space="preserve">Causa Identificada: parcialmente</w:t>
      </w:r>
    </w:p>
    <w:p>
      <w:pPr>
        <w:pStyle w:val="918"/>
        <w:numPr>
          <w:ilvl w:val="0"/>
          <w:numId w:val="1023"/>
        </w:numPr>
      </w:pPr>
      <w:r>
        <w:t xml:space="preserve">Ação Proposta: sim</w:t>
      </w:r>
    </w:p>
    <w:p>
      <w:pPr>
        <w:pStyle w:val="918"/>
        <w:numPr>
          <w:ilvl w:val="0"/>
          <w:numId w:val="1023"/>
        </w:numPr>
      </w:pPr>
      <w:r>
        <w:t xml:space="preserve">Efeitos Duradouros: não</w:t>
      </w:r>
    </w:p>
    <w:p>
      <w:pPr>
        <w:pStyle w:val="918"/>
        <w:numPr>
          <w:ilvl w:val="0"/>
          <w:numId w:val="1023"/>
        </w:numPr>
      </w:pPr>
      <w:r>
        <w:t xml:space="preserve">Ação Genérica: sim</w:t>
      </w:r>
    </w:p>
    <w:bookmarkEnd w:id="210"/>
    <w:bookmarkStart w:id="211" w:name="auditoria-19885-constatação-nº-702631"/>
    <w:p>
      <w:pPr>
        <w:pStyle w:val="907"/>
      </w:pPr>
      <w:r>
        <w:t xml:space="preserve">10.0.3.17 Auditoria 19885, Constatação Nº 702631</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A data de autorização de tratamento clínico em oncologia, no instrumento Autorização de Procedimento Ambulatorial de Alto Custo - APAC, é posterior à data do início do tratamento em oncologia.</w:t>
      </w:r>
    </w:p>
    <w:p>
      <w:pPr>
        <w:pStyle w:val="916"/>
      </w:pPr>
      <w:r>
        <w:rPr>
          <w:b/>
          <w:bCs/>
        </w:rPr>
        <w:t xml:space="preserve">Recomendação</w:t>
      </w:r>
      <w:r>
        <w:t xml:space="preserve">: Alinhar os procedimentos de forma que os procedimentos sejam previamente aprovados, conforme preconizado nos dispositivos legais que regem o tratamento oncológico no SUS</w:t>
      </w:r>
      <w:r>
        <w:t xml:space="preserve"> </w:t>
      </w:r>
      <w:r>
        <w:t xml:space="preserve">‘’Manual Técnico Operacional do SIA/SUS, versão agosto de 2016, pág.19’</w:t>
      </w:r>
      <w:r>
        <w:t xml:space="preserve">’ que informa quanto à necessidade de autorização prévia para procedimentos registrados em APACs. Ainda, garantir que o prontuário seja documento único, completo, com toda a história clínica em completude, identificação do paciente, assinatura, data e registro dos multiprofissionais, em ordem cronológica, no formato físico e/ou digital conforme disposto artigo 87 do Código de Ética Médica além da a Lei Nº 13.787, de 27 de dezembro de 2018 que dispõe sobre a digitalização e a utilização de sistemas informatizados para a guarda, o armazenamento e o manuseio de prontuário de paciente.</w:t>
      </w:r>
    </w:p>
    <w:p>
      <w:pPr>
        <w:pStyle w:val="916"/>
      </w:pPr>
      <w:r>
        <w:rPr>
          <w:b/>
          <w:bCs/>
        </w:rPr>
        <w:t xml:space="preserve">Análise Codificação</w:t>
      </w:r>
      <w:r>
        <w:t xml:space="preserve">: A recomendação aborda duas questões distintas: a primeira refere-se ao alinhamento dos procedimentos para garantir aprovação prévia de tratamentos oncológicos, conforme exigido pelo Manual Técnico Operacional do SIA/SUS; a segunda trata da completude e organização do prontuário do paciente, com base no Código de Ética Médica e na Lei Nº 13.787/2018. Em relação à primeira parte, a recomendação identifica que a causa da inconformidade (data de autorização posterior ao início do tratamento) é a falta de aprovação prévia, propondo uma ação para alinhar os procedimentos a esse requisito. No entanto, a ação proposta é genérica, limitando-se a sugerir o cumprimento de normativos já existentes, sem especificar medidas concretas para assegurar que a aprovação seja sempre prévia (como implementação de controles ou fluxos específicos). Quanto aos efeitos duradouros, a ação de</w:t>
      </w:r>
      <w:r>
        <w:t xml:space="preserve"> </w:t>
      </w:r>
      <w:r>
        <w:t xml:space="preserve">‘alinhar procedimentos’</w:t>
      </w:r>
      <w:r>
        <w:t xml:space="preserve"> </w:t>
      </w:r>
      <w:r>
        <w:t xml:space="preserve">pode ter caráter permanente se institucionalizada, mas a falta de detalhamento torna essa avaliação incerta. Na segunda parte, a recomendação foca na condição observada (prontuário incompleto ou desorganizado), propondo ações corretivas imediatas (garantir que o prontuário seja único, completo, etc.), mas sem abordar as causas subjacentes para a não conformidade com a lei (como falta de treinamento ou recursos). A ação aqui também é genérica, baseada em cumprir normativos, e os efeitos dependem da adesão contínua dos profissionais, não sendo necessariamente duradouros se os atores mudarem. No geral, a recomendação tem um foco misto, mas predominante na condição, pois as ações propostas são corretivas e reativas, visando resolver as inconformidades pontuais sem abordar sistematicamente as causas profundas para evitar recorrências.</w:t>
      </w:r>
    </w:p>
    <w:p>
      <w:pPr>
        <w:pStyle w:val="918"/>
        <w:numPr>
          <w:ilvl w:val="0"/>
          <w:numId w:val="1024"/>
        </w:numPr>
      </w:pPr>
      <w:r>
        <w:t xml:space="preserve">Causa Identificada: parcialmente</w:t>
      </w:r>
    </w:p>
    <w:p>
      <w:pPr>
        <w:pStyle w:val="918"/>
        <w:numPr>
          <w:ilvl w:val="0"/>
          <w:numId w:val="1024"/>
        </w:numPr>
      </w:pPr>
      <w:r>
        <w:t xml:space="preserve">Ação Proposta: sim</w:t>
      </w:r>
    </w:p>
    <w:p>
      <w:pPr>
        <w:pStyle w:val="918"/>
        <w:numPr>
          <w:ilvl w:val="0"/>
          <w:numId w:val="1024"/>
        </w:numPr>
      </w:pPr>
      <w:r>
        <w:t xml:space="preserve">Efeitos Duradouros: não</w:t>
      </w:r>
    </w:p>
    <w:p>
      <w:pPr>
        <w:pStyle w:val="918"/>
        <w:numPr>
          <w:ilvl w:val="0"/>
          <w:numId w:val="1024"/>
        </w:numPr>
      </w:pPr>
      <w:r>
        <w:t xml:space="preserve">Ação Genérica: sim</w:t>
      </w:r>
    </w:p>
    <w:bookmarkEnd w:id="211"/>
    <w:bookmarkStart w:id="212" w:name="auditoria-19776-constatação-nº-692041"/>
    <w:p>
      <w:pPr>
        <w:pStyle w:val="907"/>
      </w:pPr>
      <w:r>
        <w:t xml:space="preserve">10.0.3.18 Auditoria 19776, Constatação Nº 692041</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O Programa Municipal de Imunização de Macaé/RJ não realiza manutenção nos equipamentos e não estabelece cronograma que demonstre a periodicidade das manutenções.</w:t>
      </w:r>
    </w:p>
    <w:p>
      <w:pPr>
        <w:pStyle w:val="916"/>
      </w:pPr>
      <w:r>
        <w:rPr>
          <w:b/>
          <w:bCs/>
        </w:rPr>
        <w:t xml:space="preserve">Recomendação</w:t>
      </w:r>
      <w:r>
        <w:t xml:space="preserve">: Realizar a manutenção nos equipamentos e estabelecer cronograma que demonstre a periodicidade das manutenções para garantir o correto funcionamento dos equipamentos. Para tal, deverá estabelecer contrato com o objetivo de garantir a prestação do serviço de calibração e qualificação dos equipamentos da Rede de Frio, conforme disposto nos Subitens 5.5 Manutenção e 5.6 Programação de Manutenção, Item 5, e Subitens 6.13 Orientação: Manutenção dos Equipamentos e 6.14 Equipamentos de Infraestrutura e Segurança, Item 6, do Manual de Rede Frio do Programa Nacional de Imunização (2017); no Inciso IX, do Art. 23, da Seção III, Capítulo II, da Resolução - RDC Nº 63, de 25/11/2011, bem como no § 4º, Art. 43 , Seção IV, Resolução de Diretoria Colegiada - RDC Nº 430, de 08/10/2020.</w:t>
      </w:r>
    </w:p>
    <w:p>
      <w:pPr>
        <w:pStyle w:val="916"/>
      </w:pPr>
      <w:r>
        <w:rPr>
          <w:b/>
          <w:bCs/>
        </w:rPr>
        <w:t xml:space="preserve">Análise Codificação</w:t>
      </w:r>
      <w:r>
        <w:t xml:space="preserve">: A recomendação propõe ações para corrigir a condição identificada de falta de manutenção nos equipamentos e ausência de cronograma de manutenções. No critério</w:t>
      </w:r>
      <w:r>
        <w:t xml:space="preserve"> </w:t>
      </w:r>
      <w:r>
        <w:t xml:space="preserve">‘Causa Identificada’</w:t>
      </w:r>
      <w:r>
        <w:t xml:space="preserve">, a recomendação não identifica explicitamente a causa raiz do problema (como falta de recursos, capacitação ou processos), mas a ação proposta de estabelecer contrato para serviços de calibração e qualificação sugere uma causa subjacente de falta de estrutura contratual. No critério</w:t>
      </w:r>
      <w:r>
        <w:t xml:space="preserve"> </w:t>
      </w:r>
      <w:r>
        <w:t xml:space="preserve">‘Ação Proposta’</w:t>
      </w:r>
      <w:r>
        <w:t xml:space="preserve">, a recomendação sugere ações específicas (realizar manutenção, estabelecer cronograma e contrato) que visam mitigar a reincidência da condição. No critério</w:t>
      </w:r>
      <w:r>
        <w:t xml:space="preserve"> </w:t>
      </w:r>
      <w:r>
        <w:t xml:space="preserve">‘Efeitos Duradouros’</w:t>
      </w:r>
      <w:r>
        <w:t xml:space="preserve">, a ação de estabelecer um cronograma e contrato pode criar uma estrutura permanente, mas depende da continuidade do contrato e adesão ao cronograma, não sendo totalmente independente de mudanças de atores. No critério</w:t>
      </w:r>
      <w:r>
        <w:t xml:space="preserve"> </w:t>
      </w:r>
      <w:r>
        <w:t xml:space="preserve">‘Ação Genérica’</w:t>
      </w:r>
      <w:r>
        <w:t xml:space="preserve">, a recomendação vai além de simplesmente citar normativos, propondo ações concretas como estabelecer contrato e cronograma, embora ainda se baseie em conformidade com normas preexistentes.</w:t>
      </w:r>
    </w:p>
    <w:p>
      <w:pPr>
        <w:pStyle w:val="918"/>
        <w:numPr>
          <w:ilvl w:val="0"/>
          <w:numId w:val="1025"/>
        </w:numPr>
      </w:pPr>
      <w:r>
        <w:t xml:space="preserve">Causa Identificada: parcialmente</w:t>
      </w:r>
    </w:p>
    <w:p>
      <w:pPr>
        <w:pStyle w:val="918"/>
        <w:numPr>
          <w:ilvl w:val="0"/>
          <w:numId w:val="1025"/>
        </w:numPr>
      </w:pPr>
      <w:r>
        <w:t xml:space="preserve">Ação Proposta: sim</w:t>
      </w:r>
    </w:p>
    <w:p>
      <w:pPr>
        <w:pStyle w:val="918"/>
        <w:numPr>
          <w:ilvl w:val="0"/>
          <w:numId w:val="1025"/>
        </w:numPr>
      </w:pPr>
      <w:r>
        <w:t xml:space="preserve">Efeitos Duradouros: parcialmente</w:t>
      </w:r>
    </w:p>
    <w:p>
      <w:pPr>
        <w:pStyle w:val="918"/>
        <w:numPr>
          <w:ilvl w:val="0"/>
          <w:numId w:val="1025"/>
        </w:numPr>
      </w:pPr>
      <w:r>
        <w:t xml:space="preserve">Ação Genérica: não</w:t>
      </w:r>
    </w:p>
    <w:bookmarkEnd w:id="212"/>
    <w:bookmarkStart w:id="213" w:name="auditoria-19710-constatação-nº-696287"/>
    <w:p>
      <w:pPr>
        <w:pStyle w:val="907"/>
      </w:pPr>
      <w:r>
        <w:t xml:space="preserve">10.0.3.19 Auditoria 19710, Constatação Nº 696287</w:t>
      </w:r>
    </w:p>
    <w:p>
      <w:pPr>
        <w:pStyle w:val="917"/>
      </w:pPr>
      <w:r>
        <w:rPr>
          <w:b/>
          <w:bCs/>
        </w:rPr>
        <w:t xml:space="preserve">Finalidade</w:t>
      </w:r>
      <w:r>
        <w:t xml:space="preserve">: Verificar a regularidade da produção inserida nos sistemas do SUS.</w:t>
      </w:r>
    </w:p>
    <w:p>
      <w:pPr>
        <w:pStyle w:val="916"/>
      </w:pPr>
      <w:r>
        <w:rPr>
          <w:b/>
          <w:bCs/>
        </w:rPr>
        <w:t xml:space="preserve">Constatação</w:t>
      </w:r>
      <w:r>
        <w:t xml:space="preserve">: A Sesa/ES não realizou atividades de fiscalização, monitoramento, avaliação e auditoria no serviço de oftalmologia eletiva do HMCB, entre 2022 e 2024.</w:t>
      </w:r>
    </w:p>
    <w:p>
      <w:pPr>
        <w:pStyle w:val="916"/>
      </w:pPr>
      <w:r>
        <w:rPr>
          <w:b/>
          <w:bCs/>
        </w:rPr>
        <w:t xml:space="preserve">Recomendação</w:t>
      </w:r>
      <w:r>
        <w:t xml:space="preserve">: Realizar o acompanhamento e a fiscalização do serviço de oftalmologia eletivo prestado pela empresa 20/20 Serviços Médicos S/S no HMCB, por meio de representante designado pela Administração, que deverá registrar ocorrências e adotar medidas corretivas para falhas identificadas, conforme previsto no Art. 67 da Lei 8.666/1993 e no Art. 117 da Lei 14.133/2021. Dessa forma, o acompanhamento e a fiscalização não apenas contribuem para a melhoria dos serviços prestados à população, mas também reforçam a responsabilidade da Administração Pública em zelar pela boa aplicação dos recursos e pelo cumprimento das normas legais. Determinar à empresa contratada a elaboração e adoção de rotinas e normas escritas, atualizadas, assinadas pelo responsável técnico e aprovadas pelo contratante, para assegurar a execução consistente, segura e eficiente das atividades, em atendimento ao disposto no item 3.2 do Anexo I da Portaria MS/SAS nº 288/2008.</w:t>
      </w:r>
    </w:p>
    <w:p>
      <w:pPr>
        <w:pStyle w:val="916"/>
      </w:pPr>
      <w:r>
        <w:rPr>
          <w:b/>
          <w:bCs/>
        </w:rPr>
        <w:t xml:space="preserve">Análise Codificação</w:t>
      </w:r>
      <w:r>
        <w:t xml:space="preserve">: A recomendação propõe duas ações principais: (1) realizar acompanhamento e fiscalização do serviço com registro de ocorrências e adoção de medidas corretivas, e (2) determinar à empresa contratada a elaboração e adoção de rotinas e normas escritas. Em relação ao critério</w:t>
      </w:r>
      <w:r>
        <w:t xml:space="preserve"> </w:t>
      </w:r>
      <w:r>
        <w:t xml:space="preserve">‘Causa Identificada’</w:t>
      </w:r>
      <w:r>
        <w:t xml:space="preserve">, a recomendação não explicita claramente a causa da falta de fiscalização (como falta de recursos, capacitação ou definição de responsabilidades), mas a ação de criar rotinas e normas sugere que a causa subjacente pode ser a ausência de procedimentos formais. Quanto à</w:t>
      </w:r>
      <w:r>
        <w:t xml:space="preserve"> </w:t>
      </w:r>
      <w:r>
        <w:t xml:space="preserve">‘Ação Proposta’</w:t>
      </w:r>
      <w:r>
        <w:t xml:space="preserve">, ambas as ações são sugeridas para mitigar riscos futuros, indo além da mera correção pontual. Sobre</w:t>
      </w:r>
      <w:r>
        <w:t xml:space="preserve"> </w:t>
      </w:r>
      <w:r>
        <w:t xml:space="preserve">‘Efeitos Duradouros’</w:t>
      </w:r>
      <w:r>
        <w:t xml:space="preserve">, a criação de rotinas e normas institucionaliza processos, podendo perdurar com mudanças de atores, enquanto o acompanhamento contínuo depende de designação específica. No critério</w:t>
      </w:r>
      <w:r>
        <w:t xml:space="preserve"> </w:t>
      </w:r>
      <w:r>
        <w:t xml:space="preserve">‘Ação Genérica’</w:t>
      </w:r>
      <w:r>
        <w:t xml:space="preserve">, a primeira ação referencia leis existentes (Lei 8.666/1993 e Lei 14.133/2021), sendo genérica ao sugerir cumprimento normativo, mas a segunda ação, embora baseada na Portaria MS/SAS nº 288/2008, especifica a elaboração de rotinas, o que é mais concreto.</w:t>
      </w:r>
    </w:p>
    <w:p>
      <w:pPr>
        <w:pStyle w:val="918"/>
        <w:numPr>
          <w:ilvl w:val="0"/>
          <w:numId w:val="1026"/>
        </w:numPr>
      </w:pPr>
      <w:r>
        <w:t xml:space="preserve">Causa Identificada: parcialmente</w:t>
      </w:r>
    </w:p>
    <w:p>
      <w:pPr>
        <w:pStyle w:val="918"/>
        <w:numPr>
          <w:ilvl w:val="0"/>
          <w:numId w:val="1026"/>
        </w:numPr>
      </w:pPr>
      <w:r>
        <w:t xml:space="preserve">Ação Proposta: sim</w:t>
      </w:r>
    </w:p>
    <w:p>
      <w:pPr>
        <w:pStyle w:val="918"/>
        <w:numPr>
          <w:ilvl w:val="0"/>
          <w:numId w:val="1026"/>
        </w:numPr>
      </w:pPr>
      <w:r>
        <w:t xml:space="preserve">Efeitos Duradouros: parcialmente</w:t>
      </w:r>
    </w:p>
    <w:p>
      <w:pPr>
        <w:pStyle w:val="918"/>
        <w:numPr>
          <w:ilvl w:val="0"/>
          <w:numId w:val="1026"/>
        </w:numPr>
      </w:pPr>
      <w:r>
        <w:t xml:space="preserve">Ação Genérica: parcialmente</w:t>
      </w:r>
    </w:p>
    <w:bookmarkEnd w:id="213"/>
    <w:bookmarkStart w:id="214" w:name="auditoria-19855-constatação-nº-701796"/>
    <w:p>
      <w:pPr>
        <w:pStyle w:val="907"/>
      </w:pPr>
      <w:r>
        <w:t xml:space="preserve">10.0.3.20 Auditoria 19855, Constatação Nº 701796</w:t>
      </w:r>
    </w:p>
    <w:p>
      <w:pPr>
        <w:pStyle w:val="917"/>
      </w:pPr>
      <w:r>
        <w:rPr>
          <w:b/>
          <w:bCs/>
        </w:rPr>
        <w:t xml:space="preserve">Finalidade</w:t>
      </w:r>
      <w:r>
        <w:t xml:space="preserve">: Verificar a gestão e o gerenciamento dos Centros de Referência em Saúde do Trabalhador — CERESTs</w:t>
      </w:r>
    </w:p>
    <w:p>
      <w:pPr>
        <w:pStyle w:val="916"/>
      </w:pPr>
      <w:r>
        <w:rPr>
          <w:b/>
          <w:bCs/>
        </w:rPr>
        <w:t xml:space="preserve">Constatação</w:t>
      </w:r>
      <w:r>
        <w:t xml:space="preserve">: O CEREST Regional Maricá/RJ não acompanha, monitora e avalia os resultados relacionados à saúde do trabalhador dos anos de 2023 e 2024.</w:t>
      </w:r>
    </w:p>
    <w:p>
      <w:pPr>
        <w:pStyle w:val="916"/>
      </w:pPr>
      <w:r>
        <w:rPr>
          <w:b/>
          <w:bCs/>
        </w:rPr>
        <w:t xml:space="preserve">Recomendação</w:t>
      </w:r>
      <w:r>
        <w:t xml:space="preserve">: 1 - Assegurar que todas as áreas de saúde compreendidas na PNSTT (promoção, vigilância e atenção básica) estejam inseridas no Plano Municipal de Saúde (PMS) e nas Programações Anuais de Saúde (PAS), acompanhadas das suas respectivas ações, metas e indicadores, atendendo o Inciso I, Paragráfo Único, Art 19, Capítulo II, Anexo X, da Portaria de Consolidação GM/MS n°3, de 28/9/2017; 2 - Implementar metodologia de acompanhamento e avaliação das ações de saúde do trabalhador, com definição de metas, indicadores de desempenho e periodicidade de monitoramento, de forma a permitir a análise dos resultados obtidos e a melhoria contínua das ações executadas pelo CEREST Regional Maricá/RJ, atendendo assim os Incisos I, III, Art. 18, Seção II, Capitulo IV, Título II da Lei n.º 8.080/1990 (Lei Orgânica da Saúde) e Alíneas e, g, do Inciso I, Art. 9º, Capítulo III, do Anexo XV da Portaria de Consolidação GM/MS n.º 2, de 28/9/2017.</w:t>
      </w:r>
    </w:p>
    <w:p>
      <w:pPr>
        <w:pStyle w:val="916"/>
      </w:pPr>
      <w:r>
        <w:rPr>
          <w:b/>
          <w:bCs/>
        </w:rPr>
        <w:t xml:space="preserve">Análise Codificação</w:t>
      </w:r>
      <w:r>
        <w:t xml:space="preserve">: A recomendação é composta por duas partes. A primeira parte (1) visa assegurar que as áreas de saúde do trabalhador estejam inseridas no Plano Municipal de Saúde e nas Programações Anuais de Saúde, com ações, metas e indicadores, referenciando normativos específicos. Esta ação está focada em corrigir a condição atual de ausência desses elementos nos documentos de planejamento, sendo uma medida corretiva e reativa para atender a exigências legais preexistentes. A segunda parte (2) propõe a implementação de uma metodologia de acompanhamento e avaliação com definição de metas, indicadores e periodicidade, referenciando leis e portarias. Esta ação busca estabelecer um processo estruturado e contínuo para monitorar os resultados, o que pode ser visto como uma medida para evitar a recorrência da condição identificada (falta de acompanhamento), promovendo uma mudança institucional duradoura. No critério</w:t>
      </w:r>
      <w:r>
        <w:t xml:space="preserve"> </w:t>
      </w:r>
      <w:r>
        <w:t xml:space="preserve">‘Causa Identificada’</w:t>
      </w:r>
      <w:r>
        <w:t xml:space="preserve">, a recomendação não explicita claramente a causa da falta de acompanhamento, mas a ação proposta na parte 2 implica a necessidade de um sistema formal, sugerindo uma causa subjacente relacionada à falta de processos estruturados. No critério</w:t>
      </w:r>
      <w:r>
        <w:t xml:space="preserve"> </w:t>
      </w:r>
      <w:r>
        <w:t xml:space="preserve">‘Ação Proposta’</w:t>
      </w:r>
      <w:r>
        <w:t xml:space="preserve">, ambas as partes sugerem ações específicas, embora a parte 1 seja mais genérica ao exigir cumprimento normativo. No critério</w:t>
      </w:r>
      <w:r>
        <w:t xml:space="preserve"> </w:t>
      </w:r>
      <w:r>
        <w:t xml:space="preserve">‘Efeitos Duradouros’</w:t>
      </w:r>
      <w:r>
        <w:t xml:space="preserve">, a parte 2 tem potencial para efeitos duradouros, pois institui uma metodologia que pode persistir independentemente de mudanças de pessoal, enquanto a parte 1 é mais sobre conformidade imediata. No critério</w:t>
      </w:r>
      <w:r>
        <w:t xml:space="preserve"> </w:t>
      </w:r>
      <w:r>
        <w:t xml:space="preserve">‘Ação Genérica’</w:t>
      </w:r>
      <w:r>
        <w:t xml:space="preserve">, a parte 1 é altamente genérica, focada em cumprir normativos existentes, enquanto a parte 2 é mais específica ao propor a implementação de uma metodologia, embora ainda referencie leis.</w:t>
      </w:r>
    </w:p>
    <w:p>
      <w:pPr>
        <w:pStyle w:val="918"/>
        <w:numPr>
          <w:ilvl w:val="0"/>
          <w:numId w:val="1027"/>
        </w:numPr>
      </w:pPr>
      <w:r>
        <w:t xml:space="preserve">Causa Identificada: parcialmente</w:t>
      </w:r>
    </w:p>
    <w:p>
      <w:pPr>
        <w:pStyle w:val="918"/>
        <w:numPr>
          <w:ilvl w:val="0"/>
          <w:numId w:val="1027"/>
        </w:numPr>
      </w:pPr>
      <w:r>
        <w:t xml:space="preserve">Ação Proposta: sim</w:t>
      </w:r>
    </w:p>
    <w:p>
      <w:pPr>
        <w:pStyle w:val="918"/>
        <w:numPr>
          <w:ilvl w:val="0"/>
          <w:numId w:val="1027"/>
        </w:numPr>
      </w:pPr>
      <w:r>
        <w:t xml:space="preserve">Efeitos Duradouros: parcialmente</w:t>
      </w:r>
    </w:p>
    <w:p>
      <w:pPr>
        <w:pStyle w:val="918"/>
        <w:numPr>
          <w:ilvl w:val="0"/>
          <w:numId w:val="1027"/>
        </w:numPr>
      </w:pPr>
      <w:r>
        <w:t xml:space="preserve">Ação Genérica: parcialmente</w:t>
      </w:r>
    </w:p>
    <w:bookmarkEnd w:id="214"/>
    <w:bookmarkStart w:id="215" w:name="auditoria-19879-constatação-nº-703725"/>
    <w:p>
      <w:pPr>
        <w:pStyle w:val="907"/>
      </w:pPr>
      <w:r>
        <w:t xml:space="preserve">10.0.3.21 Auditoria 19879, Constatação Nº 703725</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Hospital de Câncer de Cascavel (Uopeccan) não emitiu nova AIH para procedimento compatível nos casos em que a internação para quimioterapia de administração contínua (03.04.08.002-0) excedeu seis dias de permanência.</w:t>
      </w:r>
    </w:p>
    <w:p>
      <w:pPr>
        <w:pStyle w:val="916"/>
      </w:pPr>
      <w:r>
        <w:rPr>
          <w:b/>
          <w:bCs/>
        </w:rPr>
        <w:t xml:space="preserve">Recomendação</w:t>
      </w:r>
      <w:r>
        <w:t xml:space="preserve">: Emitir nova AIH compatível com a condição clínica apresentada pelo paciente, nos termos da normativa vigente, utilizando-se do código 03.04.10.001-3 - Tratamento de intercorrências clínicas de paciente oncológico, sempre que a internação se prolongar por intercorrências que extrapolem o escopo do procedimento original de quimioterapia contínua; - Promover capacitação continuada da equipe responsável pelos processos de codificação e faturamento, com foco nas diretrizes do SIA/SUS e nos requisitos normativos para correta classificação e cobrança dos procedimentos oncológicos hospitalares. Essas recomendações seguem as diretrizes do Manual de Bases Técnicas da Oncologia - SIA/SUS, 30ª edição, Ministério da Saúde, 2022, página 22, contribuindo para a correta codificação, a precisão dos registros dos procedimentos realizados, o cumprimento das normas regulatórias e a otimização da gestão dos recursos de saúde.</w:t>
      </w:r>
    </w:p>
    <w:p>
      <w:pPr>
        <w:pStyle w:val="916"/>
      </w:pPr>
      <w:r>
        <w:rPr>
          <w:b/>
          <w:bCs/>
        </w:rPr>
        <w:t xml:space="preserve">Análise Codificação</w:t>
      </w:r>
      <w:r>
        <w:t xml:space="preserve">: A recomendação é composta por duas partes distintas. A primeira parte (</w:t>
      </w:r>
      <w:r>
        <w:t xml:space="preserve">‘Emitir nova AIH…’</w:t>
      </w:r>
      <w:r>
        <w:t xml:space="preserve">) é claramente orientada à correção da condição específica identificada (internações prolongadas sem emissão de AIH adequada), focando na solução imediata do problema pontual. Não aborda as causas subjacentes que levaram à não emissão das AIHs, limitando-se a prescrever a ação correta a ser tomada quando a situação ocorrer. A segunda parte (</w:t>
      </w:r>
      <w:r>
        <w:t xml:space="preserve">‘Promover capacitação continuada…’</w:t>
      </w:r>
      <w:r>
        <w:t xml:space="preserve">) identifica uma causa potencial (falta de capacitação da equipe) e propõe uma ação que visa prevenir a recorrência do problema através do desenvolvimento de competências permanentes na equipe, o que teria efeitos duradouros mesmo com mudança de pessoal. Quanto ao critério de ação genérica, a primeira recomendação se restringe a sugerir o cumprimento de normativo existente, enquanto a segunda vai além ao propor uma ação concreta de capacitação.</w:t>
      </w:r>
    </w:p>
    <w:p>
      <w:pPr>
        <w:pStyle w:val="918"/>
        <w:numPr>
          <w:ilvl w:val="0"/>
          <w:numId w:val="1028"/>
        </w:numPr>
      </w:pPr>
      <w:r>
        <w:t xml:space="preserve">Causa Identificada: parcialmente</w:t>
      </w:r>
    </w:p>
    <w:p>
      <w:pPr>
        <w:pStyle w:val="918"/>
        <w:numPr>
          <w:ilvl w:val="0"/>
          <w:numId w:val="1028"/>
        </w:numPr>
      </w:pPr>
      <w:r>
        <w:t xml:space="preserve">Ação Proposta: sim</w:t>
      </w:r>
    </w:p>
    <w:p>
      <w:pPr>
        <w:pStyle w:val="918"/>
        <w:numPr>
          <w:ilvl w:val="0"/>
          <w:numId w:val="1028"/>
        </w:numPr>
      </w:pPr>
      <w:r>
        <w:t xml:space="preserve">Efeitos Duradouros: parcialmente</w:t>
      </w:r>
    </w:p>
    <w:p>
      <w:pPr>
        <w:pStyle w:val="918"/>
        <w:numPr>
          <w:ilvl w:val="0"/>
          <w:numId w:val="1028"/>
        </w:numPr>
      </w:pPr>
      <w:r>
        <w:t xml:space="preserve">Ação Genérica: parcialmente</w:t>
      </w:r>
    </w:p>
    <w:bookmarkEnd w:id="215"/>
    <w:bookmarkStart w:id="216" w:name="auditoria-19879-constatação-nº-703730"/>
    <w:p>
      <w:pPr>
        <w:pStyle w:val="907"/>
      </w:pPr>
      <w:r>
        <w:t xml:space="preserve">10.0.3.22 Auditoria 19879, Constatação Nº 703730</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Hospital de Câncer de Cascavel (UOPECCAN) não comprovou documentalmente, em 01 caso, a realização da cirurgia oncológica no máximo 60 dias antes da quimioterapia adjuvante - profilática.</w:t>
      </w:r>
    </w:p>
    <w:p>
      <w:pPr>
        <w:pStyle w:val="916"/>
      </w:pPr>
      <w:r>
        <w:rPr>
          <w:b/>
          <w:bCs/>
        </w:rPr>
        <w:t xml:space="preserve">Recomendação</w:t>
      </w:r>
      <w:r>
        <w:t xml:space="preserve">: - Garantir a conformidade com as normas e regulamentos vigentes. - Alinhar as práticas assistenciais às diretrizes do SUS e às recomendações do Manual de Bases Técnicas da Oncologia. - Manter um diálogo aberto e colaborativo com os responsáveis para promover melhorias contínuas na gestão e na assistência ao paciente. - Orientar os profissionais por meio de treinamentos e capacitações contínuas, com o intuito de reforçar as boas práticas de registro, documentação e cumprimento dos prazos. - Implementar um sistema de acompanhamento periódico para garantir que as ações corretivas estejam sendo efetivas e que futuras não conformidades sejam evitadas. Essas recomendações apresentadas visam atender ao parágrafo 2.° do art. 2 da Lei nº 14.758, de 19 de dezembro de 2023, que institui a Política Nacional de Prevenção e Controle do Câncer no âmbito do SUS e ao Manual de Bases Técnicas da Oncologia - SIA/SUS, 30ª edição, Ministério da Saúde, 2022, que orienta o início da quimioterapia adjuvante entre 30 e 60 dias do pós-operatório (p. 108), desde que respeitadas as condições clínicas e a integralidade da assistência. Além disso, elas têm como objetivo mitigar riscos que possam prejudicar o atingimento dos objetivos do SUS e garantir um atendimento de qualidade à população usuária do sistema.</w:t>
      </w:r>
    </w:p>
    <w:p>
      <w:pPr>
        <w:pStyle w:val="916"/>
      </w:pPr>
      <w:r>
        <w:rPr>
          <w:b/>
          <w:bCs/>
        </w:rPr>
        <w:t xml:space="preserve">Análise Codificação</w:t>
      </w:r>
      <w:r>
        <w:t xml:space="preserve">: A recomendação apresenta múltiplas ações, sendo necessário avaliar o conjunto. Em relação ao critério</w:t>
      </w:r>
      <w:r>
        <w:t xml:space="preserve"> </w:t>
      </w:r>
      <w:r>
        <w:t xml:space="preserve">‘Causa Identificada’</w:t>
      </w:r>
      <w:r>
        <w:t xml:space="preserve">, a recomendação não explicita claramente a causa da não conformidade (ex: falha no sistema de registro, desconhecimento de prazos, ausência de protocolos), mas ações como treinamentos e implementação de sistema de acompanhamento sugerem inferência de causas relacionadas a capacitação e monitoramento. Para</w:t>
      </w:r>
      <w:r>
        <w:t xml:space="preserve"> </w:t>
      </w:r>
      <w:r>
        <w:t xml:space="preserve">‘Ação Proposta’</w:t>
      </w:r>
      <w:r>
        <w:t xml:space="preserve">, há sugestões concretas como treinamentos e sistema de acompanhamento, indo além do mero cumprimento normativo. Quanto aos</w:t>
      </w:r>
      <w:r>
        <w:t xml:space="preserve"> </w:t>
      </w:r>
      <w:r>
        <w:t xml:space="preserve">‘Efeitos Duradouros’</w:t>
      </w:r>
      <w:r>
        <w:t xml:space="preserve">, treinamentos contínuos e sistema de acompanhamento podem perdurar com mudança de atores, mas itens como</w:t>
      </w:r>
      <w:r>
        <w:t xml:space="preserve"> </w:t>
      </w:r>
      <w:r>
        <w:t xml:space="preserve">‘garantir conformidade’</w:t>
      </w:r>
      <w:r>
        <w:t xml:space="preserve"> </w:t>
      </w:r>
      <w:r>
        <w:t xml:space="preserve">e</w:t>
      </w:r>
      <w:r>
        <w:t xml:space="preserve"> </w:t>
      </w:r>
      <w:r>
        <w:t xml:space="preserve">‘alinhar práticas’</w:t>
      </w:r>
      <w:r>
        <w:t xml:space="preserve"> </w:t>
      </w:r>
      <w:r>
        <w:t xml:space="preserve">são genéricos. Sobre</w:t>
      </w:r>
      <w:r>
        <w:t xml:space="preserve"> </w:t>
      </w:r>
      <w:r>
        <w:t xml:space="preserve">‘Ação Genérica’</w:t>
      </w:r>
      <w:r>
        <w:t xml:space="preserve">, partes da recomendação se restringem a sugerir conformidade com normas existentes, mas outras propõem ações específicas como treinamentos e sistema de acompanhamento.</w:t>
      </w:r>
    </w:p>
    <w:p>
      <w:pPr>
        <w:pStyle w:val="918"/>
        <w:numPr>
          <w:ilvl w:val="0"/>
          <w:numId w:val="1029"/>
        </w:numPr>
      </w:pPr>
      <w:r>
        <w:t xml:space="preserve">Causa Identificada: parcialmente</w:t>
      </w:r>
    </w:p>
    <w:p>
      <w:pPr>
        <w:pStyle w:val="918"/>
        <w:numPr>
          <w:ilvl w:val="0"/>
          <w:numId w:val="1029"/>
        </w:numPr>
      </w:pPr>
      <w:r>
        <w:t xml:space="preserve">Ação Proposta: sim</w:t>
      </w:r>
    </w:p>
    <w:p>
      <w:pPr>
        <w:pStyle w:val="918"/>
        <w:numPr>
          <w:ilvl w:val="0"/>
          <w:numId w:val="1029"/>
        </w:numPr>
      </w:pPr>
      <w:r>
        <w:t xml:space="preserve">Efeitos Duradouros: parcialmente</w:t>
      </w:r>
    </w:p>
    <w:p>
      <w:pPr>
        <w:pStyle w:val="918"/>
        <w:numPr>
          <w:ilvl w:val="0"/>
          <w:numId w:val="1029"/>
        </w:numPr>
      </w:pPr>
      <w:r>
        <w:t xml:space="preserve">Ação Genérica: parcialmente</w:t>
      </w:r>
    </w:p>
    <w:bookmarkEnd w:id="216"/>
    <w:bookmarkStart w:id="217" w:name="auditoria-19586-constatação-nº-672299"/>
    <w:p>
      <w:pPr>
        <w:pStyle w:val="907"/>
      </w:pPr>
      <w:r>
        <w:t xml:space="preserve">10.0.3.23 Auditoria 19586, Constatação Nº 672299</w:t>
      </w:r>
    </w:p>
    <w:p>
      <w:pPr>
        <w:pStyle w:val="917"/>
      </w:pPr>
      <w:r>
        <w:rPr>
          <w:b/>
          <w:bCs/>
        </w:rPr>
        <w:t xml:space="preserve">Finalidade</w:t>
      </w:r>
      <w:r>
        <w:t xml:space="preserve">: Avaliar a atuação do município através dos indicadores de desempenho do Programa Previne.</w:t>
      </w:r>
    </w:p>
    <w:p>
      <w:pPr>
        <w:pStyle w:val="916"/>
      </w:pPr>
      <w:r>
        <w:rPr>
          <w:b/>
          <w:bCs/>
        </w:rPr>
        <w:t xml:space="preserve">Constatação</w:t>
      </w:r>
      <w:r>
        <w:t xml:space="preserve">: O município de Itambaracá/PR não realizou o preenchimento adequado do prontuário relacionando corretamente o paciente ao indicador, mas efetuou a vinculação à equipe, no exercício de 2022.</w:t>
      </w:r>
    </w:p>
    <w:p>
      <w:pPr>
        <w:pStyle w:val="916"/>
      </w:pPr>
      <w:r>
        <w:rPr>
          <w:b/>
          <w:bCs/>
        </w:rPr>
        <w:t xml:space="preserve">Recomendação</w:t>
      </w:r>
      <w:r>
        <w:t xml:space="preserve">: 1. Preencher adequadamente os prontuários, relacionando os pacientes aos indicadores do Programa Previne Brasil, de acordo com as orientações constantes no Manual Instrutivo do Programa; 2. Atender ao disposto no artigo 12-C da Portaria GM/MS nº 2.979, de 12/11/2019, que estabelece que o cálculo do incentivo financeiro do pagamento por desempenho será efetuado considerando os resultados de indicadores alcançados pelas equipes credenciadas e cadastradas no SCNES; 3. Efetivar a informatização das UBS do município, viabilizando o uso do Prontuário Eletrônico nos ambientes de atendimento ao cidadão, garantindo o devido preenchimento das informações de saúde dos usuários da APS e o envio adequado de dados ao Ministério da Saúde, de acordo com as orientações constantes na página 47 do Manual Instrutivo do Programa.</w:t>
      </w:r>
    </w:p>
    <w:p>
      <w:pPr>
        <w:pStyle w:val="916"/>
      </w:pPr>
      <w:r>
        <w:rPr>
          <w:b/>
          <w:bCs/>
        </w:rPr>
        <w:t xml:space="preserve">Análise Codificação</w:t>
      </w:r>
      <w:r>
        <w:t xml:space="preserve">: A recomendação aborda três aspectos distintos. O primeiro item (</w:t>
      </w:r>
      <w:r>
        <w:t xml:space="preserve">‘Preencher adequadamente os prontuários…’</w:t>
      </w:r>
      <w:r>
        <w:t xml:space="preserve">) é uma ação corretiva direta para a condição identificada (preenchimento inadequado), sem propor medidas para evitar a recorrência. O segundo item (</w:t>
      </w:r>
      <w:r>
        <w:t xml:space="preserve">‘Atender ao disposto no artigo 12-C…’</w:t>
      </w:r>
      <w:r>
        <w:t xml:space="preserve">) limita-se a citar o cumprimento de normativo existente, sem tratar as causas do não cumprimento. O terceiro item (</w:t>
      </w:r>
      <w:r>
        <w:t xml:space="preserve">‘Efetivar a informatização das UBS…’</w:t>
      </w:r>
      <w:r>
        <w:t xml:space="preserve">) propõe uma mudança estrutural (implantação de prontuário eletrônico) que, ao padronizar e automatizar processos, pode reduzir a dependência de ações manuais e mitigar o risco de novos erros de preenchimento, com efeitos que persistem independentemente dos atores envolvidos. No entanto, como a recomendação é composta e apenas um dos itens aborda potencialmente a causa, a análise considera o conjunto.</w:t>
      </w:r>
    </w:p>
    <w:p>
      <w:pPr>
        <w:pStyle w:val="918"/>
        <w:numPr>
          <w:ilvl w:val="0"/>
          <w:numId w:val="1030"/>
        </w:numPr>
      </w:pPr>
      <w:r>
        <w:t xml:space="preserve">Causa Identificada: parcialmente</w:t>
      </w:r>
    </w:p>
    <w:p>
      <w:pPr>
        <w:pStyle w:val="918"/>
        <w:numPr>
          <w:ilvl w:val="0"/>
          <w:numId w:val="1030"/>
        </w:numPr>
      </w:pPr>
      <w:r>
        <w:t xml:space="preserve">Ação Proposta: sim</w:t>
      </w:r>
    </w:p>
    <w:p>
      <w:pPr>
        <w:pStyle w:val="918"/>
        <w:numPr>
          <w:ilvl w:val="0"/>
          <w:numId w:val="1030"/>
        </w:numPr>
      </w:pPr>
      <w:r>
        <w:t xml:space="preserve">Efeitos Duradouros: parcialmente</w:t>
      </w:r>
    </w:p>
    <w:p>
      <w:pPr>
        <w:pStyle w:val="918"/>
        <w:numPr>
          <w:ilvl w:val="0"/>
          <w:numId w:val="1030"/>
        </w:numPr>
      </w:pPr>
      <w:r>
        <w:t xml:space="preserve">Ação Genérica: sim</w:t>
      </w:r>
    </w:p>
    <w:bookmarkEnd w:id="217"/>
    <w:bookmarkStart w:id="218" w:name="auditoria-19590-constatação-nº-684544"/>
    <w:p>
      <w:pPr>
        <w:pStyle w:val="907"/>
      </w:pPr>
      <w:r>
        <w:t xml:space="preserve">10.0.3.24 Auditoria 19590, Constatação Nº 684544</w:t>
      </w:r>
    </w:p>
    <w:p>
      <w:pPr>
        <w:pStyle w:val="917"/>
      </w:pPr>
      <w:r>
        <w:rPr>
          <w:b/>
          <w:bCs/>
        </w:rPr>
        <w:t xml:space="preserve">Finalidade</w:t>
      </w:r>
      <w:r>
        <w:t xml:space="preserve">: Verificar a implementação da Pol. Nac. ao Portador de Doença Ren. Crônica, nos estágios 4 e 5 em TRS</w:t>
      </w:r>
    </w:p>
    <w:p>
      <w:pPr>
        <w:pStyle w:val="916"/>
      </w:pPr>
      <w:r>
        <w:rPr>
          <w:b/>
          <w:bCs/>
        </w:rPr>
        <w:t xml:space="preserve">Constatação</w:t>
      </w:r>
      <w:r>
        <w:t xml:space="preserve">: Os mecanismos de regulação para os serviços de TRS com indicação de referência e contrarreferência para os portadores de DRC, nos estágios 4 e 5, são inexistentes no município de Campina Grande/PB.</w:t>
      </w:r>
    </w:p>
    <w:p>
      <w:pPr>
        <w:pStyle w:val="916"/>
      </w:pPr>
      <w:r>
        <w:rPr>
          <w:b/>
          <w:bCs/>
        </w:rPr>
        <w:t xml:space="preserve">Recomendação</w:t>
      </w:r>
      <w:r>
        <w:t xml:space="preserve">: Objetivando-se a adequação das lacunas verificadas pela equipe de auditoria, recomenda-se: -identificar, por meio de pesquisas científicas e/ou criação de sistema informatizado, os determinantes e condicionantes das principais patologias que levam à doença renal com vistas a adotar-se estratégias de enfrentamento por meio de políticas públicas; -garantir o acesso e assegurar a qualidade do processo de diálise visando alcançar impacto positivo na sobrevida, na morbidade e na qualidade de vida e garantir equidade na entrada em lista de espera para transplante renal, com vistas à ampliação com qualidade do atendimento à população necessitada; -regular, fiscalizar o controlar a avaliação de ações de atenção ao portador de doença renal, preferencialmente por meio da interlocução com o estado e conselho de saúde. Tais indicações atendem ao disposto no inciso III, art. 2º e nos incisos III e VI, do art. 3º, Anexo XXXIII, da Portaria de Consolidação GM/MS n.º 2, de 28 de setembro de 2017.</w:t>
      </w:r>
    </w:p>
    <w:p>
      <w:pPr>
        <w:pStyle w:val="916"/>
      </w:pPr>
      <w:r>
        <w:rPr>
          <w:b/>
          <w:bCs/>
        </w:rPr>
        <w:t xml:space="preserve">Análise Codificação</w:t>
      </w:r>
      <w:r>
        <w:t xml:space="preserve">: A recomendação aborda múltiplas ações para lidar com a ausência de mecanismos de regulação para serviços de TRS. Em relação à</w:t>
      </w:r>
      <w:r>
        <w:t xml:space="preserve"> </w:t>
      </w:r>
      <w:r>
        <w:t xml:space="preserve">‘Causa Identificada’</w:t>
      </w:r>
      <w:r>
        <w:t xml:space="preserve">, a recomendação propõe identificar determinantes e condicionantes das patologias que levam à doença renal, o que sugere uma tentativa de entender as causas subjacentes, embora não especifique claramente a causa imediata da inexistência dos mecanismos. Para</w:t>
      </w:r>
      <w:r>
        <w:t xml:space="preserve"> </w:t>
      </w:r>
      <w:r>
        <w:t xml:space="preserve">‘Ação Proposta’</w:t>
      </w:r>
      <w:r>
        <w:t xml:space="preserve">, ela inclui ações como identificar determinantes, garantir acesso à diálise e regular ações, que visam mitigar riscos futuros, mas algumas são genéricas. Quanto aos</w:t>
      </w:r>
      <w:r>
        <w:t xml:space="preserve"> </w:t>
      </w:r>
      <w:r>
        <w:t xml:space="preserve">‘Efeitos Duradouros’</w:t>
      </w:r>
      <w:r>
        <w:t xml:space="preserve">, ações como criar sistemas informatizados ou políticas públicas podem ter efeitos prolongados, mas a ênfase em garantir acesso e qualidade sugere foco em condições atuais. Sobre</w:t>
      </w:r>
      <w:r>
        <w:t xml:space="preserve"> </w:t>
      </w:r>
      <w:r>
        <w:t xml:space="preserve">‘Ação Genérica’</w:t>
      </w:r>
      <w:r>
        <w:t xml:space="preserve">, partes da recomendação se baseiam em cumprir normativos existentes, como citado na portaria, indicando um elemento genérico.</w:t>
      </w:r>
    </w:p>
    <w:p>
      <w:pPr>
        <w:pStyle w:val="918"/>
        <w:numPr>
          <w:ilvl w:val="0"/>
          <w:numId w:val="1031"/>
        </w:numPr>
      </w:pPr>
      <w:r>
        <w:t xml:space="preserve">Causa Identificada: parcialmente</w:t>
      </w:r>
    </w:p>
    <w:p>
      <w:pPr>
        <w:pStyle w:val="918"/>
        <w:numPr>
          <w:ilvl w:val="0"/>
          <w:numId w:val="1031"/>
        </w:numPr>
      </w:pPr>
      <w:r>
        <w:t xml:space="preserve">Ação Proposta: sim</w:t>
      </w:r>
    </w:p>
    <w:p>
      <w:pPr>
        <w:pStyle w:val="918"/>
        <w:numPr>
          <w:ilvl w:val="0"/>
          <w:numId w:val="1031"/>
        </w:numPr>
      </w:pPr>
      <w:r>
        <w:t xml:space="preserve">Efeitos Duradouros: parcialmente</w:t>
      </w:r>
    </w:p>
    <w:p>
      <w:pPr>
        <w:pStyle w:val="918"/>
        <w:numPr>
          <w:ilvl w:val="0"/>
          <w:numId w:val="1031"/>
        </w:numPr>
      </w:pPr>
      <w:r>
        <w:t xml:space="preserve">Ação Genérica: sim</w:t>
      </w:r>
    </w:p>
    <w:bookmarkEnd w:id="218"/>
    <w:bookmarkStart w:id="219" w:name="auditoria-19840-constatação-nº-701376"/>
    <w:p>
      <w:pPr>
        <w:pStyle w:val="907"/>
      </w:pPr>
      <w:r>
        <w:t xml:space="preserve">10.0.3.25 Auditoria 19840, Constatação Nº 701376</w:t>
      </w:r>
    </w:p>
    <w:p>
      <w:pPr>
        <w:pStyle w:val="917"/>
      </w:pPr>
      <w:r>
        <w:rPr>
          <w:b/>
          <w:bCs/>
        </w:rPr>
        <w:t xml:space="preserve">Finalidade</w:t>
      </w:r>
      <w:r>
        <w:t xml:space="preserve">: Verificar a regularidade da produção inserida nos sistemas do SUS</w:t>
      </w:r>
    </w:p>
    <w:p>
      <w:pPr>
        <w:pStyle w:val="916"/>
      </w:pPr>
      <w:r>
        <w:rPr>
          <w:b/>
          <w:bCs/>
        </w:rPr>
        <w:t xml:space="preserve">Constatação</w:t>
      </w:r>
      <w:r>
        <w:t xml:space="preserve">: A Semsam não comprovou a execução da produção do procedimento Consulta Médica em Atenção Especializada inserida no Sistema de Informações Ambulatoriais (SIA/SUS).</w:t>
      </w:r>
    </w:p>
    <w:p>
      <w:pPr>
        <w:pStyle w:val="916"/>
      </w:pPr>
      <w:r>
        <w:rPr>
          <w:b/>
          <w:bCs/>
        </w:rPr>
        <w:t xml:space="preserve">Recomendação</w:t>
      </w:r>
      <w:r>
        <w:t xml:space="preserve">: Restituir ao Fundo Nacional de Saúde (FNS) os recursos federais do SUS, no valor de R$910.120,00 (novecentos e dez mil e cento e vinte reais), recebidos indevidamente pelo município de Amarante do Maranhão, atualizados monetariamente e com os acréscimos legais cabíveis, conforme indicado no capítulo</w:t>
      </w:r>
      <w:r>
        <w:t xml:space="preserve"> </w:t>
      </w:r>
      <w:r>
        <w:t xml:space="preserve">“Proposição de Devolução”</w:t>
      </w:r>
      <w:r>
        <w:t xml:space="preserve"> </w:t>
      </w:r>
      <w:r>
        <w:t xml:space="preserve">deste relatório. Essa medida se fundamenta no parágrafo único do artigo 54 da Portaria GM/MS nº 684/2022, que estabelece que incorreções ou discrepâncias na produção registrada podem impedir a execução orçamentária e financeira de emendas parlamentares, e no item 9.3.4 do Acórdão nº 1.072/2017 - Plenário, que determina que, em caso de débito por recebimento irregular de recursos federais, o ente recebedor deve restituir o FNS, independentemente do destino final dos recursos. Garantir a rastreabilidade das informações produzidas e enviadas aos sistemas de informação do SUS, mediante a implementação de mecanismos de registro, verificação e responsabilização por inconsistências, de acordo com o disposto no item 2.3 do Manual de Operação do SIA-SUS (2016) e com a alínea a do item II do art. 295 da Portaria de Consolidação GM/MS nº 1/2017.</w:t>
      </w:r>
    </w:p>
    <w:p>
      <w:pPr>
        <w:pStyle w:val="916"/>
      </w:pPr>
      <w:r>
        <w:rPr>
          <w:b/>
          <w:bCs/>
        </w:rPr>
        <w:t xml:space="preserve">Análise Codificação</w:t>
      </w:r>
      <w:r>
        <w:t xml:space="preserve">: A recomendação possui dois componentes distintos. O primeiro componente, que trata da restituição de recursos, é claramente focado na correção da condição específica identificada (recebimento irregular de recursos), sem propor ações para evitar que situações similares ocorram no futuro. O segundo componente, que trata da garantia de rastreabilidade das informações, identifica uma causa subjacente (falta de mecanismos de registro, verificação e responsabilização) e propõe uma ação que visa prevenir a recorrência da condição, com efeitos que podem perdurar além dos atores atuais, embora se baseie em normativos existentes. No entanto, considerando a recomendação como um todo e o fato de que o componente de rastreabilidade é genérico e não especifica ações concretas para tratar a causa do não cumprimento, a recomendação é predominantemente condition-based.</w:t>
      </w:r>
    </w:p>
    <w:p>
      <w:pPr>
        <w:pStyle w:val="918"/>
        <w:numPr>
          <w:ilvl w:val="0"/>
          <w:numId w:val="1032"/>
        </w:numPr>
      </w:pPr>
      <w:r>
        <w:t xml:space="preserve">Causa Identificada: parcialmente</w:t>
      </w:r>
    </w:p>
    <w:p>
      <w:pPr>
        <w:pStyle w:val="918"/>
        <w:numPr>
          <w:ilvl w:val="0"/>
          <w:numId w:val="1032"/>
        </w:numPr>
      </w:pPr>
      <w:r>
        <w:t xml:space="preserve">Ação Proposta: sim</w:t>
      </w:r>
    </w:p>
    <w:p>
      <w:pPr>
        <w:pStyle w:val="918"/>
        <w:numPr>
          <w:ilvl w:val="0"/>
          <w:numId w:val="1032"/>
        </w:numPr>
      </w:pPr>
      <w:r>
        <w:t xml:space="preserve">Efeitos Duradouros: parcialmente</w:t>
      </w:r>
    </w:p>
    <w:p>
      <w:pPr>
        <w:pStyle w:val="918"/>
        <w:numPr>
          <w:ilvl w:val="0"/>
          <w:numId w:val="1032"/>
        </w:numPr>
      </w:pPr>
      <w:r>
        <w:t xml:space="preserve">Ação Genérica: sim</w:t>
      </w:r>
    </w:p>
    <w:bookmarkEnd w:id="219"/>
    <w:bookmarkStart w:id="220" w:name="auditoria-19890-constatação-nº-702542"/>
    <w:p>
      <w:pPr>
        <w:pStyle w:val="907"/>
      </w:pPr>
      <w:r>
        <w:t xml:space="preserve">10.0.3.26 Auditoria 19890, Constatação Nº 702542</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estabelecimento não comprovou a APAC concomitante para quimioterapia, das AIHs com código 03.04.08.003-9 (internação para quimioterapias de leucemia aguda/crônica agudizadas).</w:t>
      </w:r>
    </w:p>
    <w:p>
      <w:pPr>
        <w:pStyle w:val="916"/>
      </w:pPr>
      <w:r>
        <w:rPr>
          <w:b/>
          <w:bCs/>
        </w:rPr>
        <w:t xml:space="preserve">Recomendação</w:t>
      </w:r>
      <w:r>
        <w:t xml:space="preserve">: Cumprir o que estabelece os artigos 14 e 27, da Portaria SAES/MS 470/2021, sobre a necessidade de APAC concomitante para o procedimento 03.04.08.003-9. Organizar o prontuário como documento único, garantindo a continuidade do cuidado prestado ao paciente, conforme artigo 2º; § 1º da Lei nº 14.758, de 19 de dezembro de 2023.</w:t>
      </w:r>
    </w:p>
    <w:p>
      <w:pPr>
        <w:pStyle w:val="916"/>
      </w:pPr>
      <w:r>
        <w:rPr>
          <w:b/>
          <w:bCs/>
        </w:rPr>
        <w:t xml:space="preserve">Análise Codificação</w:t>
      </w:r>
      <w:r>
        <w:t xml:space="preserve">: A recomendação possui duas partes distintas. A primeira parte (</w:t>
      </w:r>
      <w:r>
        <w:t xml:space="preserve">‘Cumprir o que estabelece os artigos 14 e 27, da Portaria SAES/MS 470/2021, sobre a necessidade de APAC concomitante para o procedimento 03.04.08.003-9’</w:t>
      </w:r>
      <w:r>
        <w:t xml:space="preserve">) é uma ação genérica que apenas reforça o cumprimento de normativos já existentes, sem propor medidas específicas para abordar a causa subjacente da não conformidade. A segunda parte (</w:t>
      </w:r>
      <w:r>
        <w:t xml:space="preserve">‘Organizar o prontuário como documento único, garantindo a continuidade do cuidado prestado ao paciente, conforme artigo 2º; § 1º da Lei nº 14.758, de 19 de dezembro de 2023’</w:t>
      </w:r>
      <w:r>
        <w:t xml:space="preserve">) sugere uma ação concreta (organização do prontuário) que pode inferir uma causa relacionada à desorganização documental, mas ainda se baseia em cumprir uma lei existente e não propõe claramente ações para prevenir a recorrência da condição. Quanto aos efeitos duradouros, a organização do prontuário como documento único pode ter algum impacto duradouro, mas a ênfase no cumprimento de normativos limita a capacidade de induzir mudanças estruturais profundas. A recomendação como um todo é predominantemente reativa, focada em corrigir a condição imediata de falta de comprovação, sem abordar sistematicamente as causas para evitar repetição.</w:t>
      </w:r>
    </w:p>
    <w:p>
      <w:pPr>
        <w:pStyle w:val="918"/>
        <w:numPr>
          <w:ilvl w:val="0"/>
          <w:numId w:val="1033"/>
        </w:numPr>
      </w:pPr>
      <w:r>
        <w:t xml:space="preserve">Causa Identificada: parcialmente</w:t>
      </w:r>
    </w:p>
    <w:p>
      <w:pPr>
        <w:pStyle w:val="918"/>
        <w:numPr>
          <w:ilvl w:val="0"/>
          <w:numId w:val="1033"/>
        </w:numPr>
      </w:pPr>
      <w:r>
        <w:t xml:space="preserve">Ação Proposta: sim</w:t>
      </w:r>
    </w:p>
    <w:p>
      <w:pPr>
        <w:pStyle w:val="918"/>
        <w:numPr>
          <w:ilvl w:val="0"/>
          <w:numId w:val="1033"/>
        </w:numPr>
      </w:pPr>
      <w:r>
        <w:t xml:space="preserve">Efeitos Duradouros: parcialmente</w:t>
      </w:r>
    </w:p>
    <w:p>
      <w:pPr>
        <w:pStyle w:val="918"/>
        <w:numPr>
          <w:ilvl w:val="0"/>
          <w:numId w:val="1033"/>
        </w:numPr>
      </w:pPr>
      <w:r>
        <w:t xml:space="preserve">Ação Genérica: sim</w:t>
      </w:r>
    </w:p>
    <w:bookmarkEnd w:id="220"/>
    <w:bookmarkStart w:id="221" w:name="auditoria-19475-constatação-nº-666197"/>
    <w:p>
      <w:pPr>
        <w:pStyle w:val="907"/>
      </w:pPr>
      <w:r>
        <w:t xml:space="preserve">10.0.3.27 Auditoria 19475, Constatação Nº 666197</w:t>
      </w:r>
    </w:p>
    <w:p>
      <w:pPr>
        <w:pStyle w:val="917"/>
      </w:pPr>
      <w:r>
        <w:rPr>
          <w:b/>
          <w:bCs/>
        </w:rPr>
        <w:t xml:space="preserve">Finalidade</w:t>
      </w:r>
      <w:r>
        <w:t xml:space="preserve">: Verificar a regularidade da gestão e funcionamento do Serviço de Atendimento Móvel de Urgência 192.</w:t>
      </w:r>
    </w:p>
    <w:p>
      <w:pPr>
        <w:pStyle w:val="916"/>
      </w:pPr>
      <w:r>
        <w:rPr>
          <w:b/>
          <w:bCs/>
        </w:rPr>
        <w:t xml:space="preserve">Constatação</w:t>
      </w:r>
      <w:r>
        <w:t xml:space="preserve">: Os procedimentos licitatórios analisados, de aquisições e contratações visando a execução SAMU 192 de Boa Vista, não ocorreram de acordo com as exigências mínimas previstas na legislação pertinente.</w:t>
      </w:r>
    </w:p>
    <w:p>
      <w:pPr>
        <w:pStyle w:val="916"/>
      </w:pPr>
      <w:r>
        <w:rPr>
          <w:b/>
          <w:bCs/>
        </w:rPr>
        <w:t xml:space="preserve">Recomendação</w:t>
      </w:r>
      <w:r>
        <w:t xml:space="preserve">: Recomenda-se a SMSA de Boa Vista que: -Em atenção ao § 1º, Art. 18 da Lei 14.333/2021 de 01/04/2021, o gestor deve, nas contratações com utilização de recurso federal, durante a vigência exclusiva da nova legislação, realizar o estudo técnico preliminar de modo a permitir, dentre outros, a avaliação da viabilidade técnica e econômica da contratação, contemplando os requisitos mínimos necessários. - Recomenda-se ainda que nos processos de aquisições e contratações de serviços, a SMSA utilize modelo de lista de verificação, como checklist, conforme modelos disponíveis no sitio eletrônico da Advocacia Geral da União (AGU), ou modelos próprios que contemplem todo arcabouço legal relacionado a cada modalidade de compra e/ou contratação.</w:t>
      </w:r>
    </w:p>
    <w:p>
      <w:pPr>
        <w:pStyle w:val="916"/>
      </w:pPr>
      <w:r>
        <w:rPr>
          <w:b/>
          <w:bCs/>
        </w:rPr>
        <w:t xml:space="preserve">Análise Codificação</w:t>
      </w:r>
      <w:r>
        <w:t xml:space="preserve">: A recomendação aborda duas ações principais: a realização do estudo técnico preliminar conforme a Lei 14.333/2021 e a utilização de checklist nos processos de aquisições. Em relação ao critério</w:t>
      </w:r>
      <w:r>
        <w:t xml:space="preserve"> </w:t>
      </w:r>
      <w:r>
        <w:t xml:space="preserve">‘Causa Identificada’</w:t>
      </w:r>
      <w:r>
        <w:t xml:space="preserve">, a recomendação não explicita claramente a causa das irregularidades nos procedimentos licitatórios, mas a ação proposta de usar checklist sugere uma causa subjacente relacionada à falta de sistematicidade ou controle nos processos. Para o critério</w:t>
      </w:r>
      <w:r>
        <w:t xml:space="preserve"> </w:t>
      </w:r>
      <w:r>
        <w:t xml:space="preserve">‘Ação Proposta’</w:t>
      </w:r>
      <w:r>
        <w:t xml:space="preserve">, a recomendação sugere ações específicas (realizar estudo técnico e usar checklist) que visam prevenir a recorrência das irregularidades, indo além da mera correção pontual. Quanto aos</w:t>
      </w:r>
      <w:r>
        <w:t xml:space="preserve"> </w:t>
      </w:r>
      <w:r>
        <w:t xml:space="preserve">‘Efeitos Duradouros’</w:t>
      </w:r>
      <w:r>
        <w:t xml:space="preserve">, a implementação de um checklist e a exigência de estudos técnicos podem institucionalizar práticas que persistem independentemente de mudanças nos atores, promovendo melhorias duradouras. No critério</w:t>
      </w:r>
      <w:r>
        <w:t xml:space="preserve"> </w:t>
      </w:r>
      <w:r>
        <w:t xml:space="preserve">‘Ação Genérica’</w:t>
      </w:r>
      <w:r>
        <w:t xml:space="preserve">, a primeira parte da recomendação refere-se ao cumprimento de um normativo legal existente (Lei 14.333/2021), enquanto a segunda parte (uso de checklist) propõe uma ação concreta adicional para assegurar a conformidade, indicando que a recomendação não se restringe apenas a sugerir o cumprimento de normas preexistentes de forma genérica.</w:t>
      </w:r>
    </w:p>
    <w:p>
      <w:pPr>
        <w:pStyle w:val="918"/>
        <w:numPr>
          <w:ilvl w:val="0"/>
          <w:numId w:val="1034"/>
        </w:numPr>
      </w:pPr>
      <w:r>
        <w:t xml:space="preserve">Causa Identificada: parcialmente</w:t>
      </w:r>
    </w:p>
    <w:p>
      <w:pPr>
        <w:pStyle w:val="918"/>
        <w:numPr>
          <w:ilvl w:val="0"/>
          <w:numId w:val="1034"/>
        </w:numPr>
      </w:pPr>
      <w:r>
        <w:t xml:space="preserve">Ação Proposta: sim</w:t>
      </w:r>
    </w:p>
    <w:p>
      <w:pPr>
        <w:pStyle w:val="918"/>
        <w:numPr>
          <w:ilvl w:val="0"/>
          <w:numId w:val="1034"/>
        </w:numPr>
      </w:pPr>
      <w:r>
        <w:t xml:space="preserve">Efeitos Duradouros: sim</w:t>
      </w:r>
    </w:p>
    <w:p>
      <w:pPr>
        <w:pStyle w:val="918"/>
        <w:numPr>
          <w:ilvl w:val="0"/>
          <w:numId w:val="1034"/>
        </w:numPr>
      </w:pPr>
      <w:r>
        <w:t xml:space="preserve">Ação Genérica: não</w:t>
      </w:r>
    </w:p>
    <w:bookmarkEnd w:id="221"/>
    <w:bookmarkStart w:id="222" w:name="auditoria-19586-constatação-nº-672321"/>
    <w:p>
      <w:pPr>
        <w:pStyle w:val="907"/>
      </w:pPr>
      <w:r>
        <w:t xml:space="preserve">10.0.3.28 Auditoria 19586, Constatação Nº 672321</w:t>
      </w:r>
    </w:p>
    <w:p>
      <w:pPr>
        <w:pStyle w:val="917"/>
      </w:pPr>
      <w:r>
        <w:rPr>
          <w:b/>
          <w:bCs/>
        </w:rPr>
        <w:t xml:space="preserve">Finalidade</w:t>
      </w:r>
      <w:r>
        <w:t xml:space="preserve">: Avaliar a atuação do município através dos indicadores de desempenho do Programa Previne.</w:t>
      </w:r>
    </w:p>
    <w:p>
      <w:pPr>
        <w:pStyle w:val="916"/>
      </w:pPr>
      <w:r>
        <w:rPr>
          <w:b/>
          <w:bCs/>
        </w:rPr>
        <w:t xml:space="preserve">Constatação</w:t>
      </w:r>
      <w:r>
        <w:t xml:space="preserve">: O Conselho Municipal de Saúde não exerceu o controle social em relação aos resultados obtidos nos indicadores de desempenho do exercício de 2022.</w:t>
      </w:r>
    </w:p>
    <w:p>
      <w:pPr>
        <w:pStyle w:val="916"/>
      </w:pPr>
      <w:r>
        <w:rPr>
          <w:b/>
          <w:bCs/>
        </w:rPr>
        <w:t xml:space="preserve">Recomendação</w:t>
      </w:r>
      <w:r>
        <w:t xml:space="preserve">: 1. Registrar os debates ocorridos nas reuniões do Conselho Municipal de Saúde por meio de atas, bem como divulgar suas deliberações à sociedade, em cumprimento ao disposto no inciso XII do artigo 29 da Constituição Federal de 1988 e nos incisos I, IV, V, VII, XVIII, XXIV da Quinta Diretriz da Resolução nº 453 do Conselho Nacional de Saúde, de 10/5/2012; 2. Encaminhar ao Conselho Municipal de Saúde o resultado do alcance das metas dos indicadores de desempenho do Programa Previne Brasil e das ações voltadas à melhoria do acesso da população à Atenção Básica, conforme preconizado na Resolução Conselho Nacional de Saúde nº 453, de 10/5/2012.</w:t>
      </w:r>
    </w:p>
    <w:p>
      <w:pPr>
        <w:pStyle w:val="916"/>
      </w:pPr>
      <w:r>
        <w:rPr>
          <w:b/>
          <w:bCs/>
        </w:rPr>
        <w:t xml:space="preserve">Análise Codificação</w:t>
      </w:r>
      <w:r>
        <w:t xml:space="preserve">: A recomendação aborda a constatação de que o Conselho Municipal de Saúde não exerceu controle social sobre os indicadores do Programa Previne, propondo ações específicas como registrar debates em atas e divulgar deliberações, além de encaminhar resultados de metas ao Conselho. Em relação ao critério</w:t>
      </w:r>
      <w:r>
        <w:t xml:space="preserve"> </w:t>
      </w:r>
      <w:r>
        <w:t xml:space="preserve">‘Causa Identificada’</w:t>
      </w:r>
      <w:r>
        <w:t xml:space="preserve">, a recomendação não explicita claramente a causa raiz da falta de controle social, mas as ações propostas sugerem que a causa pode estar relacionada à falta de registro e divulgação adequada, bem como ao não encaminhamento de informações. Para</w:t>
      </w:r>
      <w:r>
        <w:t xml:space="preserve"> </w:t>
      </w:r>
      <w:r>
        <w:t xml:space="preserve">‘Ação Proposta’</w:t>
      </w:r>
      <w:r>
        <w:t xml:space="preserve">, a recomendação sugere ações concretas, como registrar atas e encaminhar resultados, que visam mitigar a condição atual. Quanto aos</w:t>
      </w:r>
      <w:r>
        <w:t xml:space="preserve"> </w:t>
      </w:r>
      <w:r>
        <w:t xml:space="preserve">‘Efeitos Duradouros’</w:t>
      </w:r>
      <w:r>
        <w:t xml:space="preserve">, as ações de registro e divulgação institucionalizam práticas que podem persistir independentemente de mudanças nos atores, promovendo transparência contínua. Sobre</w:t>
      </w:r>
      <w:r>
        <w:t xml:space="preserve"> </w:t>
      </w:r>
      <w:r>
        <w:t xml:space="preserve">‘Ação Genérica’</w:t>
      </w:r>
      <w:r>
        <w:t xml:space="preserve">, a recomendação cita normativos legais existentes, mas vai além ao especificar ações como registrar atas e encaminhar resultados, não se limitando apenas a sugerir o cumprimento genérico da lei.</w:t>
      </w:r>
    </w:p>
    <w:p>
      <w:pPr>
        <w:pStyle w:val="918"/>
        <w:numPr>
          <w:ilvl w:val="0"/>
          <w:numId w:val="1035"/>
        </w:numPr>
      </w:pPr>
      <w:r>
        <w:t xml:space="preserve">Causa Identificada: parcialmente</w:t>
      </w:r>
    </w:p>
    <w:p>
      <w:pPr>
        <w:pStyle w:val="918"/>
        <w:numPr>
          <w:ilvl w:val="0"/>
          <w:numId w:val="1035"/>
        </w:numPr>
      </w:pPr>
      <w:r>
        <w:t xml:space="preserve">Ação Proposta: sim</w:t>
      </w:r>
    </w:p>
    <w:p>
      <w:pPr>
        <w:pStyle w:val="918"/>
        <w:numPr>
          <w:ilvl w:val="0"/>
          <w:numId w:val="1035"/>
        </w:numPr>
      </w:pPr>
      <w:r>
        <w:t xml:space="preserve">Efeitos Duradouros: sim</w:t>
      </w:r>
    </w:p>
    <w:p>
      <w:pPr>
        <w:pStyle w:val="918"/>
        <w:numPr>
          <w:ilvl w:val="0"/>
          <w:numId w:val="1035"/>
        </w:numPr>
      </w:pPr>
      <w:r>
        <w:t xml:space="preserve">Ação Genérica: não</w:t>
      </w:r>
    </w:p>
    <w:bookmarkEnd w:id="222"/>
    <w:bookmarkStart w:id="223" w:name="auditoria-19614-constatação-nº-676605"/>
    <w:p>
      <w:pPr>
        <w:pStyle w:val="907"/>
      </w:pPr>
      <w:r>
        <w:t xml:space="preserve">10.0.3.29 Auditoria 19614, Constatação Nº 676605</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 acompanhamento mensal do Eixo de Atenção à Saúde Indígena.</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determina que as unidades de acompanhamento elaborem relatórios mensais baseados em informações fidedignas e adotem medidas preventivas ou corretivas em caso de descumprimento do convênio ou Plano de Ação, conforme portaria específica. Em relação à</w:t>
      </w:r>
      <w:r>
        <w:t xml:space="preserve"> </w:t>
      </w:r>
      <w:r>
        <w:t xml:space="preserve">‘Causa Identificada’</w:t>
      </w:r>
      <w:r>
        <w:t xml:space="preserve">, a recomendação não explicita a causa raiz das impropriedades no acompanhamento, mas a ação proposta sugere que a causa pode estar relacionada à falta de relatórios sistemáticos ou medidas corretivas, permitindo inferir parcialmente a causa. Quanto à</w:t>
      </w:r>
      <w:r>
        <w:t xml:space="preserve"> </w:t>
      </w:r>
      <w:r>
        <w:t xml:space="preserve">‘Ação Proposta’</w:t>
      </w:r>
      <w:r>
        <w:t xml:space="preserve">, a recomendação sugere ações concretas (elaborar relatórios e adotar medidas), mesmo que referenciando uma norma existente. Sobre</w:t>
      </w:r>
      <w:r>
        <w:t xml:space="preserve"> </w:t>
      </w:r>
      <w:r>
        <w:t xml:space="preserve">‘Efeitos Duradouros’</w:t>
      </w:r>
      <w:r>
        <w:t xml:space="preserve">, a ação de elaborar relatórios mensais e adotar medidas corretivas cria um processo contínuo que pode persistir independentemente de mudanças nos atores, indicando efeitos duradouros. No critério</w:t>
      </w:r>
      <w:r>
        <w:t xml:space="preserve"> </w:t>
      </w:r>
      <w:r>
        <w:t xml:space="preserve">‘Ação Genérica’</w:t>
      </w:r>
      <w:r>
        <w:t xml:space="preserve">, a recomendação vai além de apenas sugerir o cumprimento da portaria, pois especifica ações como elaboração de relatórios e adoção de medidas, embora ainda esteja ancorada na norma.</w:t>
      </w:r>
    </w:p>
    <w:p>
      <w:pPr>
        <w:pStyle w:val="918"/>
        <w:numPr>
          <w:ilvl w:val="0"/>
          <w:numId w:val="1036"/>
        </w:numPr>
      </w:pPr>
      <w:r>
        <w:t xml:space="preserve">Causa Identificada: parcialmente</w:t>
      </w:r>
    </w:p>
    <w:p>
      <w:pPr>
        <w:pStyle w:val="918"/>
        <w:numPr>
          <w:ilvl w:val="0"/>
          <w:numId w:val="1036"/>
        </w:numPr>
      </w:pPr>
      <w:r>
        <w:t xml:space="preserve">Ação Proposta: sim</w:t>
      </w:r>
    </w:p>
    <w:p>
      <w:pPr>
        <w:pStyle w:val="918"/>
        <w:numPr>
          <w:ilvl w:val="0"/>
          <w:numId w:val="1036"/>
        </w:numPr>
      </w:pPr>
      <w:r>
        <w:t xml:space="preserve">Efeitos Duradouros: sim</w:t>
      </w:r>
    </w:p>
    <w:p>
      <w:pPr>
        <w:pStyle w:val="918"/>
        <w:numPr>
          <w:ilvl w:val="0"/>
          <w:numId w:val="1036"/>
        </w:numPr>
      </w:pPr>
      <w:r>
        <w:t xml:space="preserve">Ação Genérica: não</w:t>
      </w:r>
    </w:p>
    <w:bookmarkEnd w:id="223"/>
    <w:bookmarkStart w:id="224" w:name="auditoria-19850-constatação-nº-701771"/>
    <w:p>
      <w:pPr>
        <w:pStyle w:val="907"/>
      </w:pPr>
      <w:r>
        <w:t xml:space="preserve">10.0.3.30 Auditoria 19850, Constatação Nº 701771</w:t>
      </w:r>
    </w:p>
    <w:p>
      <w:pPr>
        <w:pStyle w:val="917"/>
      </w:pPr>
      <w:r>
        <w:rPr>
          <w:b/>
          <w:bCs/>
        </w:rPr>
        <w:t xml:space="preserve">Finalidade</w:t>
      </w:r>
      <w:r>
        <w:t xml:space="preserve">: verificar a regularidade no uso do Sistema de Regulação (Sisreg) no município de Queimados</w:t>
      </w:r>
    </w:p>
    <w:p>
      <w:pPr>
        <w:pStyle w:val="916"/>
      </w:pPr>
      <w:r>
        <w:rPr>
          <w:b/>
          <w:bCs/>
        </w:rPr>
        <w:t xml:space="preserve">Constatação</w:t>
      </w:r>
      <w:r>
        <w:t xml:space="preserve">: A Central de Regulação de Queimados/RJ não possui protocolos e critérios bem definidos para elaboração, organização, inserção e priorização de pacientes em fila de espera para consultas, exames e procedimentos ambulatoriais.</w:t>
      </w:r>
    </w:p>
    <w:p>
      <w:pPr>
        <w:pStyle w:val="916"/>
      </w:pPr>
      <w:r>
        <w:rPr>
          <w:b/>
          <w:bCs/>
        </w:rPr>
        <w:t xml:space="preserve">Recomendação</w:t>
      </w:r>
      <w:r>
        <w:t xml:space="preserve">: Elaborar e adotar protocolos e critérios objetivos para organização, inserção e priorização de pacientes em fila de espera para consultas e procedimentos ambulatoriais considerando a prioridade do paciente, tais como: urgência e emergência, complexidade do caso, condições clínicas, tipo de atendimento necessário e/ou disponibilidade de vagas de forma a atender ao disposto no Art.2 item III, do Anexo XXVI, da Política Nacional de Regulação do Sistema Único de Saúde e no Art. 5º, do Capítulo I do Anexo XXVI da Portaria de Consolidação nº. 2 de 28 de setembro de 2017.</w:t>
      </w:r>
    </w:p>
    <w:p>
      <w:pPr>
        <w:pStyle w:val="916"/>
      </w:pPr>
      <w:r>
        <w:rPr>
          <w:b/>
          <w:bCs/>
        </w:rPr>
        <w:t xml:space="preserve">Análise Codificação</w:t>
      </w:r>
      <w:r>
        <w:t xml:space="preserve">: A recomendação propõe a elaboração e adoção de protocolos e critérios objetivos para organização, inserção e priorização de pacientes em fila de espera, considerando fatores como urgência, complexidade e condições clínicas. Em relação ao critério</w:t>
      </w:r>
      <w:r>
        <w:t xml:space="preserve"> </w:t>
      </w:r>
      <w:r>
        <w:t xml:space="preserve">‘Causa Identificada’</w:t>
      </w:r>
      <w:r>
        <w:t xml:space="preserve">, a recomendação aborda indiretamente a causa (ausência de protocolos definidos), mas não a explicita claramente. Quanto à</w:t>
      </w:r>
      <w:r>
        <w:t xml:space="preserve"> </w:t>
      </w:r>
      <w:r>
        <w:t xml:space="preserve">‘Ação Proposta’</w:t>
      </w:r>
      <w:r>
        <w:t xml:space="preserve">, a recomendação sugere uma ação concreta (elaborar e adotar protocolos) que visa mitigar o risco de novas ocorrências da condição. Sobre</w:t>
      </w:r>
      <w:r>
        <w:t xml:space="preserve"> </w:t>
      </w:r>
      <w:r>
        <w:t xml:space="preserve">‘Efeitos Duradouros’</w:t>
      </w:r>
      <w:r>
        <w:t xml:space="preserve">, a ação proposta (implementação de protocolos) tende a produzir efeitos que permanecem mesmo com mudanças de atores, pois institucionaliza processos. No critério</w:t>
      </w:r>
      <w:r>
        <w:t xml:space="preserve"> </w:t>
      </w:r>
      <w:r>
        <w:t xml:space="preserve">‘Ação Genérica’</w:t>
      </w:r>
      <w:r>
        <w:t xml:space="preserve">, a recomendação vai além de sugerir o cumprimento de normativos existentes, propondo a criação de protocolos específicos para tratar a causa do não cumprimento.</w:t>
      </w:r>
    </w:p>
    <w:p>
      <w:pPr>
        <w:pStyle w:val="918"/>
        <w:numPr>
          <w:ilvl w:val="0"/>
          <w:numId w:val="1037"/>
        </w:numPr>
      </w:pPr>
      <w:r>
        <w:t xml:space="preserve">Causa Identificada: parcialmente</w:t>
      </w:r>
    </w:p>
    <w:p>
      <w:pPr>
        <w:pStyle w:val="918"/>
        <w:numPr>
          <w:ilvl w:val="0"/>
          <w:numId w:val="1037"/>
        </w:numPr>
      </w:pPr>
      <w:r>
        <w:t xml:space="preserve">Ação Proposta: sim</w:t>
      </w:r>
    </w:p>
    <w:p>
      <w:pPr>
        <w:pStyle w:val="918"/>
        <w:numPr>
          <w:ilvl w:val="0"/>
          <w:numId w:val="1037"/>
        </w:numPr>
      </w:pPr>
      <w:r>
        <w:t xml:space="preserve">Efeitos Duradouros: sim</w:t>
      </w:r>
    </w:p>
    <w:p>
      <w:pPr>
        <w:pStyle w:val="918"/>
        <w:numPr>
          <w:ilvl w:val="0"/>
          <w:numId w:val="1037"/>
        </w:numPr>
      </w:pPr>
      <w:r>
        <w:t xml:space="preserve">Ação Genérica: não</w:t>
      </w:r>
    </w:p>
    <w:bookmarkEnd w:id="224"/>
    <w:bookmarkStart w:id="225" w:name="auditoria-19891-constatação-nº-703364"/>
    <w:p>
      <w:pPr>
        <w:pStyle w:val="907"/>
      </w:pPr>
      <w:r>
        <w:t xml:space="preserve">10.0.3.31 Auditoria 19891, Constatação Nº 703364</w:t>
      </w:r>
    </w:p>
    <w:p>
      <w:pPr>
        <w:pStyle w:val="917"/>
      </w:pPr>
      <w:r>
        <w:rPr>
          <w:b/>
          <w:bCs/>
        </w:rPr>
        <w:t xml:space="preserve">Finalidade</w:t>
      </w:r>
      <w:r>
        <w:t xml:space="preserve">: Realizar auditoria de oncologia, dados de produção SIA e SIH, Hospital de Clínicas de Uberlândia/MG</w:t>
      </w:r>
    </w:p>
    <w:p>
      <w:pPr>
        <w:pStyle w:val="916"/>
      </w:pPr>
      <w:r>
        <w:rPr>
          <w:b/>
          <w:bCs/>
        </w:rPr>
        <w:t xml:space="preserve">Constatação</w:t>
      </w:r>
      <w:r>
        <w:t xml:space="preserve">: Inconsistências na realização de cirurgias oncológicas, em até 30 dias, nos pacientes submetidos à quimioterapia prévia (neoadjuvante/citorredutora).</w:t>
      </w:r>
    </w:p>
    <w:p>
      <w:pPr>
        <w:pStyle w:val="916"/>
      </w:pPr>
      <w:r>
        <w:rPr>
          <w:b/>
          <w:bCs/>
        </w:rPr>
        <w:t xml:space="preserve">Recomendação</w:t>
      </w:r>
      <w:r>
        <w:t xml:space="preserve">: Revisar e atualizar a equipe responsável pela documentação clínica e pelo registro de procedimentos, sobre a sistemática dos lançamentos no sistema SIGTAP, alinhando-se às diretrizes estabelecidas na alimentação dos Bancos de Dados Nacionais dos Sistemas de Informação em Saúde SIA, SIH e SCNES. Essa ação visa garantir maior precisão e consistência nos registros, facilitando a gestão e o monitoramento das ações de saúde. - Estabelecer protocolos claros para o registro de intervenções cirúrgicas e terapêuticas, incluindo a atualização imediata das informações após cada procedimento, para evitar possíveis imprecisões e erros de classificação. Essa prática objetiva possibilitar maior controle e avaliação da produção ambulatorial pelo gestor municipal processada. Essas recomendações atendem aos Incisos I e II, do Art. 295, Seção II da Portaria de Consolidação GM/MS nº 01, de 28/9/2017. Além de garantir a correta codificação e a precisão nos registros de cada procedimento realizado, contribui para a conformidade regulatória e otimização da gestão dos recursos de saúde.</w:t>
      </w:r>
    </w:p>
    <w:p>
      <w:pPr>
        <w:pStyle w:val="916"/>
      </w:pPr>
      <w:r>
        <w:rPr>
          <w:b/>
          <w:bCs/>
        </w:rPr>
        <w:t xml:space="preserve">Análise Codificação</w:t>
      </w:r>
      <w:r>
        <w:t xml:space="preserve">: A recomendação aborda a inconsistência nos registros de cirurgias oncológicas, propondo ações como revisão da equipe de documentação e estabelecimento de protocolos claros para registro. Quanto ao critério</w:t>
      </w:r>
      <w:r>
        <w:t xml:space="preserve"> </w:t>
      </w:r>
      <w:r>
        <w:t xml:space="preserve">‘Causa Identificada’</w:t>
      </w:r>
      <w:r>
        <w:t xml:space="preserve">, a recomendação não explicita diretamente a causa raiz (ex.: falta de treinamento ou supervisão), mas a ação proposta de revisão e atualização da equipe sugere que a causa pode ser deficiência na capacitação ou processos. Para</w:t>
      </w:r>
      <w:r>
        <w:t xml:space="preserve"> </w:t>
      </w:r>
      <w:r>
        <w:t xml:space="preserve">‘Ação Proposta’</w:t>
      </w:r>
      <w:r>
        <w:t xml:space="preserve">, a recomendação sugere medidas como revisão da equipe e estabelecimento de protocolos, que visam mitigar riscos futuros, embora parte se restrinja ao cumprimento de normativos. Em</w:t>
      </w:r>
      <w:r>
        <w:t xml:space="preserve"> </w:t>
      </w:r>
      <w:r>
        <w:t xml:space="preserve">‘Efeitos Duradouros’</w:t>
      </w:r>
      <w:r>
        <w:t xml:space="preserve">, as ações propostas (protocolos e treinamento) podem perdurar com mudanças de atores, pois institucionalizam processos. Quanto à</w:t>
      </w:r>
      <w:r>
        <w:t xml:space="preserve"> </w:t>
      </w:r>
      <w:r>
        <w:t xml:space="preserve">‘Ação Genérica’</w:t>
      </w:r>
      <w:r>
        <w:t xml:space="preserve">, a recomendação inclui sugestões específicas (ex.: protocolos claros) além de apenas cumprir normativos, mas também referencia conformidade com portarias existentes.</w:t>
      </w:r>
    </w:p>
    <w:p>
      <w:pPr>
        <w:pStyle w:val="918"/>
        <w:numPr>
          <w:ilvl w:val="0"/>
          <w:numId w:val="1038"/>
        </w:numPr>
      </w:pPr>
      <w:r>
        <w:t xml:space="preserve">Causa Identificada: parcialmente</w:t>
      </w:r>
    </w:p>
    <w:p>
      <w:pPr>
        <w:pStyle w:val="918"/>
        <w:numPr>
          <w:ilvl w:val="0"/>
          <w:numId w:val="1038"/>
        </w:numPr>
      </w:pPr>
      <w:r>
        <w:t xml:space="preserve">Ação Proposta: sim</w:t>
      </w:r>
    </w:p>
    <w:p>
      <w:pPr>
        <w:pStyle w:val="918"/>
        <w:numPr>
          <w:ilvl w:val="0"/>
          <w:numId w:val="1038"/>
        </w:numPr>
      </w:pPr>
      <w:r>
        <w:t xml:space="preserve">Efeitos Duradouros: sim</w:t>
      </w:r>
    </w:p>
    <w:p>
      <w:pPr>
        <w:pStyle w:val="918"/>
        <w:numPr>
          <w:ilvl w:val="0"/>
          <w:numId w:val="1038"/>
        </w:numPr>
      </w:pPr>
      <w:r>
        <w:t xml:space="preserve">Ação Genérica: não</w:t>
      </w:r>
    </w:p>
    <w:bookmarkEnd w:id="225"/>
    <w:bookmarkStart w:id="226" w:name="auditoria-19511-constatação-nº-677194"/>
    <w:p>
      <w:pPr>
        <w:pStyle w:val="907"/>
      </w:pPr>
      <w:r>
        <w:t xml:space="preserve">10.0.3.32 Auditoria 19511, Constatação Nº 677194</w:t>
      </w:r>
    </w:p>
    <w:p>
      <w:pPr>
        <w:pStyle w:val="917"/>
      </w:pPr>
      <w:r>
        <w:rPr>
          <w:b/>
          <w:bCs/>
        </w:rPr>
        <w:t xml:space="preserve">Finalidade</w:t>
      </w:r>
      <w:r>
        <w:t xml:space="preserve">: Verificar regularidade de recebimento, armazenamento, saída, dispensação e utilização das OPME</w:t>
      </w:r>
    </w:p>
    <w:p>
      <w:pPr>
        <w:pStyle w:val="916"/>
      </w:pPr>
      <w:r>
        <w:rPr>
          <w:b/>
          <w:bCs/>
        </w:rPr>
        <w:t xml:space="preserve">Constatação</w:t>
      </w:r>
      <w:r>
        <w:t xml:space="preserve">: O recebimento de compras de OPME adquiridas pelo Hospital Federal da Lagoa — HFL superior a R$ 80.000,00 está em desacordo com a portaria e a legislação vigente.</w:t>
      </w:r>
    </w:p>
    <w:p>
      <w:pPr>
        <w:pStyle w:val="916"/>
      </w:pPr>
      <w:r>
        <w:rPr>
          <w:b/>
          <w:bCs/>
        </w:rPr>
        <w:t xml:space="preserve">Recomendação</w:t>
      </w:r>
      <w:r>
        <w:t xml:space="preserve">: Adotar medidas que assegurem o cumprimento dos normativos internos no que se refere ao recebimento e atestos das OPME, bem como promover a atualização desses instrumentos normativos de acordo com o preconizado no inciso II, art. 140 da Lei nº 14.133, de 1º/04/2021.</w:t>
      </w:r>
    </w:p>
    <w:p>
      <w:pPr>
        <w:pStyle w:val="916"/>
      </w:pPr>
      <w:r>
        <w:rPr>
          <w:b/>
          <w:bCs/>
        </w:rPr>
        <w:t xml:space="preserve">Análise Codificação</w:t>
      </w:r>
      <w:r>
        <w:t xml:space="preserve">: A recomendação sugere duas ações principais: (1) adotar medidas para assegurar o cumprimento dos normativos internos sobre recebimento e atestos de OPME, e (2) promover a atualização desses instrumentos normativos conforme a Lei nº 14.133/2021. Em relação ao critério</w:t>
      </w:r>
      <w:r>
        <w:t xml:space="preserve"> </w:t>
      </w:r>
      <w:r>
        <w:t xml:space="preserve">‘Causa Identificada’</w:t>
      </w:r>
      <w:r>
        <w:t xml:space="preserve">, a recomendação não explicita claramente a causa do desacordo (ex.: falta de capacitação, falhas processuais), mas a ação de atualizar normativos sugere que a causa pode ser a inadequação ou desatualização das normas internas. Para</w:t>
      </w:r>
      <w:r>
        <w:t xml:space="preserve"> </w:t>
      </w:r>
      <w:r>
        <w:t xml:space="preserve">‘Ação Proposta’</w:t>
      </w:r>
      <w:r>
        <w:t xml:space="preserve">, a recomendação apresenta ações genéricas (</w:t>
      </w:r>
      <w:r>
        <w:t xml:space="preserve">‘adotar medidas’</w:t>
      </w:r>
      <w:r>
        <w:t xml:space="preserve">,</w:t>
      </w:r>
      <w:r>
        <w:t xml:space="preserve"> </w:t>
      </w:r>
      <w:r>
        <w:t xml:space="preserve">‘promover a atualização’</w:t>
      </w:r>
      <w:r>
        <w:t xml:space="preserve">) que visam prevenir a reincidência, mas sem especificar ações concretas. Quanto aos</w:t>
      </w:r>
      <w:r>
        <w:t xml:space="preserve"> </w:t>
      </w:r>
      <w:r>
        <w:t xml:space="preserve">‘Efeitos Duradouros’</w:t>
      </w:r>
      <w:r>
        <w:t xml:space="preserve">, a atualização normativa pode ter efeitos prolongados, independente de mudanças de atores, pois altera a base regulatória. No critério</w:t>
      </w:r>
      <w:r>
        <w:t xml:space="preserve"> </w:t>
      </w:r>
      <w:r>
        <w:t xml:space="preserve">‘Ação Genérica’</w:t>
      </w:r>
      <w:r>
        <w:t xml:space="preserve">, a recomendação se baseia em sugerir o cumprimento e atualização de normativos legais existentes, sem propor ações específicas para tratar a causa raiz do não cumprimento.</w:t>
      </w:r>
    </w:p>
    <w:p>
      <w:pPr>
        <w:pStyle w:val="918"/>
        <w:numPr>
          <w:ilvl w:val="0"/>
          <w:numId w:val="1039"/>
        </w:numPr>
      </w:pPr>
      <w:r>
        <w:t xml:space="preserve">Causa Identificada: parcialmente</w:t>
      </w:r>
    </w:p>
    <w:p>
      <w:pPr>
        <w:pStyle w:val="918"/>
        <w:numPr>
          <w:ilvl w:val="0"/>
          <w:numId w:val="1039"/>
        </w:numPr>
      </w:pPr>
      <w:r>
        <w:t xml:space="preserve">Ação Proposta: sim</w:t>
      </w:r>
    </w:p>
    <w:p>
      <w:pPr>
        <w:pStyle w:val="918"/>
        <w:numPr>
          <w:ilvl w:val="0"/>
          <w:numId w:val="1039"/>
        </w:numPr>
      </w:pPr>
      <w:r>
        <w:t xml:space="preserve">Efeitos Duradouros: sim</w:t>
      </w:r>
    </w:p>
    <w:p>
      <w:pPr>
        <w:pStyle w:val="918"/>
        <w:numPr>
          <w:ilvl w:val="0"/>
          <w:numId w:val="1039"/>
        </w:numPr>
      </w:pPr>
      <w:r>
        <w:t xml:space="preserve">Ação Genérica: sim</w:t>
      </w:r>
    </w:p>
    <w:bookmarkEnd w:id="226"/>
    <w:bookmarkStart w:id="227" w:name="auditoria-19538-constatação-nº-675893"/>
    <w:p>
      <w:pPr>
        <w:pStyle w:val="907"/>
      </w:pPr>
      <w:r>
        <w:t xml:space="preserve">10.0.3.33 Auditoria 19538, Constatação Nº 675893</w:t>
      </w:r>
    </w:p>
    <w:p>
      <w:pPr>
        <w:pStyle w:val="917"/>
      </w:pPr>
      <w:r>
        <w:rPr>
          <w:b/>
          <w:bCs/>
        </w:rPr>
        <w:t xml:space="preserve">Finalidade</w:t>
      </w:r>
      <w:r>
        <w:t xml:space="preserve">: Avaliar a gestão da SMS quanto aos indicadores de desempenho do programa Previne Brasil.</w:t>
      </w:r>
    </w:p>
    <w:p>
      <w:pPr>
        <w:pStyle w:val="916"/>
      </w:pPr>
      <w:r>
        <w:rPr>
          <w:b/>
          <w:bCs/>
        </w:rPr>
        <w:t xml:space="preserve">Constatação</w:t>
      </w:r>
      <w:r>
        <w:t xml:space="preserve">: Os dados referentes ao exame de Sifilis e HIV em gestantes do indicador 2 apresentados no SISAB não são equivalentes aos registrados nos demais sistemas de registro dos procedimentos.</w:t>
      </w:r>
    </w:p>
    <w:p>
      <w:pPr>
        <w:pStyle w:val="916"/>
      </w:pPr>
      <w:r>
        <w:rPr>
          <w:b/>
          <w:bCs/>
        </w:rPr>
        <w:t xml:space="preserve">Recomendação</w:t>
      </w:r>
      <w:r>
        <w:t xml:space="preserve">: 1. Efetivar a informatização das UBS do município, viabilizando o uso do Prontuário Eletrônico nos ambientes de atendimento ao cidadão, garantindo o devido preenchimento das informações de saúde dos usuários da APS e o envio adequado de dados ao Ministério da Saúde, de acordo com o disposto na Nota Técnica nº 21/2019- CGIAP/DESF/SAPS/MS, que define o processo de informatização das unidades de Atenção Primária à Saúde; 2. Registrar no SISAB, por competência, os dados relacionados ao indicador nº 2, referentes à realização de exames para detecção de Sífilis e HIV nas gestantes, regularmente, até o 10º dia útil subsequente a cada competência, de acordo com o preconizado na Nota Técnica nº 14/2022-SAPS/MS.</w:t>
      </w:r>
    </w:p>
    <w:p>
      <w:pPr>
        <w:pStyle w:val="916"/>
      </w:pPr>
      <w:r>
        <w:rPr>
          <w:b/>
          <w:bCs/>
        </w:rPr>
        <w:t xml:space="preserve">Análise Codificação</w:t>
      </w:r>
      <w:r>
        <w:t xml:space="preserve">: A recomendação aborda duas ações distintas. A primeira ação propõe a informatização das UBS e implementação do Prontuário Eletrônico, o que sugere uma tentativa de tratar a causa raiz da discrepância de dados (falta de informatização adequada), com potencial para evitar futuras ocorrências e com efeitos duradouros, mas não identifica explicitamente a causa. A segunda ação é corretiva, focando apenas no registro pontual dos dados no SISAB, sem abordar causas subjacentes. No entanto, a primeira ação, embora genérica ao citar conformidade com nota técnica, propõe uma mudança estrutural. Considerando o conjunto, a recomendação tem elementos de ambas as abordagens, mas a ênfase na informatização indica um foco parcial na causa, embora não totalmente desenvolvido.</w:t>
      </w:r>
    </w:p>
    <w:p>
      <w:pPr>
        <w:pStyle w:val="918"/>
        <w:numPr>
          <w:ilvl w:val="0"/>
          <w:numId w:val="1040"/>
        </w:numPr>
      </w:pPr>
      <w:r>
        <w:t xml:space="preserve">Causa Identificada: parcialmente</w:t>
      </w:r>
    </w:p>
    <w:p>
      <w:pPr>
        <w:pStyle w:val="918"/>
        <w:numPr>
          <w:ilvl w:val="0"/>
          <w:numId w:val="1040"/>
        </w:numPr>
      </w:pPr>
      <w:r>
        <w:t xml:space="preserve">Ação Proposta: sim</w:t>
      </w:r>
    </w:p>
    <w:p>
      <w:pPr>
        <w:pStyle w:val="918"/>
        <w:numPr>
          <w:ilvl w:val="0"/>
          <w:numId w:val="1040"/>
        </w:numPr>
      </w:pPr>
      <w:r>
        <w:t xml:space="preserve">Efeitos Duradouros: sim</w:t>
      </w:r>
    </w:p>
    <w:p>
      <w:pPr>
        <w:pStyle w:val="918"/>
        <w:numPr>
          <w:ilvl w:val="0"/>
          <w:numId w:val="1040"/>
        </w:numPr>
      </w:pPr>
      <w:r>
        <w:t xml:space="preserve">Ação Genérica: sim</w:t>
      </w:r>
    </w:p>
    <w:bookmarkEnd w:id="227"/>
    <w:bookmarkStart w:id="228" w:name="auditoria-19612-constatação-nº-674988"/>
    <w:p>
      <w:pPr>
        <w:pStyle w:val="907"/>
      </w:pPr>
      <w:r>
        <w:t xml:space="preserve">10.0.3.34 Auditoria 19612, Constatação Nº 674988</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aos relatórios mensais de acompanhamento do Eixo Controle Social no Transferegov.</w:t>
      </w:r>
    </w:p>
    <w:p>
      <w:pPr>
        <w:pStyle w:val="916"/>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aborda a elaboração de relatórios mensais com base em informações fidedignas e a adoção de medidas preventivas ou corretivas em caso de descumprimento do convênio, referenciando normas específicas. No critério</w:t>
      </w:r>
      <w:r>
        <w:t xml:space="preserve"> </w:t>
      </w:r>
      <w:r>
        <w:t xml:space="preserve">‘Causa Identificada’</w:t>
      </w:r>
      <w:r>
        <w:t xml:space="preserve">, a recomendação não explicita claramente a causa das impropriedades nos relatórios, mas a ação proposta sugere que a causa pode estar relacionada à falta de base em informações fidedignas ou à ausência de medidas para garantir o cumprimento normativo. No critério</w:t>
      </w:r>
      <w:r>
        <w:t xml:space="preserve"> </w:t>
      </w:r>
      <w:r>
        <w:t xml:space="preserve">‘Ação Proposta’</w:t>
      </w:r>
      <w:r>
        <w:t xml:space="preserve">, a recomendação sugere ações concretas (elaborar relatórios com base fidedigna e adotar medidas preventivas/corretivas), embora parte dela se restrinja ao cumprimento de normativos existentes. No critério</w:t>
      </w:r>
      <w:r>
        <w:t xml:space="preserve"> </w:t>
      </w:r>
      <w:r>
        <w:t xml:space="preserve">‘Efeitos Duradouros’</w:t>
      </w:r>
      <w:r>
        <w:t xml:space="preserve">, as ações propostas, como a elaboração sistemática de relatórios e a adoção de medidas, podem perdurar além de mudanças de atores, indicando potencial para efeitos duradouros. No critério</w:t>
      </w:r>
      <w:r>
        <w:t xml:space="preserve"> </w:t>
      </w:r>
      <w:r>
        <w:t xml:space="preserve">‘Ação Genérica’</w:t>
      </w:r>
      <w:r>
        <w:t xml:space="preserve">, a recomendação inclui elementos genéricos ao sugerir o atendimento a portarias específicas, mas também propõe ações mais direcionadas, como a elaboração de relatórios com base fidedigna.</w:t>
      </w:r>
    </w:p>
    <w:p>
      <w:pPr>
        <w:pStyle w:val="918"/>
        <w:numPr>
          <w:ilvl w:val="0"/>
          <w:numId w:val="1041"/>
        </w:numPr>
      </w:pPr>
      <w:r>
        <w:t xml:space="preserve">Causa Identificada: parcialmente</w:t>
      </w:r>
    </w:p>
    <w:p>
      <w:pPr>
        <w:pStyle w:val="918"/>
        <w:numPr>
          <w:ilvl w:val="0"/>
          <w:numId w:val="1041"/>
        </w:numPr>
      </w:pPr>
      <w:r>
        <w:t xml:space="preserve">Ação Proposta: sim</w:t>
      </w:r>
    </w:p>
    <w:p>
      <w:pPr>
        <w:pStyle w:val="918"/>
        <w:numPr>
          <w:ilvl w:val="0"/>
          <w:numId w:val="1041"/>
        </w:numPr>
      </w:pPr>
      <w:r>
        <w:t xml:space="preserve">Efeitos Duradouros: sim</w:t>
      </w:r>
    </w:p>
    <w:p>
      <w:pPr>
        <w:pStyle w:val="918"/>
        <w:numPr>
          <w:ilvl w:val="0"/>
          <w:numId w:val="1041"/>
        </w:numPr>
      </w:pPr>
      <w:r>
        <w:t xml:space="preserve">Ação Genérica: sim</w:t>
      </w:r>
    </w:p>
    <w:bookmarkEnd w:id="228"/>
    <w:bookmarkStart w:id="229" w:name="auditoria-19820-constatação-nº-694718"/>
    <w:p>
      <w:pPr>
        <w:pStyle w:val="907"/>
      </w:pPr>
      <w:r>
        <w:t xml:space="preserve">10.0.3.35 Auditoria 19820, Constatação Nº 694718</w:t>
      </w:r>
    </w:p>
    <w:p>
      <w:pPr>
        <w:pStyle w:val="917"/>
      </w:pPr>
      <w:r>
        <w:rPr>
          <w:b/>
          <w:bCs/>
        </w:rPr>
        <w:t xml:space="preserve">Finalidade</w:t>
      </w:r>
      <w:r>
        <w:t xml:space="preserve">: Auditoria PNSMAD - 2024</w:t>
      </w:r>
    </w:p>
    <w:p>
      <w:pPr>
        <w:pStyle w:val="916"/>
      </w:pPr>
      <w:r>
        <w:rPr>
          <w:b/>
          <w:bCs/>
        </w:rPr>
        <w:t xml:space="preserve">Constatação</w:t>
      </w:r>
      <w:r>
        <w:t xml:space="preserve">: As Unidades de Saúde na Atenção Primária não realizam acolhimento de casos de urgência e emergência de saúde mental.</w:t>
      </w:r>
    </w:p>
    <w:p>
      <w:pPr>
        <w:pStyle w:val="916"/>
      </w:pPr>
      <w:r>
        <w:rPr>
          <w:b/>
          <w:bCs/>
        </w:rPr>
        <w:t xml:space="preserve">Recomendação</w:t>
      </w:r>
      <w:r>
        <w:t xml:space="preserve">: A Gestão da SMS de Maceió deve estabelecer os fluxos de referência e contra-referência do paciente para atendimentos de urgência e emergência, em relação aos leitos hospitalares e atendimentos nos Centros de Atenção Psicosocial (CAPS). Organizar os serviços de transportes e equipes especializadas, para a condução dos pacientes em crise; e de vagas para consultas especializadas em psiquiatria; realizar o mapeamento das unidades de saúde da Atenção Primária que encontram barreiras para o encaminhamento dos pacientes para a análise dos profissionais psiquiatras; estabelecer os fluxos para o SAMU, quando acionado. Cumprir a Portaria de Consolidação nº 2 de 28/09/2017, Anexo 1 do Anexo XXII, Capítulo I, Itens 3.3, 4.1, VI, 4.2, III;Portaria de Consolidação nº 3, de 28/09/2017, Anexo V, Art.6º § 1º t; e Lei nº 10.216, de 6/04/2001.</w:t>
      </w:r>
    </w:p>
    <w:p>
      <w:pPr>
        <w:pStyle w:val="916"/>
      </w:pPr>
      <w:r>
        <w:rPr>
          <w:b/>
          <w:bCs/>
        </w:rPr>
        <w:t xml:space="preserve">Análise Codificação</w:t>
      </w:r>
      <w:r>
        <w:t xml:space="preserve">: A recomendação aborda múltiplas ações para estruturar fluxos e serviços de saúde mental, incluindo estabelecimento de fluxos de referência, organização de transporte e equipes especializadas, mapeamento de barreiras e cumprimento de normativos legais. No critério</w:t>
      </w:r>
      <w:r>
        <w:t xml:space="preserve"> </w:t>
      </w:r>
      <w:r>
        <w:t xml:space="preserve">‘Causa Identificada’</w:t>
      </w:r>
      <w:r>
        <w:t xml:space="preserve">, a recomendação não explicita diretamente a causa da não realização do acolhimento, mas ações como mapear barreiras e organizar serviços sugerem uma tentativa de abordar causas subjacentes, como falta de estrutura ou fluxos definidos. No critério</w:t>
      </w:r>
      <w:r>
        <w:t xml:space="preserve"> </w:t>
      </w:r>
      <w:r>
        <w:t xml:space="preserve">‘Ação Proposta’</w:t>
      </w:r>
      <w:r>
        <w:t xml:space="preserve">, a recomendação apresenta sugestões claras para mitigar riscos de novas ocorrências, como estabelecer fluxos e organizar serviços. No critério</w:t>
      </w:r>
      <w:r>
        <w:t xml:space="preserve"> </w:t>
      </w:r>
      <w:r>
        <w:t xml:space="preserve">‘Efeitos Duradouros’</w:t>
      </w:r>
      <w:r>
        <w:t xml:space="preserve">, as ações propostas, como estabelecer fluxos e mapear barreiras, têm potencial para criar mudanças institucionais que persistem além de mudanças de atores, indicando efeitos duradouros. No critério</w:t>
      </w:r>
      <w:r>
        <w:t xml:space="preserve"> </w:t>
      </w:r>
      <w:r>
        <w:t xml:space="preserve">‘Ação Genérica’</w:t>
      </w:r>
      <w:r>
        <w:t xml:space="preserve">, parte da recomendação se restringe a sugerir o cumprimento de normativos legais existentes, o que caracteriza uma ação genérica.</w:t>
      </w:r>
    </w:p>
    <w:p>
      <w:pPr>
        <w:pStyle w:val="918"/>
        <w:numPr>
          <w:ilvl w:val="0"/>
          <w:numId w:val="1042"/>
        </w:numPr>
      </w:pPr>
      <w:r>
        <w:t xml:space="preserve">Causa Identificada: parcialmente</w:t>
      </w:r>
    </w:p>
    <w:p>
      <w:pPr>
        <w:pStyle w:val="918"/>
        <w:numPr>
          <w:ilvl w:val="0"/>
          <w:numId w:val="1042"/>
        </w:numPr>
      </w:pPr>
      <w:r>
        <w:t xml:space="preserve">Ação Proposta: sim</w:t>
      </w:r>
    </w:p>
    <w:p>
      <w:pPr>
        <w:pStyle w:val="918"/>
        <w:numPr>
          <w:ilvl w:val="0"/>
          <w:numId w:val="1042"/>
        </w:numPr>
      </w:pPr>
      <w:r>
        <w:t xml:space="preserve">Efeitos Duradouros: sim</w:t>
      </w:r>
    </w:p>
    <w:p>
      <w:pPr>
        <w:pStyle w:val="918"/>
        <w:numPr>
          <w:ilvl w:val="0"/>
          <w:numId w:val="1042"/>
        </w:numPr>
      </w:pPr>
      <w:r>
        <w:t xml:space="preserve">Ação Genérica: sim</w:t>
      </w:r>
    </w:p>
    <w:bookmarkEnd w:id="229"/>
    <w:bookmarkStart w:id="230" w:name="auditoria-19847-constatação-nº-703089"/>
    <w:p>
      <w:pPr>
        <w:pStyle w:val="907"/>
      </w:pPr>
      <w:r>
        <w:t xml:space="preserve">10.0.3.36 Auditoria 19847, Constatação Nº 703089</w:t>
      </w:r>
    </w:p>
    <w:p>
      <w:pPr>
        <w:pStyle w:val="917"/>
      </w:pPr>
      <w:r>
        <w:rPr>
          <w:b/>
          <w:bCs/>
        </w:rPr>
        <w:t xml:space="preserve">Finalidade</w:t>
      </w:r>
      <w:r>
        <w:t xml:space="preserve">: Verif. a regular. no faturamento da Autorização de Procedimento Ambulatorial Radioterapia.</w:t>
      </w:r>
    </w:p>
    <w:p>
      <w:pPr>
        <w:pStyle w:val="916"/>
      </w:pPr>
      <w:r>
        <w:rPr>
          <w:b/>
          <w:bCs/>
        </w:rPr>
        <w:t xml:space="preserve">Constatação</w:t>
      </w:r>
      <w:r>
        <w:t xml:space="preserve">: Não foi possível comprovar o efetivo monitoramento e o cumprimento das metas de radioterapia pactuadas nos contratos firmados entre a SES/RS e o HSVP, no período auditado</w:t>
      </w:r>
    </w:p>
    <w:p>
      <w:pPr>
        <w:pStyle w:val="916"/>
      </w:pPr>
      <w:r>
        <w:rPr>
          <w:b/>
          <w:bCs/>
        </w:rPr>
        <w:t xml:space="preserve">Recomendação</w:t>
      </w:r>
      <w:r>
        <w:t xml:space="preserve">: Integrar sistematicamente os relatórios da CAC aos processos de pagamento, como subsídio à verificação do cumprimento das metas; Incluir, nos processos de pagamento, documentos comprobatórios da produção e comparativos entre metas pactuadas e resultados alcançados; Aprimorar os controles operacionais e documentais relativos à gestão e monitoramento dos contratos de serviços de alta complexidade; Revisar e fortalecer os controles internos, garantindo a rastreabilidade da produção assistencial; Adequar os procedimentos de liquidação da despesa às exigências legais, garantindo a presença de documentos comprobatórios nos pagamentos realizados; Buscar atingir, enfim, a conformidade com os arts. 62 e 63 da Lei nº 4.320/1964, que exigem liquidação da despesa com base em documentação comprobatória da execução.</w:t>
      </w:r>
    </w:p>
    <w:p>
      <w:pPr>
        <w:pStyle w:val="916"/>
      </w:pPr>
      <w:r>
        <w:rPr>
          <w:b/>
          <w:bCs/>
        </w:rPr>
        <w:t xml:space="preserve">Análise Codificação</w:t>
      </w:r>
      <w:r>
        <w:t xml:space="preserve">: A recomendação aborda a constatação de falta de monitoramento e cumprimento de metas de radioterapia, propondo ações como integração de relatórios, inclusão de documentos comprobatórios, aprimoramento de controles, revisão de controles internos, adequação de procedimentos de liquidação e busca de conformidade legal. Em relação ao critério</w:t>
      </w:r>
      <w:r>
        <w:t xml:space="preserve"> </w:t>
      </w:r>
      <w:r>
        <w:t xml:space="preserve">‘Causa Identificada’</w:t>
      </w:r>
      <w:r>
        <w:t xml:space="preserve">, a recomendação não explicita claramente a causa raiz da falta de monitoramento, mas as ações propostas sugerem causas subjacentes, como deficiências em controles e processos. Para</w:t>
      </w:r>
      <w:r>
        <w:t xml:space="preserve"> </w:t>
      </w:r>
      <w:r>
        <w:t xml:space="preserve">‘Ação Proposta’</w:t>
      </w:r>
      <w:r>
        <w:t xml:space="preserve">, as sugestões são direcionadas a mitigar riscos de reocorrência, como aprimorar controles. Quanto a</w:t>
      </w:r>
      <w:r>
        <w:t xml:space="preserve"> </w:t>
      </w:r>
      <w:r>
        <w:t xml:space="preserve">‘Efeitos Duradouros’</w:t>
      </w:r>
      <w:r>
        <w:t xml:space="preserve">, as ações visam alterações institucionais, como revisão de controles internos, que podem persistir com mudanças de atores. No critério</w:t>
      </w:r>
      <w:r>
        <w:t xml:space="preserve"> </w:t>
      </w:r>
      <w:r>
        <w:t xml:space="preserve">‘Ação Genérica’</w:t>
      </w:r>
      <w:r>
        <w:t xml:space="preserve">, parte da recomendação se restringe a sugerir conformidade com leis existentes, como a Lei nº 4.320/1964, indicando um elemento genérico.</w:t>
      </w:r>
    </w:p>
    <w:p>
      <w:pPr>
        <w:pStyle w:val="918"/>
        <w:numPr>
          <w:ilvl w:val="0"/>
          <w:numId w:val="1043"/>
        </w:numPr>
      </w:pPr>
      <w:r>
        <w:t xml:space="preserve">Causa Identificada: parcialmente</w:t>
      </w:r>
    </w:p>
    <w:p>
      <w:pPr>
        <w:pStyle w:val="918"/>
        <w:numPr>
          <w:ilvl w:val="0"/>
          <w:numId w:val="1043"/>
        </w:numPr>
      </w:pPr>
      <w:r>
        <w:t xml:space="preserve">Ação Proposta: sim</w:t>
      </w:r>
    </w:p>
    <w:p>
      <w:pPr>
        <w:pStyle w:val="918"/>
        <w:numPr>
          <w:ilvl w:val="0"/>
          <w:numId w:val="1043"/>
        </w:numPr>
      </w:pPr>
      <w:r>
        <w:t xml:space="preserve">Efeitos Duradouros: sim</w:t>
      </w:r>
    </w:p>
    <w:p>
      <w:pPr>
        <w:pStyle w:val="918"/>
        <w:numPr>
          <w:ilvl w:val="0"/>
          <w:numId w:val="1043"/>
        </w:numPr>
      </w:pPr>
      <w:r>
        <w:t xml:space="preserve">Ação Genérica: sim</w:t>
      </w:r>
    </w:p>
    <w:bookmarkEnd w:id="230"/>
    <w:bookmarkStart w:id="231" w:name="auditoria-19486-constatação-nº-682194"/>
    <w:p>
      <w:pPr>
        <w:pStyle w:val="907"/>
      </w:pPr>
      <w:r>
        <w:t xml:space="preserve">10.0.3.37 Auditoria 19486, Constatação Nº 682194</w:t>
      </w:r>
    </w:p>
    <w:p>
      <w:pPr>
        <w:pStyle w:val="917"/>
      </w:pPr>
      <w:r>
        <w:rPr>
          <w:b/>
          <w:bCs/>
        </w:rPr>
        <w:t xml:space="preserve">Finalidade</w:t>
      </w:r>
      <w:r>
        <w:t xml:space="preserve">: Avaliar os indicadores de desempenho do programa Previne Brasil no município de João Pessoa</w:t>
      </w:r>
    </w:p>
    <w:p>
      <w:pPr>
        <w:pStyle w:val="916"/>
      </w:pPr>
      <w:r>
        <w:rPr>
          <w:b/>
          <w:bCs/>
        </w:rPr>
        <w:t xml:space="preserve">Constatação</w:t>
      </w:r>
      <w:r>
        <w:t xml:space="preserve">: A Secretaria Municipal de Saúde de João Pessoa/PB, em 2022, não adotou as ações propostas no</w:t>
      </w:r>
      <w:r>
        <w:t xml:space="preserve"> </w:t>
      </w:r>
      <w:r>
        <w:t xml:space="preserve">“Documento Orientador”</w:t>
      </w:r>
      <w:r>
        <w:t xml:space="preserve">, como forma de atingir a meta para o Indicador nº 1 Proporção de gestantes com pelo menos 6 (seis) consultas pré-natal realizadas, sendo a primeira até a 12ª semana de gestação.</w:t>
      </w:r>
    </w:p>
    <w:p>
      <w:pPr>
        <w:pStyle w:val="916"/>
      </w:pPr>
      <w:r>
        <w:rPr>
          <w:b/>
          <w:bCs/>
        </w:rPr>
        <w:t xml:space="preserve">Recomendação</w:t>
      </w:r>
      <w:r>
        <w:t xml:space="preserve">: A SMS deve desenvolver ações para melhoria dos índices dos Indicadores conforme o Nota Técnica nº 13/2022 - SAPS/MS e Documento Orientador, dentre elas estão: Promover educação continuada e treinamento dos profissionais de saúde; Garantir insumos, materiais e equipamentos em boas condições de trabalho; Implantar protocolo para as ações de pré-natal e monitoramento da conformidade das práticas das eSF e eAP, em relação aos parâmetros de qualidade estabelecidos, inclusive no que diz respeito à humanização desse tipo de atendimento; Busca ativa das gestantes na área de abrangência da equipe, por meio de visitas domiciliares regulares, para cadastramento e início precoce do pré-natal, flexibilização de horários de atendimentos e lembrete de consultas agendadas.</w:t>
      </w:r>
    </w:p>
    <w:p>
      <w:pPr>
        <w:pStyle w:val="916"/>
      </w:pPr>
      <w:r>
        <w:rPr>
          <w:b/>
          <w:bCs/>
        </w:rPr>
        <w:t xml:space="preserve">Análise Codificação</w:t>
      </w:r>
      <w:r>
        <w:t xml:space="preserve">: A recomendação identifica a causa da baixa cobertura pré-natal como sendo a não adoção de ações específicas do Documento Orientador, propondo medidas como educação continuada, garantia de insumos, implantação de protocolos e busca ativa. Essas ações visam prevenir a reocorrência do problema através de mudanças estruturais nos processos de trabalho. Embora algumas medidas possam ter efeitos duradouros (como protocolos implantados), outras dependem da continuidade de ações específicas por atores envolvidos. A recomendação vai além do simples cumprimento normativo ao detalhar ações concretas para implementação.</w:t>
      </w:r>
    </w:p>
    <w:p>
      <w:pPr>
        <w:pStyle w:val="918"/>
        <w:numPr>
          <w:ilvl w:val="0"/>
          <w:numId w:val="1044"/>
        </w:numPr>
      </w:pPr>
      <w:r>
        <w:t xml:space="preserve">Causa Identificada: sim</w:t>
      </w:r>
    </w:p>
    <w:p>
      <w:pPr>
        <w:pStyle w:val="918"/>
        <w:numPr>
          <w:ilvl w:val="0"/>
          <w:numId w:val="1044"/>
        </w:numPr>
      </w:pPr>
      <w:r>
        <w:t xml:space="preserve">Ação Proposta: sim</w:t>
      </w:r>
    </w:p>
    <w:p>
      <w:pPr>
        <w:pStyle w:val="918"/>
        <w:numPr>
          <w:ilvl w:val="0"/>
          <w:numId w:val="1044"/>
        </w:numPr>
      </w:pPr>
      <w:r>
        <w:t xml:space="preserve">Efeitos Duradouros: parcialmente</w:t>
      </w:r>
    </w:p>
    <w:p>
      <w:pPr>
        <w:pStyle w:val="918"/>
        <w:numPr>
          <w:ilvl w:val="0"/>
          <w:numId w:val="1044"/>
        </w:numPr>
      </w:pPr>
      <w:r>
        <w:t xml:space="preserve">Ação Genérica: não</w:t>
      </w:r>
    </w:p>
    <w:bookmarkEnd w:id="231"/>
    <w:bookmarkStart w:id="232" w:name="auditoria-19590-constatação-nº-684472"/>
    <w:p>
      <w:pPr>
        <w:pStyle w:val="907"/>
      </w:pPr>
      <w:r>
        <w:t xml:space="preserve">10.0.3.38 Auditoria 19590, Constatação Nº 684472</w:t>
      </w:r>
    </w:p>
    <w:p>
      <w:pPr>
        <w:pStyle w:val="917"/>
      </w:pPr>
      <w:r>
        <w:rPr>
          <w:b/>
          <w:bCs/>
        </w:rPr>
        <w:t xml:space="preserve">Finalidade</w:t>
      </w:r>
      <w:r>
        <w:t xml:space="preserve">: Verificar a implementação da Pol. Nac. ao Portador de Doença Ren. Crônica, nos estágios 4 e 5 em TRS</w:t>
      </w:r>
    </w:p>
    <w:p>
      <w:pPr>
        <w:pStyle w:val="916"/>
      </w:pPr>
      <w:r>
        <w:rPr>
          <w:b/>
          <w:bCs/>
        </w:rPr>
        <w:t xml:space="preserve">Constatação</w:t>
      </w:r>
      <w:r>
        <w:t xml:space="preserve">: O serviço de hemodiálise do Sistema de Assistência Social e de Saúde (SAS) não mantém os registros verificados atualizados no prontuário.</w:t>
      </w:r>
    </w:p>
    <w:p>
      <w:pPr>
        <w:pStyle w:val="916"/>
      </w:pPr>
      <w:r>
        <w:rPr>
          <w:b/>
          <w:bCs/>
        </w:rPr>
        <w:t xml:space="preserve">Recomendação</w:t>
      </w:r>
      <w:r>
        <w:t xml:space="preserve">: Objetivando-se a adequação das lacunas identificadas pela equipe de auditoria, recomenda-se: -promover a sensibilização dos profissionais de saúde do Setor de Hemodiálise do Serviço de Assistência Social e de Saúde, por meio de palestras e ou oficinas, com vistas à fomentar um cultura organizacional que preze pela importância dos registros dos pacientes enquanto informações cruciais ao cuidado integral dos pacientes com DRC; -registrar, seja de forma física ou informatizada, os atendimentos, os resultados dos exames realizados e os indicadores da efetividade dialítica nos prontuários dos pacientes, mantendo-os atualizados. Tais indicações são importantes para a consolidação do disposto no inciso XI, do art. 67, Seção III, Capítulo III, Anexo IV da Portaria de Consolidação GM/MS n.° 3, de 28 de setembro de 2017.</w:t>
      </w:r>
    </w:p>
    <w:p>
      <w:pPr>
        <w:pStyle w:val="916"/>
      </w:pPr>
      <w:r>
        <w:rPr>
          <w:b/>
          <w:bCs/>
        </w:rPr>
        <w:t xml:space="preserve">Análise Codificação</w:t>
      </w:r>
      <w:r>
        <w:t xml:space="preserve">: A recomendação aborda a constatação de prontuários desatualizados no serviço de hemodiálise. No critério</w:t>
      </w:r>
      <w:r>
        <w:t xml:space="preserve"> </w:t>
      </w:r>
      <w:r>
        <w:t xml:space="preserve">‘Causa Identificada’</w:t>
      </w:r>
      <w:r>
        <w:t xml:space="preserve">, a recomendação sugere sensibilização dos profissionais, o que implica reconhecimento de que a causa subjacente é cultural/educacional (falta de valorização dos registros), portanto a causa está identificada. No critério</w:t>
      </w:r>
      <w:r>
        <w:t xml:space="preserve"> </w:t>
      </w:r>
      <w:r>
        <w:t xml:space="preserve">‘Ação Proposta’</w:t>
      </w:r>
      <w:r>
        <w:t xml:space="preserve">, há sugestões específicas (palestras/oficinas e registro sistemático) que visam mitigar a reincidência, atendendo ao critério. No critério</w:t>
      </w:r>
      <w:r>
        <w:t xml:space="preserve"> </w:t>
      </w:r>
      <w:r>
        <w:t xml:space="preserve">‘Efeitos Duradouros’</w:t>
      </w:r>
      <w:r>
        <w:t xml:space="preserve">, a sensibilização e mudança cultural podem perdurar além dos atores atuais, mas a ação de registro contínuo depende da adesão consistente, sendo parcialmente duradoura. No critério</w:t>
      </w:r>
      <w:r>
        <w:t xml:space="preserve"> </w:t>
      </w:r>
      <w:r>
        <w:t xml:space="preserve">‘Ação Genérica’</w:t>
      </w:r>
      <w:r>
        <w:t xml:space="preserve">, a recomendação vai além do mero cumprimento normativo ao propor ações concretas (sensibilização e método de registro), não se restringindo a citar a portaria existente.</w:t>
      </w:r>
    </w:p>
    <w:p>
      <w:pPr>
        <w:pStyle w:val="918"/>
        <w:numPr>
          <w:ilvl w:val="0"/>
          <w:numId w:val="1045"/>
        </w:numPr>
      </w:pPr>
      <w:r>
        <w:t xml:space="preserve">Causa Identificada: sim</w:t>
      </w:r>
    </w:p>
    <w:p>
      <w:pPr>
        <w:pStyle w:val="918"/>
        <w:numPr>
          <w:ilvl w:val="0"/>
          <w:numId w:val="1045"/>
        </w:numPr>
      </w:pPr>
      <w:r>
        <w:t xml:space="preserve">Ação Proposta: sim</w:t>
      </w:r>
    </w:p>
    <w:p>
      <w:pPr>
        <w:pStyle w:val="918"/>
        <w:numPr>
          <w:ilvl w:val="0"/>
          <w:numId w:val="1045"/>
        </w:numPr>
      </w:pPr>
      <w:r>
        <w:t xml:space="preserve">Efeitos Duradouros: parcialmente</w:t>
      </w:r>
    </w:p>
    <w:p>
      <w:pPr>
        <w:pStyle w:val="918"/>
        <w:numPr>
          <w:ilvl w:val="0"/>
          <w:numId w:val="1045"/>
        </w:numPr>
      </w:pPr>
      <w:r>
        <w:t xml:space="preserve">Ação Genérica: não</w:t>
      </w:r>
    </w:p>
    <w:bookmarkEnd w:id="232"/>
    <w:bookmarkStart w:id="233" w:name="auditoria-19735-constatação-nº-693821"/>
    <w:p>
      <w:pPr>
        <w:pStyle w:val="907"/>
      </w:pPr>
      <w:r>
        <w:t xml:space="preserve">10.0.3.39 Auditoria 19735, Constatação Nº 693821</w:t>
      </w:r>
    </w:p>
    <w:p>
      <w:pPr>
        <w:pStyle w:val="917"/>
      </w:pPr>
      <w:r>
        <w:rPr>
          <w:b/>
          <w:bCs/>
        </w:rPr>
        <w:t xml:space="preserve">Finalidade</w:t>
      </w:r>
      <w:r>
        <w:t xml:space="preserve">: Verificar irregularidades na gestão e no sistema de sobreaviso dos Médicos Vinculados ao Hospital</w:t>
      </w:r>
    </w:p>
    <w:p>
      <w:pPr>
        <w:pStyle w:val="916"/>
      </w:pPr>
      <w:r>
        <w:rPr>
          <w:b/>
          <w:bCs/>
        </w:rPr>
        <w:t xml:space="preserve">Constatação</w:t>
      </w:r>
      <w:r>
        <w:t xml:space="preserve">: A fiscalização do contrato não está sendo realizada pelas instâncias competentes conforme a legislação vigente, verificando o cumprimento das metas qualitativas e quantitativas.</w:t>
      </w:r>
    </w:p>
    <w:p>
      <w:pPr>
        <w:pStyle w:val="916"/>
      </w:pPr>
      <w:r>
        <w:rPr>
          <w:b/>
          <w:bCs/>
        </w:rPr>
        <w:t xml:space="preserve">Recomendação</w:t>
      </w:r>
      <w:r>
        <w:t xml:space="preserve">: É fundamental que a Secretaria Municipal de Saúde implemente uma fiscalização efetiva e contínua do contrato de gestão com o Hospital Santa Cruz de Canoinhas, conforme as diretrizes legais estabelecidas pela Lei nº 8080/1990, Lei nº 8.142/90, Lei 8.666/1993, Lei nº 14.133/2021, e as portarias de consolidação aplicáveis. Para tanto, a fiscalização deve ser descentralizada, com uma clara divisão de responsabilidades entre os setores de auditoria, controle e pagamento, garantindo o cumprimento das metas qualitativas e quantitativas estabelecidas no contrato. Além disso, é imprescindível que a Secretaria de Saúde, em conjunto com o hospital, desenvolva e execute um plano de capacitação contínua para todos os envolvidos na fiscalização, incluindo o Conselho Municipal de Saúde e os profissionais responsáveis pela auditoria e monitoramento. A capacitação deve focar na aplicação prática da legislação vigente e nas ferramentas de controle de qualidade, com ênfase em garantir independência e transparência nos processos de fiscalização. A fiscalização deve ser conduzida com base em critérios objetivos, assegurando que todos os relatórios de desempenho e resultados sejam analisados de maneira independente e transparente, de modo que qualquer não conformidade seja prontamente identificada e corrigida.</w:t>
      </w:r>
    </w:p>
    <w:p>
      <w:pPr>
        <w:pStyle w:val="916"/>
      </w:pPr>
      <w:r>
        <w:rPr>
          <w:b/>
          <w:bCs/>
        </w:rPr>
        <w:t xml:space="preserve">Análise Codificação</w:t>
      </w:r>
      <w:r>
        <w:t xml:space="preserve">: A recomendação identifica a causa da fiscalização inadequada como sendo a falta de uma estrutura organizada e capacitação dos envolvidos, propondo ações como descentralização da fiscalização, divisão de responsabilidades e capacitação contínua. Essas ações visam prevenir a reincidência da condição ao fortalecer processos institucionais. No entanto, a recomendação também inclui elementos genéricos, como a sugestão de cumprir a legislação vigente, e embora promova mudanças estruturais, parte da ação proposta depende da atuação específica dos atores atuais, limitando parcialmente os efeitos duradouros.</w:t>
      </w:r>
    </w:p>
    <w:p>
      <w:pPr>
        <w:pStyle w:val="918"/>
        <w:numPr>
          <w:ilvl w:val="0"/>
          <w:numId w:val="1046"/>
        </w:numPr>
      </w:pPr>
      <w:r>
        <w:t xml:space="preserve">Causa Identificada: sim</w:t>
      </w:r>
    </w:p>
    <w:p>
      <w:pPr>
        <w:pStyle w:val="918"/>
        <w:numPr>
          <w:ilvl w:val="0"/>
          <w:numId w:val="1046"/>
        </w:numPr>
      </w:pPr>
      <w:r>
        <w:t xml:space="preserve">Ação Proposta: sim</w:t>
      </w:r>
    </w:p>
    <w:p>
      <w:pPr>
        <w:pStyle w:val="918"/>
        <w:numPr>
          <w:ilvl w:val="0"/>
          <w:numId w:val="1046"/>
        </w:numPr>
      </w:pPr>
      <w:r>
        <w:t xml:space="preserve">Efeitos Duradouros: parcialmente</w:t>
      </w:r>
    </w:p>
    <w:p>
      <w:pPr>
        <w:pStyle w:val="918"/>
        <w:numPr>
          <w:ilvl w:val="0"/>
          <w:numId w:val="1046"/>
        </w:numPr>
      </w:pPr>
      <w:r>
        <w:t xml:space="preserve">Ação Genérica: sim</w:t>
      </w:r>
    </w:p>
    <w:bookmarkEnd w:id="233"/>
    <w:bookmarkStart w:id="234" w:name="auditoria-19780-constatação-nº-692590"/>
    <w:p>
      <w:pPr>
        <w:pStyle w:val="907"/>
      </w:pPr>
      <w:r>
        <w:t xml:space="preserve">10.0.3.40 Auditoria 19780, Constatação Nº 692590</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A Rede de Frio é um componente do PNI municipal, porém não foi possível identificar a sua estruturação no âmbito da Secretaria Municipal de Saúde de Lagarto/SE.</w:t>
      </w:r>
    </w:p>
    <w:p>
      <w:pPr>
        <w:pStyle w:val="916"/>
      </w:pPr>
      <w:r>
        <w:rPr>
          <w:b/>
          <w:bCs/>
        </w:rPr>
        <w:t xml:space="preserve">Recomendação</w:t>
      </w:r>
      <w:r>
        <w:t xml:space="preserve">: Providenciar a formalização da CMRF na estrutura administrativa da SMS de Lagarto/SE, com as atribuições, responsabilidades e competências dos órgãos que a compõem, em conformidade com o artigo 9º da RDC nº 63/2011. Adotar e assegurar o controle de frequência dos profissionais, para assegurar a transparência e regularidade no cumprimento da jornada de trabalho, em conformidade com o artigo 7º da RDC nº 63/2011. Atualizar e manter atualizado os dados junto ao Cadastro Nacional de Estabelecimentos de Saúde, conforme orienta o artigo 13, da Seção III, Capítulo II da Resolução - RDC Nº 63, de 25/11/2011.</w:t>
      </w:r>
    </w:p>
    <w:p>
      <w:pPr>
        <w:pStyle w:val="916"/>
      </w:pPr>
      <w:r>
        <w:rPr>
          <w:b/>
          <w:bCs/>
        </w:rPr>
        <w:t xml:space="preserve">Análise Codificação</w:t>
      </w:r>
      <w:r>
        <w:t xml:space="preserve">: A recomendação aborda a falta de estruturação formal da Cadeia de Frio na SMS de Lagarto/SE, identificando implicitamente a causa como a ausência de formalização e controles adequados. A ação proposta inclui formalizar a CMRF, implementar controle de frequência e atualizar dados no CNES, visando prevenir a reincidência da condição. No entanto, os efeitos são duradouros apenas parcialmente, pois dependem da manutenção contínua, e a ação é genérica, pois se limita a cumprir normativos existentes sem propor soluções inovadoras para as causas subjacentes.</w:t>
      </w:r>
    </w:p>
    <w:p>
      <w:pPr>
        <w:pStyle w:val="918"/>
        <w:numPr>
          <w:ilvl w:val="0"/>
          <w:numId w:val="1047"/>
        </w:numPr>
      </w:pPr>
      <w:r>
        <w:t xml:space="preserve">Causa Identificada: sim</w:t>
      </w:r>
    </w:p>
    <w:p>
      <w:pPr>
        <w:pStyle w:val="918"/>
        <w:numPr>
          <w:ilvl w:val="0"/>
          <w:numId w:val="1047"/>
        </w:numPr>
      </w:pPr>
      <w:r>
        <w:t xml:space="preserve">Ação Proposta: sim</w:t>
      </w:r>
    </w:p>
    <w:p>
      <w:pPr>
        <w:pStyle w:val="918"/>
        <w:numPr>
          <w:ilvl w:val="0"/>
          <w:numId w:val="1047"/>
        </w:numPr>
      </w:pPr>
      <w:r>
        <w:t xml:space="preserve">Efeitos Duradouros: parcialmente</w:t>
      </w:r>
    </w:p>
    <w:p>
      <w:pPr>
        <w:pStyle w:val="918"/>
        <w:numPr>
          <w:ilvl w:val="0"/>
          <w:numId w:val="1047"/>
        </w:numPr>
      </w:pPr>
      <w:r>
        <w:t xml:space="preserve">Ação Genérica: sim</w:t>
      </w:r>
    </w:p>
    <w:bookmarkEnd w:id="234"/>
    <w:bookmarkStart w:id="235" w:name="auditoria-19786-constatação-nº-694518"/>
    <w:p>
      <w:pPr>
        <w:pStyle w:val="907"/>
      </w:pPr>
      <w:r>
        <w:t xml:space="preserve">10.0.3.41 Auditoria 19786, Constatação Nº 694518</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O processo de armazenamento dos imunobiológicos não é realizado de acordo com as orientações preconizadas pelo PNI.</w:t>
      </w:r>
    </w:p>
    <w:p>
      <w:pPr>
        <w:pStyle w:val="916"/>
      </w:pPr>
      <w:r>
        <w:rPr>
          <w:b/>
          <w:bCs/>
        </w:rPr>
        <w:t xml:space="preserve">Recomendação</w:t>
      </w:r>
      <w:r>
        <w:t xml:space="preserve">: Adotar checklists relacionadas a etapa de armazenamento, em cumprimento ao Art. 51, Seção VIII, Capítulo II da Resolução - RDC n.º 63, de 25/11/2011; adotar procedimentos padronizados (POP’s) das etapas do ciclo logístico, em cumprimento ao Art. 51, Seção VIII, Capítulo II da Resolução - RDC n.º 63, de 25/11/2011; realizar treinamentos com todos os colaboradores responsáveis pelas etapas, em cumprimento ao artigo n.º 51, Seção VIII, Capítulo II da Resolução - RDC n.º 63, de 25/11/2011; contratar empresa responsável pela calibração dos equipamentos e qualificação térmica dos ambientes, em conformidade com o artigo n.º 23, da Seção III, Capítulo II, da Resolução - RDC nº 63, de 25/11/2011 e artigo n.º 43 da RDC 430 e realizar inventário imediatamente de todos os itens constantes em estoque, e, definir prazos para a realização de inventários periódicos além do anual, em cumprimento ao artigo n.º 55 da RDC 63.</w:t>
      </w:r>
    </w:p>
    <w:p>
      <w:pPr>
        <w:pStyle w:val="916"/>
      </w:pPr>
      <w:r>
        <w:rPr>
          <w:b/>
          <w:bCs/>
        </w:rPr>
        <w:t xml:space="preserve">Análise Codificação</w:t>
      </w:r>
      <w:r>
        <w:t xml:space="preserve">: A recomendação propõe múltiplas ações para corrigir a condição identificada de armazenamento inadequado de imunobiológicos, incluindo adoção de checklists, POPs, treinamentos, contratação de serviços de calibração e realização de inventários. Embora essas ações possam abordar causas subjacentes, como falta de procedimentos padronizados e capacitação, a recomendação se baseia principalmente no cumprimento de normativos legais existentes (RDC n.º 63/2011 e RDC 430). As ações propostas são genéricas no sentido de reiterar obrigações legais preexistentes, e não especificam medidas inovadoras ou personalizadas para evitar a recorrência além do que a norma já exige. Quanto aos efeitos duradouros, a implementação de POPs e treinamentos pode criar estruturas permanentes, mas a dependência de conformidade com leis específicas limita a perpetuidade independente de mudanças normativas. No critério</w:t>
      </w:r>
      <w:r>
        <w:t xml:space="preserve"> </w:t>
      </w:r>
      <w:r>
        <w:t xml:space="preserve">‘Causa Identificada’</w:t>
      </w:r>
      <w:r>
        <w:t xml:space="preserve">, a recomendação inferiu causas como falta de procedimentos e treinamento ao propor ações correlatas. Para</w:t>
      </w:r>
      <w:r>
        <w:t xml:space="preserve"> </w:t>
      </w:r>
      <w:r>
        <w:t xml:space="preserve">‘Ação Proposta’</w:t>
      </w:r>
      <w:r>
        <w:t xml:space="preserve">, há sugestões claras de medidas. Em</w:t>
      </w:r>
      <w:r>
        <w:t xml:space="preserve"> </w:t>
      </w:r>
      <w:r>
        <w:t xml:space="preserve">‘Efeitos Duradouros’</w:t>
      </w:r>
      <w:r>
        <w:t xml:space="preserve">, algumas ações (como POPs) podem perdurar, mas outras (como inventários) são contingentes à adesão contínua. Em</w:t>
      </w:r>
      <w:r>
        <w:t xml:space="preserve"> </w:t>
      </w:r>
      <w:r>
        <w:t xml:space="preserve">‘Ação Genérica’</w:t>
      </w:r>
      <w:r>
        <w:t xml:space="preserve">, a recomendação se restringe a cumprir normativos existentes, sem propor soluções além deles.</w:t>
      </w:r>
    </w:p>
    <w:p>
      <w:pPr>
        <w:pStyle w:val="918"/>
        <w:numPr>
          <w:ilvl w:val="0"/>
          <w:numId w:val="1048"/>
        </w:numPr>
      </w:pPr>
      <w:r>
        <w:t xml:space="preserve">Causa Identificada: sim</w:t>
      </w:r>
    </w:p>
    <w:p>
      <w:pPr>
        <w:pStyle w:val="918"/>
        <w:numPr>
          <w:ilvl w:val="0"/>
          <w:numId w:val="1048"/>
        </w:numPr>
      </w:pPr>
      <w:r>
        <w:t xml:space="preserve">Ação Proposta: sim</w:t>
      </w:r>
    </w:p>
    <w:p>
      <w:pPr>
        <w:pStyle w:val="918"/>
        <w:numPr>
          <w:ilvl w:val="0"/>
          <w:numId w:val="1048"/>
        </w:numPr>
      </w:pPr>
      <w:r>
        <w:t xml:space="preserve">Efeitos Duradouros: parcialmente</w:t>
      </w:r>
    </w:p>
    <w:p>
      <w:pPr>
        <w:pStyle w:val="918"/>
        <w:numPr>
          <w:ilvl w:val="0"/>
          <w:numId w:val="1048"/>
        </w:numPr>
      </w:pPr>
      <w:r>
        <w:t xml:space="preserve">Ação Genérica: sim</w:t>
      </w:r>
    </w:p>
    <w:bookmarkEnd w:id="235"/>
    <w:bookmarkStart w:id="236" w:name="auditoria-19809-constatação-nº-694580"/>
    <w:p>
      <w:pPr>
        <w:pStyle w:val="907"/>
      </w:pPr>
      <w:r>
        <w:t xml:space="preserve">10.0.3.42 Auditoria 19809, Constatação Nº 694580</w:t>
      </w:r>
    </w:p>
    <w:p>
      <w:pPr>
        <w:pStyle w:val="917"/>
      </w:pPr>
      <w:r>
        <w:rPr>
          <w:b/>
          <w:bCs/>
        </w:rPr>
        <w:t xml:space="preserve">Finalidade</w:t>
      </w:r>
      <w:r>
        <w:t xml:space="preserve">: Verificar se a Atenção Primária à Saúde está exercendo as atribuições de coordenadora da RAPS</w:t>
      </w:r>
    </w:p>
    <w:p>
      <w:pPr>
        <w:pStyle w:val="916"/>
      </w:pPr>
      <w:r>
        <w:rPr>
          <w:b/>
          <w:bCs/>
        </w:rPr>
        <w:t xml:space="preserve">Constatação</w:t>
      </w:r>
      <w:r>
        <w:t xml:space="preserve">: As UBSs visitadas não compartilham os registros de pacientes em atendimento com transtorno mental com outros pontos da rede.</w:t>
      </w:r>
    </w:p>
    <w:p>
      <w:pPr>
        <w:pStyle w:val="916"/>
      </w:pPr>
      <w:r>
        <w:rPr>
          <w:b/>
          <w:bCs/>
        </w:rPr>
        <w:t xml:space="preserve">Recomendação</w:t>
      </w:r>
      <w:r>
        <w:t xml:space="preserve">: Adotar as seguintes medidas visando atender o estabelecido no Item 6.2, Anexo I, da Portaria de Consolidação GM/MS nº 3, de 28 de setembro de 2017: - Instruir as equipes das UBSs para que os registros dos atendimentos em saúde mental no Sistema de Informação e- SUS (prontuário eletrônico) sejam realizados de forma detalhada, com anotações de todas as ações realizadas pelos profissionais das UBSs, bem como dos encaminhamentos realizados para outros pontos da rede; - Estabelecer a comunicação entres os diversos pontos de atenção da RAPS, preferencialmente por meio de sistemas unificados de registro, compartilhados entre as unidades que compõem a RAPS, de modo a garantir a referência e contrarreferência; e - Incluir profissionais de outros pontos de atenção da RAPS na construção do Matriciamento e Projeto Terapêutico Singular - PTS dos pacientes de saúde mental.</w:t>
      </w:r>
    </w:p>
    <w:p>
      <w:pPr>
        <w:pStyle w:val="916"/>
      </w:pPr>
      <w:r>
        <w:rPr>
          <w:b/>
          <w:bCs/>
        </w:rPr>
        <w:t xml:space="preserve">Análise Codificação</w:t>
      </w:r>
      <w:r>
        <w:t xml:space="preserve">: A recomendação aborda a causa identificada de falta de comunicação e registro inadequado, propondo ações específicas como instrução detalhada das equipes, estabelecimento de sistemas unificados de comunicação e inclusão de profissionais no matriciamento. Embora algumas ações tenham efeitos duradouros, como sistemas unificados, outras são mais genéricas ao sugerir cumprimento de normativo existente. A ação proposta visa mitigar riscos de novas ocorrências, mas nem todas as medidas garantem efeitos permanentes independentemente de mudanças de atores.</w:t>
      </w:r>
    </w:p>
    <w:p>
      <w:pPr>
        <w:pStyle w:val="918"/>
        <w:numPr>
          <w:ilvl w:val="0"/>
          <w:numId w:val="1049"/>
        </w:numPr>
      </w:pPr>
      <w:r>
        <w:t xml:space="preserve">Causa Identificada: sim</w:t>
      </w:r>
    </w:p>
    <w:p>
      <w:pPr>
        <w:pStyle w:val="918"/>
        <w:numPr>
          <w:ilvl w:val="0"/>
          <w:numId w:val="1049"/>
        </w:numPr>
      </w:pPr>
      <w:r>
        <w:t xml:space="preserve">Ação Proposta: sim</w:t>
      </w:r>
    </w:p>
    <w:p>
      <w:pPr>
        <w:pStyle w:val="918"/>
        <w:numPr>
          <w:ilvl w:val="0"/>
          <w:numId w:val="1049"/>
        </w:numPr>
      </w:pPr>
      <w:r>
        <w:t xml:space="preserve">Efeitos Duradouros: parcialmente</w:t>
      </w:r>
    </w:p>
    <w:p>
      <w:pPr>
        <w:pStyle w:val="918"/>
        <w:numPr>
          <w:ilvl w:val="0"/>
          <w:numId w:val="1049"/>
        </w:numPr>
      </w:pPr>
      <w:r>
        <w:t xml:space="preserve">Ação Genérica: sim</w:t>
      </w:r>
    </w:p>
    <w:p>
      <w:r>
        <w:br w:type="page"/>
      </w:r>
    </w:p>
    <w:bookmarkEnd w:id="236"/>
    <w:bookmarkEnd w:id="237"/>
    <w:bookmarkEnd w:id="238"/>
    <w:bookmarkStart w:id="284" w:name="X846b2ee8d77d7c3e368e5fbec5589c6e0ee4839"/>
    <w:p>
      <w:pPr>
        <w:pStyle w:val="904"/>
      </w:pPr>
      <w:r>
        <w:t xml:space="preserve">11. Apêndice E — Prompt de Codificação — Tentativa 2</w:t>
      </w:r>
    </w:p>
    <w:bookmarkStart w:id="239" w:name="prompt-2"/>
    <w:p>
      <w:pPr>
        <w:pStyle w:val="906"/>
      </w:pPr>
      <w:r>
        <w:t xml:space="preserve">11.0.1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achados de auditoria (também chamados de constatações) e que podem ensejar, por sua vez, recomendações dirigidas aos entes auditados, caso sejam detectadas inconformidades. As recomendações são, por conseguinte, definidas como sugestões técnicas que visam corrigir discrepâncias entre o que foi observado e os critérios normativos, operacionais ou legais que embasam o trabalho de auditoria.</w:t>
      </w:r>
      <w:r>
        <w:br/>
      </w:r>
      <w:r>
        <w:br/>
      </w:r>
      <w:r>
        <w:rPr>
          <w:rStyle w:val="949"/>
        </w:rPr>
        <w:t xml:space="preserve">O objetivo do trabalho consiste em classificar as recomendações exaradas pelo DENASUS, segundo a tipologia difundida pelo Institute of Internal Auditors (IIA) que distingue entre recomendações orientadas à abordagem das causas dos problemas identificados (cause-based) ou à condição observada (condition-based), conforme definido a seguir:</w:t>
      </w:r>
      <w:r>
        <w:br/>
      </w:r>
      <w:r>
        <w:br/>
      </w:r>
      <w:r>
        <w:rPr>
          <w:rStyle w:val="949"/>
        </w:rPr>
        <w:t xml:space="preserve">- Recomendações com foco na causa (cause-based): são aquelas que propõem ações necessárias para evitar que a condição ou a observação volte a ocorrer. Normalmente envolvem soluções de longo prazo e podem demandar mais tempo (exemplo: criação e implementação de uma política de revisão de acessos).</w:t>
      </w:r>
      <w:r>
        <w:br/>
      </w:r>
      <w:r>
        <w:br/>
      </w:r>
      <w:r>
        <w:rPr>
          <w:rStyle w:val="949"/>
        </w:rPr>
        <w:t xml:space="preserve">- Recomendações com foco na condição (condition-based): consistem em medidas cuja finalidade é corrigir a condição encontrada. Fornecem uma solução temporária para corrigir a condição atual (exemplo: remoção de acessos indevidos).</w:t>
      </w:r>
      <w:r>
        <w:br/>
      </w:r>
      <w:r>
        <w:br/>
      </w:r>
      <w:r>
        <w:rPr>
          <w:rStyle w:val="949"/>
        </w:rPr>
        <w:t xml:space="preserve">Importante: Para uma recomendação ser considerada como tendo foco na causa (cause-based), exige-se que ela tenha como objetivo não apenas enfrentar as causas estruturais dos problemas identificados, de forma genérica, mas, conforme salientado na definição expressa acima, a recomendação deve propor "ações necessárias para evitar que a condição ou a observação volte a ocorrer". Além disso, é preciso verificar se a solução encarnada na recomendação tem vocação para para perdurar no tempo, envolvendo, portanto, "soluções de longo prazo".</w:t>
      </w:r>
      <w:r>
        <w:br/>
      </w:r>
      <w:r>
        <w:br/>
      </w:r>
      <w:r>
        <w:rPr>
          <w:rStyle w:val="949"/>
        </w:rPr>
        <w:t xml:space="preserve">Recomendações centradas na condição observada (condition-based), por sua vez, são indicativas de uma lógica institucional preponderantemente corretiva e reativa, direcionada à resolução de inconformidades pontuais e imediatas, com capacidade potencialmente reduzida de induzir alterações estruturais duradouras nos processos organizacionais do SUS, visto não se prestarem a promover mudanças na arquitetura institucional do sistema. Essas recomendações traduzem medidas indispensáveis à sua manutenção e desempenho cotidiano e tendem a, quando assimiladas pelo ente auditado, gerar impacto restrito.</w:t>
      </w:r>
      <w:r>
        <w:br/>
      </w:r>
      <w:r>
        <w:br/>
      </w:r>
      <w:r>
        <w:rPr>
          <w:rStyle w:val="949"/>
        </w:rPr>
        <w:t xml:space="preserve">Ressalta-se que o usuário pesquisador irá fornecer uma breve descrição da finalidade do trabalho de auditoria realizado, a constatação (ou achado de auditoria) que motivou a emissão da recomendação e a própria recomendação. Sua função consistirá em avaliar o foco predominante da recomendação, baseando-se, para tanto, nas definições acima mencionadas. Por fim, estruture sua cadeia de raciocínio executando as três etapas apontadas abaixo, de modo sequencial:</w:t>
      </w:r>
      <w:r>
        <w:br/>
      </w:r>
      <w:r>
        <w:br/>
      </w:r>
      <w:r>
        <w:rPr>
          <w:rStyle w:val="949"/>
        </w:rPr>
        <w:t xml:space="preserve">- Critério "Causa Identificada": A recomendação identifica a causa que levou à condição detectada? </w:t>
      </w:r>
      <w:r>
        <w:br/>
      </w:r>
      <w:r>
        <w:rPr>
          <w:rStyle w:val="949"/>
        </w:rPr>
        <w:t xml:space="preserve">- Critério "Ação Proposta": A recomendação traz uma sugestão de ação a ser tomada pelo gestor objetivando mitigar o risco de novas ocorrências da condição?</w:t>
      </w:r>
      <w:r>
        <w:br/>
      </w:r>
      <w:r>
        <w:rPr>
          <w:rStyle w:val="949"/>
        </w:rPr>
        <w:t xml:space="preserve">- Critério "Efeitos Duradouros": Os efeitos pretendidos da ação proposta permanecem mesmo se os atores envolvidos mudarem?</w:t>
      </w:r>
      <w:r>
        <w:br/>
      </w:r>
      <w:r>
        <w:rPr>
          <w:rStyle w:val="949"/>
        </w:rPr>
        <w:t xml:space="preserve">- Critério "Ação Genérica": A ação proposta se restringe a sugerir que o destinatário da recomendação cumpra um normativo legal já existente?</w:t>
      </w:r>
      <w:r>
        <w:br/>
      </w:r>
      <w:r>
        <w:br/>
      </w:r>
      <w:r>
        <w:rPr>
          <w:rStyle w:val="949"/>
        </w:rPr>
        <w:t xml:space="preserve">Instruções adicionais para avaliação dos critérios.</w:t>
      </w:r>
      <w:r>
        <w:br/>
      </w:r>
      <w:r>
        <w:br/>
      </w:r>
      <w:r>
        <w:rPr>
          <w:rStyle w:val="949"/>
        </w:rPr>
        <w:t xml:space="preserve">No caso do critério "Causa Identificada", se a recomendação traz uma ação proposta a partir da qual pode-se inferir a causa, considere que a causa está identificada.</w:t>
      </w:r>
      <w:r>
        <w:br/>
      </w:r>
      <w:r>
        <w:br/>
      </w:r>
      <w:r>
        <w:rPr>
          <w:rStyle w:val="949"/>
        </w:rPr>
        <w:t xml:space="preserve">No caso do critério "Ação Proposta", ações que se restrinjam a sugerir o cumprimento de um normativo já existente devem ser consideradas como proposições.</w:t>
      </w:r>
      <w:r>
        <w:br/>
      </w:r>
      <w:r>
        <w:br/>
      </w:r>
      <w:r>
        <w:rPr>
          <w:rStyle w:val="949"/>
        </w:rPr>
        <w:t xml:space="preserve">No caso do critério "Efeitos Duradouros", o que se pretende avaliar é se a ação proposta produz uma alteração institucional para além dos atores específicos que estavam a atuar quando da ocorrência da condição que motivou a recomendação.</w:t>
      </w:r>
      <w:r>
        <w:br/>
      </w:r>
      <w:r>
        <w:br/>
      </w:r>
      <w:r>
        <w:rPr>
          <w:rStyle w:val="949"/>
        </w:rPr>
        <w:t xml:space="preserve">No caso do critério "Ação Genérica", o que se pretende é diferenciar ações que se restringem a sugerir que o destinatário da recomendação cumpra um normativo legal já existente em detrimento de uma proposta de ação concreta que trate a causa do não cumprimento da norma já existente.</w:t>
      </w:r>
      <w:r>
        <w:br/>
      </w:r>
      <w:r>
        <w:br/>
      </w:r>
      <w:r>
        <w:rPr>
          <w:rStyle w:val="949"/>
        </w:rPr>
        <w:t xml:space="preserve">A cadeia de pensamento deverá constar no campo "Análise" da resposta, que será sucedido pelos campos referentes aos critérios delineados acima.</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aos efeitos, a recomendação... Ja em relação à ação proposta, a recomendação...",</w:t>
      </w:r>
      <w:r>
        <w:br/>
      </w:r>
      <w:r>
        <w:rPr>
          <w:rStyle w:val="949"/>
        </w:rPr>
        <w:t xml:space="preserve">   "Causa Identificada": "sim",</w:t>
      </w:r>
      <w:r>
        <w:br/>
      </w:r>
      <w:r>
        <w:rPr>
          <w:rStyle w:val="949"/>
        </w:rPr>
        <w:t xml:space="preserve">   "Ação Proposta": "sim",</w:t>
      </w:r>
      <w:r>
        <w:br/>
      </w:r>
      <w:r>
        <w:rPr>
          <w:rStyle w:val="949"/>
        </w:rPr>
        <w:t xml:space="preserve">   "Efeitos Duradouros": "não",</w:t>
      </w:r>
      <w:r>
        <w:br/>
      </w:r>
      <w:r>
        <w:rPr>
          <w:rStyle w:val="949"/>
        </w:rPr>
        <w:t xml:space="preserve">   "Ação Genérica": "sim"</w:t>
      </w:r>
      <w:r>
        <w:br/>
      </w:r>
      <w:r>
        <w:rPr>
          <w:rStyle w:val="949"/>
        </w:rPr>
        <w:t xml:space="preserve">} </w:t>
      </w:r>
    </w:p>
    <w:bookmarkEnd w:id="239"/>
    <w:bookmarkStart w:id="240" w:name="resultados-2"/>
    <w:p>
      <w:pPr>
        <w:pStyle w:val="906"/>
      </w:pPr>
      <w:r>
        <w:t xml:space="preserve">11.0.2 Resultados</w:t>
      </w:r>
    </w:p>
    <w:tbl>
      <w:tblPr>
        <w:tblStyle w:val="Table"/>
        <w:tblW w:type="pct" w:w="4930"/>
        <w:tblLayout w:type="fixed"/>
        <w:tblLook w:firstRow="1" w:lastRow="0" w:firstColumn="0" w:lastColumn="0" w:noHBand="0" w:noVBand="0" w:val="0020"/>
      </w:tblPr>
      <w:tblGrid>
        <w:gridCol w:w="1550"/>
        <w:gridCol w:w="1550"/>
        <w:gridCol w:w="1550"/>
        <w:gridCol w:w="1550"/>
        <w:gridCol w:w="720"/>
        <w:gridCol w:w="443"/>
        <w:gridCol w:w="443"/>
      </w:tblGrid>
      <w:tr>
        <w:trPr>
          <w:tblHeader w:val="on"/>
        </w:trPr>
        <w:tc>
          <w:tcPr/>
          <w:p>
            <w:pPr>
              <w:pStyle w:val="918"/>
              <w:jc w:val="left"/>
            </w:pPr>
            <w:r>
              <w:t xml:space="preserve">Causa Identificada</w:t>
            </w:r>
          </w:p>
        </w:tc>
        <w:tc>
          <w:tcPr/>
          <w:p>
            <w:pPr>
              <w:pStyle w:val="918"/>
              <w:jc w:val="left"/>
            </w:pPr>
            <w:r>
              <w:t xml:space="preserve">Ação Proposta</w:t>
            </w:r>
          </w:p>
        </w:tc>
        <w:tc>
          <w:tcPr/>
          <w:p>
            <w:pPr>
              <w:pStyle w:val="918"/>
              <w:jc w:val="left"/>
            </w:pPr>
            <w:r>
              <w:t xml:space="preserve">Efeitos Duradouros</w:t>
            </w:r>
          </w:p>
        </w:tc>
        <w:tc>
          <w:tcPr/>
          <w:p>
            <w:pPr>
              <w:pStyle w:val="918"/>
              <w:jc w:val="left"/>
            </w:pPr>
            <w:r>
              <w:t xml:space="preserve">Ação Genérica</w:t>
            </w:r>
          </w:p>
        </w:tc>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right"/>
            </w:pPr>
            <w:r>
              <w:t xml:space="preserve">119</w:t>
            </w:r>
          </w:p>
        </w:tc>
        <w:tc>
          <w:tcPr/>
          <w:p>
            <w:pPr>
              <w:pStyle w:val="918"/>
              <w:jc w:val="right"/>
            </w:pPr>
            <w:r>
              <w:t xml:space="preserve">2.77</w:t>
            </w:r>
          </w:p>
        </w:tc>
      </w:tr>
      <w:tr>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right"/>
            </w:pPr>
            <w:r>
              <w:t xml:space="preserve">29</w:t>
            </w:r>
          </w:p>
        </w:tc>
        <w:tc>
          <w:tcPr/>
          <w:p>
            <w:pPr>
              <w:pStyle w:val="918"/>
              <w:jc w:val="right"/>
            </w:pPr>
            <w:r>
              <w:t xml:space="preserve">0.68</w:t>
            </w:r>
          </w:p>
        </w:tc>
      </w:tr>
      <w:tr>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right"/>
            </w:pPr>
            <w:r>
              <w:t xml:space="preserve">2054</w:t>
            </w:r>
          </w:p>
        </w:tc>
        <w:tc>
          <w:tcPr/>
          <w:p>
            <w:pPr>
              <w:pStyle w:val="918"/>
              <w:jc w:val="right"/>
            </w:pPr>
            <w:r>
              <w:t xml:space="preserve">47.89</w:t>
            </w:r>
          </w:p>
        </w:tc>
      </w:tr>
      <w:tr>
        <w:tc>
          <w:tcPr/>
          <w:p>
            <w:pPr>
              <w:pStyle w:val="918"/>
              <w:jc w:val="left"/>
            </w:pPr>
            <w:r>
              <w:t xml:space="preserve">não</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left"/>
            </w:pPr>
            <w:r>
              <w:t xml:space="preserve">sim</w:t>
            </w:r>
          </w:p>
        </w:tc>
        <w:tc>
          <w:tcPr/>
          <w:p>
            <w:pPr>
              <w:pStyle w:val="918"/>
              <w:jc w:val="right"/>
            </w:pPr>
            <w:r>
              <w:t xml:space="preserve">1</w:t>
            </w:r>
          </w:p>
        </w:tc>
        <w:tc>
          <w:tcPr/>
          <w:p>
            <w:pPr>
              <w:pStyle w:val="918"/>
              <w:jc w:val="right"/>
            </w:pPr>
            <w:r>
              <w:t xml:space="preserve">0.02</w:t>
            </w:r>
          </w:p>
        </w:tc>
      </w:tr>
      <w:tr>
        <w:tc>
          <w:tcPr/>
          <w:p>
            <w:pPr>
              <w:pStyle w:val="918"/>
              <w:jc w:val="left"/>
            </w:pPr>
            <w:r>
              <w:t xml:space="preserve">não</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right"/>
            </w:pPr>
            <w:r>
              <w:t xml:space="preserve">2</w:t>
            </w:r>
          </w:p>
        </w:tc>
        <w:tc>
          <w:tcPr/>
          <w:p>
            <w:pPr>
              <w:pStyle w:val="918"/>
              <w:jc w:val="right"/>
            </w:pPr>
            <w:r>
              <w:t xml:space="preserve">0.05</w:t>
            </w:r>
          </w:p>
        </w:tc>
      </w:tr>
      <w:tr>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22</w:t>
            </w:r>
          </w:p>
        </w:tc>
        <w:tc>
          <w:tcPr/>
          <w:p>
            <w:pPr>
              <w:pStyle w:val="918"/>
              <w:jc w:val="right"/>
            </w:pPr>
            <w:r>
              <w:t xml:space="preserve">0.51</w:t>
            </w:r>
          </w:p>
        </w:tc>
      </w:tr>
      <w:tr>
        <w:tc>
          <w:tcPr/>
          <w:p>
            <w:pPr>
              <w:pStyle w:val="918"/>
              <w:jc w:val="left"/>
            </w:pPr>
            <w:r>
              <w:t xml:space="preserve">não</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198</w:t>
            </w:r>
          </w:p>
        </w:tc>
        <w:tc>
          <w:tcPr/>
          <w:p>
            <w:pPr>
              <w:pStyle w:val="918"/>
              <w:jc w:val="right"/>
            </w:pPr>
            <w:r>
              <w:t xml:space="preserve">4.62</w:t>
            </w:r>
          </w:p>
        </w:tc>
      </w:tr>
      <w:tr>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não é possível determinar</w:t>
            </w:r>
          </w:p>
        </w:tc>
        <w:tc>
          <w:tcPr/>
          <w:p>
            <w:pPr>
              <w:pStyle w:val="918"/>
              <w:jc w:val="left"/>
            </w:pPr>
            <w:r>
              <w:t xml:space="preserve">não é possível determinar</w:t>
            </w:r>
          </w:p>
        </w:tc>
        <w:tc>
          <w:tcPr/>
          <w:p>
            <w:pPr>
              <w:pStyle w:val="918"/>
              <w:jc w:val="left"/>
            </w:pPr>
            <w:r>
              <w:t xml:space="preserve">não é possível determinar</w:t>
            </w:r>
          </w:p>
        </w:tc>
        <w:tc>
          <w:tcPr/>
          <w:p>
            <w:pPr>
              <w:pStyle w:val="918"/>
              <w:jc w:val="left"/>
            </w:pPr>
            <w:r>
              <w:t xml:space="preserve">não é possível determinar</w:t>
            </w:r>
          </w:p>
        </w:tc>
        <w:tc>
          <w:tcPr/>
          <w:p>
            <w:pPr>
              <w:pStyle w:val="918"/>
              <w:jc w:val="left"/>
            </w:pPr>
            <w:r>
              <w:t xml:space="preserve">não</w:t>
            </w:r>
          </w:p>
        </w:tc>
        <w:tc>
          <w:tcPr/>
          <w:p>
            <w:pPr>
              <w:pStyle w:val="918"/>
              <w:jc w:val="right"/>
            </w:pPr>
            <w:r>
              <w:t xml:space="preserve">1</w:t>
            </w:r>
          </w:p>
        </w:tc>
        <w:tc>
          <w:tcPr/>
          <w:p>
            <w:pPr>
              <w:pStyle w:val="918"/>
              <w:jc w:val="right"/>
            </w:pPr>
            <w:r>
              <w:t xml:space="preserve">0.02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right"/>
            </w:pPr>
            <w:r>
              <w:t xml:space="preserve">2</w:t>
            </w:r>
          </w:p>
        </w:tc>
        <w:tc>
          <w:tcPr/>
          <w:p>
            <w:pPr>
              <w:pStyle w:val="918"/>
              <w:jc w:val="right"/>
            </w:pPr>
            <w:r>
              <w:t xml:space="preserve">0.05</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right"/>
            </w:pPr>
            <w:r>
              <w:t xml:space="preserve">10</w:t>
            </w:r>
          </w:p>
        </w:tc>
        <w:tc>
          <w:tcPr/>
          <w:p>
            <w:pPr>
              <w:pStyle w:val="918"/>
              <w:jc w:val="right"/>
            </w:pPr>
            <w:r>
              <w:t xml:space="preserve">0.23</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left"/>
            </w:pPr>
            <w:r>
              <w:t xml:space="preserve">sim</w:t>
            </w:r>
          </w:p>
        </w:tc>
        <w:tc>
          <w:tcPr/>
          <w:p>
            <w:pPr>
              <w:pStyle w:val="918"/>
              <w:jc w:val="right"/>
            </w:pPr>
            <w:r>
              <w:t xml:space="preserve">1</w:t>
            </w:r>
          </w:p>
        </w:tc>
        <w:tc>
          <w:tcPr/>
          <w:p>
            <w:pPr>
              <w:pStyle w:val="918"/>
              <w:jc w:val="right"/>
            </w:pPr>
            <w:r>
              <w:t xml:space="preserve">0.02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parcialmente</w:t>
            </w:r>
          </w:p>
        </w:tc>
        <w:tc>
          <w:tcPr/>
          <w:p>
            <w:pPr>
              <w:pStyle w:val="918"/>
              <w:jc w:val="left"/>
            </w:pPr>
            <w:r>
              <w:t xml:space="preserve">sim</w:t>
            </w:r>
          </w:p>
        </w:tc>
        <w:tc>
          <w:tcPr/>
          <w:p>
            <w:pPr>
              <w:pStyle w:val="918"/>
              <w:jc w:val="right"/>
            </w:pPr>
            <w:r>
              <w:t xml:space="preserve">4</w:t>
            </w:r>
          </w:p>
        </w:tc>
        <w:tc>
          <w:tcPr/>
          <w:p>
            <w:pPr>
              <w:pStyle w:val="918"/>
              <w:jc w:val="right"/>
            </w:pPr>
            <w:r>
              <w:t xml:space="preserve">0.09</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right"/>
            </w:pPr>
            <w:r>
              <w:t xml:space="preserve">4</w:t>
            </w:r>
          </w:p>
        </w:tc>
        <w:tc>
          <w:tcPr/>
          <w:p>
            <w:pPr>
              <w:pStyle w:val="918"/>
              <w:jc w:val="right"/>
            </w:pPr>
            <w:r>
              <w:t xml:space="preserve">0.09</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5</w:t>
            </w:r>
          </w:p>
        </w:tc>
        <w:tc>
          <w:tcPr/>
          <w:p>
            <w:pPr>
              <w:pStyle w:val="918"/>
              <w:jc w:val="right"/>
            </w:pPr>
            <w:r>
              <w:t xml:space="preserve">0.12</w:t>
            </w:r>
          </w:p>
        </w:tc>
      </w:tr>
      <w:tr>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5</w:t>
            </w:r>
          </w:p>
        </w:tc>
        <w:tc>
          <w:tcPr/>
          <w:p>
            <w:pPr>
              <w:pStyle w:val="918"/>
              <w:jc w:val="right"/>
            </w:pPr>
            <w:r>
              <w:t xml:space="preserve">0.12</w:t>
            </w:r>
          </w:p>
        </w:tc>
      </w:tr>
      <w:tr>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right"/>
            </w:pPr>
            <w:r>
              <w:t xml:space="preserve">2</w:t>
            </w:r>
          </w:p>
        </w:tc>
        <w:tc>
          <w:tcPr/>
          <w:p>
            <w:pPr>
              <w:pStyle w:val="918"/>
              <w:jc w:val="right"/>
            </w:pPr>
            <w:r>
              <w:t xml:space="preserve">0.05</w:t>
            </w:r>
          </w:p>
        </w:tc>
      </w:tr>
      <w:tr>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não</w:t>
            </w:r>
          </w:p>
        </w:tc>
        <w:tc>
          <w:tcPr/>
          <w:p>
            <w:pPr>
              <w:pStyle w:val="918"/>
              <w:jc w:val="left"/>
            </w:pPr>
            <w:r>
              <w:t xml:space="preserve">não</w:t>
            </w:r>
          </w:p>
        </w:tc>
        <w:tc>
          <w:tcPr/>
          <w:p>
            <w:pPr>
              <w:pStyle w:val="918"/>
              <w:jc w:val="right"/>
            </w:pPr>
            <w:r>
              <w:t xml:space="preserve">82</w:t>
            </w:r>
          </w:p>
        </w:tc>
        <w:tc>
          <w:tcPr/>
          <w:p>
            <w:pPr>
              <w:pStyle w:val="918"/>
              <w:jc w:val="right"/>
            </w:pPr>
            <w:r>
              <w:t xml:space="preserve">1.91</w:t>
            </w:r>
          </w:p>
        </w:tc>
      </w:tr>
      <w:tr>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left"/>
            </w:pPr>
            <w:r>
              <w:t xml:space="preserve">não</w:t>
            </w:r>
          </w:p>
        </w:tc>
        <w:tc>
          <w:tcPr/>
          <w:p>
            <w:pPr>
              <w:pStyle w:val="918"/>
              <w:jc w:val="right"/>
            </w:pPr>
            <w:r>
              <w:t xml:space="preserve">752</w:t>
            </w:r>
          </w:p>
        </w:tc>
        <w:tc>
          <w:tcPr/>
          <w:p>
            <w:pPr>
              <w:pStyle w:val="918"/>
              <w:jc w:val="right"/>
            </w:pPr>
            <w:r>
              <w:t xml:space="preserve">17.53</w:t>
            </w:r>
          </w:p>
        </w:tc>
      </w:tr>
      <w:tr>
        <w:tc>
          <w:tcPr/>
          <w:p>
            <w:pPr>
              <w:pStyle w:val="918"/>
              <w:jc w:val="left"/>
            </w:pPr>
            <w:r>
              <w:t xml:space="preserve">sim</w:t>
            </w:r>
          </w:p>
        </w:tc>
        <w:tc>
          <w:tcPr/>
          <w:p>
            <w:pPr>
              <w:pStyle w:val="918"/>
              <w:jc w:val="left"/>
            </w:pPr>
            <w:r>
              <w:t xml:space="preserve">sim</w:t>
            </w:r>
          </w:p>
        </w:tc>
        <w:tc>
          <w:tcPr/>
          <w:p>
            <w:pPr>
              <w:pStyle w:val="918"/>
              <w:jc w:val="left"/>
            </w:pPr>
            <w:r>
              <w:t xml:space="preserve">parcialmente</w:t>
            </w:r>
          </w:p>
        </w:tc>
        <w:tc>
          <w:tcPr/>
          <w:p>
            <w:pPr>
              <w:pStyle w:val="918"/>
              <w:jc w:val="left"/>
            </w:pPr>
            <w:r>
              <w:t xml:space="preserve">não</w:t>
            </w:r>
          </w:p>
        </w:tc>
        <w:tc>
          <w:tcPr/>
          <w:p>
            <w:pPr>
              <w:pStyle w:val="918"/>
              <w:jc w:val="left"/>
            </w:pPr>
            <w:r>
              <w:t xml:space="preserve">sim</w:t>
            </w:r>
          </w:p>
        </w:tc>
        <w:tc>
          <w:tcPr/>
          <w:p>
            <w:pPr>
              <w:pStyle w:val="918"/>
              <w:jc w:val="right"/>
            </w:pPr>
            <w:r>
              <w:t xml:space="preserve">2</w:t>
            </w:r>
          </w:p>
        </w:tc>
        <w:tc>
          <w:tcPr/>
          <w:p>
            <w:pPr>
              <w:pStyle w:val="918"/>
              <w:jc w:val="right"/>
            </w:pPr>
            <w:r>
              <w:t xml:space="preserve">0.05</w:t>
            </w:r>
          </w:p>
        </w:tc>
      </w:tr>
      <w:tr>
        <w:tc>
          <w:tcPr/>
          <w:p>
            <w:pPr>
              <w:pStyle w:val="918"/>
              <w:jc w:val="left"/>
            </w:pPr>
            <w:r>
              <w:t xml:space="preserve">sim</w:t>
            </w:r>
          </w:p>
        </w:tc>
        <w:tc>
          <w:tcPr/>
          <w:p>
            <w:pPr>
              <w:pStyle w:val="918"/>
              <w:jc w:val="left"/>
            </w:pPr>
            <w:r>
              <w:t xml:space="preserve">sim</w:t>
            </w:r>
          </w:p>
        </w:tc>
        <w:tc>
          <w:tcPr/>
          <w:p>
            <w:pPr>
              <w:pStyle w:val="918"/>
              <w:jc w:val="left"/>
            </w:pPr>
            <w:r>
              <w:t xml:space="preserve">parcialmente</w:t>
            </w:r>
          </w:p>
        </w:tc>
        <w:tc>
          <w:tcPr/>
          <w:p>
            <w:pPr>
              <w:pStyle w:val="918"/>
              <w:jc w:val="left"/>
            </w:pPr>
            <w:r>
              <w:t xml:space="preserve">sim</w:t>
            </w:r>
          </w:p>
        </w:tc>
        <w:tc>
          <w:tcPr/>
          <w:p>
            <w:pPr>
              <w:pStyle w:val="918"/>
              <w:jc w:val="left"/>
            </w:pPr>
            <w:r>
              <w:t xml:space="preserve">sim</w:t>
            </w:r>
          </w:p>
        </w:tc>
        <w:tc>
          <w:tcPr/>
          <w:p>
            <w:pPr>
              <w:pStyle w:val="918"/>
              <w:jc w:val="right"/>
            </w:pPr>
            <w:r>
              <w:t xml:space="preserve">4</w:t>
            </w:r>
          </w:p>
        </w:tc>
        <w:tc>
          <w:tcPr/>
          <w:p>
            <w:pPr>
              <w:pStyle w:val="918"/>
              <w:jc w:val="right"/>
            </w:pPr>
            <w:r>
              <w:t xml:space="preserve">0.09</w:t>
            </w:r>
          </w:p>
        </w:tc>
      </w:tr>
      <w:tr>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não</w:t>
            </w:r>
          </w:p>
        </w:tc>
        <w:tc>
          <w:tcPr/>
          <w:p>
            <w:pPr>
              <w:pStyle w:val="918"/>
              <w:jc w:val="left"/>
            </w:pPr>
            <w:r>
              <w:t xml:space="preserve">sim</w:t>
            </w:r>
          </w:p>
        </w:tc>
        <w:tc>
          <w:tcPr/>
          <w:p>
            <w:pPr>
              <w:pStyle w:val="918"/>
              <w:jc w:val="right"/>
            </w:pPr>
            <w:r>
              <w:t xml:space="preserve">519</w:t>
            </w:r>
          </w:p>
        </w:tc>
        <w:tc>
          <w:tcPr/>
          <w:p>
            <w:pPr>
              <w:pStyle w:val="918"/>
              <w:jc w:val="right"/>
            </w:pPr>
            <w:r>
              <w:t xml:space="preserve">12.10</w:t>
            </w:r>
          </w:p>
        </w:tc>
      </w:tr>
      <w:tr>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left"/>
            </w:pPr>
            <w:r>
              <w:t xml:space="preserve">sim</w:t>
            </w:r>
          </w:p>
        </w:tc>
        <w:tc>
          <w:tcPr/>
          <w:p>
            <w:pPr>
              <w:pStyle w:val="918"/>
              <w:jc w:val="right"/>
            </w:pPr>
            <w:r>
              <w:t xml:space="preserve">445</w:t>
            </w:r>
          </w:p>
        </w:tc>
        <w:tc>
          <w:tcPr/>
          <w:p>
            <w:pPr>
              <w:pStyle w:val="918"/>
              <w:jc w:val="right"/>
            </w:pPr>
            <w:r>
              <w:t xml:space="preserve">10.38</w:t>
            </w:r>
          </w:p>
        </w:tc>
      </w:tr>
      <w:tr>
        <w:tc>
          <w:tcPr/>
          <w:p>
            <w:pPr>
              <w:pStyle w:val="918"/>
              <w:jc w:val="left"/>
            </w:pPr>
            <w:r>
              <w:t xml:space="preserve">NA</w:t>
            </w:r>
          </w:p>
        </w:tc>
        <w:tc>
          <w:tcPr/>
          <w:p>
            <w:pPr>
              <w:pStyle w:val="918"/>
              <w:jc w:val="left"/>
            </w:pPr>
            <w:r>
              <w:t xml:space="preserve">NA</w:t>
            </w:r>
          </w:p>
        </w:tc>
        <w:tc>
          <w:tcPr/>
          <w:p>
            <w:pPr>
              <w:pStyle w:val="918"/>
              <w:jc w:val="left"/>
            </w:pPr>
            <w:r>
              <w:t xml:space="preserve">NA</w:t>
            </w:r>
          </w:p>
        </w:tc>
        <w:tc>
          <w:tcPr/>
          <w:p>
            <w:pPr>
              <w:pStyle w:val="918"/>
              <w:jc w:val="left"/>
            </w:pPr>
            <w:r>
              <w:t xml:space="preserve">NA</w:t>
            </w:r>
          </w:p>
        </w:tc>
        <w:tc>
          <w:tcPr/>
          <w:p>
            <w:pPr>
              <w:pStyle w:val="918"/>
              <w:jc w:val="left"/>
            </w:pPr>
            <w:r>
              <w:t xml:space="preserve">não</w:t>
            </w:r>
          </w:p>
        </w:tc>
        <w:tc>
          <w:tcPr/>
          <w:p>
            <w:pPr>
              <w:pStyle w:val="918"/>
              <w:jc w:val="right"/>
            </w:pPr>
            <w:r>
              <w:t xml:space="preserve">23</w:t>
            </w:r>
          </w:p>
        </w:tc>
        <w:tc>
          <w:tcPr/>
          <w:p>
            <w:pPr>
              <w:pStyle w:val="918"/>
              <w:jc w:val="right"/>
            </w:pPr>
            <w:r>
              <w:t xml:space="preserve">0.54</w:t>
            </w:r>
          </w:p>
        </w:tc>
      </w:tr>
    </w:tbl>
    <w:p>
      <w:pPr>
        <w:pStyle w:val="916"/>
      </w:pPr>
      <w:r>
        <w:t xml:space="preserve"> </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right"/>
            </w:pPr>
            <w:r>
              <w:t xml:space="preserve">3076</w:t>
            </w:r>
          </w:p>
        </w:tc>
        <w:tc>
          <w:tcPr/>
          <w:p>
            <w:pPr>
              <w:pStyle w:val="918"/>
              <w:jc w:val="right"/>
            </w:pPr>
            <w:r>
              <w:t xml:space="preserve">72</w:t>
            </w:r>
          </w:p>
        </w:tc>
      </w:tr>
      <w:tr>
        <w:tc>
          <w:tcPr/>
          <w:p>
            <w:pPr>
              <w:pStyle w:val="918"/>
              <w:jc w:val="left"/>
            </w:pPr>
            <w:r>
              <w:t xml:space="preserve">sim</w:t>
            </w:r>
          </w:p>
        </w:tc>
        <w:tc>
          <w:tcPr/>
          <w:p>
            <w:pPr>
              <w:pStyle w:val="918"/>
              <w:jc w:val="right"/>
            </w:pPr>
            <w:r>
              <w:t xml:space="preserve">1213</w:t>
            </w:r>
          </w:p>
        </w:tc>
        <w:tc>
          <w:tcPr/>
          <w:p>
            <w:pPr>
              <w:pStyle w:val="918"/>
              <w:jc w:val="right"/>
            </w:pPr>
            <w:r>
              <w:t xml:space="preserve">28</w:t>
            </w:r>
          </w:p>
        </w:tc>
      </w:tr>
    </w:tbl>
    <w:bookmarkEnd w:id="240"/>
    <w:bookmarkStart w:id="283" w:name="listagem-2"/>
    <w:p>
      <w:pPr>
        <w:pStyle w:val="906"/>
      </w:pPr>
      <w:r>
        <w:t xml:space="preserve">11.0.3 Listagem</w:t>
      </w:r>
    </w:p>
    <w:bookmarkStart w:id="241" w:name="auditoria-19806-constatação-nº-694420-1"/>
    <w:p>
      <w:pPr>
        <w:pStyle w:val="907"/>
      </w:pPr>
      <w:r>
        <w:t xml:space="preserve">11.0.3.1 Auditoria 19806, Constatação Nº 694420</w:t>
      </w:r>
    </w:p>
    <w:p>
      <w:pPr>
        <w:pStyle w:val="917"/>
      </w:pPr>
      <w:r>
        <w:rPr>
          <w:b/>
          <w:bCs/>
        </w:rPr>
        <w:t xml:space="preserve">Finalidade</w:t>
      </w:r>
      <w:r>
        <w:t xml:space="preserve">: Auditoria na PNSMAD - 2024. Verificar se a APS está exercendo as atribuições de coord. da Raps.</w:t>
      </w:r>
    </w:p>
    <w:p>
      <w:pPr>
        <w:pStyle w:val="916"/>
      </w:pPr>
      <w:r>
        <w:rPr>
          <w:b/>
          <w:bCs/>
        </w:rPr>
        <w:t xml:space="preserve">Constatação</w:t>
      </w:r>
      <w:r>
        <w:t xml:space="preserve">: A FMS não comprovou que as ações relacionadas à saúde mental, álcool e outras drogas na atenção básica do Plano de Ação Municipal estão alinhadas às ações do Plano de Ação Regional.</w:t>
      </w:r>
    </w:p>
    <w:p>
      <w:pPr>
        <w:pStyle w:val="916"/>
      </w:pPr>
      <w:r>
        <w:rPr>
          <w:b/>
          <w:bCs/>
        </w:rPr>
        <w:t xml:space="preserve">Recomendação</w:t>
      </w:r>
      <w:r>
        <w:t xml:space="preserve">: a) Elaborar Plano de Ação Municipal, previsto na Raps, em consonância com o Plano de Ação Regional e considerando ainda as especificidades locais; b) Que a FMS preste, sempre que exigida ao pessoal em exercício no SNA, toda informação necessária ao desempenho das atividades de controle, avaliação e auditoria, facilitando-lhes o acesso a documentos, pessoas e instalações, conforme o art. 11 do Decreto nº 1.651/1995.</w:t>
      </w:r>
    </w:p>
    <w:p>
      <w:pPr>
        <w:pStyle w:val="916"/>
      </w:pPr>
      <w:r>
        <w:rPr>
          <w:b/>
          <w:bCs/>
        </w:rPr>
        <w:t xml:space="preserve">Análise Codificação</w:t>
      </w:r>
      <w:r>
        <w:t xml:space="preserve">: A recomendação (a) propõe a elaboração de um Plano de Ação Municipal alinhado ao regional, o que sugere uma ação para evitar a repetição da falta de alinhamento, mas não identifica explicitamente a causa subjacente, como falhas na coordenação ou capacitação. A ação proposta visa mitigar o risco de novas ocorrências ao estabelecer um plano, porém seus efeitos podem ser duradouros se institucionalizados, embora dependam da implementação contínua. A ação não é genérica, pois vai além do mero cumprimento normativo ao especificar a elaboração de um plano. Já a recomendação (b) é claramente genérica, focando no cumprimento de um decreto existente sem abordar causas ou propor mudanças estruturais, sendo reativa e de efeitos limitados. Considerando o foco principal da recomendação (a) como mais relevante para a classificação, ela se aproxima de uma abordagem cause-based, mas com limitações na identificação direta da causa e na durabilidade.</w:t>
      </w:r>
    </w:p>
    <w:p>
      <w:pPr>
        <w:pStyle w:val="918"/>
        <w:numPr>
          <w:ilvl w:val="0"/>
          <w:numId w:val="1050"/>
        </w:numPr>
      </w:pPr>
      <w:r>
        <w:t xml:space="preserve">Causa Identificada: não</w:t>
      </w:r>
    </w:p>
    <w:p>
      <w:pPr>
        <w:pStyle w:val="918"/>
        <w:numPr>
          <w:ilvl w:val="0"/>
          <w:numId w:val="1050"/>
        </w:numPr>
      </w:pPr>
      <w:r>
        <w:t xml:space="preserve">Ação Proposta: sim</w:t>
      </w:r>
    </w:p>
    <w:p>
      <w:pPr>
        <w:pStyle w:val="918"/>
        <w:numPr>
          <w:ilvl w:val="0"/>
          <w:numId w:val="1050"/>
        </w:numPr>
      </w:pPr>
      <w:r>
        <w:t xml:space="preserve">Efeitos Duradouros: parcialmente</w:t>
      </w:r>
    </w:p>
    <w:p>
      <w:pPr>
        <w:pStyle w:val="918"/>
        <w:numPr>
          <w:ilvl w:val="0"/>
          <w:numId w:val="1050"/>
        </w:numPr>
      </w:pPr>
      <w:r>
        <w:t xml:space="preserve">Ação Genérica: não</w:t>
      </w:r>
    </w:p>
    <w:bookmarkEnd w:id="241"/>
    <w:bookmarkStart w:id="242" w:name="auditoria-19399-constatação-nº-663962-1"/>
    <w:p>
      <w:pPr>
        <w:pStyle w:val="907"/>
      </w:pPr>
      <w:r>
        <w:t xml:space="preserve">11.0.3.2 Auditoria 19399, Constatação Nº 663962</w:t>
      </w:r>
    </w:p>
    <w:p>
      <w:pPr>
        <w:pStyle w:val="917"/>
      </w:pPr>
      <w:r>
        <w:rPr>
          <w:b/>
          <w:bCs/>
        </w:rPr>
        <w:t xml:space="preserve">Finalidade</w:t>
      </w:r>
      <w:r>
        <w:t xml:space="preserve">: Verificar a regularidade da execução do Programa Farmácia Popular do Brasil (PFPB)</w:t>
      </w:r>
    </w:p>
    <w:p>
      <w:pPr>
        <w:pStyle w:val="916"/>
      </w:pPr>
      <w:r>
        <w:rPr>
          <w:b/>
          <w:bCs/>
        </w:rPr>
        <w:t xml:space="preserve">Constatação</w:t>
      </w:r>
      <w:r>
        <w:t xml:space="preserve">: Registro de dispensação de medicamentos pelo Programa Farmácia Popular do Brasil sem a comprovação das aquisições por meio de notas fiscais, no período de janeiro de 2017 a março de 2020.</w:t>
      </w:r>
    </w:p>
    <w:p>
      <w:pPr>
        <w:pStyle w:val="916"/>
      </w:pPr>
      <w:r>
        <w:rPr>
          <w:b/>
          <w:bCs/>
        </w:rPr>
        <w:t xml:space="preserve">Recomendação</w:t>
      </w:r>
      <w:r>
        <w:t xml:space="preserve">: 1-Apresentar a documentação solicitada pelos órgãos de controle do SUS e as entidades privadas, que dele participarem de forma complementar ao pessoal em exercício no SNA toda informação necessária ao desempenho da atividade de auditoria, em observância a determinação contida no artigo 11 do Decreto Federal nº 1.651 de 28/09/1995. 2- Manter os documentos fiscais de aquisição dos medicamentos e/ou fraldas geriátricas do PFPB, por um prazo de 10 (dez) anos, com arquivamento de 2 (duas) cópias, mantidas em locais distintos, uma em meio físico e outra em arquivo digitalizado, conforme estabelecido no inciso II e § 1º do artigo 22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inciso I do artigo 37 do Anexo LXXVII da Portaria de Consolidação GM/MS nº 5 de 28/09/2017, alterado pelo artigo 1º da Portaria GM/MS nº 2898 de 03/11/2021.</w:t>
      </w:r>
    </w:p>
    <w:p>
      <w:pPr>
        <w:pStyle w:val="916"/>
      </w:pPr>
      <w:r>
        <w:rPr>
          <w:b/>
          <w:bCs/>
        </w:rPr>
        <w:t xml:space="preserve">Análise Codificação</w:t>
      </w:r>
      <w:r>
        <w:t xml:space="preserve">: A recomendação é composta por três itens distintos. O primeiro item trata da apresentação de documentação solicitada por órgãos de controle, focando em cumprir exigências legais existentes sem propor ações específicas para evitar a causa da falta de documentação. O segundo item estabelece procedimentos de arquivamento de documentos fiscais, que embora possa ter efeitos duradouros ao instituir uma prática organizacional, não aborda diretamente as causas da não comprovação das aquisições. O terceiro item recomenda a observância das regras do programa, sendo uma ação genérica de cumprimento normativo. Em conjunto, as recomendações priorizam a correção da condição atual (falta de documentação) e o cumprimento de normas, sem propor ações claras para evitar a reincidência ao enfrentar causas subjacentes, como falhas em processos de aquisição ou controle interno.</w:t>
      </w:r>
    </w:p>
    <w:p>
      <w:pPr>
        <w:pStyle w:val="918"/>
        <w:numPr>
          <w:ilvl w:val="0"/>
          <w:numId w:val="1051"/>
        </w:numPr>
      </w:pPr>
      <w:r>
        <w:t xml:space="preserve">Causa Identificada: não</w:t>
      </w:r>
    </w:p>
    <w:p>
      <w:pPr>
        <w:pStyle w:val="918"/>
        <w:numPr>
          <w:ilvl w:val="0"/>
          <w:numId w:val="1051"/>
        </w:numPr>
      </w:pPr>
      <w:r>
        <w:t xml:space="preserve">Ação Proposta: sim</w:t>
      </w:r>
    </w:p>
    <w:p>
      <w:pPr>
        <w:pStyle w:val="918"/>
        <w:numPr>
          <w:ilvl w:val="0"/>
          <w:numId w:val="1051"/>
        </w:numPr>
      </w:pPr>
      <w:r>
        <w:t xml:space="preserve">Efeitos Duradouros: parcialmente</w:t>
      </w:r>
    </w:p>
    <w:p>
      <w:pPr>
        <w:pStyle w:val="918"/>
        <w:numPr>
          <w:ilvl w:val="0"/>
          <w:numId w:val="1051"/>
        </w:numPr>
      </w:pPr>
      <w:r>
        <w:t xml:space="preserve">Ação Genérica: sim</w:t>
      </w:r>
    </w:p>
    <w:bookmarkEnd w:id="242"/>
    <w:bookmarkStart w:id="243" w:name="auditoria-19508-constatação-nº-669076-1"/>
    <w:p>
      <w:pPr>
        <w:pStyle w:val="907"/>
      </w:pPr>
      <w:r>
        <w:t xml:space="preserve">11.0.3.3 Auditoria 19508, Constatação Nº 669076</w:t>
      </w:r>
    </w:p>
    <w:p>
      <w:pPr>
        <w:pStyle w:val="917"/>
      </w:pPr>
      <w:r>
        <w:rPr>
          <w:b/>
          <w:bCs/>
        </w:rPr>
        <w:t xml:space="preserve">Finalidade</w:t>
      </w:r>
      <w:r>
        <w:t xml:space="preserve">: Verificar a regularidade da execução do Programa Farmácia Popular do Brasil/PFPB</w:t>
      </w:r>
    </w:p>
    <w:p>
      <w:pPr>
        <w:pStyle w:val="916"/>
      </w:pPr>
      <w:r>
        <w:rPr>
          <w:b/>
          <w:bCs/>
        </w:rPr>
        <w:t xml:space="preserve">Constatação</w:t>
      </w:r>
      <w:r>
        <w:t xml:space="preserve">: Falta de apresentação das cópias dos cupons vinculados e prescrições médicas solicitados no período de 1º/1/2015 a 17/12/2019.</w:t>
      </w:r>
    </w:p>
    <w:p>
      <w:pPr>
        <w:pStyle w:val="916"/>
      </w:pPr>
      <w:r>
        <w:rPr>
          <w:b/>
          <w:bCs/>
        </w:rPr>
        <w:t xml:space="preserve">Recomendação</w:t>
      </w:r>
      <w:r>
        <w:t xml:space="preserve">: Devolver ao Fundo Nacional de Saúde o valor de R$ 12,00 (doze reais), conforme detalhado no Anexo IV deste relatório, com a devida correção a partir da data constante das Proposições de Devolução. Prestar, quando exigida, ao pessoal em exercício no Sistema Nacional de Auditoria (SNA), toda informação necessária ao desempenho das atividades de controle, avaliação e auditoria, facilitando-lhes o acesso a documentos, pessoas e instalações, em observância à determinação contida no artigo 11 do Decreto Federal nº 1.651 de 28/09/1995. Manter, por 10 (dez) anos as vias assinadas dos cupons vinculados, do documento fiscal, da prescrição, laudo ou atestado médico e do documento de identidade oficial apresentado no ato da compra, em ordem cronológica de emissão, com arquivamento em locais distintos, de 2 (duas) cópias, uma em meio físico e outra em arquivo digitalizado, conforme estabelecido no § 2º do artigo 21 combinado com o artigo 22, do Anexo LXXVII da Portaria de Consolidação GM/MS nº 5 de 28/09/2017, alterada pela Portaria GM/MS nº 2.898, de 26/10/2021.</w:t>
      </w:r>
    </w:p>
    <w:p>
      <w:pPr>
        <w:pStyle w:val="916"/>
      </w:pPr>
      <w:r>
        <w:rPr>
          <w:b/>
          <w:bCs/>
        </w:rPr>
        <w:t xml:space="preserve">Análise Codificação</w:t>
      </w:r>
      <w:r>
        <w:t xml:space="preserve">: A recomendação é composta por três ações distintas: (1) devolução de valores, (2) prestação de informações ao SNA, e (3) manutenção de documentação por 10 anos. Em relação ao critério</w:t>
      </w:r>
      <w:r>
        <w:t xml:space="preserve"> </w:t>
      </w:r>
      <w:r>
        <w:t xml:space="preserve">‘Causa Identificada’</w:t>
      </w:r>
      <w:r>
        <w:t xml:space="preserve">, a recomendação não explicita a causa da falta de apresentação dos documentos, limitando-se a propor ações corretivas e preventivas. Quanto à</w:t>
      </w:r>
      <w:r>
        <w:t xml:space="preserve"> </w:t>
      </w:r>
      <w:r>
        <w:t xml:space="preserve">‘Ação Proposta’</w:t>
      </w:r>
      <w:r>
        <w:t xml:space="preserve">, a recomendação sugere medidas específicas, incluindo a devolução de valores e a manutenção de documentos, mas não aborda diretamente a prevenção de novas ocorrências da condição inicial. Sobre</w:t>
      </w:r>
      <w:r>
        <w:t xml:space="preserve"> </w:t>
      </w:r>
      <w:r>
        <w:t xml:space="preserve">‘Efeitos Duradouros’</w:t>
      </w:r>
      <w:r>
        <w:t xml:space="preserve">, a ação de manter documentação por 10 anos pode ter efeitos prolongados, mas as demais ações são pontuais ou reativas. No critério</w:t>
      </w:r>
      <w:r>
        <w:t xml:space="preserve"> </w:t>
      </w:r>
      <w:r>
        <w:t xml:space="preserve">‘Ação Genérica’</w:t>
      </w:r>
      <w:r>
        <w:t xml:space="preserve">, a recomendação inclui referências a normativos legais existentes, como o Decreto Federal e a Portaria GM/MS, indicando que parte das ações se restringe ao cumprimento de normas pré-estabelecidas, sem propor soluções inovadoras para as causas subjacentes.</w:t>
      </w:r>
    </w:p>
    <w:p>
      <w:pPr>
        <w:pStyle w:val="918"/>
        <w:numPr>
          <w:ilvl w:val="0"/>
          <w:numId w:val="1052"/>
        </w:numPr>
      </w:pPr>
      <w:r>
        <w:t xml:space="preserve">Causa Identificada: não</w:t>
      </w:r>
    </w:p>
    <w:p>
      <w:pPr>
        <w:pStyle w:val="918"/>
        <w:numPr>
          <w:ilvl w:val="0"/>
          <w:numId w:val="1052"/>
        </w:numPr>
      </w:pPr>
      <w:r>
        <w:t xml:space="preserve">Ação Proposta: sim</w:t>
      </w:r>
    </w:p>
    <w:p>
      <w:pPr>
        <w:pStyle w:val="918"/>
        <w:numPr>
          <w:ilvl w:val="0"/>
          <w:numId w:val="1052"/>
        </w:numPr>
      </w:pPr>
      <w:r>
        <w:t xml:space="preserve">Efeitos Duradouros: parcialmente</w:t>
      </w:r>
    </w:p>
    <w:p>
      <w:pPr>
        <w:pStyle w:val="918"/>
        <w:numPr>
          <w:ilvl w:val="0"/>
          <w:numId w:val="1052"/>
        </w:numPr>
      </w:pPr>
      <w:r>
        <w:t xml:space="preserve">Ação Genérica: sim</w:t>
      </w:r>
    </w:p>
    <w:bookmarkEnd w:id="243"/>
    <w:bookmarkStart w:id="244" w:name="auditoria-19591-constatação-nº-682488-1"/>
    <w:p>
      <w:pPr>
        <w:pStyle w:val="907"/>
      </w:pPr>
      <w:r>
        <w:t xml:space="preserve">11.0.3.4 Auditoria 19591, Constatação Nº 682488</w:t>
      </w:r>
    </w:p>
    <w:p>
      <w:pPr>
        <w:pStyle w:val="917"/>
      </w:pPr>
      <w:r>
        <w:rPr>
          <w:b/>
          <w:bCs/>
        </w:rPr>
        <w:t xml:space="preserve">Finalidade</w:t>
      </w:r>
      <w:r>
        <w:t xml:space="preserve">: Verificar a implementação da Política Nac. de Atenção ao Portador de Doença Renal. Estágios 4 e 5</w:t>
      </w:r>
    </w:p>
    <w:p>
      <w:pPr>
        <w:pStyle w:val="916"/>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916"/>
      </w:pPr>
      <w:r>
        <w:rPr>
          <w:b/>
          <w:bCs/>
        </w:rPr>
        <w:t xml:space="preserve">Recomendação</w:t>
      </w:r>
      <w:r>
        <w:t xml:space="preserve">: Recomendação descrita na Constatação n.° 677630.</w:t>
      </w:r>
    </w:p>
    <w:p>
      <w:pPr>
        <w:pStyle w:val="916"/>
      </w:pPr>
      <w:r>
        <w:rPr>
          <w:b/>
          <w:bCs/>
        </w:rPr>
        <w:t xml:space="preserve">Análise Codificação</w:t>
      </w:r>
      <w:r>
        <w:t xml:space="preserve">: A recomendação não foi fornecida explicitamente, apenas referenciada a partir de outra constatação. Sem o conteúdo específico da recomendação, não é possível avaliar se ela identifica a causa, propõe ações para evitar recorrências, tem efeitos duradouros ou se é genérica. Portanto, todos os critérios são considerados não aplicáveis.</w:t>
      </w:r>
    </w:p>
    <w:p>
      <w:pPr>
        <w:pStyle w:val="918"/>
        <w:numPr>
          <w:ilvl w:val="0"/>
          <w:numId w:val="1053"/>
        </w:numPr>
      </w:pPr>
      <w:r>
        <w:t xml:space="preserve">Causa Identificada: não se aplica</w:t>
      </w:r>
    </w:p>
    <w:p>
      <w:pPr>
        <w:pStyle w:val="918"/>
        <w:numPr>
          <w:ilvl w:val="0"/>
          <w:numId w:val="1053"/>
        </w:numPr>
      </w:pPr>
      <w:r>
        <w:t xml:space="preserve">Ação Proposta: não se aplica</w:t>
      </w:r>
    </w:p>
    <w:p>
      <w:pPr>
        <w:pStyle w:val="918"/>
        <w:numPr>
          <w:ilvl w:val="0"/>
          <w:numId w:val="1053"/>
        </w:numPr>
      </w:pPr>
      <w:r>
        <w:t xml:space="preserve">Efeitos Duradouros: não se aplica</w:t>
      </w:r>
    </w:p>
    <w:p>
      <w:pPr>
        <w:pStyle w:val="918"/>
        <w:numPr>
          <w:ilvl w:val="0"/>
          <w:numId w:val="1053"/>
        </w:numPr>
      </w:pPr>
      <w:r>
        <w:t xml:space="preserve">Ação Genérica: não se aplica</w:t>
      </w:r>
    </w:p>
    <w:bookmarkEnd w:id="244"/>
    <w:bookmarkStart w:id="245" w:name="auditoria-19590-constatação-nº-684816-1"/>
    <w:p>
      <w:pPr>
        <w:pStyle w:val="907"/>
      </w:pPr>
      <w:r>
        <w:t xml:space="preserve">11.0.3.5 Auditoria 19590, Constatação Nº 684816</w:t>
      </w:r>
    </w:p>
    <w:p>
      <w:pPr>
        <w:pStyle w:val="917"/>
      </w:pPr>
      <w:r>
        <w:rPr>
          <w:b/>
          <w:bCs/>
        </w:rPr>
        <w:t xml:space="preserve">Finalidade</w:t>
      </w:r>
      <w:r>
        <w:t xml:space="preserve">: Verificar a implementação da Pol. Nac. ao Portador de Doença Ren. Crônica, nos estágios 4 e 5 em TRS</w:t>
      </w:r>
    </w:p>
    <w:p>
      <w:pPr>
        <w:pStyle w:val="916"/>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916"/>
      </w:pPr>
      <w:r>
        <w:rPr>
          <w:b/>
          <w:bCs/>
        </w:rPr>
        <w:t xml:space="preserve">Recomendação</w:t>
      </w:r>
      <w:r>
        <w:t xml:space="preserve">: Recomendação descrita na Constatação n.° 684813.</w:t>
      </w:r>
    </w:p>
    <w:p>
      <w:pPr>
        <w:pStyle w:val="916"/>
      </w:pPr>
      <w:r>
        <w:rPr>
          <w:b/>
          <w:bCs/>
        </w:rPr>
        <w:t xml:space="preserve">Análise Codificação</w:t>
      </w:r>
      <w:r>
        <w:t xml:space="preserve">: A recomendação não foi fornecida explicitamente, sendo apenas referenciada como</w:t>
      </w:r>
      <w:r>
        <w:t xml:space="preserve"> </w:t>
      </w:r>
      <w:r>
        <w:t xml:space="preserve">‘Recomendação descrita na Constatação n.° 684813’</w:t>
      </w:r>
      <w:r>
        <w:t xml:space="preserve">. Sem o conteúdo específico da recomendação, não é possível avaliar se ela identifica a causa da condição (manutenção inadequada da estrutura física), se propõe ações para evitar recorrências, se gera efeitos duradouros ou se é uma ação genérica. Portanto, todos os critérios não podem ser determinados com base nas informações disponíveis.</w:t>
      </w:r>
    </w:p>
    <w:p>
      <w:pPr>
        <w:pStyle w:val="918"/>
        <w:numPr>
          <w:ilvl w:val="0"/>
          <w:numId w:val="1054"/>
        </w:numPr>
      </w:pPr>
      <w:r>
        <w:t xml:space="preserve">Causa Identificada: não é possível determinar</w:t>
      </w:r>
    </w:p>
    <w:p>
      <w:pPr>
        <w:pStyle w:val="918"/>
        <w:numPr>
          <w:ilvl w:val="0"/>
          <w:numId w:val="1054"/>
        </w:numPr>
      </w:pPr>
      <w:r>
        <w:t xml:space="preserve">Ação Proposta: não é possível determinar</w:t>
      </w:r>
    </w:p>
    <w:p>
      <w:pPr>
        <w:pStyle w:val="918"/>
        <w:numPr>
          <w:ilvl w:val="0"/>
          <w:numId w:val="1054"/>
        </w:numPr>
      </w:pPr>
      <w:r>
        <w:t xml:space="preserve">Efeitos Duradouros: não é possível determinar</w:t>
      </w:r>
    </w:p>
    <w:p>
      <w:pPr>
        <w:pStyle w:val="918"/>
        <w:numPr>
          <w:ilvl w:val="0"/>
          <w:numId w:val="1054"/>
        </w:numPr>
      </w:pPr>
      <w:r>
        <w:t xml:space="preserve">Ação Genérica: não é possível determinar</w:t>
      </w:r>
    </w:p>
    <w:bookmarkEnd w:id="245"/>
    <w:bookmarkStart w:id="246" w:name="auditoria-19657-constatação-nº-685645-1"/>
    <w:p>
      <w:pPr>
        <w:pStyle w:val="907"/>
      </w:pPr>
      <w:r>
        <w:t xml:space="preserve">11.0.3.6 Auditoria 19657, Constatação Nº 685645</w:t>
      </w:r>
    </w:p>
    <w:p>
      <w:pPr>
        <w:pStyle w:val="917"/>
      </w:pPr>
      <w:r>
        <w:rPr>
          <w:b/>
          <w:bCs/>
        </w:rPr>
        <w:t xml:space="preserve">Finalidade</w:t>
      </w:r>
      <w:r>
        <w:t xml:space="preserve">: Auditoria no PREVINE - PAA/2024</w:t>
      </w:r>
    </w:p>
    <w:p>
      <w:pPr>
        <w:pStyle w:val="916"/>
      </w:pPr>
      <w:r>
        <w:rPr>
          <w:b/>
          <w:bCs/>
        </w:rPr>
        <w:t xml:space="preserve">Constatação</w:t>
      </w:r>
      <w:r>
        <w:t xml:space="preserve">: O Município de Novo Airão não comprovou ao menos uma das ações propostas previstas na NOTA TÉCNICA Nº 15/2022-SAPS/MS, referente ao indicador 3 - Proporção de gestantes com atendimento odontológico.</w:t>
      </w:r>
    </w:p>
    <w:p>
      <w:pPr>
        <w:pStyle w:val="916"/>
      </w:pPr>
      <w:r>
        <w:rPr>
          <w:b/>
          <w:bCs/>
        </w:rPr>
        <w:t xml:space="preserve">Recomendação</w:t>
      </w:r>
      <w:r>
        <w:t xml:space="preserve">: Desenvolver ações e estratégias para melhorias do Indicador nº 3, conforme Nota Técnica nº 15/2022-SAPS/MS, tais como: Realizar marcação de consulta com a Equipe de saúde bucal no momento da confirmação da gestação, manter vaga aberta na agenda para consulta e criar canal de comunicação direto entre as equipes para verificar o encaminhamento e retorno mesmo que ambas as equipes estejam no mesmo ambiente físico.</w:t>
      </w:r>
    </w:p>
    <w:p>
      <w:pPr>
        <w:pStyle w:val="916"/>
      </w:pPr>
      <w:r>
        <w:rPr>
          <w:b/>
          <w:bCs/>
        </w:rPr>
        <w:t xml:space="preserve">Análise Codificação</w:t>
      </w:r>
      <w:r>
        <w:t xml:space="preserve">: A recomendação propõe ações específicas para melhorar o indicador de atendimento odontológico a gestantes, incluindo marcação de consulta na confirmação da gestação, manutenção de vagas na agenda e criação de canal de comunicação entre equipes. Embora identifique parcialmente causas relacionadas à falta de integração entre serviços e dificuldades de acesso, as ações focam principalmente na correção imediata da condição observada (baixa proporção de atendimento), sem abordar explicitamente causas estruturais como capacitação de profissionais ou alocação de recursos. Os efeitos das ações propostas dependem da continuidade das práticas pelos atores atuais, sem garantir mudanças institucionais duradouras se houver rotatividade. A recomendação vai além de simplesmente sugerir o cumprimento da nota técnica, propondo medidas operacionais concretas.</w:t>
      </w:r>
    </w:p>
    <w:p>
      <w:pPr>
        <w:pStyle w:val="918"/>
        <w:numPr>
          <w:ilvl w:val="0"/>
          <w:numId w:val="1055"/>
        </w:numPr>
      </w:pPr>
      <w:r>
        <w:t xml:space="preserve">Causa Identificada: parcialmente</w:t>
      </w:r>
    </w:p>
    <w:p>
      <w:pPr>
        <w:pStyle w:val="918"/>
        <w:numPr>
          <w:ilvl w:val="0"/>
          <w:numId w:val="1055"/>
        </w:numPr>
      </w:pPr>
      <w:r>
        <w:t xml:space="preserve">Ação Proposta: sim</w:t>
      </w:r>
    </w:p>
    <w:p>
      <w:pPr>
        <w:pStyle w:val="918"/>
        <w:numPr>
          <w:ilvl w:val="0"/>
          <w:numId w:val="1055"/>
        </w:numPr>
      </w:pPr>
      <w:r>
        <w:t xml:space="preserve">Efeitos Duradouros: não</w:t>
      </w:r>
    </w:p>
    <w:p>
      <w:pPr>
        <w:pStyle w:val="918"/>
        <w:numPr>
          <w:ilvl w:val="0"/>
          <w:numId w:val="1055"/>
        </w:numPr>
      </w:pPr>
      <w:r>
        <w:t xml:space="preserve">Ação Genérica: não</w:t>
      </w:r>
    </w:p>
    <w:bookmarkEnd w:id="246"/>
    <w:bookmarkStart w:id="247" w:name="auditoria-19683-constatação-nº-696741-1"/>
    <w:p>
      <w:pPr>
        <w:pStyle w:val="907"/>
      </w:pPr>
      <w:r>
        <w:t xml:space="preserve">11.0.3.7 Auditoria 19683, Constatação Nº 696741</w:t>
      </w:r>
    </w:p>
    <w:p>
      <w:pPr>
        <w:pStyle w:val="917"/>
      </w:pPr>
      <w:r>
        <w:rPr>
          <w:b/>
          <w:bCs/>
        </w:rPr>
        <w:t xml:space="preserve">Finalidade</w:t>
      </w:r>
      <w:r>
        <w:t xml:space="preserve">: Realizar auditoria no Convênio 878444/2018 com a Santa Casa de Misericórdia de Sabará</w:t>
      </w:r>
    </w:p>
    <w:p>
      <w:pPr>
        <w:pStyle w:val="916"/>
      </w:pPr>
      <w:r>
        <w:rPr>
          <w:b/>
          <w:bCs/>
        </w:rPr>
        <w:t xml:space="preserve">Constatação</w:t>
      </w:r>
      <w:r>
        <w:t xml:space="preserve">: Impropriedades relacionadas ao acompanhamento e ao monitoramento das ações do Subeixo Educação Permanente.</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determina que as unidades de acompanhamento elaborem relatórios mensais baseados em documentos específicos e adotem medidas preventivas ou corretivas em caso de não cumprimento do convênio, referenciando dispositivos legais. Quanto à</w:t>
      </w:r>
      <w:r>
        <w:t xml:space="preserve"> </w:t>
      </w:r>
      <w:r>
        <w:t xml:space="preserve">‘Causa Identificada’</w:t>
      </w:r>
      <w:r>
        <w:t xml:space="preserve">, a recomendação não explicita a causa raiz da impropriedade no acompanhamento, como falta de capacitação ou recursos, mas foca na ação de elaborar relatórios, que pode inferir uma causa relacionada à falta de monitoramento sistemático. Para</w:t>
      </w:r>
      <w:r>
        <w:t xml:space="preserve"> </w:t>
      </w:r>
      <w:r>
        <w:t xml:space="preserve">‘Ação Proposta’</w:t>
      </w:r>
      <w:r>
        <w:t xml:space="preserve">, a recomendação sugere ações concretas (elaborar relatórios e adotar medidas), embora parte dela se baseie em cumprir normativos existentes. Sobre</w:t>
      </w:r>
      <w:r>
        <w:t xml:space="preserve"> </w:t>
      </w:r>
      <w:r>
        <w:t xml:space="preserve">‘Efeitos Duradouros’</w:t>
      </w:r>
      <w:r>
        <w:t xml:space="preserve">, a ação de elaborar relatórios mensais pode criar um processo contínuo, mas depende da adesão dos atores atuais, não garantindo mudanças institucionais permanentes se houver rotatividade. Em relação à</w:t>
      </w:r>
      <w:r>
        <w:t xml:space="preserve"> </w:t>
      </w:r>
      <w:r>
        <w:t xml:space="preserve">‘Ação Genérica’</w:t>
      </w:r>
      <w:r>
        <w:t xml:space="preserve">, a recomendação inclui referências a portarias existentes, mas vai além ao propor a elaboração de relatórios e medidas específicas, não se restringindo apenas ao cumprimento genérico de normas.</w:t>
      </w:r>
    </w:p>
    <w:p>
      <w:pPr>
        <w:pStyle w:val="918"/>
        <w:numPr>
          <w:ilvl w:val="0"/>
          <w:numId w:val="1056"/>
        </w:numPr>
      </w:pPr>
      <w:r>
        <w:t xml:space="preserve">Causa Identificada: parcialmente</w:t>
      </w:r>
    </w:p>
    <w:p>
      <w:pPr>
        <w:pStyle w:val="918"/>
        <w:numPr>
          <w:ilvl w:val="0"/>
          <w:numId w:val="1056"/>
        </w:numPr>
      </w:pPr>
      <w:r>
        <w:t xml:space="preserve">Ação Proposta: sim</w:t>
      </w:r>
    </w:p>
    <w:p>
      <w:pPr>
        <w:pStyle w:val="918"/>
        <w:numPr>
          <w:ilvl w:val="0"/>
          <w:numId w:val="1056"/>
        </w:numPr>
      </w:pPr>
      <w:r>
        <w:t xml:space="preserve">Efeitos Duradouros: não</w:t>
      </w:r>
    </w:p>
    <w:p>
      <w:pPr>
        <w:pStyle w:val="918"/>
        <w:numPr>
          <w:ilvl w:val="0"/>
          <w:numId w:val="1056"/>
        </w:numPr>
      </w:pPr>
      <w:r>
        <w:t xml:space="preserve">Ação Genérica: não</w:t>
      </w:r>
    </w:p>
    <w:bookmarkEnd w:id="247"/>
    <w:bookmarkStart w:id="248" w:name="auditoria-19613-constatação-nº-677735-1"/>
    <w:p>
      <w:pPr>
        <w:pStyle w:val="907"/>
      </w:pPr>
      <w:r>
        <w:t xml:space="preserve">11.0.3.8 Auditoria 19613, Constatação Nº 677735</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aos relatórios mensais de acompanhamento do Eixo de Atenção à Saúde Indígena.</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 3º e 4º do art. 4º; inciso VI do art. 11; inciso V e parágrafo único do art. 12; e incisos I e II do art. 14.</w:t>
      </w:r>
    </w:p>
    <w:p>
      <w:pPr>
        <w:pStyle w:val="916"/>
      </w:pPr>
      <w:r>
        <w:rPr>
          <w:b/>
          <w:bCs/>
        </w:rPr>
        <w:t xml:space="preserve">Análise Codificação</w:t>
      </w:r>
      <w:r>
        <w:t xml:space="preserve">: A recomendação propõe que as unidades de acompanhamento elaborem relatórios mensais com base em informações fidedignas e adotem medidas preventivas ou corretivas em caso de não cumprimento do convênio, referenciando dispositivos legais específicos. Em relação ao critério</w:t>
      </w:r>
      <w:r>
        <w:t xml:space="preserve"> </w:t>
      </w:r>
      <w:r>
        <w:t xml:space="preserve">‘Causa Identificada’</w:t>
      </w:r>
      <w:r>
        <w:t xml:space="preserve">, a recomendação não explicita claramente a causa das impropriedades nos relatórios, mas sugere ações que podem inferir causas como falta de base em informações confiáveis ou ausência de medidas de controle. Quanto à</w:t>
      </w:r>
      <w:r>
        <w:t xml:space="preserve"> </w:t>
      </w:r>
      <w:r>
        <w:t xml:space="preserve">‘Ação Proposta’</w:t>
      </w:r>
      <w:r>
        <w:t xml:space="preserve">, a recomendação sugere ações específicas (elaborar relatórios com base em documentos e adotar medidas), mas estas se limitam a cumprir normativos já existentes, sem propor mudanças estruturais para evitar recorrências. Sobre</w:t>
      </w:r>
      <w:r>
        <w:t xml:space="preserve"> </w:t>
      </w:r>
      <w:r>
        <w:t xml:space="preserve">‘Efeitos Duradouros’</w:t>
      </w:r>
      <w:r>
        <w:t xml:space="preserve">, as ações propostas dependem da atuação contínua das unidades e não criam mudanças institucionais permanentes que persistam independentemente dos atores. Por fim, em</w:t>
      </w:r>
      <w:r>
        <w:t xml:space="preserve"> </w:t>
      </w:r>
      <w:r>
        <w:t xml:space="preserve">‘Ação Genérica’</w:t>
      </w:r>
      <w:r>
        <w:t xml:space="preserve">, a recomendação se baseia em citar dispositivos legais preexistentes, sem inovar em soluções para as causas subjacentes.</w:t>
      </w:r>
    </w:p>
    <w:p>
      <w:pPr>
        <w:pStyle w:val="918"/>
        <w:numPr>
          <w:ilvl w:val="0"/>
          <w:numId w:val="1057"/>
        </w:numPr>
      </w:pPr>
      <w:r>
        <w:t xml:space="preserve">Causa Identificada: parcialmente</w:t>
      </w:r>
    </w:p>
    <w:p>
      <w:pPr>
        <w:pStyle w:val="918"/>
        <w:numPr>
          <w:ilvl w:val="0"/>
          <w:numId w:val="1057"/>
        </w:numPr>
      </w:pPr>
      <w:r>
        <w:t xml:space="preserve">Ação Proposta: sim</w:t>
      </w:r>
    </w:p>
    <w:p>
      <w:pPr>
        <w:pStyle w:val="918"/>
        <w:numPr>
          <w:ilvl w:val="0"/>
          <w:numId w:val="1057"/>
        </w:numPr>
      </w:pPr>
      <w:r>
        <w:t xml:space="preserve">Efeitos Duradouros: não</w:t>
      </w:r>
    </w:p>
    <w:p>
      <w:pPr>
        <w:pStyle w:val="918"/>
        <w:numPr>
          <w:ilvl w:val="0"/>
          <w:numId w:val="1057"/>
        </w:numPr>
      </w:pPr>
      <w:r>
        <w:t xml:space="preserve">Ação Genérica: sim</w:t>
      </w:r>
    </w:p>
    <w:bookmarkEnd w:id="248"/>
    <w:bookmarkStart w:id="249" w:name="auditoria-19616-constatação-nº-676228-1"/>
    <w:p>
      <w:pPr>
        <w:pStyle w:val="907"/>
      </w:pPr>
      <w:r>
        <w:t xml:space="preserve">11.0.3.9 Auditoria 19616, Constatação Nº 676228</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 acompanhamento mensal do Eixo de Atenção à Saúde Indígena.</w:t>
      </w:r>
    </w:p>
    <w:p>
      <w:pPr>
        <w:pStyle w:val="916"/>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16"/>
      </w:pPr>
      <w:r>
        <w:rPr>
          <w:b/>
          <w:bCs/>
        </w:rPr>
        <w:t xml:space="preserve">Análise Codificação</w:t>
      </w:r>
      <w:r>
        <w:t xml:space="preserve">: A recomendação propõe que o DSEI realize a conferência da documentação comprobatória/complementar inserida no Transferegov para evitar manutenção de informações incorretas no sistema, cumprindo a Portaria de Consolidação nº 1 SESAI/MS/2020. Em relação ao critério</w:t>
      </w:r>
      <w:r>
        <w:t xml:space="preserve"> </w:t>
      </w:r>
      <w:r>
        <w:t xml:space="preserve">‘Causa Identificada’</w:t>
      </w:r>
      <w:r>
        <w:t xml:space="preserve">, a ação de conferir a documentação sugere que a causa da condição (informações incorretas no sistema) está relacionada à falta de verificação adequada, embora não explicite a causa raiz. Para o critério</w:t>
      </w:r>
      <w:r>
        <w:t xml:space="preserve"> </w:t>
      </w:r>
      <w:r>
        <w:t xml:space="preserve">‘Ação Proposta’</w:t>
      </w:r>
      <w:r>
        <w:t xml:space="preserve">, a recomendação sugere uma ação específica (conferir documentação) que visa mitigar o risco de novas ocorrências. No critério</w:t>
      </w:r>
      <w:r>
        <w:t xml:space="preserve"> </w:t>
      </w:r>
      <w:r>
        <w:t xml:space="preserve">‘Efeitos Duradouros’</w:t>
      </w:r>
      <w:r>
        <w:t xml:space="preserve">, a ação proposta depende da execução contínua pelos atores atuais e não estabelece mudanças institucionais permanentes que persistam independentemente de mudanças de pessoal. Quanto ao critério</w:t>
      </w:r>
      <w:r>
        <w:t xml:space="preserve"> </w:t>
      </w:r>
      <w:r>
        <w:t xml:space="preserve">‘Ação Genérica’</w:t>
      </w:r>
      <w:r>
        <w:t xml:space="preserve">, a recomendação se baseia no cumprimento de um normativo legal existente (Portaria de Consolidação), sem propor ações adicionais para tratar a causa subjacente do não cumprimento.</w:t>
      </w:r>
    </w:p>
    <w:p>
      <w:pPr>
        <w:pStyle w:val="918"/>
        <w:numPr>
          <w:ilvl w:val="0"/>
          <w:numId w:val="1058"/>
        </w:numPr>
      </w:pPr>
      <w:r>
        <w:t xml:space="preserve">Causa Identificada: parcialmente</w:t>
      </w:r>
    </w:p>
    <w:p>
      <w:pPr>
        <w:pStyle w:val="918"/>
        <w:numPr>
          <w:ilvl w:val="0"/>
          <w:numId w:val="1058"/>
        </w:numPr>
      </w:pPr>
      <w:r>
        <w:t xml:space="preserve">Ação Proposta: sim</w:t>
      </w:r>
    </w:p>
    <w:p>
      <w:pPr>
        <w:pStyle w:val="918"/>
        <w:numPr>
          <w:ilvl w:val="0"/>
          <w:numId w:val="1058"/>
        </w:numPr>
      </w:pPr>
      <w:r>
        <w:t xml:space="preserve">Efeitos Duradouros: não</w:t>
      </w:r>
    </w:p>
    <w:p>
      <w:pPr>
        <w:pStyle w:val="918"/>
        <w:numPr>
          <w:ilvl w:val="0"/>
          <w:numId w:val="1058"/>
        </w:numPr>
      </w:pPr>
      <w:r>
        <w:t xml:space="preserve">Ação Genérica: sim</w:t>
      </w:r>
    </w:p>
    <w:bookmarkEnd w:id="249"/>
    <w:bookmarkStart w:id="250" w:name="auditoria-19627-constatação-nº-685176-1"/>
    <w:p>
      <w:pPr>
        <w:pStyle w:val="907"/>
      </w:pPr>
      <w:r>
        <w:t xml:space="preserve">11.0.3.10 Auditoria 19627, Constatação Nº 685176</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Incompletude e inconsistências nas informações encontradas nos relatórios mensais de acompanhamento do Eixo Controle Social e os respectivos documentos de suporte.</w:t>
      </w:r>
    </w:p>
    <w:p>
      <w:pPr>
        <w:pStyle w:val="916"/>
      </w:pPr>
      <w:r>
        <w:rPr>
          <w:b/>
          <w:bCs/>
        </w:rPr>
        <w:t xml:space="preserve">Recomendação</w:t>
      </w:r>
      <w:r>
        <w:t xml:space="preserve">: À Sesai: Determinar às unidades de acompanhamento que: (i) elaborem relatórios mensais com base nas informações, mapas de produção, atas das reuniões e listas de presença enviados pelas unidades de acompanhamento do Dsei Litoral Sul, devendo ser inseridos no Transferegov até o dia 20 do mês subsequente ao mês acompanhado; (ii) e adotem medidas de natureza preventiva ou corretiva na hipótese do não cumprimento do disposto no objeto do convênio e/ou Plano de Trabalho,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propõe ações específicas para lidar com a incompletude e inconsistências nos relatórios mensais, focando na correção imediata da condição observada. Ela identifica parcialmente a causa ao sugerir a elaboração de relatórios baseados em documentos específicos e a adoção de medidas preventivas ou corretivas, mas não aborda explicitamente as causas subjacentes, como falta de capacitação ou recursos. A ação proposta é direcionada a mitigar o risco de novas ocorrências, porém os efeitos não são claramente duradouros, pois dependem da adesão contínua dos atores atuais. Além disso, a recomendação se baseia em normativos existentes, como a Portaria de Consolidação Sesai/MS nº 1/2020, sem propor inovações estruturais.</w:t>
      </w:r>
    </w:p>
    <w:p>
      <w:pPr>
        <w:pStyle w:val="918"/>
        <w:numPr>
          <w:ilvl w:val="0"/>
          <w:numId w:val="1059"/>
        </w:numPr>
      </w:pPr>
      <w:r>
        <w:t xml:space="preserve">Causa Identificada: parcialmente</w:t>
      </w:r>
    </w:p>
    <w:p>
      <w:pPr>
        <w:pStyle w:val="918"/>
        <w:numPr>
          <w:ilvl w:val="0"/>
          <w:numId w:val="1059"/>
        </w:numPr>
      </w:pPr>
      <w:r>
        <w:t xml:space="preserve">Ação Proposta: sim</w:t>
      </w:r>
    </w:p>
    <w:p>
      <w:pPr>
        <w:pStyle w:val="918"/>
        <w:numPr>
          <w:ilvl w:val="0"/>
          <w:numId w:val="1059"/>
        </w:numPr>
      </w:pPr>
      <w:r>
        <w:t xml:space="preserve">Efeitos Duradouros: não</w:t>
      </w:r>
    </w:p>
    <w:p>
      <w:pPr>
        <w:pStyle w:val="918"/>
        <w:numPr>
          <w:ilvl w:val="0"/>
          <w:numId w:val="1059"/>
        </w:numPr>
      </w:pPr>
      <w:r>
        <w:t xml:space="preserve">Ação Genérica: sim</w:t>
      </w:r>
    </w:p>
    <w:bookmarkEnd w:id="250"/>
    <w:bookmarkStart w:id="251" w:name="auditoria-19648-constatação-nº-685881-1"/>
    <w:p>
      <w:pPr>
        <w:pStyle w:val="907"/>
      </w:pPr>
      <w:r>
        <w:t xml:space="preserve">11.0.3.11 Auditoria 19648, Constatação Nº 685881</w:t>
      </w:r>
    </w:p>
    <w:p>
      <w:pPr>
        <w:pStyle w:val="917"/>
      </w:pPr>
      <w:r>
        <w:rPr>
          <w:b/>
          <w:bCs/>
        </w:rPr>
        <w:t xml:space="preserve">Finalidade</w:t>
      </w:r>
      <w:r>
        <w:t xml:space="preserve">: Avaliar os indicadores de desempenho do programa Previne Brasil no município de Lindoeste/PR.</w:t>
      </w:r>
    </w:p>
    <w:p>
      <w:pPr>
        <w:pStyle w:val="916"/>
      </w:pPr>
      <w:r>
        <w:rPr>
          <w:b/>
          <w:bCs/>
        </w:rPr>
        <w:t xml:space="preserve">Constatação</w:t>
      </w:r>
      <w:r>
        <w:t xml:space="preserve">: O município não disponibilizou documentação comprobatória de adoção de ao menos uma das ações propostas na Nota Técnica n.°22/2022-SAPS/MS, referente ao indicador 5 - Cobertura vacinal de Poliomielite inativada e de Pentavalente, no exercício de 2022.</w:t>
      </w:r>
    </w:p>
    <w:p>
      <w:pPr>
        <w:pStyle w:val="916"/>
      </w:pPr>
      <w:r>
        <w:rPr>
          <w:b/>
          <w:bCs/>
        </w:rPr>
        <w:t xml:space="preserve">Recomendação</w:t>
      </w:r>
      <w:r>
        <w:t xml:space="preserve">: 1. Monitorar permanentemente o cadastro individual completo e mantê-lo atualizado, incluindo dados sociodemográficos e de condições e situações de saúde, estabelecendo uma rotina de acompanhamento das Cadernetas da Criança, tanto na aplicação do calendário vacinal (incluindo as vacinas de campanha) quanto de registros anteriores de vacinação no prontuário do cidadão, como definido no Item 5 da Nota Técnica Nº 22/2022- SAPS/MS. 2. Registrar de forma individualizada em sistema próprio de prontuário eletrônico as doses das vacinas aplicadas de acordo com as especificações do Guia de Qualificação THRIFT.</w:t>
      </w:r>
    </w:p>
    <w:p>
      <w:pPr>
        <w:pStyle w:val="916"/>
      </w:pPr>
      <w:r>
        <w:rPr>
          <w:b/>
          <w:bCs/>
        </w:rPr>
        <w:t xml:space="preserve">Análise Codificação</w:t>
      </w:r>
      <w:r>
        <w:t xml:space="preserve">: A recomendação propõe ações para corrigir a condição específica de falta de documentação comprobatória das ações da Nota Técnica, focando na implementação de processos de monitoramento e registro. Embora identifique parcialmente a causa (falta de rotina de acompanhamento), a ação proposta é genérica, limitando-se a sugerir o cumprimento de normativos existentes (Nota Técnica e Guia THRIFT) sem abordar causas estruturais subjacentes, como capacitação ou recursos. Os efeitos dependem da continuidade dos processos por atores específicos, sem alterações institucionais duradouras que persistam independentemente de mudanças na equipe.</w:t>
      </w:r>
    </w:p>
    <w:p>
      <w:pPr>
        <w:pStyle w:val="918"/>
        <w:numPr>
          <w:ilvl w:val="0"/>
          <w:numId w:val="1060"/>
        </w:numPr>
      </w:pPr>
      <w:r>
        <w:t xml:space="preserve">Causa Identificada: parcialmente</w:t>
      </w:r>
    </w:p>
    <w:p>
      <w:pPr>
        <w:pStyle w:val="918"/>
        <w:numPr>
          <w:ilvl w:val="0"/>
          <w:numId w:val="1060"/>
        </w:numPr>
      </w:pPr>
      <w:r>
        <w:t xml:space="preserve">Ação Proposta: sim</w:t>
      </w:r>
    </w:p>
    <w:p>
      <w:pPr>
        <w:pStyle w:val="918"/>
        <w:numPr>
          <w:ilvl w:val="0"/>
          <w:numId w:val="1060"/>
        </w:numPr>
      </w:pPr>
      <w:r>
        <w:t xml:space="preserve">Efeitos Duradouros: não</w:t>
      </w:r>
    </w:p>
    <w:p>
      <w:pPr>
        <w:pStyle w:val="918"/>
        <w:numPr>
          <w:ilvl w:val="0"/>
          <w:numId w:val="1060"/>
        </w:numPr>
      </w:pPr>
      <w:r>
        <w:t xml:space="preserve">Ação Genérica: sim</w:t>
      </w:r>
    </w:p>
    <w:bookmarkEnd w:id="251"/>
    <w:bookmarkStart w:id="252" w:name="auditoria-19768-constatação-nº-693416-1"/>
    <w:p>
      <w:pPr>
        <w:pStyle w:val="907"/>
      </w:pPr>
      <w:r>
        <w:t xml:space="preserve">11.0.3.12 Auditoria 19768, Constatação Nº 693416</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A CMRF não realiza manutenção preventiva, corretiva, preditiva e qualificação térmica nos equipamentos.</w:t>
      </w:r>
    </w:p>
    <w:p>
      <w:pPr>
        <w:pStyle w:val="916"/>
      </w:pPr>
      <w:r>
        <w:rPr>
          <w:b/>
          <w:bCs/>
        </w:rPr>
        <w:t xml:space="preserve">Recomendação</w:t>
      </w:r>
      <w:r>
        <w:t xml:space="preserve">: Adotar as seguintes medidas visando atender o estabelecido nas alíneas b e c, do Inciso II, do Art. 7º, da Seção I, Capítulo II, da Resolução, e no Inciso IX, do Art. 23, da Seção III, Capítulo II, da Resolução - RDC nº 63, de 25/11/2011; no Inciso XXIII, do Art. 3º; no Inciso XI, do Art. 18, Seção III, e no § 4º, do Art. 43, da Seção IV, da Resolução de Diretoria Colegiada - RDC nº 430, de 08/10/2020; bem como nos Subitens 5.5 e 5.6, Item 5, páginas 37/38, e nos Subitens 6.13 e 6.14, Item 6, páginas 63 a 65, do Manual de Rede Frio do PNI, 2017: - Elaborar um cronograma para a realização das manutenções preventivas nos equipamentos da CMRF, a fim de assegurar a sua integridade e funcionamento contínuo; - Executar regularmente a qualificação térmica dos equipamentos para verificar a homogeneidade térmica destes e das áreas de temperatura controlada, garantindo condições adequadas de armazenamento e transporte de imunobiológicos da CMRF; - Realizar a calibração dos equipamentos antes do primeiro uso e em intervalos definidos, a fim de assegurar o seu correto funcionamento; e - Implementar rotina diária de conferência das condições do ambiente, de modo a garantir que a temperatura e umidade sejam mantidas dentro dos parâmetros exigidos para melhorar a eficácia dos imunobiológicos.</w:t>
      </w:r>
    </w:p>
    <w:p>
      <w:pPr>
        <w:pStyle w:val="916"/>
      </w:pPr>
      <w:r>
        <w:rPr>
          <w:b/>
          <w:bCs/>
        </w:rPr>
        <w:t xml:space="preserve">Análise Codificação</w:t>
      </w:r>
      <w:r>
        <w:t xml:space="preserve">: A recomendação apresenta medidas específicas para corrigir a condição de falta de manutenção e qualificação térmica nos equipamentos da CMRF. Embora identifique parcialmente as causas ao propor ações como elaboração de cronograma e implementação de rotinas, as ações são predominantemente focadas na correção imediata da condição observada. A recomendação se baseia no cumprimento de normativos já existentes e não propõe mudanças estruturais que alterem processos organizacionais de forma duradoura, mantendo-se no âmbito da conformidade com regulamentos previamente estabelecidos.</w:t>
      </w:r>
    </w:p>
    <w:p>
      <w:pPr>
        <w:pStyle w:val="918"/>
        <w:numPr>
          <w:ilvl w:val="0"/>
          <w:numId w:val="1061"/>
        </w:numPr>
      </w:pPr>
      <w:r>
        <w:t xml:space="preserve">Causa Identificada: parcialmente</w:t>
      </w:r>
    </w:p>
    <w:p>
      <w:pPr>
        <w:pStyle w:val="918"/>
        <w:numPr>
          <w:ilvl w:val="0"/>
          <w:numId w:val="1061"/>
        </w:numPr>
      </w:pPr>
      <w:r>
        <w:t xml:space="preserve">Ação Proposta: sim</w:t>
      </w:r>
    </w:p>
    <w:p>
      <w:pPr>
        <w:pStyle w:val="918"/>
        <w:numPr>
          <w:ilvl w:val="0"/>
          <w:numId w:val="1061"/>
        </w:numPr>
      </w:pPr>
      <w:r>
        <w:t xml:space="preserve">Efeitos Duradouros: não</w:t>
      </w:r>
    </w:p>
    <w:p>
      <w:pPr>
        <w:pStyle w:val="918"/>
        <w:numPr>
          <w:ilvl w:val="0"/>
          <w:numId w:val="1061"/>
        </w:numPr>
      </w:pPr>
      <w:r>
        <w:t xml:space="preserve">Ação Genérica: sim</w:t>
      </w:r>
    </w:p>
    <w:bookmarkEnd w:id="252"/>
    <w:bookmarkStart w:id="253" w:name="auditoria-19834-constatação-nº-701470-1"/>
    <w:p>
      <w:pPr>
        <w:pStyle w:val="907"/>
      </w:pPr>
      <w:r>
        <w:t xml:space="preserve">11.0.3.13 Auditoria 19834, Constatação Nº 701470</w:t>
      </w:r>
    </w:p>
    <w:p>
      <w:pPr>
        <w:pStyle w:val="917"/>
      </w:pPr>
      <w:r>
        <w:rPr>
          <w:b/>
          <w:bCs/>
        </w:rPr>
        <w:t xml:space="preserve">Finalidade</w:t>
      </w:r>
      <w:r>
        <w:t xml:space="preserve">: Realizar auditoria financeira e administrativa no Hospital de Cataguases/Sta Casa de Misericórdia</w:t>
      </w:r>
    </w:p>
    <w:p>
      <w:pPr>
        <w:pStyle w:val="916"/>
      </w:pPr>
      <w:r>
        <w:rPr>
          <w:b/>
          <w:bCs/>
        </w:rPr>
        <w:t xml:space="preserve">Constatação</w:t>
      </w:r>
      <w:r>
        <w:t xml:space="preserve">: Os indicadores hospitalares referentes às taxas de ocupação e de Parto Cesariano do Hospital de Cataguases não estão sendo monitorados efetivamente em conformidade com as configurações estabelecidas pelos Ministério da Saúde e por órgãos reguladores.</w:t>
      </w:r>
    </w:p>
    <w:p>
      <w:pPr>
        <w:pStyle w:val="916"/>
      </w:pPr>
      <w:r>
        <w:rPr>
          <w:b/>
          <w:bCs/>
        </w:rPr>
        <w:t xml:space="preserve">Recomendação</w:t>
      </w:r>
      <w:r>
        <w:t xml:space="preserve">: Cumprir as diretrizes estabelecidas pela Portaria nº 306, de 28 de março de 2016, e em consonância com as boas práticas obstétricas preconizadas pelo Ministério da Saúde, como previsto na Portaria GM/MS nº 1.459, de 24 de junho de 2011, que institui a Rede Cegonha, e na Portaria GM/MS nº 5.350, de 12 de setembro de 2024, que implementa a Rede Alyne. Adotar um modelo de atenção obstétrica pautado na integralidade do cuidado à mulher e à criança, valorizando o parto normal, com foco na humanização da assistência e na segurança da gestante e do recém-nascido e ações alinhadas com essas diretrizes e outras iniciativas do SUS que promovem a redução de cesarianas desnecessárias, torna-se essencial a realização de diagnóstico das causas do aumento de partos cesáreos no hospital, promovendo também ações de sensibilização. No que se refere à taxa de ocupação hospitalar, cumprir a Política Nacional de Atenção Hospitalar (PNHOSP), instituída pela Portaria de Consolidação nº 2, de 28 de setembro de 2017, que orienta sobre a otimização da capacidade instalada, qualificação do cuidado e uso racional dos recursos públicos. Nesse contexto, deve-se implantar um sistema de monitoramento efetivo da taxa de ocupação dos leitos, mantendo-se entre 75% e 85%, conforme parâmetros da Agência Nacional de Saúde Suplementar (ANS) e da PNHOSP- Política Nacional de Atenção Hospitalar. Por fim, recomenda-se a elaboração de um Planejamento Estratégico que contenha diretrizes, objetivos e metas para nortear ações que solucionem as fragilidades identificadas, promovendo a efetividade da gestão hospitalar por meio de medidas corretivas que otimizem a utilização dos leitos e contribuam para a redução da elevada taxa de cesáreas, em conformidade com os normativos vigentes.</w:t>
      </w:r>
    </w:p>
    <w:p>
      <w:pPr>
        <w:pStyle w:val="916"/>
      </w:pPr>
      <w:r>
        <w:rPr>
          <w:b/>
          <w:bCs/>
        </w:rPr>
        <w:t xml:space="preserve">Análise Codificação</w:t>
      </w:r>
      <w:r>
        <w:t xml:space="preserve">: A recomendação apresenta elementos mistos. Em relação à taxa de ocupação, propõe a implantação de um sistema de monitoramento específico e a manutenção de parâmetros definidos, o que sugere uma ação concreta, mas ainda focada na condição observada de falta de monitoramento. Para a taxa de parto cesariano, além de cumprir diretrizes existentes, inclui a realização de diagnóstico das causas do aumento e ações de sensibilização, indicando um esforço para abordar causas subjacentes. No entanto, a ênfase principal recai sobre o cumprimento de normativos já estabelecidos e a elaboração de um planejamento estratégico genérico, sem detalhar ações específicas para modificar processos ou estruturas de forma duradoura. Os efeitos propostos dependem da implementação contínua de monitoramento e sensibilização, mas não claramente de mudanças institucionais permanentes independentes de atores específicos.</w:t>
      </w:r>
    </w:p>
    <w:p>
      <w:pPr>
        <w:pStyle w:val="918"/>
        <w:numPr>
          <w:ilvl w:val="0"/>
          <w:numId w:val="1062"/>
        </w:numPr>
      </w:pPr>
      <w:r>
        <w:t xml:space="preserve">Causa Identificada: parcialmente</w:t>
      </w:r>
    </w:p>
    <w:p>
      <w:pPr>
        <w:pStyle w:val="918"/>
        <w:numPr>
          <w:ilvl w:val="0"/>
          <w:numId w:val="1062"/>
        </w:numPr>
      </w:pPr>
      <w:r>
        <w:t xml:space="preserve">Ação Proposta: sim</w:t>
      </w:r>
    </w:p>
    <w:p>
      <w:pPr>
        <w:pStyle w:val="918"/>
        <w:numPr>
          <w:ilvl w:val="0"/>
          <w:numId w:val="1062"/>
        </w:numPr>
      </w:pPr>
      <w:r>
        <w:t xml:space="preserve">Efeitos Duradouros: não</w:t>
      </w:r>
    </w:p>
    <w:p>
      <w:pPr>
        <w:pStyle w:val="918"/>
        <w:numPr>
          <w:ilvl w:val="0"/>
          <w:numId w:val="1062"/>
        </w:numPr>
      </w:pPr>
      <w:r>
        <w:t xml:space="preserve">Ação Genérica: sim</w:t>
      </w:r>
    </w:p>
    <w:bookmarkEnd w:id="253"/>
    <w:bookmarkStart w:id="254" w:name="auditoria-19855-constatação-nº-701834-1"/>
    <w:p>
      <w:pPr>
        <w:pStyle w:val="907"/>
      </w:pPr>
      <w:r>
        <w:t xml:space="preserve">11.0.3.14 Auditoria 19855, Constatação Nº 701834</w:t>
      </w:r>
    </w:p>
    <w:p>
      <w:pPr>
        <w:pStyle w:val="917"/>
      </w:pPr>
      <w:r>
        <w:rPr>
          <w:b/>
          <w:bCs/>
        </w:rPr>
        <w:t xml:space="preserve">Finalidade</w:t>
      </w:r>
      <w:r>
        <w:t xml:space="preserve">: Verificar a gestão e o gerenciamento dos Centros de Referência em Saúde do Trabalhador - CERESTs</w:t>
      </w:r>
    </w:p>
    <w:p>
      <w:pPr>
        <w:pStyle w:val="916"/>
      </w:pPr>
      <w:r>
        <w:rPr>
          <w:b/>
          <w:bCs/>
        </w:rPr>
        <w:t xml:space="preserve">Constatação</w:t>
      </w:r>
      <w:r>
        <w:t xml:space="preserve">: O Conselho Municipal de Saúde (CMS) de Maricá/RJ não realizou a fiscalização dos recursos repassados pelo Ministério da Saúde (MS) para custear às ações de manutenção do CEREST Regional Maricá/RJ nos anos de 2023 e 2024.</w:t>
      </w:r>
    </w:p>
    <w:p>
      <w:pPr>
        <w:pStyle w:val="916"/>
      </w:pPr>
      <w:r>
        <w:rPr>
          <w:b/>
          <w:bCs/>
        </w:rPr>
        <w:t xml:space="preserve">Recomendação</w:t>
      </w:r>
      <w:r>
        <w:t xml:space="preserve">: 1- Aprimorar os Relatórios Anuais de Gestão (RAG), de forma a garantir a plena evidência da aplicação dos recursos recebidos para o CEREST, conforme previsto no Art. 25 do Anexo X da Portaria de Consolidação GM/MS nº 3/2017. 2- Dar ciência ao Conselho Municipal de Saúde acerca da obrigatoriedade de fiscalizar os recursos repassados pelo Fundo Nacional de Saúde para o Fundo Municipal de Saúde no bloco de gestão do SUS e no bloco de financiamento da média e alta complexidade, conforme preconizado no § 2º, Art. 1097, Capítulo V, da Portaria de Consolidação MS/GM 06, de 28/09/2017.</w:t>
      </w:r>
    </w:p>
    <w:p>
      <w:pPr>
        <w:pStyle w:val="916"/>
      </w:pPr>
      <w:r>
        <w:rPr>
          <w:b/>
          <w:bCs/>
        </w:rPr>
        <w:t xml:space="preserve">Análise Codificação</w:t>
      </w:r>
      <w:r>
        <w:t xml:space="preserve">: A recomendação possui dois componentes distintos. O primeiro componente (</w:t>
      </w:r>
      <w:r>
        <w:t xml:space="preserve">‘Aprimorar os Relatórios Anuais de Gestão’</w:t>
      </w:r>
      <w:r>
        <w:t xml:space="preserve">) foca na melhoria documental para evidenciar a aplicação de recursos, o que pode ser considerado uma ação que trata parcialmente a causa (falta de transparência/evidência), mas não necessariamente impede a reocorrência da falta de fiscalização. O segundo componente (</w:t>
      </w:r>
      <w:r>
        <w:t xml:space="preserve">‘Dar ciência ao Conselho Municipal de Saúde acerca da obrigatoriedade de fiscalizar’</w:t>
      </w:r>
      <w:r>
        <w:t xml:space="preserve">) é essencialmente uma ação de comunicação sobre uma obrigação legal preexistente, sem propor mecanismos concretos para garantir que a fiscalização ocorra efetivamente. Ambos os componentes têm efeitos que dependem da continuidade das ações dos atores envolvidos (melhoria contínua dos relatórios e manutenção da comunicação), mas não estabelecem mudanças estruturais permanentes. A recomendação como um todo se baseia fortemente em citar normativos já existentes, sem propor soluções inovadoras ou específicas para as causas profundas da não fiscalização.</w:t>
      </w:r>
    </w:p>
    <w:p>
      <w:pPr>
        <w:pStyle w:val="918"/>
        <w:numPr>
          <w:ilvl w:val="0"/>
          <w:numId w:val="1063"/>
        </w:numPr>
      </w:pPr>
      <w:r>
        <w:t xml:space="preserve">Causa Identificada: parcialmente</w:t>
      </w:r>
    </w:p>
    <w:p>
      <w:pPr>
        <w:pStyle w:val="918"/>
        <w:numPr>
          <w:ilvl w:val="0"/>
          <w:numId w:val="1063"/>
        </w:numPr>
      </w:pPr>
      <w:r>
        <w:t xml:space="preserve">Ação Proposta: sim</w:t>
      </w:r>
    </w:p>
    <w:p>
      <w:pPr>
        <w:pStyle w:val="918"/>
        <w:numPr>
          <w:ilvl w:val="0"/>
          <w:numId w:val="1063"/>
        </w:numPr>
      </w:pPr>
      <w:r>
        <w:t xml:space="preserve">Efeitos Duradouros: não</w:t>
      </w:r>
    </w:p>
    <w:p>
      <w:pPr>
        <w:pStyle w:val="918"/>
        <w:numPr>
          <w:ilvl w:val="0"/>
          <w:numId w:val="1063"/>
        </w:numPr>
      </w:pPr>
      <w:r>
        <w:t xml:space="preserve">Ação Genérica: sim</w:t>
      </w:r>
    </w:p>
    <w:bookmarkEnd w:id="254"/>
    <w:bookmarkStart w:id="255" w:name="auditoria-19857-constatação-nº-702619-1"/>
    <w:p>
      <w:pPr>
        <w:pStyle w:val="907"/>
      </w:pPr>
      <w:r>
        <w:t xml:space="preserve">11.0.3.15 Auditoria 19857, Constatação Nº 702619</w:t>
      </w:r>
    </w:p>
    <w:p>
      <w:pPr>
        <w:pStyle w:val="917"/>
      </w:pPr>
      <w:r>
        <w:rPr>
          <w:b/>
          <w:bCs/>
        </w:rPr>
        <w:t xml:space="preserve">Finalidade</w:t>
      </w:r>
      <w:r>
        <w:t xml:space="preserve">: Verificar a regularidade da execução da emenda parlamentar federal nº 3630007.</w:t>
      </w:r>
    </w:p>
    <w:p>
      <w:pPr>
        <w:pStyle w:val="916"/>
      </w:pPr>
      <w:r>
        <w:rPr>
          <w:b/>
          <w:bCs/>
        </w:rPr>
        <w:t xml:space="preserve">Constatação</w:t>
      </w:r>
      <w:r>
        <w:t xml:space="preserve">: Realização de transações bancárias sem a devida comprovação por notas fiscais.</w:t>
      </w:r>
    </w:p>
    <w:p>
      <w:pPr>
        <w:pStyle w:val="916"/>
      </w:pPr>
      <w:r>
        <w:rPr>
          <w:b/>
          <w:bCs/>
        </w:rPr>
        <w:t xml:space="preserve">Recomendação</w:t>
      </w:r>
      <w:r>
        <w:t xml:space="preserve">: 1. Realizar, durante prestação de contas, a conciliação bancária de todas as transações bancárias identificadas na auditoria com as suas respectivas notas fiscais de modo a estabelecer nexo de causalidade entre as despesas pagas e o serviço executado, segundo Acórdão TCU nº 2164/2022 - Plenário. 2. Estabelecer controles financeiros a ações correlatas de saúde realizadas via incremento temporário por Termo de Fomento/Cooperação ou similar confrontando, minimamente a execução física dos itens contratados com a apresentação de notas fiscais dos itens de maior valor, conforme Art. 39 do Decreto GDF n.º 37.843 de 13/12/2016. 3. Providenciar a devolução ao Fundo Nacional de Saúde, consoante Item 9.3.3 do Acórdão/TCU n.º 1.072/2017/Plenário, de todas as transações bancárias que não puderem ser comprovadas por meio de notas fiscais (R$ 3.306.245,50) ou que não haja nexo de causalidade entre as despesas pagas e o serviço executado, segundo Acórdão TCU nº 2164/2022 - Plenário.</w:t>
      </w:r>
    </w:p>
    <w:p>
      <w:pPr>
        <w:pStyle w:val="916"/>
      </w:pPr>
      <w:r>
        <w:rPr>
          <w:b/>
          <w:bCs/>
        </w:rPr>
        <w:t xml:space="preserve">Análise Codificação</w:t>
      </w:r>
      <w:r>
        <w:t xml:space="preserve">: A recomendação aborda três ações distintas. A primeira ação propõe conciliação bancária para estabelecer nexo causal, focando na correção da condição atual de falta de comprovação. A segunda ação sugere estabelecer controles financeiros confrontando execução física com notas fiscais, o que pode inferir uma causa relacionada à falta de controles preventivos, mas a ação é genérica ao referir-se a normativos existentes e não especifica mudanças estruturais duradouras. A terceira ação trata da devolução de valores não comprovados, sendo claramente corretiva e pontual. No geral, as ações são predominantemente reativas, voltadas para resolver a condição imediata de irregularidades, sem propor medidas específicas e duradouras para evitar a recorrência, como a implementação de sistemas ou políticas permanentes de controle.</w:t>
      </w:r>
    </w:p>
    <w:p>
      <w:pPr>
        <w:pStyle w:val="918"/>
        <w:numPr>
          <w:ilvl w:val="0"/>
          <w:numId w:val="1064"/>
        </w:numPr>
      </w:pPr>
      <w:r>
        <w:t xml:space="preserve">Causa Identificada: parcialmente</w:t>
      </w:r>
    </w:p>
    <w:p>
      <w:pPr>
        <w:pStyle w:val="918"/>
        <w:numPr>
          <w:ilvl w:val="0"/>
          <w:numId w:val="1064"/>
        </w:numPr>
      </w:pPr>
      <w:r>
        <w:t xml:space="preserve">Ação Proposta: sim</w:t>
      </w:r>
    </w:p>
    <w:p>
      <w:pPr>
        <w:pStyle w:val="918"/>
        <w:numPr>
          <w:ilvl w:val="0"/>
          <w:numId w:val="1064"/>
        </w:numPr>
      </w:pPr>
      <w:r>
        <w:t xml:space="preserve">Efeitos Duradouros: não</w:t>
      </w:r>
    </w:p>
    <w:p>
      <w:pPr>
        <w:pStyle w:val="918"/>
        <w:numPr>
          <w:ilvl w:val="0"/>
          <w:numId w:val="1064"/>
        </w:numPr>
      </w:pPr>
      <w:r>
        <w:t xml:space="preserve">Ação Genérica: sim</w:t>
      </w:r>
    </w:p>
    <w:bookmarkEnd w:id="255"/>
    <w:bookmarkStart w:id="256" w:name="auditoria-19877-constatação-nº-703161-1"/>
    <w:p>
      <w:pPr>
        <w:pStyle w:val="907"/>
      </w:pPr>
      <w:r>
        <w:t xml:space="preserve">11.0.3.16 Auditoria 19877, Constatação Nº 703161</w:t>
      </w:r>
    </w:p>
    <w:p>
      <w:pPr>
        <w:pStyle w:val="917"/>
      </w:pPr>
      <w:r>
        <w:rPr>
          <w:b/>
          <w:bCs/>
        </w:rPr>
        <w:t xml:space="preserve">Finalidade</w:t>
      </w:r>
      <w:r>
        <w:t xml:space="preserve">: Verificar a regularidade da produção nos sistemas de informação (SIA/SIH) em oncologia</w:t>
      </w:r>
    </w:p>
    <w:p>
      <w:pPr>
        <w:pStyle w:val="916"/>
      </w:pPr>
      <w:r>
        <w:rPr>
          <w:b/>
          <w:bCs/>
        </w:rPr>
        <w:t xml:space="preserve">Constatação</w:t>
      </w:r>
      <w:r>
        <w:t xml:space="preserve">: Houve cobrança irregular de procedimentos cirúrgicos sob o código 04.15.02.005-0 - Procedimentos Sequenciais em Oncologia - no HSJ.</w:t>
      </w:r>
    </w:p>
    <w:p>
      <w:pPr>
        <w:pStyle w:val="916"/>
      </w:pPr>
      <w:r>
        <w:rPr>
          <w:b/>
          <w:bCs/>
        </w:rPr>
        <w:t xml:space="preserve">Recomendação</w:t>
      </w:r>
      <w:r>
        <w:t xml:space="preserve">: - Estabelecer mecanismos eficazes de monitoramento, avaliação e fiscalização das Unidades de média e alta complexidade em oncologia, conforme o estabelecido no Inciso l, Artigo 15 da Lei nº 8080/ 1990. -Proceder perícia pós-operatória de AIH com cobrança do procedimento 04.15.02.005-0 - procedimentos sequenciais em oncologia, conforme recomendado no Manual de Bases Técnicas da Oncologia (2022). - Dar ciência aos responsáveis pela irregularidade apontada nesta constatação para ressarcimento junto ao FNS no valor de R$ 38.465,02 (trinta e oito mil, quatrocentos e sessenta e cinco reais e dois centavos), atualizado monetariamente e com os acréscimos legais adotados por esse ente federado, conforme indicativo do Anexo X - Planilha de Débito e no Capítulo Proposição da Devolução deste relatório, com base no item 9.3.3, do Acórdão TCU n.º 1072/2017, que prevê: tratando-se de débito decorrente de dano ao erário propriamente dito, cabe ao gestor responsável pela irregularidade a obrigação de devolver os recursos, visto que, nessas situações, não há evidências de que eles tenham sido aplicados em prol de alguma finalidade pública, devendo a recomposição ser feita ao Fundo Nacional de Saúde (FNS), em respeito ao disposto no art. 2º, inciso VII, do Decreto 3.964/2001 combinado com o art. 33, § 4º, da Lei 8.080/1990;. e o Acórdão TCU nº 2079/2023 -Segunda Câmara (itens 33.1.5 e 33.1.1.8), que diz: Portanto, além dos gestores públicos ora responsabilizados, somente a entidade privada deve responder pelo prejuízo aos cofres do Fundo Nacional de Saúde decorrentes das cobranças e consequentes pagamentos indevidos.</w:t>
      </w:r>
    </w:p>
    <w:p>
      <w:pPr>
        <w:pStyle w:val="916"/>
      </w:pPr>
      <w:r>
        <w:rPr>
          <w:b/>
          <w:bCs/>
        </w:rPr>
        <w:t xml:space="preserve">Análise Codificação</w:t>
      </w:r>
      <w:r>
        <w:t xml:space="preserve">: A recomendação apresenta três ações distintas. A primeira ação propõe estabelecer mecanismos de monitoramento, avaliação e fiscalização, o que sugere uma abordagem preventiva para evitar a reincidência da irregularidade, identificando implicitamente a causa como falhas nos sistemas de controle. A segunda ação, realizar perícia pós-operatória, é uma medida corretiva pontual para a condição específica. A terceira ação, dar ciência para ressarcimento, é uma medida reparatória imediata. Considerando o conjunto, a recomendação tem elementos de ambas as abordagens, mas a ação de estabelecer mecanismos de monitoramento atende parcialmente aos critérios de causa, pois propõe uma ação para mitigar riscos futuros, embora não especifique claramente as causas estruturais. Os efeitos duradouros são limitados, pois as ações não alteram profundamente a estrutura institucional, e há uma ação genérica que se baseia no cumprimento de normativos existentes.</w:t>
      </w:r>
    </w:p>
    <w:p>
      <w:pPr>
        <w:pStyle w:val="918"/>
        <w:numPr>
          <w:ilvl w:val="0"/>
          <w:numId w:val="1065"/>
        </w:numPr>
      </w:pPr>
      <w:r>
        <w:t xml:space="preserve">Causa Identificada: parcialmente</w:t>
      </w:r>
    </w:p>
    <w:p>
      <w:pPr>
        <w:pStyle w:val="918"/>
        <w:numPr>
          <w:ilvl w:val="0"/>
          <w:numId w:val="1065"/>
        </w:numPr>
      </w:pPr>
      <w:r>
        <w:t xml:space="preserve">Ação Proposta: sim</w:t>
      </w:r>
    </w:p>
    <w:p>
      <w:pPr>
        <w:pStyle w:val="918"/>
        <w:numPr>
          <w:ilvl w:val="0"/>
          <w:numId w:val="1065"/>
        </w:numPr>
      </w:pPr>
      <w:r>
        <w:t xml:space="preserve">Efeitos Duradouros: não</w:t>
      </w:r>
    </w:p>
    <w:p>
      <w:pPr>
        <w:pStyle w:val="918"/>
        <w:numPr>
          <w:ilvl w:val="0"/>
          <w:numId w:val="1065"/>
        </w:numPr>
      </w:pPr>
      <w:r>
        <w:t xml:space="preserve">Ação Genérica: sim</w:t>
      </w:r>
    </w:p>
    <w:bookmarkEnd w:id="256"/>
    <w:bookmarkStart w:id="257" w:name="auditoria-19885-constatação-nº-702631-1"/>
    <w:p>
      <w:pPr>
        <w:pStyle w:val="907"/>
      </w:pPr>
      <w:r>
        <w:t xml:space="preserve">11.0.3.17 Auditoria 19885, Constatação Nº 702631</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A data de autorização de tratamento clínico em oncologia, no instrumento Autorização de Procedimento Ambulatorial de Alto Custo - APAC, é posterior à data do início do tratamento em oncologia.</w:t>
      </w:r>
    </w:p>
    <w:p>
      <w:pPr>
        <w:pStyle w:val="916"/>
      </w:pPr>
      <w:r>
        <w:rPr>
          <w:b/>
          <w:bCs/>
        </w:rPr>
        <w:t xml:space="preserve">Recomendação</w:t>
      </w:r>
      <w:r>
        <w:t xml:space="preserve">: Alinhar os procedimentos de forma que os procedimentos sejam previamente aprovados, conforme preconizado nos dispositivos legais que regem o tratamento oncológico no SUS</w:t>
      </w:r>
      <w:r>
        <w:t xml:space="preserve"> </w:t>
      </w:r>
      <w:r>
        <w:t xml:space="preserve">‘’Manual Técnico Operacional do SIA/SUS, versão agosto de 2016, pág.19’</w:t>
      </w:r>
      <w:r>
        <w:t xml:space="preserve">’ que informa quanto à necessidade de autorização prévia para procedimentos registrados em APACs. Ainda, garantir que o prontuário seja documento único, completo, com toda a história clínica em completude, identificação do paciente, assinatura, data e registro dos multiprofissionais, em ordem cronológica, no formato físico e/ou digital conforme disposto artigo 87 do Código de Ética Médica além da a Lei Nº 13.787, de 27 de dezembro de 2018 que dispõe sobre a digitalização e a utilização de sistemas informatizados para a guarda, o armazenamento e o manuseio de prontuário de paciente.</w:t>
      </w:r>
    </w:p>
    <w:p>
      <w:pPr>
        <w:pStyle w:val="916"/>
      </w:pPr>
      <w:r>
        <w:rPr>
          <w:b/>
          <w:bCs/>
        </w:rPr>
        <w:t xml:space="preserve">Análise Codificação</w:t>
      </w:r>
      <w:r>
        <w:t xml:space="preserve">: A recomendação aborda duas questões distintas: a primeira refere-se ao alinhamento dos procedimentos para garantir aprovação prévia de tratamentos oncológicos, conforme exigido pelo Manual Técnico Operacional do SIA/SUS; a segunda trata da completude e organização do prontuário do paciente, com base no Código de Ética Médica e na Lei Nº 13.787/2018. Em relação à primeira parte, a recomendação identifica que a causa da inconformidade (data de autorização posterior ao início do tratamento) é a falta de aprovação prévia, propondo uma ação para alinhar os procedimentos a esse requisito. No entanto, a ação proposta é genérica, limitando-se a sugerir o cumprimento de normativos já existentes, sem especificar medidas concretas para assegurar que a aprovação seja sempre prévia (como implementação de controles ou fluxos específicos). Quanto aos efeitos duradouros, a ação de</w:t>
      </w:r>
      <w:r>
        <w:t xml:space="preserve"> </w:t>
      </w:r>
      <w:r>
        <w:t xml:space="preserve">‘alinhar procedimentos’</w:t>
      </w:r>
      <w:r>
        <w:t xml:space="preserve"> </w:t>
      </w:r>
      <w:r>
        <w:t xml:space="preserve">pode ter caráter permanente se institucionalizada, mas a falta de detalhamento torna essa avaliação incerta. Na segunda parte, a recomendação foca na condição observada (prontuário incompleto ou desorganizado), propondo ações corretivas imediatas (garantir que o prontuário seja único, completo, etc.), mas sem abordar as causas subjacentes para a não conformidade com a lei (como falta de treinamento ou recursos). A ação aqui também é genérica, baseada em cumprir normativos, e os efeitos dependem da adesão contínua dos profissionais, não sendo necessariamente duradouros se os atores mudarem. No geral, a recomendação tem um foco misto, mas predominante na condição, pois as ações propostas são corretivas e reativas, visando resolver as inconformidades pontuais sem abordar sistematicamente as causas profundas para evitar recorrências.</w:t>
      </w:r>
    </w:p>
    <w:p>
      <w:pPr>
        <w:pStyle w:val="918"/>
        <w:numPr>
          <w:ilvl w:val="0"/>
          <w:numId w:val="1066"/>
        </w:numPr>
      </w:pPr>
      <w:r>
        <w:t xml:space="preserve">Causa Identificada: parcialmente</w:t>
      </w:r>
    </w:p>
    <w:p>
      <w:pPr>
        <w:pStyle w:val="918"/>
        <w:numPr>
          <w:ilvl w:val="0"/>
          <w:numId w:val="1066"/>
        </w:numPr>
      </w:pPr>
      <w:r>
        <w:t xml:space="preserve">Ação Proposta: sim</w:t>
      </w:r>
    </w:p>
    <w:p>
      <w:pPr>
        <w:pStyle w:val="918"/>
        <w:numPr>
          <w:ilvl w:val="0"/>
          <w:numId w:val="1066"/>
        </w:numPr>
      </w:pPr>
      <w:r>
        <w:t xml:space="preserve">Efeitos Duradouros: não</w:t>
      </w:r>
    </w:p>
    <w:p>
      <w:pPr>
        <w:pStyle w:val="918"/>
        <w:numPr>
          <w:ilvl w:val="0"/>
          <w:numId w:val="1066"/>
        </w:numPr>
      </w:pPr>
      <w:r>
        <w:t xml:space="preserve">Ação Genérica: sim</w:t>
      </w:r>
    </w:p>
    <w:bookmarkEnd w:id="257"/>
    <w:bookmarkStart w:id="258" w:name="auditoria-19776-constatação-nº-692041-1"/>
    <w:p>
      <w:pPr>
        <w:pStyle w:val="907"/>
      </w:pPr>
      <w:r>
        <w:t xml:space="preserve">11.0.3.18 Auditoria 19776, Constatação Nº 692041</w:t>
      </w:r>
    </w:p>
    <w:p>
      <w:pPr>
        <w:pStyle w:val="917"/>
      </w:pPr>
      <w:r>
        <w:rPr>
          <w:b/>
          <w:bCs/>
        </w:rPr>
        <w:t xml:space="preserve">Finalidade</w:t>
      </w:r>
      <w:r>
        <w:t xml:space="preserve">: Verificar se a SMS possui controles internos capazes de assegurar adequadamente a Cadeia de Frio.</w:t>
      </w:r>
    </w:p>
    <w:p>
      <w:pPr>
        <w:pStyle w:val="916"/>
      </w:pPr>
      <w:r>
        <w:rPr>
          <w:b/>
          <w:bCs/>
        </w:rPr>
        <w:t xml:space="preserve">Constatação</w:t>
      </w:r>
      <w:r>
        <w:t xml:space="preserve">: O Programa Municipal de Imunização de Macaé/RJ não realiza manutenção nos equipamentos e não estabelece cronograma que demonstre a periodicidade das manutenções.</w:t>
      </w:r>
    </w:p>
    <w:p>
      <w:pPr>
        <w:pStyle w:val="916"/>
      </w:pPr>
      <w:r>
        <w:rPr>
          <w:b/>
          <w:bCs/>
        </w:rPr>
        <w:t xml:space="preserve">Recomendação</w:t>
      </w:r>
      <w:r>
        <w:t xml:space="preserve">: Realizar a manutenção nos equipamentos e estabelecer cronograma que demonstre a periodicidade das manutenções para garantir o correto funcionamento dos equipamentos. Para tal, deverá estabelecer contrato com o objetivo de garantir a prestação do serviço de calibração e qualificação dos equipamentos da Rede de Frio, conforme disposto nos Subitens 5.5 Manutenção e 5.6 Programação de Manutenção, Item 5, e Subitens 6.13 Orientação: Manutenção dos Equipamentos e 6.14 Equipamentos de Infraestrutura e Segurança, Item 6, do Manual de Rede Frio do Programa Nacional de Imunização (2017); no Inciso IX, do Art. 23, da Seção III, Capítulo II, da Resolução - RDC Nº 63, de 25/11/2011, bem como no § 4º, Art. 43 , Seção IV, Resolução de Diretoria Colegiada - RDC Nº 430, de 08/10/2020.</w:t>
      </w:r>
    </w:p>
    <w:p>
      <w:pPr>
        <w:pStyle w:val="916"/>
      </w:pPr>
      <w:r>
        <w:rPr>
          <w:b/>
          <w:bCs/>
        </w:rPr>
        <w:t xml:space="preserve">Análise Codificação</w:t>
      </w:r>
      <w:r>
        <w:t xml:space="preserve">: A recomendação propõe ações para corrigir a condição identificada de falta de manutenção nos equipamentos e ausência de cronograma de manutenções. No critério</w:t>
      </w:r>
      <w:r>
        <w:t xml:space="preserve"> </w:t>
      </w:r>
      <w:r>
        <w:t xml:space="preserve">‘Causa Identificada’</w:t>
      </w:r>
      <w:r>
        <w:t xml:space="preserve">, a recomendação não identifica explicitamente a causa raiz do problema (como falta de recursos, capacitação ou processos), mas a ação proposta de estabelecer contrato para serviços de calibração e qualificação sugere uma causa subjacente de falta de estrutura contratual. No critério</w:t>
      </w:r>
      <w:r>
        <w:t xml:space="preserve"> </w:t>
      </w:r>
      <w:r>
        <w:t xml:space="preserve">‘Ação Proposta’</w:t>
      </w:r>
      <w:r>
        <w:t xml:space="preserve">, a recomendação sugere ações específicas (realizar manutenção, estabelecer cronograma e contrato) que visam mitigar a reincidência da condição. No critério</w:t>
      </w:r>
      <w:r>
        <w:t xml:space="preserve"> </w:t>
      </w:r>
      <w:r>
        <w:t xml:space="preserve">‘Efeitos Duradouros’</w:t>
      </w:r>
      <w:r>
        <w:t xml:space="preserve">, a ação de estabelecer um cronograma e contrato pode criar uma estrutura permanente, mas depende da continuidade do contrato e adesão ao cronograma, não sendo totalmente independente de mudanças de atores. No critério</w:t>
      </w:r>
      <w:r>
        <w:t xml:space="preserve"> </w:t>
      </w:r>
      <w:r>
        <w:t xml:space="preserve">‘Ação Genérica’</w:t>
      </w:r>
      <w:r>
        <w:t xml:space="preserve">, a recomendação vai além de simplesmente citar normativos, propondo ações concretas como estabelecer contrato e cronograma, embora ainda se baseie em conformidade com normas preexistentes.</w:t>
      </w:r>
    </w:p>
    <w:p>
      <w:pPr>
        <w:pStyle w:val="918"/>
        <w:numPr>
          <w:ilvl w:val="0"/>
          <w:numId w:val="1067"/>
        </w:numPr>
      </w:pPr>
      <w:r>
        <w:t xml:space="preserve">Causa Identificada: parcialmente</w:t>
      </w:r>
    </w:p>
    <w:p>
      <w:pPr>
        <w:pStyle w:val="918"/>
        <w:numPr>
          <w:ilvl w:val="0"/>
          <w:numId w:val="1067"/>
        </w:numPr>
      </w:pPr>
      <w:r>
        <w:t xml:space="preserve">Ação Proposta: sim</w:t>
      </w:r>
    </w:p>
    <w:p>
      <w:pPr>
        <w:pStyle w:val="918"/>
        <w:numPr>
          <w:ilvl w:val="0"/>
          <w:numId w:val="1067"/>
        </w:numPr>
      </w:pPr>
      <w:r>
        <w:t xml:space="preserve">Efeitos Duradouros: parcialmente</w:t>
      </w:r>
    </w:p>
    <w:p>
      <w:pPr>
        <w:pStyle w:val="918"/>
        <w:numPr>
          <w:ilvl w:val="0"/>
          <w:numId w:val="1067"/>
        </w:numPr>
      </w:pPr>
      <w:r>
        <w:t xml:space="preserve">Ação Genérica: não</w:t>
      </w:r>
    </w:p>
    <w:bookmarkEnd w:id="258"/>
    <w:bookmarkStart w:id="259" w:name="auditoria-19710-constatação-nº-696287-1"/>
    <w:p>
      <w:pPr>
        <w:pStyle w:val="907"/>
      </w:pPr>
      <w:r>
        <w:t xml:space="preserve">11.0.3.19 Auditoria 19710, Constatação Nº 696287</w:t>
      </w:r>
    </w:p>
    <w:p>
      <w:pPr>
        <w:pStyle w:val="917"/>
      </w:pPr>
      <w:r>
        <w:rPr>
          <w:b/>
          <w:bCs/>
        </w:rPr>
        <w:t xml:space="preserve">Finalidade</w:t>
      </w:r>
      <w:r>
        <w:t xml:space="preserve">: Verificar a regularidade da produção inserida nos sistemas do SUS.</w:t>
      </w:r>
    </w:p>
    <w:p>
      <w:pPr>
        <w:pStyle w:val="916"/>
      </w:pPr>
      <w:r>
        <w:rPr>
          <w:b/>
          <w:bCs/>
        </w:rPr>
        <w:t xml:space="preserve">Constatação</w:t>
      </w:r>
      <w:r>
        <w:t xml:space="preserve">: A Sesa/ES não realizou atividades de fiscalização, monitoramento, avaliação e auditoria no serviço de oftalmologia eletiva do HMCB, entre 2022 e 2024.</w:t>
      </w:r>
    </w:p>
    <w:p>
      <w:pPr>
        <w:pStyle w:val="916"/>
      </w:pPr>
      <w:r>
        <w:rPr>
          <w:b/>
          <w:bCs/>
        </w:rPr>
        <w:t xml:space="preserve">Recomendação</w:t>
      </w:r>
      <w:r>
        <w:t xml:space="preserve">: Realizar o acompanhamento e a fiscalização do serviço de oftalmologia eletivo prestado pela empresa 20/20 Serviços Médicos S/S no HMCB, por meio de representante designado pela Administração, que deverá registrar ocorrências e adotar medidas corretivas para falhas identificadas, conforme previsto no Art. 67 da Lei 8.666/1993 e no Art. 117 da Lei 14.133/2021. Dessa forma, o acompanhamento e a fiscalização não apenas contribuem para a melhoria dos serviços prestados à população, mas também reforçam a responsabilidade da Administração Pública em zelar pela boa aplicação dos recursos e pelo cumprimento das normas legais. Determinar à empresa contratada a elaboração e adoção de rotinas e normas escritas, atualizadas, assinadas pelo responsável técnico e aprovadas pelo contratante, para assegurar a execução consistente, segura e eficiente das atividades, em atendimento ao disposto no item 3.2 do Anexo I da Portaria MS/SAS nº 288/2008.</w:t>
      </w:r>
    </w:p>
    <w:p>
      <w:pPr>
        <w:pStyle w:val="916"/>
      </w:pPr>
      <w:r>
        <w:rPr>
          <w:b/>
          <w:bCs/>
        </w:rPr>
        <w:t xml:space="preserve">Análise Codificação</w:t>
      </w:r>
      <w:r>
        <w:t xml:space="preserve">: A recomendação propõe duas ações principais: (1) realizar acompanhamento e fiscalização do serviço com registro de ocorrências e adoção de medidas corretivas, e (2) determinar à empresa contratada a elaboração e adoção de rotinas e normas escritas. Em relação ao critério</w:t>
      </w:r>
      <w:r>
        <w:t xml:space="preserve"> </w:t>
      </w:r>
      <w:r>
        <w:t xml:space="preserve">‘Causa Identificada’</w:t>
      </w:r>
      <w:r>
        <w:t xml:space="preserve">, a recomendação não explicita claramente a causa da falta de fiscalização (como falta de recursos, capacitação ou definição de responsabilidades), mas a ação de criar rotinas e normas sugere que a causa subjacente pode ser a ausência de procedimentos formais. Quanto à</w:t>
      </w:r>
      <w:r>
        <w:t xml:space="preserve"> </w:t>
      </w:r>
      <w:r>
        <w:t xml:space="preserve">‘Ação Proposta’</w:t>
      </w:r>
      <w:r>
        <w:t xml:space="preserve">, ambas as ações são sugeridas para mitigar riscos futuros, indo além da mera correção pontual. Sobre</w:t>
      </w:r>
      <w:r>
        <w:t xml:space="preserve"> </w:t>
      </w:r>
      <w:r>
        <w:t xml:space="preserve">‘Efeitos Duradouros’</w:t>
      </w:r>
      <w:r>
        <w:t xml:space="preserve">, a criação de rotinas e normas institucionaliza processos, podendo perdurar com mudanças de atores, enquanto o acompanhamento contínuo depende de designação específica. No critério</w:t>
      </w:r>
      <w:r>
        <w:t xml:space="preserve"> </w:t>
      </w:r>
      <w:r>
        <w:t xml:space="preserve">‘Ação Genérica’</w:t>
      </w:r>
      <w:r>
        <w:t xml:space="preserve">, a primeira ação referencia leis existentes (Lei 8.666/1993 e Lei 14.133/2021), sendo genérica ao sugerir cumprimento normativo, mas a segunda ação, embora baseada na Portaria MS/SAS nº 288/2008, especifica a elaboração de rotinas, o que é mais concreto.</w:t>
      </w:r>
    </w:p>
    <w:p>
      <w:pPr>
        <w:pStyle w:val="918"/>
        <w:numPr>
          <w:ilvl w:val="0"/>
          <w:numId w:val="1068"/>
        </w:numPr>
      </w:pPr>
      <w:r>
        <w:t xml:space="preserve">Causa Identificada: parcialmente</w:t>
      </w:r>
    </w:p>
    <w:p>
      <w:pPr>
        <w:pStyle w:val="918"/>
        <w:numPr>
          <w:ilvl w:val="0"/>
          <w:numId w:val="1068"/>
        </w:numPr>
      </w:pPr>
      <w:r>
        <w:t xml:space="preserve">Ação Proposta: sim</w:t>
      </w:r>
    </w:p>
    <w:p>
      <w:pPr>
        <w:pStyle w:val="918"/>
        <w:numPr>
          <w:ilvl w:val="0"/>
          <w:numId w:val="1068"/>
        </w:numPr>
      </w:pPr>
      <w:r>
        <w:t xml:space="preserve">Efeitos Duradouros: parcialmente</w:t>
      </w:r>
    </w:p>
    <w:p>
      <w:pPr>
        <w:pStyle w:val="918"/>
        <w:numPr>
          <w:ilvl w:val="0"/>
          <w:numId w:val="1068"/>
        </w:numPr>
      </w:pPr>
      <w:r>
        <w:t xml:space="preserve">Ação Genérica: parcialmente</w:t>
      </w:r>
    </w:p>
    <w:bookmarkEnd w:id="259"/>
    <w:bookmarkStart w:id="260" w:name="auditoria-19855-constatação-nº-701796-1"/>
    <w:p>
      <w:pPr>
        <w:pStyle w:val="907"/>
      </w:pPr>
      <w:r>
        <w:t xml:space="preserve">11.0.3.20 Auditoria 19855, Constatação Nº 701796</w:t>
      </w:r>
    </w:p>
    <w:p>
      <w:pPr>
        <w:pStyle w:val="917"/>
      </w:pPr>
      <w:r>
        <w:rPr>
          <w:b/>
          <w:bCs/>
        </w:rPr>
        <w:t xml:space="preserve">Finalidade</w:t>
      </w:r>
      <w:r>
        <w:t xml:space="preserve">: Verificar a gestão e o gerenciamento dos Centros de Referência em Saúde do Trabalhador - CERESTs</w:t>
      </w:r>
    </w:p>
    <w:p>
      <w:pPr>
        <w:pStyle w:val="916"/>
      </w:pPr>
      <w:r>
        <w:rPr>
          <w:b/>
          <w:bCs/>
        </w:rPr>
        <w:t xml:space="preserve">Constatação</w:t>
      </w:r>
      <w:r>
        <w:t xml:space="preserve">: O CEREST Regional Maricá/RJ não acompanha, monitora e avalia os resultados relacionados à saúde do trabalhador dos anos de 2023 e 2024.</w:t>
      </w:r>
    </w:p>
    <w:p>
      <w:pPr>
        <w:pStyle w:val="916"/>
      </w:pPr>
      <w:r>
        <w:rPr>
          <w:b/>
          <w:bCs/>
        </w:rPr>
        <w:t xml:space="preserve">Recomendação</w:t>
      </w:r>
      <w:r>
        <w:t xml:space="preserve">: 1 - Assegurar que todas as áreas de saúde compreendidas na PNSTT (promoção, vigilância e atenção básica) estejam inseridas no Plano Municipal de Saúde (PMS) e nas Programações Anuais de Saúde (PAS), acompanhadas das suas respectivas ações, metas e indicadores, atendendo o Inciso I, Paragráfo Único, Art 19, Capítulo II, Anexo X, da Portaria de Consolidação GM/MS n°3, de 28/9/2017; 2 - Implementar metodologia de acompanhamento e avaliação das ações de saúde do trabalhador, com definição de metas, indicadores de desempenho e periodicidade de monitoramento, de forma a permitir a análise dos resultados obtidos e a melhoria contínua das ações executadas pelo CEREST Regional Maricá/RJ, atendendo assim os Incisos I, III, Art. 18, Seção II, Capitulo IV, Título II da Lei n.º 8.080/1990 (Lei Orgânica da Saúde) e Alíneas e, g, do Inciso I, Art. 9º, Capítulo III, do Anexo XV da Portaria de Consolidação GM/MS n.º 2, de 28/9/2017.</w:t>
      </w:r>
    </w:p>
    <w:p>
      <w:pPr>
        <w:pStyle w:val="916"/>
      </w:pPr>
      <w:r>
        <w:rPr>
          <w:b/>
          <w:bCs/>
        </w:rPr>
        <w:t xml:space="preserve">Análise Codificação</w:t>
      </w:r>
      <w:r>
        <w:t xml:space="preserve">: A recomendação é composta por duas partes. A primeira parte (1) visa assegurar que as áreas de saúde do trabalhador estejam inseridas no Plano Municipal de Saúde e nas Programações Anuais de Saúde, com ações, metas e indicadores, referenciando normativos específicos. Esta ação está focada em corrigir a condição atual de ausência desses elementos nos documentos de planejamento, sendo uma medida corretiva e reativa para atender a exigências legais preexistentes. A segunda parte (2) propõe a implementação de uma metodologia de acompanhamento e avaliação com definição de metas, indicadores e periodicidade, referenciando leis e portarias. Esta ação busca estabelecer um processo estruturado e contínuo para monitorar os resultados, o que pode ser visto como uma medida para evitar a recorrência da condição identificada (falta de acompanhamento), promovendo uma mudança institucional duradoura. No critério</w:t>
      </w:r>
      <w:r>
        <w:t xml:space="preserve"> </w:t>
      </w:r>
      <w:r>
        <w:t xml:space="preserve">‘Causa Identificada’</w:t>
      </w:r>
      <w:r>
        <w:t xml:space="preserve">, a recomendação não explicita claramente a causa da falta de acompanhamento, mas a ação proposta na parte 2 implica a necessidade de um sistema formal, sugerindo uma causa subjacente relacionada à falta de processos estruturados. No critério</w:t>
      </w:r>
      <w:r>
        <w:t xml:space="preserve"> </w:t>
      </w:r>
      <w:r>
        <w:t xml:space="preserve">‘Ação Proposta’</w:t>
      </w:r>
      <w:r>
        <w:t xml:space="preserve">, ambas as partes sugerem ações específicas, embora a parte 1 seja mais genérica ao exigir cumprimento normativo. No critério</w:t>
      </w:r>
      <w:r>
        <w:t xml:space="preserve"> </w:t>
      </w:r>
      <w:r>
        <w:t xml:space="preserve">‘Efeitos Duradouros’</w:t>
      </w:r>
      <w:r>
        <w:t xml:space="preserve">, a parte 2 tem potencial para efeitos duradouros, pois institui uma metodologia que pode persistir independentemente de mudanças de pessoal, enquanto a parte 1 é mais sobre conformidade imediata. No critério</w:t>
      </w:r>
      <w:r>
        <w:t xml:space="preserve"> </w:t>
      </w:r>
      <w:r>
        <w:t xml:space="preserve">‘Ação Genérica’</w:t>
      </w:r>
      <w:r>
        <w:t xml:space="preserve">, a parte 1 é altamente genérica, focada em cumprir normativos existentes, enquanto a parte 2 é mais específica ao propor a implementação de uma metodologia, embora ainda referencie leis.</w:t>
      </w:r>
    </w:p>
    <w:p>
      <w:pPr>
        <w:pStyle w:val="918"/>
        <w:numPr>
          <w:ilvl w:val="0"/>
          <w:numId w:val="1069"/>
        </w:numPr>
      </w:pPr>
      <w:r>
        <w:t xml:space="preserve">Causa Identificada: parcialmente</w:t>
      </w:r>
    </w:p>
    <w:p>
      <w:pPr>
        <w:pStyle w:val="918"/>
        <w:numPr>
          <w:ilvl w:val="0"/>
          <w:numId w:val="1069"/>
        </w:numPr>
      </w:pPr>
      <w:r>
        <w:t xml:space="preserve">Ação Proposta: sim</w:t>
      </w:r>
    </w:p>
    <w:p>
      <w:pPr>
        <w:pStyle w:val="918"/>
        <w:numPr>
          <w:ilvl w:val="0"/>
          <w:numId w:val="1069"/>
        </w:numPr>
      </w:pPr>
      <w:r>
        <w:t xml:space="preserve">Efeitos Duradouros: parcialmente</w:t>
      </w:r>
    </w:p>
    <w:p>
      <w:pPr>
        <w:pStyle w:val="918"/>
        <w:numPr>
          <w:ilvl w:val="0"/>
          <w:numId w:val="1069"/>
        </w:numPr>
      </w:pPr>
      <w:r>
        <w:t xml:space="preserve">Ação Genérica: parcialmente</w:t>
      </w:r>
    </w:p>
    <w:bookmarkEnd w:id="260"/>
    <w:bookmarkStart w:id="261" w:name="auditoria-19879-constatação-nº-703725-1"/>
    <w:p>
      <w:pPr>
        <w:pStyle w:val="907"/>
      </w:pPr>
      <w:r>
        <w:t xml:space="preserve">11.0.3.21 Auditoria 19879, Constatação Nº 703725</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Hospital de Câncer de Cascavel (Uopeccan) não emitiu nova AIH para procedimento compatível nos casos em que a internação para quimioterapia de administração contínua (03.04.08.002-0) excedeu seis dias de permanência.</w:t>
      </w:r>
    </w:p>
    <w:p>
      <w:pPr>
        <w:pStyle w:val="916"/>
      </w:pPr>
      <w:r>
        <w:rPr>
          <w:b/>
          <w:bCs/>
        </w:rPr>
        <w:t xml:space="preserve">Recomendação</w:t>
      </w:r>
      <w:r>
        <w:t xml:space="preserve">: - Emitir nova AIH compatível com a condição clínica apresentada pelo paciente, nos termos da normativa vigente, utilizando-se do código 03.04.10.001-3 - Tratamento de intercorrências clínicas de paciente oncológico, sempre que a internação se prolongar por intercorrências que extrapolem o escopo do procedimento original de quimioterapia contínua; - Promover capacitação continuada da equipe responsável pelos processos de codificação e faturamento, com foco nas diretrizes do SIA/SUS e nos requisitos normativos para correta classificação e cobrança dos procedimentos oncológicos hospitalares. Essas recomendações seguem as diretrizes do Manual de Bases Técnicas da Oncologia - SIA/SUS, 30ª edição, Ministério da Saúde, 2022, página 22, contribuindo para a correta codificação, a precisão dos registros dos procedimentos realizados, o cumprimento das normas regulatórias e a otimização da gestão dos recursos de saúde.</w:t>
      </w:r>
    </w:p>
    <w:p>
      <w:pPr>
        <w:pStyle w:val="916"/>
      </w:pPr>
      <w:r>
        <w:rPr>
          <w:b/>
          <w:bCs/>
        </w:rPr>
        <w:t xml:space="preserve">Análise Codificação</w:t>
      </w:r>
      <w:r>
        <w:t xml:space="preserve">: A recomendação é composta por duas partes distintas. A primeira parte (</w:t>
      </w:r>
      <w:r>
        <w:t xml:space="preserve">‘Emitir nova AIH…’</w:t>
      </w:r>
      <w:r>
        <w:t xml:space="preserve">) é claramente orientada à correção da condição específica identificada (internações prolongadas sem emissão de AIH adequada), focando na solução imediata do problema pontual. Não aborda as causas subjacentes que levaram à não emissão das AIHs, limitando-se a prescrever a ação correta a ser tomada quando a situação ocorrer. A segunda parte (</w:t>
      </w:r>
      <w:r>
        <w:t xml:space="preserve">‘Promover capacitação continuada…’</w:t>
      </w:r>
      <w:r>
        <w:t xml:space="preserve">) identifica uma causa potencial (falta de capacitação da equipe) e propõe uma ação que visa prevenir a recorrência do problema através do desenvolvimento de competências permanentes na equipe, o que teria efeitos duradouros mesmo com mudança de pessoal. Quanto ao critério de ação genérica, a primeira recomendação se restringe a sugerir o cumprimento de normativo existente, enquanto a segunda vai além ao propor uma ação concreta de capacitação.</w:t>
      </w:r>
    </w:p>
    <w:p>
      <w:pPr>
        <w:pStyle w:val="918"/>
        <w:numPr>
          <w:ilvl w:val="0"/>
          <w:numId w:val="1070"/>
        </w:numPr>
      </w:pPr>
      <w:r>
        <w:t xml:space="preserve">Causa Identificada: parcialmente</w:t>
      </w:r>
    </w:p>
    <w:p>
      <w:pPr>
        <w:pStyle w:val="918"/>
        <w:numPr>
          <w:ilvl w:val="0"/>
          <w:numId w:val="1070"/>
        </w:numPr>
      </w:pPr>
      <w:r>
        <w:t xml:space="preserve">Ação Proposta: sim</w:t>
      </w:r>
    </w:p>
    <w:p>
      <w:pPr>
        <w:pStyle w:val="918"/>
        <w:numPr>
          <w:ilvl w:val="0"/>
          <w:numId w:val="1070"/>
        </w:numPr>
      </w:pPr>
      <w:r>
        <w:t xml:space="preserve">Efeitos Duradouros: parcialmente</w:t>
      </w:r>
    </w:p>
    <w:p>
      <w:pPr>
        <w:pStyle w:val="918"/>
        <w:numPr>
          <w:ilvl w:val="0"/>
          <w:numId w:val="1070"/>
        </w:numPr>
      </w:pPr>
      <w:r>
        <w:t xml:space="preserve">Ação Genérica: parcialmente</w:t>
      </w:r>
    </w:p>
    <w:bookmarkEnd w:id="261"/>
    <w:bookmarkStart w:id="262" w:name="auditoria-19879-constatação-nº-703730-1"/>
    <w:p>
      <w:pPr>
        <w:pStyle w:val="907"/>
      </w:pPr>
      <w:r>
        <w:t xml:space="preserve">11.0.3.22 Auditoria 19879, Constatação Nº 703730</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Hospital de Câncer de Cascavel (UOPECCAN) não comprovou documentalmente, em 01 caso, a realização da cirurgia oncológica no máximo 60 dias antes da quimioterapia adjuvante - profilática.</w:t>
      </w:r>
    </w:p>
    <w:p>
      <w:pPr>
        <w:pStyle w:val="916"/>
      </w:pPr>
      <w:r>
        <w:rPr>
          <w:b/>
          <w:bCs/>
        </w:rPr>
        <w:t xml:space="preserve">Recomendação</w:t>
      </w:r>
      <w:r>
        <w:t xml:space="preserve">: - Garantir a conformidade com as normas e regulamentos vigentes. - Alinhar as práticas assistenciais às diretrizes do SUS e às recomendações do Manual de Bases Técnicas da Oncologia. - Manter um diálogo aberto e colaborativo com os responsáveis para promover melhorias contínuas na gestão e na assistência ao paciente. - Orientar os profissionais por meio de treinamentos e capacitações contínuas, com o intuito de reforçar as boas práticas de registro, documentação e cumprimento dos prazos. - Implementar um sistema de acompanhamento periódico para garantir que as ações corretivas estejam sendo efetivas e que futuras não conformidades sejam evitadas. Essas recomendações apresentadas visam atender ao parágrafo 2.° do art. 2 da Lei nº 14.758, de 19 de dezembro de 2023, que institui a Política Nacional de Prevenção e Controle do Câncer no âmbito do SUS e ao Manual de Bases Técnicas da Oncologia - SIA/SUS, 30ª edição, Ministério da Saúde, 2022, que orienta o início da quimioterapia adjuvante entre 30 e 60 dias do pós-operatório (p. 108), desde que respeitadas as condições clínicas e a integralidade da assistência. Além disso, elas têm como objetivo mitigar riscos que possam prejudicar o atingimento dos objetivos do SUS e garantir um atendimento de qualidade à população usuária do sistema.</w:t>
      </w:r>
    </w:p>
    <w:p>
      <w:pPr>
        <w:pStyle w:val="916"/>
      </w:pPr>
      <w:r>
        <w:rPr>
          <w:b/>
          <w:bCs/>
        </w:rPr>
        <w:t xml:space="preserve">Análise Codificação</w:t>
      </w:r>
      <w:r>
        <w:t xml:space="preserve">: A recomendação apresenta múltiplas ações, sendo necessário avaliar o conjunto. Em relação ao critério</w:t>
      </w:r>
      <w:r>
        <w:t xml:space="preserve"> </w:t>
      </w:r>
      <w:r>
        <w:t xml:space="preserve">‘Causa Identificada’</w:t>
      </w:r>
      <w:r>
        <w:t xml:space="preserve">, a recomendação não explicita claramente a causa da não conformidade (ex: falha no sistema de registro, desconhecimento de prazos, ausência de protocolos), mas ações como treinamentos e implementação de sistema de acompanhamento sugerem inferência de causas relacionadas a capacitação e monitoramento. Para</w:t>
      </w:r>
      <w:r>
        <w:t xml:space="preserve"> </w:t>
      </w:r>
      <w:r>
        <w:t xml:space="preserve">‘Ação Proposta’</w:t>
      </w:r>
      <w:r>
        <w:t xml:space="preserve">, há sugestões concretas como treinamentos e sistema de acompanhamento, indo além do mero cumprimento normativo. Quanto aos</w:t>
      </w:r>
      <w:r>
        <w:t xml:space="preserve"> </w:t>
      </w:r>
      <w:r>
        <w:t xml:space="preserve">‘Efeitos Duradouros’</w:t>
      </w:r>
      <w:r>
        <w:t xml:space="preserve">, treinamentos contínuos e sistema de acompanhamento podem perdurar com mudança de atores, mas itens como</w:t>
      </w:r>
      <w:r>
        <w:t xml:space="preserve"> </w:t>
      </w:r>
      <w:r>
        <w:t xml:space="preserve">‘garantir conformidade’</w:t>
      </w:r>
      <w:r>
        <w:t xml:space="preserve"> </w:t>
      </w:r>
      <w:r>
        <w:t xml:space="preserve">e</w:t>
      </w:r>
      <w:r>
        <w:t xml:space="preserve"> </w:t>
      </w:r>
      <w:r>
        <w:t xml:space="preserve">‘alinhar práticas’</w:t>
      </w:r>
      <w:r>
        <w:t xml:space="preserve"> </w:t>
      </w:r>
      <w:r>
        <w:t xml:space="preserve">são genéricos. Sobre</w:t>
      </w:r>
      <w:r>
        <w:t xml:space="preserve"> </w:t>
      </w:r>
      <w:r>
        <w:t xml:space="preserve">‘Ação Genérica’</w:t>
      </w:r>
      <w:r>
        <w:t xml:space="preserve">, partes da recomendação se restringem a sugerir conformidade com normas existentes, mas outras propõem ações específicas como treinamentos e sistema de acompanhamento.</w:t>
      </w:r>
    </w:p>
    <w:p>
      <w:pPr>
        <w:pStyle w:val="918"/>
        <w:numPr>
          <w:ilvl w:val="0"/>
          <w:numId w:val="1071"/>
        </w:numPr>
      </w:pPr>
      <w:r>
        <w:t xml:space="preserve">Causa Identificada: parcialmente</w:t>
      </w:r>
    </w:p>
    <w:p>
      <w:pPr>
        <w:pStyle w:val="918"/>
        <w:numPr>
          <w:ilvl w:val="0"/>
          <w:numId w:val="1071"/>
        </w:numPr>
      </w:pPr>
      <w:r>
        <w:t xml:space="preserve">Ação Proposta: sim</w:t>
      </w:r>
    </w:p>
    <w:p>
      <w:pPr>
        <w:pStyle w:val="918"/>
        <w:numPr>
          <w:ilvl w:val="0"/>
          <w:numId w:val="1071"/>
        </w:numPr>
      </w:pPr>
      <w:r>
        <w:t xml:space="preserve">Efeitos Duradouros: parcialmente</w:t>
      </w:r>
    </w:p>
    <w:p>
      <w:pPr>
        <w:pStyle w:val="918"/>
        <w:numPr>
          <w:ilvl w:val="0"/>
          <w:numId w:val="1071"/>
        </w:numPr>
      </w:pPr>
      <w:r>
        <w:t xml:space="preserve">Ação Genérica: parcialmente</w:t>
      </w:r>
    </w:p>
    <w:bookmarkEnd w:id="262"/>
    <w:bookmarkStart w:id="263" w:name="auditoria-19586-constatação-nº-672299-1"/>
    <w:p>
      <w:pPr>
        <w:pStyle w:val="907"/>
      </w:pPr>
      <w:r>
        <w:t xml:space="preserve">11.0.3.23 Auditoria 19586, Constatação Nº 672299</w:t>
      </w:r>
    </w:p>
    <w:p>
      <w:pPr>
        <w:pStyle w:val="917"/>
      </w:pPr>
      <w:r>
        <w:rPr>
          <w:b/>
          <w:bCs/>
        </w:rPr>
        <w:t xml:space="preserve">Finalidade</w:t>
      </w:r>
      <w:r>
        <w:t xml:space="preserve">: Avaliar a atuação do município através dos indicadores de desempenho do Programa Previne.</w:t>
      </w:r>
    </w:p>
    <w:p>
      <w:pPr>
        <w:pStyle w:val="916"/>
      </w:pPr>
      <w:r>
        <w:rPr>
          <w:b/>
          <w:bCs/>
        </w:rPr>
        <w:t xml:space="preserve">Constatação</w:t>
      </w:r>
      <w:r>
        <w:t xml:space="preserve">: O município de Itambaracá/PR não realizou o preenchimento adequado do prontuário relacionando corretamente o paciente ao indicador, mas efetuou a vinculação à equipe, no exercício de 2022.</w:t>
      </w:r>
    </w:p>
    <w:p>
      <w:pPr>
        <w:pStyle w:val="916"/>
      </w:pPr>
      <w:r>
        <w:rPr>
          <w:b/>
          <w:bCs/>
        </w:rPr>
        <w:t xml:space="preserve">Recomendação</w:t>
      </w:r>
      <w:r>
        <w:t xml:space="preserve">: 1. Preencher adequadamente os prontuários, relacionando os pacientes aos indicadores do Programa Previne Brasil, de acordo com as orientações constantes no Manual Instrutivo do Programa; 2. Atender ao disposto no artigo 12-C da Portaria GM/MS nº 2.979, de 12/11/2019, que estabelece que o cálculo do incentivo financeiro do pagamento por desempenho será efetuado considerando os resultados de indicadores alcançados pelas equipes credenciadas e cadastradas no SCNES; 3. Efetivar a informatização das UBS do município, viabilizando o uso do Prontuário Eletrônico nos ambientes de atendimento ao cidadão, garantindo o devido preenchimento das informações de saúde dos usuários da APS e o envio adequado de dados ao Ministério da Saúde, de acordo com as orientações constantes na página 47 do Manual Instrutivo do Programa.</w:t>
      </w:r>
    </w:p>
    <w:p>
      <w:pPr>
        <w:pStyle w:val="916"/>
      </w:pPr>
      <w:r>
        <w:rPr>
          <w:b/>
          <w:bCs/>
        </w:rPr>
        <w:t xml:space="preserve">Análise Codificação</w:t>
      </w:r>
      <w:r>
        <w:t xml:space="preserve">: A recomendação aborda três aspectos distintos. O primeiro item (</w:t>
      </w:r>
      <w:r>
        <w:t xml:space="preserve">‘Preencher adequadamente os prontuários…’</w:t>
      </w:r>
      <w:r>
        <w:t xml:space="preserve">) é uma ação corretiva direta para a condição identificada (preenchimento inadequado), sem propor medidas para evitar a recorrência. O segundo item (</w:t>
      </w:r>
      <w:r>
        <w:t xml:space="preserve">‘Atender ao disposto no artigo 12-C…’</w:t>
      </w:r>
      <w:r>
        <w:t xml:space="preserve">) limita-se a citar o cumprimento de normativo existente, sem tratar as causas do não cumprimento. O terceiro item (</w:t>
      </w:r>
      <w:r>
        <w:t xml:space="preserve">‘Efetivar a informatização das UBS…’</w:t>
      </w:r>
      <w:r>
        <w:t xml:space="preserve">) propõe uma mudança estrutural (implantação de prontuário eletrônico) que, ao padronizar e automatizar processos, pode reduzir a dependência de ações manuais e mitigar o risco de novos erros de preenchimento, com efeitos que persistem independentemente dos atores envolvidos. No entanto, como a recomendação é composta e apenas um dos itens aborda potencialmente a causa, a análise considera o conjunto.</w:t>
      </w:r>
    </w:p>
    <w:p>
      <w:pPr>
        <w:pStyle w:val="918"/>
        <w:numPr>
          <w:ilvl w:val="0"/>
          <w:numId w:val="1072"/>
        </w:numPr>
      </w:pPr>
      <w:r>
        <w:t xml:space="preserve">Causa Identificada: parcialmente</w:t>
      </w:r>
    </w:p>
    <w:p>
      <w:pPr>
        <w:pStyle w:val="918"/>
        <w:numPr>
          <w:ilvl w:val="0"/>
          <w:numId w:val="1072"/>
        </w:numPr>
      </w:pPr>
      <w:r>
        <w:t xml:space="preserve">Ação Proposta: sim</w:t>
      </w:r>
    </w:p>
    <w:p>
      <w:pPr>
        <w:pStyle w:val="918"/>
        <w:numPr>
          <w:ilvl w:val="0"/>
          <w:numId w:val="1072"/>
        </w:numPr>
      </w:pPr>
      <w:r>
        <w:t xml:space="preserve">Efeitos Duradouros: parcialmente</w:t>
      </w:r>
    </w:p>
    <w:p>
      <w:pPr>
        <w:pStyle w:val="918"/>
        <w:numPr>
          <w:ilvl w:val="0"/>
          <w:numId w:val="1072"/>
        </w:numPr>
      </w:pPr>
      <w:r>
        <w:t xml:space="preserve">Ação Genérica: sim</w:t>
      </w:r>
    </w:p>
    <w:bookmarkEnd w:id="263"/>
    <w:bookmarkStart w:id="264" w:name="auditoria-19590-constatação-nº-684544-1"/>
    <w:p>
      <w:pPr>
        <w:pStyle w:val="907"/>
      </w:pPr>
      <w:r>
        <w:t xml:space="preserve">11.0.3.24 Auditoria 19590, Constatação Nº 684544</w:t>
      </w:r>
    </w:p>
    <w:p>
      <w:pPr>
        <w:pStyle w:val="917"/>
      </w:pPr>
      <w:r>
        <w:rPr>
          <w:b/>
          <w:bCs/>
        </w:rPr>
        <w:t xml:space="preserve">Finalidade</w:t>
      </w:r>
      <w:r>
        <w:t xml:space="preserve">: Verificar a implementação da Pol. Nac. ao Portador de Doença Ren. Crônica, nos estágios 4 e 5 em TRS</w:t>
      </w:r>
    </w:p>
    <w:p>
      <w:pPr>
        <w:pStyle w:val="916"/>
      </w:pPr>
      <w:r>
        <w:rPr>
          <w:b/>
          <w:bCs/>
        </w:rPr>
        <w:t xml:space="preserve">Constatação</w:t>
      </w:r>
      <w:r>
        <w:t xml:space="preserve">: Os mecanismos de regulação para os serviços de TRS com indicação de referência e contrarreferência para os portadores de DRC, nos estágios 4 e 5, são inexistentes no município de Campina Grande/PB.</w:t>
      </w:r>
    </w:p>
    <w:p>
      <w:pPr>
        <w:pStyle w:val="916"/>
      </w:pPr>
      <w:r>
        <w:rPr>
          <w:b/>
          <w:bCs/>
        </w:rPr>
        <w:t xml:space="preserve">Recomendação</w:t>
      </w:r>
      <w:r>
        <w:t xml:space="preserve">: Objetivando-se a adequação das lacunas verificadas pela equipe de auditoria, recomenda-se: -identificar, por meio de pesquisas científicas e/ou criação de sistema informatizado, os determinantes e condicionantes das principais patologias que levam à doença renal com vistas a adotar-se estratégias de enfrentamento por meio de políticas públicas; -garantir o acesso e assegurar a qualidade do processo de diálise visando alcançar impacto positivo na sobrevida, na morbidade e na qualidade de vida e garantir equidade na entrada em lista de espera para transplante renal, com vistas à ampliação com qualidade do atendimento à população necessitada; -regular, fiscalizar o controlar a avaliação de ações de atenção ao portador de doença renal, preferencialmente por meio da interlocução com o estado e conselho de saúde. Tais indicações atendem ao disposto no inciso III, art. 2º e nos incisos III e VI, do art. 3º, Anexo XXXIII, da Portaria de Consolidação GM/MS n.º 2, de 28 de setembro de 2017.</w:t>
      </w:r>
    </w:p>
    <w:p>
      <w:pPr>
        <w:pStyle w:val="916"/>
      </w:pPr>
      <w:r>
        <w:rPr>
          <w:b/>
          <w:bCs/>
        </w:rPr>
        <w:t xml:space="preserve">Análise Codificação</w:t>
      </w:r>
      <w:r>
        <w:t xml:space="preserve">: A recomendação aborda múltiplas ações para lidar com a ausência de mecanismos de regulação para serviços de TRS. Em relação à</w:t>
      </w:r>
      <w:r>
        <w:t xml:space="preserve"> </w:t>
      </w:r>
      <w:r>
        <w:t xml:space="preserve">‘Causa Identificada’</w:t>
      </w:r>
      <w:r>
        <w:t xml:space="preserve">, a recomendação propõe identificar determinantes e condicionantes das patologias que levam à doença renal, o que sugere uma tentativa de entender as causas subjacentes, embora não especifique claramente a causa imediata da inexistência dos mecanismos. Para</w:t>
      </w:r>
      <w:r>
        <w:t xml:space="preserve"> </w:t>
      </w:r>
      <w:r>
        <w:t xml:space="preserve">‘Ação Proposta’</w:t>
      </w:r>
      <w:r>
        <w:t xml:space="preserve">, ela inclui ações como identificar determinantes, garantir acesso à diálise e regular ações, que visam mitigar riscos futuros, mas algumas são genéricas. Quanto aos</w:t>
      </w:r>
      <w:r>
        <w:t xml:space="preserve"> </w:t>
      </w:r>
      <w:r>
        <w:t xml:space="preserve">‘Efeitos Duradouros’</w:t>
      </w:r>
      <w:r>
        <w:t xml:space="preserve">, ações como criar sistemas informatizados ou políticas públicas podem ter efeitos prolongados, mas a ênfase em garantir acesso e qualidade sugere foco em condições atuais. Sobre</w:t>
      </w:r>
      <w:r>
        <w:t xml:space="preserve"> </w:t>
      </w:r>
      <w:r>
        <w:t xml:space="preserve">‘Ação Genérica’</w:t>
      </w:r>
      <w:r>
        <w:t xml:space="preserve">, partes da recomendação se baseiam em cumprir normativos existentes, como citado na portaria, indicando um elemento genérico.</w:t>
      </w:r>
    </w:p>
    <w:p>
      <w:pPr>
        <w:pStyle w:val="918"/>
        <w:numPr>
          <w:ilvl w:val="0"/>
          <w:numId w:val="1073"/>
        </w:numPr>
      </w:pPr>
      <w:r>
        <w:t xml:space="preserve">Causa Identificada: parcialmente</w:t>
      </w:r>
    </w:p>
    <w:p>
      <w:pPr>
        <w:pStyle w:val="918"/>
        <w:numPr>
          <w:ilvl w:val="0"/>
          <w:numId w:val="1073"/>
        </w:numPr>
      </w:pPr>
      <w:r>
        <w:t xml:space="preserve">Ação Proposta: sim</w:t>
      </w:r>
    </w:p>
    <w:p>
      <w:pPr>
        <w:pStyle w:val="918"/>
        <w:numPr>
          <w:ilvl w:val="0"/>
          <w:numId w:val="1073"/>
        </w:numPr>
      </w:pPr>
      <w:r>
        <w:t xml:space="preserve">Efeitos Duradouros: parcialmente</w:t>
      </w:r>
    </w:p>
    <w:p>
      <w:pPr>
        <w:pStyle w:val="918"/>
        <w:numPr>
          <w:ilvl w:val="0"/>
          <w:numId w:val="1073"/>
        </w:numPr>
      </w:pPr>
      <w:r>
        <w:t xml:space="preserve">Ação Genérica: sim</w:t>
      </w:r>
    </w:p>
    <w:bookmarkEnd w:id="264"/>
    <w:bookmarkStart w:id="265" w:name="auditoria-19840-constatação-nº-701376-1"/>
    <w:p>
      <w:pPr>
        <w:pStyle w:val="907"/>
      </w:pPr>
      <w:r>
        <w:t xml:space="preserve">11.0.3.25 Auditoria 19840, Constatação Nº 701376</w:t>
      </w:r>
    </w:p>
    <w:p>
      <w:pPr>
        <w:pStyle w:val="917"/>
      </w:pPr>
      <w:r>
        <w:rPr>
          <w:b/>
          <w:bCs/>
        </w:rPr>
        <w:t xml:space="preserve">Finalidade</w:t>
      </w:r>
      <w:r>
        <w:t xml:space="preserve">: Verificar a regularidade da produção inserida nos sistemas do SUS</w:t>
      </w:r>
    </w:p>
    <w:p>
      <w:pPr>
        <w:pStyle w:val="916"/>
      </w:pPr>
      <w:r>
        <w:rPr>
          <w:b/>
          <w:bCs/>
        </w:rPr>
        <w:t xml:space="preserve">Constatação</w:t>
      </w:r>
      <w:r>
        <w:t xml:space="preserve">: A Semsam não comprovou a execução da produção do procedimento Consulta Médica em Atenção Especializada inserida no Sistema de Informações Ambulatoriais (SIA/SUS).</w:t>
      </w:r>
    </w:p>
    <w:p>
      <w:pPr>
        <w:pStyle w:val="916"/>
      </w:pPr>
      <w:r>
        <w:rPr>
          <w:b/>
          <w:bCs/>
        </w:rPr>
        <w:t xml:space="preserve">Recomendação</w:t>
      </w:r>
      <w:r>
        <w:t xml:space="preserve">: Restituir ao Fundo Nacional de Saúde (FNS) os recursos federais do SUS, no valor de R$910.120,00 (novecentos e dez mil e cento e vinte reais), recebidos indevidamente pelo município de Amarante do Maranhão, atualizados monetariamente e com os acréscimos legais cabíveis, conforme indicado no capítulo</w:t>
      </w:r>
      <w:r>
        <w:t xml:space="preserve"> </w:t>
      </w:r>
      <w:r>
        <w:t xml:space="preserve">“Proposição de Devolução”</w:t>
      </w:r>
      <w:r>
        <w:t xml:space="preserve"> </w:t>
      </w:r>
      <w:r>
        <w:t xml:space="preserve">deste relatório. Essa medida se fundamenta no parágrafo único do artigo 54 da Portaria GM/MS nº 684/2022, que estabelece que incorreções ou discrepâncias na produção registrada podem impedir a execução orçamentária e financeira de emendas parlamentares, e no item 9.3.4 do Acórdão nº 1.072/2017 - Plenário, que determina que, em caso de débito por recebimento irregular de recursos federais, o ente recebedor deve restituir o FNS, independentemente do destino final dos recursos. Garantir a rastreabilidade das informações produzidas e enviadas aos sistemas de informação do SUS, mediante a implementação de mecanismos de registro, verificação e responsabilização por inconsistências, de acordo com o disposto no item 2.3 do Manual de Operação do SIA-SUS (2016) e com a alínea a do item II do art. 295 da Portaria de Consolidação GM/MS nº 1/2017.</w:t>
      </w:r>
    </w:p>
    <w:p>
      <w:pPr>
        <w:pStyle w:val="916"/>
      </w:pPr>
      <w:r>
        <w:rPr>
          <w:b/>
          <w:bCs/>
        </w:rPr>
        <w:t xml:space="preserve">Análise Codificação</w:t>
      </w:r>
      <w:r>
        <w:t xml:space="preserve">: A recomendação possui dois componentes distintos. O primeiro componente, que trata da restituição de recursos, é claramente focado na correção da condição específica identificada (recebimento irregular de recursos), sem propor ações para evitar que situações similares ocorram no futuro. O segundo componente, que trata da garantia de rastreabilidade das informações, identifica uma causa subjacente (falta de mecanismos de registro, verificação e responsabilização) e propõe uma ação que visa prevenir a recorrência da condição, com efeitos que podem perdurar além dos atores atuais, embora se baseie em normativos existentes. No entanto, considerando a recomendação como um todo e o fato de que o componente de rastreabilidade é genérico e não especifica ações concretas para tratar a causa do não cumprimento, a recomendação é predominantemente condition-based.</w:t>
      </w:r>
    </w:p>
    <w:p>
      <w:pPr>
        <w:pStyle w:val="918"/>
        <w:numPr>
          <w:ilvl w:val="0"/>
          <w:numId w:val="1074"/>
        </w:numPr>
      </w:pPr>
      <w:r>
        <w:t xml:space="preserve">Causa Identificada: parcialmente</w:t>
      </w:r>
    </w:p>
    <w:p>
      <w:pPr>
        <w:pStyle w:val="918"/>
        <w:numPr>
          <w:ilvl w:val="0"/>
          <w:numId w:val="1074"/>
        </w:numPr>
      </w:pPr>
      <w:r>
        <w:t xml:space="preserve">Ação Proposta: sim</w:t>
      </w:r>
    </w:p>
    <w:p>
      <w:pPr>
        <w:pStyle w:val="918"/>
        <w:numPr>
          <w:ilvl w:val="0"/>
          <w:numId w:val="1074"/>
        </w:numPr>
      </w:pPr>
      <w:r>
        <w:t xml:space="preserve">Efeitos Duradouros: parcialmente</w:t>
      </w:r>
    </w:p>
    <w:p>
      <w:pPr>
        <w:pStyle w:val="918"/>
        <w:numPr>
          <w:ilvl w:val="0"/>
          <w:numId w:val="1074"/>
        </w:numPr>
      </w:pPr>
      <w:r>
        <w:t xml:space="preserve">Ação Genérica: sim</w:t>
      </w:r>
    </w:p>
    <w:bookmarkEnd w:id="265"/>
    <w:bookmarkStart w:id="266" w:name="auditoria-19890-constatação-nº-702542-1"/>
    <w:p>
      <w:pPr>
        <w:pStyle w:val="907"/>
      </w:pPr>
      <w:r>
        <w:t xml:space="preserve">11.0.3.26 Auditoria 19890, Constatação Nº 702542</w:t>
      </w:r>
    </w:p>
    <w:p>
      <w:pPr>
        <w:pStyle w:val="917"/>
      </w:pPr>
      <w:r>
        <w:rPr>
          <w:b/>
          <w:bCs/>
        </w:rPr>
        <w:t xml:space="preserve">Finalidade</w:t>
      </w:r>
      <w:r>
        <w:t xml:space="preserve">: Verificar a regularidade do tratamento em oncologia do EAS vinculado ao SUS</w:t>
      </w:r>
    </w:p>
    <w:p>
      <w:pPr>
        <w:pStyle w:val="916"/>
      </w:pPr>
      <w:r>
        <w:rPr>
          <w:b/>
          <w:bCs/>
        </w:rPr>
        <w:t xml:space="preserve">Constatação</w:t>
      </w:r>
      <w:r>
        <w:t xml:space="preserve">: O estabelecimento não comprovou a APAC concomitante para quimioterapia, das AIHs com código 03.04.08.003-9 (internação para quimioterapias de leucemia aguda/crônica agudizadas).</w:t>
      </w:r>
    </w:p>
    <w:p>
      <w:pPr>
        <w:pStyle w:val="916"/>
      </w:pPr>
      <w:r>
        <w:rPr>
          <w:b/>
          <w:bCs/>
        </w:rPr>
        <w:t xml:space="preserve">Recomendação</w:t>
      </w:r>
      <w:r>
        <w:t xml:space="preserve">: Cumprir o que estabelece os artigos 14 e 27, da Portaria SAES/MS 470/2021, sobre a necessidade de APAC concomitante para o procedimento 03.04.08.003-9. Organizar o prontuário como documento único, garantindo a continuidade do cuidado prestado ao paciente, conforme artigo 2º; § 1º da Lei nº 14.758, de 19 de dezembro de 2023.</w:t>
      </w:r>
    </w:p>
    <w:p>
      <w:pPr>
        <w:pStyle w:val="916"/>
      </w:pPr>
      <w:r>
        <w:rPr>
          <w:b/>
          <w:bCs/>
        </w:rPr>
        <w:t xml:space="preserve">Análise Codificação</w:t>
      </w:r>
      <w:r>
        <w:t xml:space="preserve">: A recomendação possui duas partes distintas. A primeira parte (</w:t>
      </w:r>
      <w:r>
        <w:t xml:space="preserve">‘Cumprir o que estabelece os artigos 14 e 27, da Portaria SAES/MS 470/2021, sobre a necessidade de APAC concomitante para o procedimento 03.04.08.003-9’</w:t>
      </w:r>
      <w:r>
        <w:t xml:space="preserve">) é uma ação genérica que apenas reforça o cumprimento de normativos já existentes, sem propor medidas específicas para abordar a causa subjacente da não conformidade. A segunda parte (</w:t>
      </w:r>
      <w:r>
        <w:t xml:space="preserve">‘Organizar o prontuário como documento único, garantindo a continuidade do cuidado prestado ao paciente, conforme artigo 2º; § 1º da Lei nº 14.758, de 19 de dezembro de 2023’</w:t>
      </w:r>
      <w:r>
        <w:t xml:space="preserve">) sugere uma ação concreta (organização do prontuário) que pode inferir uma causa relacionada à desorganização documental, mas ainda se baseia em cumprir uma lei existente e não propõe claramente ações para prevenir a recorrência da condição. Quanto aos efeitos duradouros, a organização do prontuário como documento único pode ter algum impacto duradouro, mas a ênfase no cumprimento de normativos limita a capacidade de induzir mudanças estruturais profundas. A recomendação como um todo é predominantemente reativa, focada em corrigir a condição imediata de falta de comprovação, sem abordar sistematicamente as causas para evitar repetição.</w:t>
      </w:r>
    </w:p>
    <w:p>
      <w:pPr>
        <w:pStyle w:val="918"/>
        <w:numPr>
          <w:ilvl w:val="0"/>
          <w:numId w:val="1075"/>
        </w:numPr>
      </w:pPr>
      <w:r>
        <w:t xml:space="preserve">Causa Identificada: parcialmente</w:t>
      </w:r>
    </w:p>
    <w:p>
      <w:pPr>
        <w:pStyle w:val="918"/>
        <w:numPr>
          <w:ilvl w:val="0"/>
          <w:numId w:val="1075"/>
        </w:numPr>
      </w:pPr>
      <w:r>
        <w:t xml:space="preserve">Ação Proposta: sim</w:t>
      </w:r>
    </w:p>
    <w:p>
      <w:pPr>
        <w:pStyle w:val="918"/>
        <w:numPr>
          <w:ilvl w:val="0"/>
          <w:numId w:val="1075"/>
        </w:numPr>
      </w:pPr>
      <w:r>
        <w:t xml:space="preserve">Efeitos Duradouros: parcialmente</w:t>
      </w:r>
    </w:p>
    <w:p>
      <w:pPr>
        <w:pStyle w:val="918"/>
        <w:numPr>
          <w:ilvl w:val="0"/>
          <w:numId w:val="1075"/>
        </w:numPr>
      </w:pPr>
      <w:r>
        <w:t xml:space="preserve">Ação Genérica: sim</w:t>
      </w:r>
    </w:p>
    <w:bookmarkEnd w:id="266"/>
    <w:bookmarkStart w:id="267" w:name="auditoria-19475-constatação-nº-666197-1"/>
    <w:p>
      <w:pPr>
        <w:pStyle w:val="907"/>
      </w:pPr>
      <w:r>
        <w:t xml:space="preserve">11.0.3.27 Auditoria 19475, Constatação Nº 666197</w:t>
      </w:r>
    </w:p>
    <w:p>
      <w:pPr>
        <w:pStyle w:val="917"/>
      </w:pPr>
      <w:r>
        <w:rPr>
          <w:b/>
          <w:bCs/>
        </w:rPr>
        <w:t xml:space="preserve">Finalidade</w:t>
      </w:r>
      <w:r>
        <w:t xml:space="preserve">: Verificar a regularidade da gestão e funcionamento do Serviço de Atendimento Móvel de Urgência 192.</w:t>
      </w:r>
    </w:p>
    <w:p>
      <w:pPr>
        <w:pStyle w:val="916"/>
      </w:pPr>
      <w:r>
        <w:rPr>
          <w:b/>
          <w:bCs/>
        </w:rPr>
        <w:t xml:space="preserve">Constatação</w:t>
      </w:r>
      <w:r>
        <w:t xml:space="preserve">: Os procedimentos licitatórios analisados, de aquisições e contratações visando a execução SAMU 192 de Boa Vista, não ocorreram de acordo com as exigências mínimas previstas na legislação pertinente.</w:t>
      </w:r>
    </w:p>
    <w:p>
      <w:pPr>
        <w:pStyle w:val="916"/>
      </w:pPr>
      <w:r>
        <w:rPr>
          <w:b/>
          <w:bCs/>
        </w:rPr>
        <w:t xml:space="preserve">Recomendação</w:t>
      </w:r>
      <w:r>
        <w:t xml:space="preserve">: Recomenda-se a SMSA de Boa Vista que: -Em atenção ao § 1º, Art. 18 da Lei 14.333/2021 de 01/04/2021, o gestor deve, nas contratações com utilização de recurso federal, durante a vigência exclusiva da nova legislação, realizar o estudo técnico preliminar de modo a permitir, dentre outros, a avaliação da viabilidade técnica e econômica da contratação, contemplando os requisitos mínimos necessários. - Recomenda-se ainda que nos processos de aquisições e contratações de serviços, a SMSA utilize modelo de lista de verificação, como checklist, conforme modelos disponíveis no sitio eletrônico da Advocacia Geral da União (AGU), ou modelos próprios que contemplem todo arcabouço legal relacionado a cada modalidade de compra e/ou contratação.</w:t>
      </w:r>
    </w:p>
    <w:p>
      <w:pPr>
        <w:pStyle w:val="916"/>
      </w:pPr>
      <w:r>
        <w:rPr>
          <w:b/>
          <w:bCs/>
        </w:rPr>
        <w:t xml:space="preserve">Análise Codificação</w:t>
      </w:r>
      <w:r>
        <w:t xml:space="preserve">: A recomendação aborda duas ações principais: a realização do estudo técnico preliminar conforme a Lei 14.333/2021 e a utilização de checklist nos processos de aquisições. Em relação ao critério</w:t>
      </w:r>
      <w:r>
        <w:t xml:space="preserve"> </w:t>
      </w:r>
      <w:r>
        <w:t xml:space="preserve">‘Causa Identificada’</w:t>
      </w:r>
      <w:r>
        <w:t xml:space="preserve">, a recomendação não explicita claramente a causa das irregularidades nos procedimentos licitatórios, mas a ação proposta de usar checklist sugere uma causa subjacente relacionada à falta de sistematicidade ou controle nos processos. Para o critério</w:t>
      </w:r>
      <w:r>
        <w:t xml:space="preserve"> </w:t>
      </w:r>
      <w:r>
        <w:t xml:space="preserve">‘Ação Proposta’</w:t>
      </w:r>
      <w:r>
        <w:t xml:space="preserve">, a recomendação sugere ações específicas (realizar estudo técnico e usar checklist) que visam prevenir a recorrência das irregularidades, indo além da mera correção pontual. Quanto aos</w:t>
      </w:r>
      <w:r>
        <w:t xml:space="preserve"> </w:t>
      </w:r>
      <w:r>
        <w:t xml:space="preserve">‘Efeitos Duradouros’</w:t>
      </w:r>
      <w:r>
        <w:t xml:space="preserve">, a implementação de um checklist e a exigência de estudos técnicos podem institucionalizar práticas que persistem independentemente de mudanças nos atores, promovendo melhorias duradouras. No critério</w:t>
      </w:r>
      <w:r>
        <w:t xml:space="preserve"> </w:t>
      </w:r>
      <w:r>
        <w:t xml:space="preserve">‘Ação Genérica’</w:t>
      </w:r>
      <w:r>
        <w:t xml:space="preserve">, a primeira parte da recomendação refere-se ao cumprimento de um normativo legal existente (Lei 14.333/2021), enquanto a segunda parte (uso de checklist) propõe uma ação concreta adicional para assegurar a conformidade, indicando que a recomendação não se restringe apenas a sugerir o cumprimento de normas preexistentes de forma genérica.</w:t>
      </w:r>
    </w:p>
    <w:p>
      <w:pPr>
        <w:pStyle w:val="918"/>
        <w:numPr>
          <w:ilvl w:val="0"/>
          <w:numId w:val="1076"/>
        </w:numPr>
      </w:pPr>
      <w:r>
        <w:t xml:space="preserve">Causa Identificada: parcialmente</w:t>
      </w:r>
    </w:p>
    <w:p>
      <w:pPr>
        <w:pStyle w:val="918"/>
        <w:numPr>
          <w:ilvl w:val="0"/>
          <w:numId w:val="1076"/>
        </w:numPr>
      </w:pPr>
      <w:r>
        <w:t xml:space="preserve">Ação Proposta: sim</w:t>
      </w:r>
    </w:p>
    <w:p>
      <w:pPr>
        <w:pStyle w:val="918"/>
        <w:numPr>
          <w:ilvl w:val="0"/>
          <w:numId w:val="1076"/>
        </w:numPr>
      </w:pPr>
      <w:r>
        <w:t xml:space="preserve">Efeitos Duradouros: sim</w:t>
      </w:r>
    </w:p>
    <w:p>
      <w:pPr>
        <w:pStyle w:val="918"/>
        <w:numPr>
          <w:ilvl w:val="0"/>
          <w:numId w:val="1076"/>
        </w:numPr>
      </w:pPr>
      <w:r>
        <w:t xml:space="preserve">Ação Genérica: não</w:t>
      </w:r>
    </w:p>
    <w:bookmarkEnd w:id="267"/>
    <w:bookmarkStart w:id="268" w:name="auditoria-19586-constatação-nº-672321-1"/>
    <w:p>
      <w:pPr>
        <w:pStyle w:val="907"/>
      </w:pPr>
      <w:r>
        <w:t xml:space="preserve">11.0.3.28 Auditoria 19586, Constatação Nº 672321</w:t>
      </w:r>
    </w:p>
    <w:p>
      <w:pPr>
        <w:pStyle w:val="917"/>
      </w:pPr>
      <w:r>
        <w:rPr>
          <w:b/>
          <w:bCs/>
        </w:rPr>
        <w:t xml:space="preserve">Finalidade</w:t>
      </w:r>
      <w:r>
        <w:t xml:space="preserve">: Avaliar a atuação do município através dos indicadores de desempenho do Programa Previne.</w:t>
      </w:r>
    </w:p>
    <w:p>
      <w:pPr>
        <w:pStyle w:val="916"/>
      </w:pPr>
      <w:r>
        <w:rPr>
          <w:b/>
          <w:bCs/>
        </w:rPr>
        <w:t xml:space="preserve">Constatação</w:t>
      </w:r>
      <w:r>
        <w:t xml:space="preserve">: O Conselho Municipal de Saúde não exerceu o controle social em relação aos resultados obtidos nos indicadores de desempenho do exercício de 2022.</w:t>
      </w:r>
    </w:p>
    <w:p>
      <w:pPr>
        <w:pStyle w:val="916"/>
      </w:pPr>
      <w:r>
        <w:rPr>
          <w:b/>
          <w:bCs/>
        </w:rPr>
        <w:t xml:space="preserve">Recomendação</w:t>
      </w:r>
      <w:r>
        <w:t xml:space="preserve">: 1. Registrar os debates ocorridos nas reuniões do Conselho Municipal de Saúde por meio de atas, bem como divulgar suas deliberações à sociedade, em cumprimento ao disposto no inciso XII do artigo 29 da Constituição Federal de 1988 e nos incisos I, IV, V, VII, XVIII, XXIV da Quinta Diretriz da Resolução nº 453 do Conselho Nacional de Saúde, de 10/5/2012; 2. Encaminhar ao Conselho Municipal de Saúde o resultado do alcance das metas dos indicadores de desempenho do Programa Previne Brasil e das ações voltadas à melhoria do acesso da população à Atenção Básica, conforme preconizado na Resolução Conselho Nacional de Saúde nº 453, de 10/5/2012.</w:t>
      </w:r>
    </w:p>
    <w:p>
      <w:pPr>
        <w:pStyle w:val="916"/>
      </w:pPr>
      <w:r>
        <w:rPr>
          <w:b/>
          <w:bCs/>
        </w:rPr>
        <w:t xml:space="preserve">Análise Codificação</w:t>
      </w:r>
      <w:r>
        <w:t xml:space="preserve">: A recomendação aborda a constatação de que o Conselho Municipal de Saúde não exerceu controle social sobre os indicadores do Programa Previne, propondo ações específicas como registrar debates em atas e divulgar deliberações, além de encaminhar resultados de metas ao Conselho. Em relação ao critério</w:t>
      </w:r>
      <w:r>
        <w:t xml:space="preserve"> </w:t>
      </w:r>
      <w:r>
        <w:t xml:space="preserve">‘Causa Identificada’</w:t>
      </w:r>
      <w:r>
        <w:t xml:space="preserve">, a recomendação não explicita claramente a causa raiz da falta de controle social, mas as ações propostas sugerem que a causa pode estar relacionada à falta de registro e divulgação adequada, bem como ao não encaminhamento de informações. Para</w:t>
      </w:r>
      <w:r>
        <w:t xml:space="preserve"> </w:t>
      </w:r>
      <w:r>
        <w:t xml:space="preserve">‘Ação Proposta’</w:t>
      </w:r>
      <w:r>
        <w:t xml:space="preserve">, a recomendação sugere ações concretas, como registrar atas e encaminhar resultados, que visam mitigar a condição atual. Quanto aos</w:t>
      </w:r>
      <w:r>
        <w:t xml:space="preserve"> </w:t>
      </w:r>
      <w:r>
        <w:t xml:space="preserve">‘Efeitos Duradouros’</w:t>
      </w:r>
      <w:r>
        <w:t xml:space="preserve">, as ações de registro e divulgação institucionalizam práticas que podem persistir independentemente de mudanças nos atores, promovendo transparência contínua. Sobre</w:t>
      </w:r>
      <w:r>
        <w:t xml:space="preserve"> </w:t>
      </w:r>
      <w:r>
        <w:t xml:space="preserve">‘Ação Genérica’</w:t>
      </w:r>
      <w:r>
        <w:t xml:space="preserve">, a recomendação cita normativos legais existentes, mas vai além ao especificar ações como registrar atas e encaminhar resultados, não se limitando apenas a sugerir o cumprimento genérico da lei.</w:t>
      </w:r>
    </w:p>
    <w:p>
      <w:pPr>
        <w:pStyle w:val="918"/>
        <w:numPr>
          <w:ilvl w:val="0"/>
          <w:numId w:val="1077"/>
        </w:numPr>
      </w:pPr>
      <w:r>
        <w:t xml:space="preserve">Causa Identificada: parcialmente</w:t>
      </w:r>
    </w:p>
    <w:p>
      <w:pPr>
        <w:pStyle w:val="918"/>
        <w:numPr>
          <w:ilvl w:val="0"/>
          <w:numId w:val="1077"/>
        </w:numPr>
      </w:pPr>
      <w:r>
        <w:t xml:space="preserve">Ação Proposta: sim</w:t>
      </w:r>
    </w:p>
    <w:p>
      <w:pPr>
        <w:pStyle w:val="918"/>
        <w:numPr>
          <w:ilvl w:val="0"/>
          <w:numId w:val="1077"/>
        </w:numPr>
      </w:pPr>
      <w:r>
        <w:t xml:space="preserve">Efeitos Duradouros: sim</w:t>
      </w:r>
    </w:p>
    <w:p>
      <w:pPr>
        <w:pStyle w:val="918"/>
        <w:numPr>
          <w:ilvl w:val="0"/>
          <w:numId w:val="1077"/>
        </w:numPr>
      </w:pPr>
      <w:r>
        <w:t xml:space="preserve">Ação Genérica: não</w:t>
      </w:r>
    </w:p>
    <w:bookmarkEnd w:id="268"/>
    <w:bookmarkStart w:id="269" w:name="auditoria-19614-constatação-nº-676605-1"/>
    <w:p>
      <w:pPr>
        <w:pStyle w:val="907"/>
      </w:pPr>
      <w:r>
        <w:t xml:space="preserve">11.0.3.29 Auditoria 19614, Constatação Nº 676605</w:t>
      </w:r>
    </w:p>
    <w:p>
      <w:pPr>
        <w:pStyle w:val="917"/>
      </w:pPr>
      <w:r>
        <w:rPr>
          <w:b/>
          <w:bCs/>
        </w:rPr>
        <w:t xml:space="preserve">Finalidade</w:t>
      </w:r>
      <w:r>
        <w:t xml:space="preserve">: Avaliar a execução dos convênios firmados com organizações sociais no âmbito da Saúde Indígena</w:t>
      </w:r>
    </w:p>
    <w:p>
      <w:pPr>
        <w:pStyle w:val="916"/>
      </w:pPr>
      <w:r>
        <w:rPr>
          <w:b/>
          <w:bCs/>
        </w:rPr>
        <w:t xml:space="preserve">Constatação</w:t>
      </w:r>
      <w:r>
        <w:t xml:space="preserve">: Impropriedades relacionadas ao acompanhamento mensal do Eixo de Atenção à Saúde Indígena.</w:t>
      </w:r>
    </w:p>
    <w:p>
      <w:pPr>
        <w:pStyle w:val="916"/>
      </w:pPr>
      <w:r>
        <w:rPr>
          <w:b/>
          <w:bCs/>
        </w:rPr>
        <w:t xml:space="preserve">Recomendação</w:t>
      </w:r>
      <w:r>
        <w:t xml:space="preserve">: Determinar às unidades de acompanhamento que elaborem relatórios mensais com base nas informações fidedignas relacionadas nos mapas de produção, atas das reuniões e listas de presença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16"/>
      </w:pPr>
      <w:r>
        <w:rPr>
          <w:b/>
          <w:bCs/>
        </w:rPr>
        <w:t xml:space="preserve">Análise Codificação</w:t>
      </w:r>
      <w:r>
        <w:t xml:space="preserve">: A recomendação determina que as unidades de acompanhamento elaborem relatórios mensais baseados em informações fidedignas e adotem medidas preventivas ou corretivas em caso de descumprimento do convênio ou Plano de Ação, conforme portaria específica. Em relação à</w:t>
      </w:r>
      <w:r>
        <w:t xml:space="preserve"> </w:t>
      </w:r>
      <w:r>
        <w:t xml:space="preserve">‘Causa Identificada’</w:t>
      </w:r>
      <w:r>
        <w:t xml:space="preserve">, a recomendação não explicita a causa raiz das impropriedades no acompanhamento, mas a ação proposta sugere que a causa pode estar relacionada à falta de relatórios sistemáticos ou medidas corretivas, permitindo inferir parcialmente a causa. Quanto à</w:t>
      </w:r>
      <w:r>
        <w:t xml:space="preserve"> </w:t>
      </w:r>
      <w:r>
        <w:t xml:space="preserve">‘Ação Proposta’</w:t>
      </w:r>
      <w:r>
        <w:t xml:space="preserve">, a recomendação sugere ações concretas (elaborar relatórios e adotar medidas), mesmo que referenciando uma norma existente. Sobre</w:t>
      </w:r>
      <w:r>
        <w:t xml:space="preserve"> </w:t>
      </w:r>
      <w:r>
        <w:t xml:space="preserve">‘Efeitos Duradouros’</w:t>
      </w:r>
      <w:r>
        <w:t xml:space="preserve">, a ação de elaborar relatórios mensais e adotar medidas corretivas cria um processo contínuo que pode persistir independentemente de mudanças nos atores, indicando efeitos duradouros. No critério</w:t>
      </w:r>
      <w:r>
        <w:t xml:space="preserve"> </w:t>
      </w:r>
      <w:r>
        <w:t xml:space="preserve">‘Ação Genérica’</w:t>
      </w:r>
      <w:r>
        <w:t xml:space="preserve">, a recomendação vai além de apenas sugerir o cumprimento da portaria, pois especifica ações como elaboração de relatórios e adoção de medidas, embora ainda esteja ancorada na norma.</w:t>
      </w:r>
    </w:p>
    <w:p>
      <w:pPr>
        <w:pStyle w:val="918"/>
        <w:numPr>
          <w:ilvl w:val="0"/>
          <w:numId w:val="1078"/>
        </w:numPr>
      </w:pPr>
      <w:r>
        <w:t xml:space="preserve">Causa Identificada: parcialmente</w:t>
      </w:r>
    </w:p>
    <w:p>
      <w:pPr>
        <w:pStyle w:val="918"/>
        <w:numPr>
          <w:ilvl w:val="0"/>
          <w:numId w:val="1078"/>
        </w:numPr>
      </w:pPr>
      <w:r>
        <w:t xml:space="preserve">Ação Proposta: sim</w:t>
      </w:r>
    </w:p>
    <w:p>
      <w:pPr>
        <w:pStyle w:val="918"/>
        <w:numPr>
          <w:ilvl w:val="0"/>
          <w:numId w:val="1078"/>
        </w:numPr>
      </w:pPr>
      <w:r>
        <w:t xml:space="preserve">Efeitos Duradouros: sim</w:t>
      </w:r>
    </w:p>
    <w:p>
      <w:pPr>
        <w:pStyle w:val="918"/>
        <w:numPr>
          <w:ilvl w:val="0"/>
          <w:numId w:val="1078"/>
        </w:numPr>
      </w:pPr>
      <w:r>
        <w:t xml:space="preserve">Ação Genérica: não</w:t>
      </w:r>
    </w:p>
    <w:bookmarkEnd w:id="269"/>
    <w:bookmarkStart w:id="270" w:name="auditoria-19850-constatação-nº-701771-1"/>
    <w:p>
      <w:pPr>
        <w:pStyle w:val="907"/>
      </w:pPr>
      <w:r>
        <w:t xml:space="preserve">11.0.3.30 Auditoria 19850, Constatação Nº 701771</w:t>
      </w:r>
    </w:p>
    <w:p>
      <w:pPr>
        <w:pStyle w:val="917"/>
      </w:pPr>
      <w:r>
        <w:rPr>
          <w:b/>
          <w:bCs/>
        </w:rPr>
        <w:t xml:space="preserve">Finalidade</w:t>
      </w:r>
      <w:r>
        <w:t xml:space="preserve">: verificar a regularidade no uso do Sistema de Regulação (Sisreg) no município de Queimados</w:t>
      </w:r>
    </w:p>
    <w:p>
      <w:pPr>
        <w:pStyle w:val="916"/>
      </w:pPr>
      <w:r>
        <w:rPr>
          <w:b/>
          <w:bCs/>
        </w:rPr>
        <w:t xml:space="preserve">Constatação</w:t>
      </w:r>
      <w:r>
        <w:t xml:space="preserve">: A Central de Regulação de Queimados/RJ não possui protocolos e critérios bem definidos para elaboração, organização, inserção e priorização de pacientes em fila de espera para consultas, exames e procedimentos ambulatoriais.</w:t>
      </w:r>
    </w:p>
    <w:p>
      <w:pPr>
        <w:pStyle w:val="916"/>
      </w:pPr>
      <w:r>
        <w:rPr>
          <w:b/>
          <w:bCs/>
        </w:rPr>
        <w:t xml:space="preserve">Recomendação</w:t>
      </w:r>
      <w:r>
        <w:t xml:space="preserve">: Elaborar e adotar protocolos e critérios objetivos para organização, inserção e priorização de pacientes em fila de espera para consultas e procedimentos ambulatoriais considerando a prioridade do paciente, tais como: urgência e emergência, complexidade do caso, condições clínicas, tipo de atendimento necessário e/ou disponibilidade de vagas de forma a atender ao disposto no Art.2 item III, do Anexo XXVI, da Política Nacional de Regulação do Sistema Único de Saúde e no Art. 5º, do Capítulo I do Anexo XXVI da Portaria de Consolidação nº. 2 de 28 de setembro de 2017.</w:t>
      </w:r>
    </w:p>
    <w:p>
      <w:pPr>
        <w:pStyle w:val="916"/>
      </w:pPr>
      <w:r>
        <w:rPr>
          <w:b/>
          <w:bCs/>
        </w:rPr>
        <w:t xml:space="preserve">Análise Codificação</w:t>
      </w:r>
      <w:r>
        <w:t xml:space="preserve">: A recomendação propõe a elaboração e adoção de protocolos e critérios objetivos para organização, inserção e priorização de pacientes em fila de espera, considerando fatores como urgência, complexidade e condições clínicas. Em relação ao critério</w:t>
      </w:r>
      <w:r>
        <w:t xml:space="preserve"> </w:t>
      </w:r>
      <w:r>
        <w:t xml:space="preserve">‘Causa Identificada’</w:t>
      </w:r>
      <w:r>
        <w:t xml:space="preserve">, a recomendação aborda indiretamente a causa (ausência de protocolos definidos), mas não a explicita claramente. Quanto à</w:t>
      </w:r>
      <w:r>
        <w:t xml:space="preserve"> </w:t>
      </w:r>
      <w:r>
        <w:t xml:space="preserve">‘Ação Proposta’</w:t>
      </w:r>
      <w:r>
        <w:t xml:space="preserve">, a recomendação sugere uma ação concreta (elaborar e adotar protocolos) que visa mitigar o risco de novas ocorrências da condição. Sobre</w:t>
      </w:r>
      <w:r>
        <w:t xml:space="preserve"> </w:t>
      </w:r>
      <w:r>
        <w:t xml:space="preserve">‘Efeitos Duradouros’</w:t>
      </w:r>
      <w:r>
        <w:t xml:space="preserve">, a ação proposta (implementação de protocolos) tende a produzir efeitos que permanecem mesmo com mudanças de atores, pois institucionaliza processos. No critério</w:t>
      </w:r>
      <w:r>
        <w:t xml:space="preserve"> </w:t>
      </w:r>
      <w:r>
        <w:t xml:space="preserve">‘Ação Genérica’</w:t>
      </w:r>
      <w:r>
        <w:t xml:space="preserve">, a recomendação vai além de sugerir o cumprimento de normativos existentes, propondo a criação de protocolos específicos para tratar a causa do não cumprimento.</w:t>
      </w:r>
    </w:p>
    <w:p>
      <w:pPr>
        <w:pStyle w:val="918"/>
        <w:numPr>
          <w:ilvl w:val="0"/>
          <w:numId w:val="1079"/>
        </w:numPr>
      </w:pPr>
      <w:r>
        <w:t xml:space="preserve">Causa Identificada: parcialmente</w:t>
      </w:r>
    </w:p>
    <w:p>
      <w:pPr>
        <w:pStyle w:val="918"/>
        <w:numPr>
          <w:ilvl w:val="0"/>
          <w:numId w:val="1079"/>
        </w:numPr>
      </w:pPr>
      <w:r>
        <w:t xml:space="preserve">Ação Proposta: sim</w:t>
      </w:r>
    </w:p>
    <w:p>
      <w:pPr>
        <w:pStyle w:val="918"/>
        <w:numPr>
          <w:ilvl w:val="0"/>
          <w:numId w:val="1079"/>
        </w:numPr>
      </w:pPr>
      <w:r>
        <w:t xml:space="preserve">Efeitos Duradouros: sim</w:t>
      </w:r>
    </w:p>
    <w:p>
      <w:pPr>
        <w:pStyle w:val="918"/>
        <w:numPr>
          <w:ilvl w:val="0"/>
          <w:numId w:val="1079"/>
        </w:numPr>
      </w:pPr>
      <w:r>
        <w:t xml:space="preserve">Ação Genérica: não</w:t>
      </w:r>
    </w:p>
    <w:bookmarkEnd w:id="270"/>
    <w:bookmarkStart w:id="271" w:name="auditoria-19891-constatação-nº-703364-1"/>
    <w:p>
      <w:pPr>
        <w:pStyle w:val="907"/>
      </w:pPr>
      <w:r>
        <w:t xml:space="preserve">11.0.3.31 Auditoria 19891, Constatação Nº 703364</w:t>
      </w:r>
    </w:p>
    <w:p>
      <w:pPr>
        <w:pStyle w:val="917"/>
      </w:pPr>
      <w:r>
        <w:rPr>
          <w:b/>
          <w:bCs/>
        </w:rPr>
        <w:t xml:space="preserve">Finalidade</w:t>
      </w:r>
      <w:r>
        <w:t xml:space="preserve">: Realizar auditoria de oncologia, dados de produção SIA e SIH, Hospital de Clínicas de Uberlândia/MG</w:t>
      </w:r>
    </w:p>
    <w:p>
      <w:pPr>
        <w:pStyle w:val="916"/>
      </w:pPr>
      <w:r>
        <w:rPr>
          <w:b/>
          <w:bCs/>
        </w:rPr>
        <w:t xml:space="preserve">Constatação</w:t>
      </w:r>
      <w:r>
        <w:t xml:space="preserve">: Inconsistências na realização de cirurgias oncológicas, em até 30 dias, nos pacientes submetidos à quimioterapia prévia (neoadjuvante/citorredutora).</w:t>
      </w:r>
    </w:p>
    <w:p>
      <w:pPr>
        <w:pStyle w:val="916"/>
      </w:pPr>
      <w:r>
        <w:rPr>
          <w:b/>
          <w:bCs/>
        </w:rPr>
        <w:t xml:space="preserve">Recomendação</w:t>
      </w:r>
      <w:r>
        <w:t xml:space="preserve">: - Revisar e atualizar a equipe responsável pela documentação clínica e pelo registro de procedimentos, sobre a sistemática dos lançamentos no sistema SIGTAP, alinhando-se às diretrizes estabelecidas na alimentação dos Bancos de Dados Nacionais dos Sistemas de Informação em Saúde SIA, SIH e SCNES. Essa ação visa garantir maior precisão e consistência nos registros, facilitando a gestão e o monitoramento das ações de saúde. - Estabelecer protocolos claros para o registro de intervenções cirúrgicas e terapêuticas, incluindo a atualização imediata das informações após cada procedimento, para evitar possíveis imprecisões e erros de classificação. Essa prática objetiva possibilitar maior controle e avaliação da produção ambulatorial pelo gestor municipal processada. Essas recomendações atendem aos Incisos I e II, do Art. 295, Seção II da Portaria de Consolidação GM/MS nº 01, de 28/9/2017. Além de garantir a correta codificação e a precisão nos registros de cada procedimento realizado, contribui para a conformidade regulatória e otimização da gestão dos recursos de saúde.</w:t>
      </w:r>
    </w:p>
    <w:p>
      <w:pPr>
        <w:pStyle w:val="916"/>
      </w:pPr>
      <w:r>
        <w:rPr>
          <w:b/>
          <w:bCs/>
        </w:rPr>
        <w:t xml:space="preserve">Análise Codificação</w:t>
      </w:r>
      <w:r>
        <w:t xml:space="preserve">: A recomendação aborda a inconsistência nos registros de cirurgias oncológicas, propondo ações como revisão da equipe de documentação e estabelecimento de protocolos claros para registro. Quanto ao critério</w:t>
      </w:r>
      <w:r>
        <w:t xml:space="preserve"> </w:t>
      </w:r>
      <w:r>
        <w:t xml:space="preserve">‘Causa Identificada’</w:t>
      </w:r>
      <w:r>
        <w:t xml:space="preserve">, a recomendação não explicita diretamente a causa raiz (ex.: falta de treinamento ou supervisão), mas a ação proposta de revisão e atualização da equipe sugere que a causa pode ser deficiência na capacitação ou processos. Para</w:t>
      </w:r>
      <w:r>
        <w:t xml:space="preserve"> </w:t>
      </w:r>
      <w:r>
        <w:t xml:space="preserve">‘Ação Proposta’</w:t>
      </w:r>
      <w:r>
        <w:t xml:space="preserve">, a recomendação sugere medidas como revisão da equipe e estabelecimento de protocolos, que visam mitigar riscos futuros, embora parte se restrinja ao cumprimento de normativos. Em</w:t>
      </w:r>
      <w:r>
        <w:t xml:space="preserve"> </w:t>
      </w:r>
      <w:r>
        <w:t xml:space="preserve">‘Efeitos Duradouros’</w:t>
      </w:r>
      <w:r>
        <w:t xml:space="preserve">, as ações propostas (protocolos e treinamento) podem perdurar com mudanças de atores, pois institucionalizam processos. Quanto à</w:t>
      </w:r>
      <w:r>
        <w:t xml:space="preserve"> </w:t>
      </w:r>
      <w:r>
        <w:t xml:space="preserve">‘Ação Genérica’</w:t>
      </w:r>
      <w:r>
        <w:t xml:space="preserve">, a recomendação inclui sugestões específicas (ex.: protocolos claros) além de apenas cumprir normativos, mas também referencia conformidade com portarias existentes.</w:t>
      </w:r>
    </w:p>
    <w:p>
      <w:pPr>
        <w:pStyle w:val="918"/>
        <w:numPr>
          <w:ilvl w:val="0"/>
          <w:numId w:val="1080"/>
        </w:numPr>
      </w:pPr>
      <w:r>
        <w:t xml:space="preserve">Causa Identificada: parcialmente</w:t>
      </w:r>
    </w:p>
    <w:p>
      <w:pPr>
        <w:pStyle w:val="918"/>
        <w:numPr>
          <w:ilvl w:val="0"/>
          <w:numId w:val="1080"/>
        </w:numPr>
      </w:pPr>
      <w:r>
        <w:t xml:space="preserve">Ação Proposta: sim</w:t>
      </w:r>
    </w:p>
    <w:p>
      <w:pPr>
        <w:pStyle w:val="918"/>
        <w:numPr>
          <w:ilvl w:val="0"/>
          <w:numId w:val="1080"/>
        </w:numPr>
      </w:pPr>
      <w:r>
        <w:t xml:space="preserve">Efeitos Duradouros: sim</w:t>
      </w:r>
    </w:p>
    <w:p>
      <w:pPr>
        <w:pStyle w:val="918"/>
        <w:numPr>
          <w:ilvl w:val="0"/>
          <w:numId w:val="1080"/>
        </w:numPr>
      </w:pPr>
      <w:r>
        <w:t xml:space="preserve">Ação Genérica: não</w:t>
      </w:r>
    </w:p>
    <w:bookmarkEnd w:id="271"/>
    <w:bookmarkStart w:id="272" w:name="auditoria-19511-constatação-nº-677194-1"/>
    <w:p>
      <w:pPr>
        <w:pStyle w:val="907"/>
      </w:pPr>
      <w:r>
        <w:t xml:space="preserve">11.0.3.32 Auditoria 19511, Constatação Nº 677194</w:t>
      </w:r>
    </w:p>
    <w:p>
      <w:pPr>
        <w:pStyle w:val="917"/>
      </w:pPr>
      <w:r>
        <w:rPr>
          <w:b/>
          <w:bCs/>
        </w:rPr>
        <w:t xml:space="preserve">Finalidade</w:t>
      </w:r>
      <w:r>
        <w:t xml:space="preserve">: Verificar regularidade de recebimento, armazenamento, saída, dispensação e utilização das OPME</w:t>
      </w:r>
    </w:p>
    <w:p>
      <w:pPr>
        <w:pStyle w:val="916"/>
      </w:pPr>
      <w:r>
        <w:rPr>
          <w:b/>
          <w:bCs/>
        </w:rPr>
        <w:t xml:space="preserve">Constatação</w:t>
      </w:r>
      <w:r>
        <w:t xml:space="preserve">: O recebimento de compras de OPME adquiridas pelo Hospital Federal da Lagoa - HFL superior a R$ 80.000,00 está em desacordo com a portaria e a legislação vigente.</w:t>
      </w:r>
    </w:p>
    <w:p>
      <w:pPr>
        <w:pStyle w:val="916"/>
      </w:pPr>
      <w:r>
        <w:rPr>
          <w:b/>
          <w:bCs/>
        </w:rPr>
        <w:t xml:space="preserve">Recomendação</w:t>
      </w:r>
      <w:r>
        <w:t xml:space="preserve">: Adotar medidas que assegurem o cumprimento dos normativos internos no que se refere ao recebimento e atestos das OPME, bem como promover a atualização desses instrumentos normativos de acordo com o preconizado no inciso II, art. 140 da Lei nº 14.133, de 1º/04/2021.</w:t>
      </w:r>
    </w:p>
    <w:p>
      <w:pPr>
        <w:pStyle w:val="916"/>
      </w:pPr>
      <w:r>
        <w:rPr>
          <w:b/>
          <w:bCs/>
        </w:rPr>
        <w:t xml:space="preserve">Análise Codificação</w:t>
      </w:r>
      <w:r>
        <w:t xml:space="preserve">: A recomendação sugere duas ações principais: (1) adotar medidas para assegurar o cumprimento dos normativos internos sobre recebimento e atestos de OPME, e (2) promover a atualização desses instrumentos normativos conforme a Lei nº 14.133/2021. Em relação ao critério</w:t>
      </w:r>
      <w:r>
        <w:t xml:space="preserve"> </w:t>
      </w:r>
      <w:r>
        <w:t xml:space="preserve">‘Causa Identificada’</w:t>
      </w:r>
      <w:r>
        <w:t xml:space="preserve">, a recomendação não explicita claramente a causa do desacordo (ex.: falta de capacitação, falhas processuais), mas a ação de atualizar normativos sugere que a causa pode ser a inadequação ou desatualização das normas internas. Para</w:t>
      </w:r>
      <w:r>
        <w:t xml:space="preserve"> </w:t>
      </w:r>
      <w:r>
        <w:t xml:space="preserve">‘Ação Proposta’</w:t>
      </w:r>
      <w:r>
        <w:t xml:space="preserve">, a recomendação apresenta ações genéricas (</w:t>
      </w:r>
      <w:r>
        <w:t xml:space="preserve">‘adotar medidas’</w:t>
      </w:r>
      <w:r>
        <w:t xml:space="preserve">,</w:t>
      </w:r>
      <w:r>
        <w:t xml:space="preserve"> </w:t>
      </w:r>
      <w:r>
        <w:t xml:space="preserve">‘promover a atualização’</w:t>
      </w:r>
      <w:r>
        <w:t xml:space="preserve">) que visam prevenir a reincidência, mas sem especificar ações concretas. Quanto aos</w:t>
      </w:r>
      <w:r>
        <w:t xml:space="preserve"> </w:t>
      </w:r>
      <w:r>
        <w:t xml:space="preserve">‘Efeitos Duradouros’</w:t>
      </w:r>
      <w:r>
        <w:t xml:space="preserve">, a atualização normativa pode ter efeitos prolongados, independente de mudanças de atores, pois altera a base regulatória. No critério</w:t>
      </w:r>
      <w:r>
        <w:t xml:space="preserve"> </w:t>
      </w:r>
      <w:r>
        <w:t xml:space="preserve">‘Ação Genérica’</w:t>
      </w:r>
      <w:r>
        <w:t xml:space="preserve">, a recomendação se baseia em sugerir o cumprimento e atualização de normativos legais existentes, sem propor ações específicas para tratar a causa raiz do não cumprimento.</w:t>
      </w:r>
    </w:p>
    <w:p>
      <w:pPr>
        <w:pStyle w:val="918"/>
        <w:numPr>
          <w:ilvl w:val="0"/>
          <w:numId w:val="1081"/>
        </w:numPr>
      </w:pPr>
      <w:r>
        <w:t xml:space="preserve">Causa Identificada: parcialmente</w:t>
      </w:r>
    </w:p>
    <w:p>
      <w:pPr>
        <w:pStyle w:val="918"/>
        <w:numPr>
          <w:ilvl w:val="0"/>
          <w:numId w:val="1081"/>
        </w:numPr>
      </w:pPr>
      <w:r>
        <w:t xml:space="preserve">Ação Proposta: sim</w:t>
      </w:r>
    </w:p>
    <w:p>
      <w:pPr>
        <w:pStyle w:val="918"/>
        <w:numPr>
          <w:ilvl w:val="0"/>
          <w:numId w:val="1081"/>
        </w:numPr>
      </w:pPr>
      <w:r>
        <w:t xml:space="preserve">Efeitos Duradouros: sim</w:t>
      </w:r>
    </w:p>
    <w:p>
      <w:pPr>
        <w:pStyle w:val="918"/>
        <w:numPr>
          <w:ilvl w:val="0"/>
          <w:numId w:val="1081"/>
        </w:numPr>
      </w:pPr>
      <w:r>
        <w:t xml:space="preserve">Ação Genérica: sim</w:t>
      </w:r>
    </w:p>
    <w:bookmarkEnd w:id="272"/>
    <w:bookmarkStart w:id="273" w:name="auditoria-19538-constatação-nº-675893-1"/>
    <w:p>
      <w:pPr>
        <w:pStyle w:val="907"/>
      </w:pPr>
      <w:r>
        <w:t xml:space="preserve">11.0.3.33 Auditoria 19538, Constatação Nº 675893</w:t>
      </w:r>
    </w:p>
    <w:p>
      <w:pPr>
        <w:pStyle w:val="917"/>
      </w:pPr>
      <w:r>
        <w:rPr>
          <w:b/>
          <w:bCs/>
        </w:rPr>
        <w:t xml:space="preserve">Finalidade</w:t>
      </w:r>
      <w:r>
        <w:t xml:space="preserve">: Avaliar a gestão da SMS quanto aos indicadores de desempenho do programa Previne Brasil.</w:t>
      </w:r>
    </w:p>
    <w:p>
      <w:pPr>
        <w:pStyle w:val="916"/>
      </w:pPr>
      <w:r>
        <w:rPr>
          <w:b/>
          <w:bCs/>
        </w:rPr>
        <w:t xml:space="preserve">Constatação</w:t>
      </w:r>
      <w:r>
        <w:t xml:space="preserve">: Os dados referentes ao exame de Sifilis e HIV em gestantes do indicador 2 apresentados no SISAB não são equivalentes aos registrados nos demais sistemas de registro dos procedimentos.</w:t>
      </w:r>
    </w:p>
    <w:p>
      <w:pPr>
        <w:pStyle w:val="916"/>
      </w:pPr>
      <w:r>
        <w:rPr>
          <w:b/>
          <w:bCs/>
        </w:rPr>
        <w:t xml:space="preserve">Recomendação</w:t>
      </w:r>
      <w:r>
        <w:t xml:space="preserve">: 1. Efetivar a informatização das UBS do município, viabilizando o uso do Prontuário Eletrônico nos ambientes de atendimento ao cidadão, garantindo o devido preenchimento das informações de saúde dos usuários da APS e o envio adequado de dados ao Ministério da Saúde, de acordo com o disposto na Nota Técnica nº 21/2019- CGIAP/DESF/SAPS/MS, que define o processo de informatização das unidades de Atenção Primária à Saúde; 2. Registrar no SISAB, por competência, os dados relacionados ao indicador nº 2, referentes à realização de exames para detecção de Sífilis e HIV nas gestantes, regularmente, até o 10º dia útil subsequente a cada competência, de acordo com o preconizado na Nota Técnica nº 14/2022-SAPS/MS.</w:t>
      </w:r>
    </w:p>
    <w:p>
      <w:pPr>
        <w:pStyle w:val="916"/>
      </w:pPr>
      <w:r>
        <w:rPr>
          <w:b/>
          <w:bCs/>
        </w:rPr>
        <w:t xml:space="preserve">Análise Codificação</w:t>
      </w:r>
      <w:r>
        <w:t xml:space="preserve">: A recomendação aborda duas ações distintas. A primeira ação propõe a informatização das UBS e implementação do Prontuário Eletrônico, o que sugere uma tentativa de tratar a causa raiz da discrepância de dados (falta de informatização adequada), com potencial para evitar futuras ocorrências e com efeitos duradouros, mas não identifica explicitamente a causa. A segunda ação é corretiva, focando apenas no registro pontual dos dados no SISAB, sem abordar causas subjacentes. No entanto, a primeira ação, embora genérica ao citar conformidade com nota técnica, propõe uma mudança estrutural. Considerando o conjunto, a recomendação tem elementos de ambas as abordagens, mas a ênfase na informatização indica um foco parcial na causa, embora não totalmente desenvolvido.</w:t>
      </w:r>
    </w:p>
    <w:p>
      <w:pPr>
        <w:pStyle w:val="918"/>
        <w:numPr>
          <w:ilvl w:val="0"/>
          <w:numId w:val="1082"/>
        </w:numPr>
      </w:pPr>
      <w:r>
        <w:t xml:space="preserve">Causa Identificada: parcialmente</w:t>
      </w:r>
    </w:p>
    <w:p>
      <w:pPr>
        <w:pStyle w:val="918"/>
        <w:numPr>
          <w:ilvl w:val="0"/>
          <w:numId w:val="1082"/>
        </w:numPr>
      </w:pPr>
      <w:r>
        <w:t xml:space="preserve">Ação Proposta: sim</w:t>
      </w:r>
    </w:p>
    <w:p>
      <w:pPr>
        <w:pStyle w:val="918"/>
        <w:numPr>
          <w:ilvl w:val="0"/>
          <w:numId w:val="1082"/>
        </w:numPr>
      </w:pPr>
      <w:r>
        <w:t xml:space="preserve">Efeitos Duradouros: sim</w:t>
      </w:r>
    </w:p>
    <w:p>
      <w:pPr>
        <w:pStyle w:val="918"/>
        <w:numPr>
          <w:ilvl w:val="0"/>
          <w:numId w:val="1082"/>
        </w:numPr>
      </w:pPr>
      <w:r>
        <w:t xml:space="preserve">Ação Genérica: sim</w:t>
      </w:r>
    </w:p>
    <w:bookmarkEnd w:id="273"/>
    <w:bookmarkStart w:id="274" w:name="auditoria-19612-constatação-nº-674988-1"/>
    <w:p>
      <w:pPr>
        <w:pStyle w:val="907"/>
      </w:pPr>
      <w:r>
        <w:t xml:space="preserve">11.0.3.34 Auditoria 19612, Constatação Nº 674988</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aos relatórios mensais de acompanhamento do Eixo Controle Social no Transferegov.</w:t>
      </w:r>
    </w:p>
    <w:p>
      <w:pPr>
        <w:pStyle w:val="937"/>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37"/>
      </w:pPr>
      <w:r>
        <w:rPr>
          <w:b/>
          <w:bCs/>
        </w:rPr>
        <w:t xml:space="preserve">Análise Codificação</w:t>
      </w:r>
      <w:r>
        <w:t xml:space="preserve">: A recomendação aborda a elaboração de relatórios mensais com base em informações fidedignas e a adoção de medidas preventivas ou corretivas em caso de descumprimento do convênio, referenciando normas específicas. No critério</w:t>
      </w:r>
      <w:r>
        <w:t xml:space="preserve"> </w:t>
      </w:r>
      <w:r>
        <w:t xml:space="preserve">‘Causa Identificada’</w:t>
      </w:r>
      <w:r>
        <w:t xml:space="preserve">, a recomendação não explicita claramente a causa das impropriedades nos relatórios, mas a ação proposta sugere que a causa pode estar relacionada à falta de base em informações fidedignas ou à ausência de medidas para garantir o cumprimento normativo. No critério</w:t>
      </w:r>
      <w:r>
        <w:t xml:space="preserve"> </w:t>
      </w:r>
      <w:r>
        <w:t xml:space="preserve">‘Ação Proposta’</w:t>
      </w:r>
      <w:r>
        <w:t xml:space="preserve">, a recomendação sugere ações concretas (elaborar relatórios com base fidedigna e adotar medidas preventivas/corretivas), embora parte dela se restrinja ao cumprimento de normativos existentes. No critério</w:t>
      </w:r>
      <w:r>
        <w:t xml:space="preserve"> </w:t>
      </w:r>
      <w:r>
        <w:t xml:space="preserve">‘Efeitos Duradouros’</w:t>
      </w:r>
      <w:r>
        <w:t xml:space="preserve">, as ações propostas, como a elaboração sistemática de relatórios e a adoção de medidas, podem perdurar além de mudanças de atores, indicando potencial para efeitos duradouros. No critério</w:t>
      </w:r>
      <w:r>
        <w:t xml:space="preserve"> </w:t>
      </w:r>
      <w:r>
        <w:t xml:space="preserve">‘Ação Genérica’</w:t>
      </w:r>
      <w:r>
        <w:t xml:space="preserve">, a recomendação inclui elementos genéricos ao sugerir o atendimento a portarias específicas, mas também propõe ações mais direcionadas, como a elaboração de relatórios com base fidedigna.</w:t>
      </w:r>
    </w:p>
    <w:p>
      <w:pPr>
        <w:pStyle w:val="937"/>
      </w:pPr>
      <w:r>
        <w:t xml:space="preserve">Causa Identificada: parcialmente</w:t>
      </w:r>
    </w:p>
    <w:p>
      <w:pPr>
        <w:pStyle w:val="937"/>
      </w:pPr>
      <w:r>
        <w:t xml:space="preserve">Ação Proposta: sim</w:t>
      </w:r>
    </w:p>
    <w:p>
      <w:pPr>
        <w:pStyle w:val="937"/>
      </w:pPr>
      <w:r>
        <w:t xml:space="preserve">Efeitos Duradouros: sim</w:t>
      </w:r>
    </w:p>
    <w:p>
      <w:pPr>
        <w:pStyle w:val="937"/>
      </w:pPr>
      <w:r>
        <w:t xml:space="preserve">Ação Genérica: sim</w:t>
      </w:r>
    </w:p>
    <w:bookmarkEnd w:id="274"/>
    <w:bookmarkStart w:id="275" w:name="auditoria-19820-constatação-nº-694718-1"/>
    <w:p>
      <w:pPr>
        <w:pStyle w:val="907"/>
      </w:pPr>
      <w:r>
        <w:t xml:space="preserve">11.0.3.35 Auditoria 19820, Constatação Nº 694718</w:t>
      </w:r>
    </w:p>
    <w:p>
      <w:pPr>
        <w:pStyle w:val="937"/>
      </w:pPr>
      <w:r>
        <w:rPr>
          <w:b/>
          <w:bCs/>
        </w:rPr>
        <w:t xml:space="preserve">Finalidade</w:t>
      </w:r>
      <w:r>
        <w:t xml:space="preserve">: Auditoria PNSMAD - 2024</w:t>
      </w:r>
    </w:p>
    <w:p>
      <w:pPr>
        <w:pStyle w:val="937"/>
      </w:pPr>
      <w:r>
        <w:rPr>
          <w:b/>
          <w:bCs/>
        </w:rPr>
        <w:t xml:space="preserve">Constatação</w:t>
      </w:r>
      <w:r>
        <w:t xml:space="preserve">: As Unidades de Saúde na Atenção Primária não realizam acolhimento de casos de urgência e emergência de saúde mental.</w:t>
      </w:r>
    </w:p>
    <w:p>
      <w:pPr>
        <w:pStyle w:val="937"/>
      </w:pPr>
      <w:r>
        <w:rPr>
          <w:b/>
          <w:bCs/>
        </w:rPr>
        <w:t xml:space="preserve">Recomendação</w:t>
      </w:r>
      <w:r>
        <w:t xml:space="preserve">: A Gestão da SMS de Maceió deve estabelecer os fluxos de referência e contra-referência do paciente para atendimentos de urgência e emergência, em relação aos leitos hospitalares e atendimentos nos Centros de Atenção Psicosocial (CAPS). Organizar os serviços de transportes e equipes especializadas, para a condução dos pacientes em crise; e de vagas para consultas especializadas em psiquiatria; realizar o mapeamento das unidades de saúde da Atenção Primária que encontram barreiras para o encaminhamento dos pacientes para a análise dos profissionais psiquiatras; estabelecer os fluxos para o SAMU, quando acionado. Cumprir a Portaria de Consolidação nº 2 de 28/09/2017, Anexo 1 do Anexo XXII, Capítulo I, Itens 3.3, 4.1, VI, 4.2, III;Portaria de Consolidação nº 3, de 28/09/2017, Anexo V, Art.6º § 1º t; e Lei nº 10.216, de 6/04/2001.</w:t>
      </w:r>
    </w:p>
    <w:p>
      <w:pPr>
        <w:pStyle w:val="937"/>
      </w:pPr>
      <w:r>
        <w:rPr>
          <w:b/>
          <w:bCs/>
        </w:rPr>
        <w:t xml:space="preserve">Análise Codificação</w:t>
      </w:r>
      <w:r>
        <w:t xml:space="preserve">: A recomendação aborda múltiplas ações para estruturar fluxos e serviços de saúde mental, incluindo estabelecimento de fluxos de referência, organização de transporte e equipes especializadas, mapeamento de barreiras e cumprimento de normativos legais. No critério</w:t>
      </w:r>
      <w:r>
        <w:t xml:space="preserve"> </w:t>
      </w:r>
      <w:r>
        <w:t xml:space="preserve">‘Causa Identificada’</w:t>
      </w:r>
      <w:r>
        <w:t xml:space="preserve">, a recomendação não explicita diretamente a causa da não realização do acolhimento, mas ações como mapear barreiras e organizar serviços sugerem uma tentativa de abordar causas subjacentes, como falta de estrutura ou fluxos definidos. No critério</w:t>
      </w:r>
      <w:r>
        <w:t xml:space="preserve"> </w:t>
      </w:r>
      <w:r>
        <w:t xml:space="preserve">‘Ação Proposta’</w:t>
      </w:r>
      <w:r>
        <w:t xml:space="preserve">, a recomendação apresenta sugestões claras para mitigar riscos de novas ocorrências, como estabelecer fluxos e organizar serviços. No critério</w:t>
      </w:r>
      <w:r>
        <w:t xml:space="preserve"> </w:t>
      </w:r>
      <w:r>
        <w:t xml:space="preserve">‘Efeitos Duradouros’</w:t>
      </w:r>
      <w:r>
        <w:t xml:space="preserve">, as ações propostas, como estabelecer fluxos e mapear barreiras, têm potencial para criar mudanças institucionais que persistem além de mudanças de atores, indicando efeitos duradouros. No critério</w:t>
      </w:r>
      <w:r>
        <w:t xml:space="preserve"> </w:t>
      </w:r>
      <w:r>
        <w:t xml:space="preserve">‘Ação Genérica’</w:t>
      </w:r>
      <w:r>
        <w:t xml:space="preserve">, parte da recomendação se restringe a sugerir o cumprimento de normativos legais existentes, o que caracteriza uma ação genérica.</w:t>
      </w:r>
    </w:p>
    <w:p>
      <w:pPr>
        <w:pStyle w:val="937"/>
      </w:pPr>
      <w:r>
        <w:t xml:space="preserve">Causa Identificada: parcialmente</w:t>
      </w:r>
    </w:p>
    <w:p>
      <w:pPr>
        <w:pStyle w:val="937"/>
      </w:pPr>
      <w:r>
        <w:t xml:space="preserve">Ação Proposta: sim</w:t>
      </w:r>
    </w:p>
    <w:p>
      <w:pPr>
        <w:pStyle w:val="937"/>
      </w:pPr>
      <w:r>
        <w:t xml:space="preserve">Efeitos Duradouros: sim</w:t>
      </w:r>
    </w:p>
    <w:p>
      <w:pPr>
        <w:pStyle w:val="937"/>
      </w:pPr>
      <w:r>
        <w:t xml:space="preserve">Ação Genérica: sim</w:t>
      </w:r>
    </w:p>
    <w:bookmarkEnd w:id="275"/>
    <w:bookmarkStart w:id="276" w:name="auditoria-19847-constatação-nº-703089-1"/>
    <w:p>
      <w:pPr>
        <w:pStyle w:val="907"/>
      </w:pPr>
      <w:r>
        <w:t xml:space="preserve">11.0.3.36 Auditoria 19847, Constatação Nº 703089</w:t>
      </w:r>
    </w:p>
    <w:p>
      <w:pPr>
        <w:pStyle w:val="937"/>
      </w:pPr>
      <w:r>
        <w:rPr>
          <w:b/>
          <w:bCs/>
        </w:rPr>
        <w:t xml:space="preserve">Finalidade</w:t>
      </w:r>
      <w:r>
        <w:t xml:space="preserve">: Verif. a regular. no faturamento da Autorização de Procedimento Ambulatorial Radioterapia.</w:t>
      </w:r>
    </w:p>
    <w:p>
      <w:pPr>
        <w:pStyle w:val="937"/>
      </w:pPr>
      <w:r>
        <w:rPr>
          <w:b/>
          <w:bCs/>
        </w:rPr>
        <w:t xml:space="preserve">Constatação</w:t>
      </w:r>
      <w:r>
        <w:t xml:space="preserve">: Não foi possível comprovar o efetivo monitoramento e o cumprimento das metas de radioterapia pactuadas nos contratos firmados entre a SES/RS e o HSVP, no período auditado</w:t>
      </w:r>
    </w:p>
    <w:p>
      <w:pPr>
        <w:pStyle w:val="937"/>
      </w:pPr>
      <w:r>
        <w:rPr>
          <w:b/>
          <w:bCs/>
        </w:rPr>
        <w:t xml:space="preserve">Recomendação</w:t>
      </w:r>
      <w:r>
        <w:t xml:space="preserve">: Integrar sistematicamente os relatórios da CAC aos processos de pagamento, como subsídio à verificação do cumprimento das metas; Incluir, nos processos de pagamento, documentos comprobatórios da produção e comparativos entre metas pactuadas e resultados alcançados; Aprimorar os controles operacionais e documentais relativos à gestão e monitoramento dos contratos de serviços de alta complexidade; Revisar e fortalecer os controles internos, garantindo a rastreabilidade da produção assistencial; Adequar os procedimentos de liquidação da despesa às exigências legais, garantindo a presença de documentos comprobatórios nos pagamentos realizados; Buscar atingir, enfim, a conformidade com os arts. 62 e 63 da Lei nº 4.320/1964, que exigem liquidação da despesa com base em documentação comprobatória da execução.</w:t>
      </w:r>
    </w:p>
    <w:p>
      <w:pPr>
        <w:pStyle w:val="937"/>
      </w:pPr>
      <w:r>
        <w:rPr>
          <w:b/>
          <w:bCs/>
        </w:rPr>
        <w:t xml:space="preserve">Análise Codificação</w:t>
      </w:r>
      <w:r>
        <w:t xml:space="preserve">: A recomendação aborda a constatação de falta de monitoramento e cumprimento de metas de radioterapia, propondo ações como integração de relatórios, inclusão de documentos comprobatórios, aprimoramento de controles, revisão de controles internos, adequação de procedimentos de liquidação e busca de conformidade legal. Em relação ao critério</w:t>
      </w:r>
      <w:r>
        <w:t xml:space="preserve"> </w:t>
      </w:r>
      <w:r>
        <w:t xml:space="preserve">‘Causa Identificada’</w:t>
      </w:r>
      <w:r>
        <w:t xml:space="preserve">, a recomendação não explicita claramente a causa raiz da falta de monitoramento, mas as ações propostas sugerem causas subjacentes, como deficiências em controles e processos. Para</w:t>
      </w:r>
      <w:r>
        <w:t xml:space="preserve"> </w:t>
      </w:r>
      <w:r>
        <w:t xml:space="preserve">‘Ação Proposta’</w:t>
      </w:r>
      <w:r>
        <w:t xml:space="preserve">, as sugestões são direcionadas a mitigar riscos de reocorrência, como aprimorar controles. Quanto a</w:t>
      </w:r>
      <w:r>
        <w:t xml:space="preserve"> </w:t>
      </w:r>
      <w:r>
        <w:t xml:space="preserve">‘Efeitos Duradouros’</w:t>
      </w:r>
      <w:r>
        <w:t xml:space="preserve">, as ações visam alterações institucionais, como revisão de controles internos, que podem persistir com mudanças de atores. No critério</w:t>
      </w:r>
      <w:r>
        <w:t xml:space="preserve"> </w:t>
      </w:r>
      <w:r>
        <w:t xml:space="preserve">‘Ação Genérica’</w:t>
      </w:r>
      <w:r>
        <w:t xml:space="preserve">, parte da recomendação se restringe a sugerir conformidade com leis existentes, como a Lei nº 4.320/1964, indicando um elemento genérico.</w:t>
      </w:r>
    </w:p>
    <w:p>
      <w:pPr>
        <w:pStyle w:val="937"/>
      </w:pPr>
      <w:r>
        <w:t xml:space="preserve">Causa Identificada: parcialmente</w:t>
      </w:r>
    </w:p>
    <w:p>
      <w:pPr>
        <w:pStyle w:val="937"/>
      </w:pPr>
      <w:r>
        <w:t xml:space="preserve">Ação Proposta: sim</w:t>
      </w:r>
    </w:p>
    <w:p>
      <w:pPr>
        <w:pStyle w:val="937"/>
      </w:pPr>
      <w:r>
        <w:t xml:space="preserve">Efeitos Duradouros: sim</w:t>
      </w:r>
    </w:p>
    <w:p>
      <w:pPr>
        <w:pStyle w:val="937"/>
      </w:pPr>
      <w:r>
        <w:t xml:space="preserve">Ação Genérica: sim</w:t>
      </w:r>
    </w:p>
    <w:bookmarkEnd w:id="276"/>
    <w:bookmarkStart w:id="277" w:name="auditoria-19486-constatação-nº-682194-1"/>
    <w:p>
      <w:pPr>
        <w:pStyle w:val="907"/>
      </w:pPr>
      <w:r>
        <w:t xml:space="preserve">11.0.3.37 Auditoria 19486, Constatação Nº 682194</w:t>
      </w:r>
    </w:p>
    <w:p>
      <w:pPr>
        <w:pStyle w:val="937"/>
      </w:pPr>
      <w:r>
        <w:rPr>
          <w:b/>
          <w:bCs/>
        </w:rPr>
        <w:t xml:space="preserve">Finalidade</w:t>
      </w:r>
      <w:r>
        <w:t xml:space="preserve">: Avaliar os indicadores de desempenho do programa Previne Brasil no município de João Pessoa</w:t>
      </w:r>
    </w:p>
    <w:p>
      <w:pPr>
        <w:pStyle w:val="937"/>
      </w:pPr>
      <w:r>
        <w:rPr>
          <w:b/>
          <w:bCs/>
        </w:rPr>
        <w:t xml:space="preserve">Constatação</w:t>
      </w:r>
      <w:r>
        <w:t xml:space="preserve">: A Secretaria Municipal de Saúde de João Pessoa/PB, em 2022, não adotou as ações propostas no</w:t>
      </w:r>
      <w:r>
        <w:t xml:space="preserve"> </w:t>
      </w:r>
      <w:r>
        <w:t xml:space="preserve">“Documento Orientador”</w:t>
      </w:r>
      <w:r>
        <w:t xml:space="preserve">, como forma de atingir a meta para o Indicador nº 1 Proporção de gestantes com pelo menos 6 (seis) consultas pré-natal realizadas, sendo a primeira até a 12ª semana de gestação.</w:t>
      </w:r>
    </w:p>
    <w:p>
      <w:pPr>
        <w:pStyle w:val="937"/>
      </w:pPr>
      <w:r>
        <w:rPr>
          <w:b/>
          <w:bCs/>
        </w:rPr>
        <w:t xml:space="preserve">Recomendação</w:t>
      </w:r>
      <w:r>
        <w:t xml:space="preserve">: A SMS deve desenvolver ações para melhoria dos índices dos Indicadores conforme o Nota Técnica nº 13/2022 - SAPS/MS e Documento Orientador, dentre elas estão: Promover educação continuada e treinamento dos profissionais de saúde; Garantir insumos, materiais e equipamentos em boas condições de trabalho; Implantar protocolo para as ações de pré-natal e monitoramento da conformidade das práticas das eSF e eAP, em relação aos parâmetros de qualidade estabelecidos, inclusive no que diz respeito à humanização desse tipo de atendimento; Busca ativa das gestantes na área de abrangência da equipe, por meio de visitas domiciliares regulares, para cadastramento e início precoce do pré-natal, flexibilização de horários de atendimentos e lembrete de consultas agendadas.</w:t>
      </w:r>
    </w:p>
    <w:p>
      <w:pPr>
        <w:pStyle w:val="937"/>
      </w:pPr>
      <w:r>
        <w:rPr>
          <w:b/>
          <w:bCs/>
        </w:rPr>
        <w:t xml:space="preserve">Análise Codificação</w:t>
      </w:r>
      <w:r>
        <w:t xml:space="preserve">: A recomendação identifica a causa da baixa cobertura pré-natal como sendo a não adoção de ações específicas do Documento Orientador, propondo medidas como educação continuada, garantia de insumos, implantação de protocolos e busca ativa. Essas ações visam prevenir a reocorrência do problema através de mudanças estruturais nos processos de trabalho. Embora algumas medidas possam ter efeitos duradouros (como protocolos implantados), outras dependem da continuidade de ações específicas por atores envolvidos. A recomendação vai além do simples cumprimento normativo ao detalhar ações concretas para implementação.</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não</w:t>
      </w:r>
    </w:p>
    <w:bookmarkEnd w:id="277"/>
    <w:bookmarkStart w:id="278" w:name="auditoria-19590-constatação-nº-684472-1"/>
    <w:p>
      <w:pPr>
        <w:pStyle w:val="907"/>
      </w:pPr>
      <w:r>
        <w:t xml:space="preserve">11.0.3.38 Auditoria 19590, Constatação Nº 684472</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O serviço de hemodiálise do Sistema de Assistência Social e de Saúde (SAS) não mantém os registros verificados atualizados no prontuário.</w:t>
      </w:r>
    </w:p>
    <w:p>
      <w:pPr>
        <w:pStyle w:val="937"/>
      </w:pPr>
      <w:r>
        <w:rPr>
          <w:b/>
          <w:bCs/>
        </w:rPr>
        <w:t xml:space="preserve">Recomendação</w:t>
      </w:r>
      <w:r>
        <w:t xml:space="preserve">: Objetivando-se a adequação das lacunas identificadas pela equipe de auditoria, recomenda-se: -promover a sensibilização dos profissionais de saúde do Setor de Hemodiálise do Serviço de Assistência Social e de Saúde, por meio de palestras e ou oficinas, com vistas à fomentar um cultura organizacional que preze pela importância dos registros dos pacientes enquanto informações cruciais ao cuidado integral dos pacientes com DRC; -registrar, seja de forma física ou informatizada, os atendimentos, os resultados dos exames realizados e os indicadores da efetividade dialítica nos prontuários dos pacientes, mantendo-os atualizados. Tais indicações são importantes para a consolidação do disposto no inciso XI, do art. 67, Seção III, Capítulo III, Anexo IV da Portaria de Consolidação GM/MS n.° 3, de 28 de setembro de 2017.</w:t>
      </w:r>
    </w:p>
    <w:p>
      <w:pPr>
        <w:pStyle w:val="937"/>
      </w:pPr>
      <w:r>
        <w:rPr>
          <w:b/>
          <w:bCs/>
        </w:rPr>
        <w:t xml:space="preserve">Análise Codificação</w:t>
      </w:r>
      <w:r>
        <w:t xml:space="preserve">: A recomendação aborda a constatação de prontuários desatualizados no serviço de hemodiálise. No critério</w:t>
      </w:r>
      <w:r>
        <w:t xml:space="preserve"> </w:t>
      </w:r>
      <w:r>
        <w:t xml:space="preserve">‘Causa Identificada’</w:t>
      </w:r>
      <w:r>
        <w:t xml:space="preserve">, a recomendação sugere sensibilização dos profissionais, o que implica reconhecimento de que a causa subjacente é cultural/educacional (falta de valorização dos registros), portanto a causa está identificada. No critério</w:t>
      </w:r>
      <w:r>
        <w:t xml:space="preserve"> </w:t>
      </w:r>
      <w:r>
        <w:t xml:space="preserve">‘Ação Proposta’</w:t>
      </w:r>
      <w:r>
        <w:t xml:space="preserve">, há sugestões específicas (palestras/oficinas e registro sistemático) que visam mitigar a reincidência, atendendo ao critério. No critério</w:t>
      </w:r>
      <w:r>
        <w:t xml:space="preserve"> </w:t>
      </w:r>
      <w:r>
        <w:t xml:space="preserve">‘Efeitos Duradouros’</w:t>
      </w:r>
      <w:r>
        <w:t xml:space="preserve">, a sensibilização e mudança cultural podem perdurar além dos atores atuais, mas a ação de registro contínuo depende da adesão consistente, sendo parcialmente duradoura. No critério</w:t>
      </w:r>
      <w:r>
        <w:t xml:space="preserve"> </w:t>
      </w:r>
      <w:r>
        <w:t xml:space="preserve">‘Ação Genérica’</w:t>
      </w:r>
      <w:r>
        <w:t xml:space="preserve">, a recomendação vai além do mero cumprimento normativo ao propor ações concretas (sensibilização e método de registro), não se restringindo a citar a portaria existente.</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não</w:t>
      </w:r>
    </w:p>
    <w:bookmarkEnd w:id="278"/>
    <w:bookmarkStart w:id="279" w:name="auditoria-19735-constatação-nº-693821-1"/>
    <w:p>
      <w:pPr>
        <w:pStyle w:val="907"/>
      </w:pPr>
      <w:r>
        <w:t xml:space="preserve">11.0.3.39 Auditoria 19735, Constatação Nº 693821</w:t>
      </w:r>
    </w:p>
    <w:p>
      <w:pPr>
        <w:pStyle w:val="937"/>
      </w:pPr>
      <w:r>
        <w:rPr>
          <w:b/>
          <w:bCs/>
        </w:rPr>
        <w:t xml:space="preserve">Finalidade</w:t>
      </w:r>
      <w:r>
        <w:t xml:space="preserve">: Verificar irregularidades na gestão e no sistema de sobreaviso dos Médicos Vinculados ao Hospital</w:t>
      </w:r>
    </w:p>
    <w:p>
      <w:pPr>
        <w:pStyle w:val="937"/>
      </w:pPr>
      <w:r>
        <w:rPr>
          <w:b/>
          <w:bCs/>
        </w:rPr>
        <w:t xml:space="preserve">Constatação</w:t>
      </w:r>
      <w:r>
        <w:t xml:space="preserve">: A fiscalização do contrato não está sendo realizada pelas instâncias competentes conforme a legislação vigente, verificando o cumprimento das metas qualitativas e quantitativas.</w:t>
      </w:r>
    </w:p>
    <w:p>
      <w:pPr>
        <w:pStyle w:val="937"/>
      </w:pPr>
      <w:r>
        <w:rPr>
          <w:b/>
          <w:bCs/>
        </w:rPr>
        <w:t xml:space="preserve">Recomendação</w:t>
      </w:r>
      <w:r>
        <w:t xml:space="preserve">: É fundamental que a Secretaria Municipal de Saúde implemente uma fiscalização efetiva e contínua do contrato de gestão com o Hospital Santa Cruz de Canoinhas, conforme as diretrizes legais estabelecidas pela Lei nº 8080/1990, Lei nº 8.142/90, Lei 8.666/1993, Lei nº 14.133/2021, e as portarias de consolidação aplicáveis. Para tanto, a fiscalização deve ser descentralizada, com uma clara divisão de responsabilidades entre os setores de auditoria, controle e pagamento, garantindo o cumprimento das metas qualitativas e quantitativas estabelecidas no contrato. Além disso, é imprescindível que a Secretaria de Saúde, em conjunto com o hospital, desenvolva e execute um plano de capacitação contínua para todos os envolvidos na fiscalização, incluindo o Conselho Municipal de Saúde e os profissionais responsáveis pela auditoria e monitoramento. A capacitação deve focar na aplicação prática da legislação vigente e nas ferramentas de controle de qualidade, com ênfase em garantir independência e transparência nos processos de fiscalização. A fiscalização deve ser conduzida com base em critérios objetivos, assegurando que todos os relatórios de desempenho e resultados sejam analisados de maneira independente e transparente, de modo que qualquer não conformidade seja prontamente identificada e corrigida.</w:t>
      </w:r>
    </w:p>
    <w:p>
      <w:pPr>
        <w:pStyle w:val="937"/>
      </w:pPr>
      <w:r>
        <w:rPr>
          <w:b/>
          <w:bCs/>
        </w:rPr>
        <w:t xml:space="preserve">Análise Codificação</w:t>
      </w:r>
      <w:r>
        <w:t xml:space="preserve">: A recomendação identifica a causa da fiscalização inadequada como sendo a falta de uma estrutura organizada e capacitação dos envolvidos, propondo ações como descentralização da fiscalização, divisão de responsabilidades e capacitação contínua. Essas ações visam prevenir a reincidência da condição ao fortalecer processos institucionais. No entanto, a recomendação também inclui elementos genéricos, como a sugestão de cumprir a legislação vigente, e embora promova mudanças estruturais, parte da ação proposta depende da atuação específica dos atores atuais, limitando parcialmente os efeitos duradouros.</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sim</w:t>
      </w:r>
    </w:p>
    <w:bookmarkEnd w:id="279"/>
    <w:bookmarkStart w:id="280" w:name="auditoria-19780-constatação-nº-692590-1"/>
    <w:p>
      <w:pPr>
        <w:pStyle w:val="907"/>
      </w:pPr>
      <w:r>
        <w:t xml:space="preserve">11.0.3.40 Auditoria 19780, Constatação Nº 692590</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Rede de Frio é um componente do PNI municipal, porém não foi possível identificar a sua estruturação no âmbito da Secretaria Municipal de Saúde de Lagarto/SE.</w:t>
      </w:r>
    </w:p>
    <w:p>
      <w:pPr>
        <w:pStyle w:val="937"/>
      </w:pPr>
      <w:r>
        <w:rPr>
          <w:b/>
          <w:bCs/>
        </w:rPr>
        <w:t xml:space="preserve">Recomendação</w:t>
      </w:r>
      <w:r>
        <w:t xml:space="preserve">: Providenciar a formalização da CMRF na estrutura administrativa da SMS de Lagarto/SE, com as atribuições, responsabilidades e competências dos órgãos que a compõem, em conformidade com o artigo 9º da RDC nº 63/2011. Adotar e assegurar o controle de frequência dos profissionais, para assegurar a transparência e regularidade no cumprimento da jornada de trabalho, em conformidade com o artigo 7º da RDC nº 63/2011. Atualizar e manter atualizado os dados junto ao Cadastro Nacional de Estabelecimentos de Saúde, conforme orienta o artigo 13, da Seção III, Capítulo II da Resolução - RDC Nº 63, de 25/11/2011.</w:t>
      </w:r>
    </w:p>
    <w:p>
      <w:pPr>
        <w:pStyle w:val="937"/>
      </w:pPr>
      <w:r>
        <w:rPr>
          <w:b/>
          <w:bCs/>
        </w:rPr>
        <w:t xml:space="preserve">Análise Codificação</w:t>
      </w:r>
      <w:r>
        <w:t xml:space="preserve">: A recomendação aborda a falta de estruturação formal da Cadeia de Frio na SMS de Lagarto/SE, identificando implicitamente a causa como a ausência de formalização e controles adequados. A ação proposta inclui formalizar a CMRF, implementar controle de frequência e atualizar dados no CNES, visando prevenir a reincidência da condição. No entanto, os efeitos são duradouros apenas parcialmente, pois dependem da manutenção contínua, e a ação é genérica, pois se limita a cumprir normativos existentes sem propor soluções inovadoras para as causas subjacentes.</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sim</w:t>
      </w:r>
    </w:p>
    <w:bookmarkEnd w:id="280"/>
    <w:bookmarkStart w:id="281" w:name="auditoria-19786-constatação-nº-694518-1"/>
    <w:p>
      <w:pPr>
        <w:pStyle w:val="907"/>
      </w:pPr>
      <w:r>
        <w:t xml:space="preserve">11.0.3.41 Auditoria 19786, Constatação Nº 694518</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processo de armazenamento dos imunobiológicos não é realizado de acordo com as orientações preconizadas pelo PNI.</w:t>
      </w:r>
    </w:p>
    <w:p>
      <w:pPr>
        <w:pStyle w:val="937"/>
      </w:pPr>
      <w:r>
        <w:rPr>
          <w:b/>
          <w:bCs/>
        </w:rPr>
        <w:t xml:space="preserve">Recomendação</w:t>
      </w:r>
      <w:r>
        <w:t xml:space="preserve">: Adotar checklists relacionadas a etapa de armazenamento, em cumprimento ao Art. 51, Seção VIII, Capítulo II da Resolução - RDC n.º 63, de 25/11/2011; adotar procedimentos padronizados (POP’s) das etapas do ciclo logístico, em cumprimento ao Art. 51, Seção VIII, Capítulo II da Resolução - RDC n.º 63, de 25/11/2011; realizar treinamentos com todos os colaboradores responsáveis pelas etapas, em cumprimento ao artigo n.º 51, Seção VIII, Capítulo II da Resolução - RDC n.º 63, de 25/11/2011; contratar empresa responsável pela calibração dos equipamentos e qualificação térmica dos ambientes, em conformidade com o artigo n.º 23, da Seção III, Capítulo II, da Resolução - RDC nº 63, de 25/11/2011 e artigo n.º 43 da RDC 430 e realizar inventário imediatamente de todos os itens constantes em estoque, e, definir prazos para a realização de inventários periódicos além do anual, em cumprimento ao artigo n.º 55 da RDC 63.</w:t>
      </w:r>
    </w:p>
    <w:p>
      <w:pPr>
        <w:pStyle w:val="937"/>
      </w:pPr>
      <w:r>
        <w:rPr>
          <w:b/>
          <w:bCs/>
        </w:rPr>
        <w:t xml:space="preserve">Análise Codificação</w:t>
      </w:r>
      <w:r>
        <w:t xml:space="preserve">: A recomendação propõe múltiplas ações para corrigir a condição identificada de armazenamento inadequado de imunobiológicos, incluindo adoção de checklists, POPs, treinamentos, contratação de serviços de calibração e realização de inventários. Embora essas ações possam abordar causas subjacentes, como falta de procedimentos padronizados e capacitação, a recomendação se baseia principalmente no cumprimento de normativos legais existentes (RDC n.º 63/2011 e RDC 430). As ações propostas são genéricas no sentido de reiterar obrigações legais preexistentes, e não especificam medidas inovadoras ou personalizadas para evitar a recorrência além do que a norma já exige. Quanto aos efeitos duradouros, a implementação de POPs e treinamentos pode criar estruturas permanentes, mas a dependência de conformidade com leis específicas limita a perpetuidade independente de mudanças normativas. No critério</w:t>
      </w:r>
      <w:r>
        <w:t xml:space="preserve"> </w:t>
      </w:r>
      <w:r>
        <w:t xml:space="preserve">‘Causa Identificada’</w:t>
      </w:r>
      <w:r>
        <w:t xml:space="preserve">, a recomendação inferiu causas como falta de procedimentos e treinamento ao propor ações correlatas. Para</w:t>
      </w:r>
      <w:r>
        <w:t xml:space="preserve"> </w:t>
      </w:r>
      <w:r>
        <w:t xml:space="preserve">‘Ação Proposta’</w:t>
      </w:r>
      <w:r>
        <w:t xml:space="preserve">, há sugestões claras de medidas. Em</w:t>
      </w:r>
      <w:r>
        <w:t xml:space="preserve"> </w:t>
      </w:r>
      <w:r>
        <w:t xml:space="preserve">‘Efeitos Duradouros’</w:t>
      </w:r>
      <w:r>
        <w:t xml:space="preserve">, algumas ações (como POPs) podem perdurar, mas outras (como inventários) são contingentes à adesão contínua. Em</w:t>
      </w:r>
      <w:r>
        <w:t xml:space="preserve"> </w:t>
      </w:r>
      <w:r>
        <w:t xml:space="preserve">‘Ação Genérica’</w:t>
      </w:r>
      <w:r>
        <w:t xml:space="preserve">, a recomendação se restringe a cumprir normativos existentes, sem propor soluções além deles.</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sim</w:t>
      </w:r>
    </w:p>
    <w:bookmarkEnd w:id="281"/>
    <w:bookmarkStart w:id="282" w:name="auditoria-19809-constatação-nº-694580-1"/>
    <w:p>
      <w:pPr>
        <w:pStyle w:val="907"/>
      </w:pPr>
      <w:r>
        <w:t xml:space="preserve">11.0.3.42 Auditoria 19809, Constatação Nº 694580</w:t>
      </w:r>
    </w:p>
    <w:p>
      <w:pPr>
        <w:pStyle w:val="937"/>
      </w:pPr>
      <w:r>
        <w:rPr>
          <w:b/>
          <w:bCs/>
        </w:rPr>
        <w:t xml:space="preserve">Finalidade</w:t>
      </w:r>
      <w:r>
        <w:t xml:space="preserve">: Verificar se a Atenção Primária à Saúde está exercendo as atribuições de coordenadora da RAPS</w:t>
      </w:r>
    </w:p>
    <w:p>
      <w:pPr>
        <w:pStyle w:val="937"/>
      </w:pPr>
      <w:r>
        <w:rPr>
          <w:b/>
          <w:bCs/>
        </w:rPr>
        <w:t xml:space="preserve">Constatação</w:t>
      </w:r>
      <w:r>
        <w:t xml:space="preserve">: As UBSs visitadas não compartilham os registros de pacientes em atendimento com transtorno mental com outros pontos da rede.</w:t>
      </w:r>
    </w:p>
    <w:p>
      <w:pPr>
        <w:pStyle w:val="937"/>
      </w:pPr>
      <w:r>
        <w:rPr>
          <w:b/>
          <w:bCs/>
        </w:rPr>
        <w:t xml:space="preserve">Recomendação</w:t>
      </w:r>
      <w:r>
        <w:t xml:space="preserve">: Adotar as seguintes medidas visando atender o estabelecido no Item 6.2, Anexo I, da Portaria de Consolidação GM/MS nº 3, de 28 de setembro de 2017: - Instruir as equipes das UBSs para que os registros dos atendimentos em saúde mental no Sistema de Informação e- SUS (prontuário eletrônico) sejam realizados de forma detalhada, com anotações de todas as ações realizadas pelos profissionais das UBSs, bem como dos encaminhamentos realizados para outros pontos da rede; - Estabelecer a comunicação entres os diversos pontos de atenção da RAPS, preferencialmente por meio de sistemas unificados de registro, compartilhados entre as unidades que compõem a RAPS, de modo a garantir a referência e contrarreferência; e - Incluir profissionais de outros pontos de atenção da RAPS na construção do Matriciamento e Projeto Terapêutico Singular - PTS dos pacientes de saúde mental.</w:t>
      </w:r>
    </w:p>
    <w:p>
      <w:pPr>
        <w:pStyle w:val="937"/>
      </w:pPr>
      <w:r>
        <w:rPr>
          <w:b/>
          <w:bCs/>
        </w:rPr>
        <w:t xml:space="preserve">Análise Codificação</w:t>
      </w:r>
      <w:r>
        <w:t xml:space="preserve">: A recomendação aborda a causa identificada de falta de comunicação e registro inadequado, propondo ações específicas como instrução detalhada das equipes, estabelecimento de sistemas unificados de comunicação e inclusão de profissionais no matriciamento. Embora algumas ações tenham efeitos duradouros, como sistemas unificados, outras são mais genéricas ao sugerir cumprimento de normativo existente. A ação proposta visa mitigar riscos de novas ocorrências, mas nem todas as medidas garantem efeitos permanentes independentemente de mudanças de atores.</w:t>
      </w:r>
    </w:p>
    <w:p>
      <w:pPr>
        <w:pStyle w:val="937"/>
      </w:pPr>
      <w:r>
        <w:t xml:space="preserve">Causa Identificada: sim</w:t>
      </w:r>
    </w:p>
    <w:p>
      <w:pPr>
        <w:pStyle w:val="937"/>
      </w:pPr>
      <w:r>
        <w:t xml:space="preserve">Ação Proposta: sim</w:t>
      </w:r>
    </w:p>
    <w:p>
      <w:pPr>
        <w:pStyle w:val="937"/>
      </w:pPr>
      <w:r>
        <w:t xml:space="preserve">Efeitos Duradouros: parcialmente</w:t>
      </w:r>
    </w:p>
    <w:p>
      <w:pPr>
        <w:pStyle w:val="937"/>
      </w:pPr>
      <w:r>
        <w:t xml:space="preserve">Ação Genérica: sim</w:t>
      </w:r>
    </w:p>
    <w:p>
      <w:r>
        <w:br w:type="page"/>
      </w:r>
    </w:p>
    <w:bookmarkEnd w:id="282"/>
    <w:bookmarkEnd w:id="283"/>
    <w:bookmarkEnd w:id="284"/>
    <w:bookmarkStart w:id="328" w:name="Xc7e3f10c8acf395e3141e6245dfb5767353d48a"/>
    <w:p>
      <w:pPr>
        <w:pStyle w:val="904"/>
      </w:pPr>
      <w:r>
        <w:t xml:space="preserve">12. Apêndice F — Prompt de Codificação — Tentativa 3</w:t>
      </w:r>
    </w:p>
    <w:bookmarkStart w:id="285" w:name="prompt-3"/>
    <w:p>
      <w:pPr>
        <w:pStyle w:val="906"/>
      </w:pPr>
      <w:r>
        <w:t xml:space="preserve">12.0.1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É importante salientar que recomendações podem conter múltiplas ações sugeridas, visando tanto corrigir a condição encontrada quanto endereçar a causa que permitiu a ocorrência da condição.</w:t>
      </w:r>
      <w:r>
        <w:br/>
      </w:r>
      <w:r>
        <w:br/>
      </w:r>
      <w:r>
        <w:rPr>
          <w:rStyle w:val="949"/>
        </w:rPr>
        <w:t xml:space="preserve">Para realizar essa identificação, o usuário 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949"/>
        </w:rPr>
        <w:t xml:space="preserve">- Critério "Ação Corretiva": A recomendação sugere uma ação para resolver a condição encontrada? Responda somente "Sim" ou "Não".</w:t>
      </w:r>
      <w:r>
        <w:br/>
      </w:r>
      <w:r>
        <w:rPr>
          <w:rStyle w:val="949"/>
        </w:rPr>
        <w:t xml:space="preserve">- Critério "Ação Foco Causa": Além da ação corretiva, que tipo de ação foi sugerida para corrigir a causa que levou à ocorrência da condição? Se não há nenhuma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aos efeitos, a recomendação... Ja em relação à ação proposta, a recomendação...",</w:t>
      </w:r>
      <w:r>
        <w:br/>
      </w:r>
      <w:r>
        <w:rPr>
          <w:rStyle w:val="949"/>
        </w:rPr>
        <w:t xml:space="preserve">   "Ação Corretiva": "Sim",</w:t>
      </w:r>
      <w:r>
        <w:br/>
      </w:r>
      <w:r>
        <w:rPr>
          <w:rStyle w:val="949"/>
        </w:rPr>
        <w:t xml:space="preserve">   "Ação Foco Causa": "Genérica",</w:t>
      </w:r>
      <w:r>
        <w:br/>
      </w:r>
      <w:r>
        <w:rPr>
          <w:rStyle w:val="949"/>
        </w:rPr>
        <w:t xml:space="preserve">   "Efeitos Duradouros": "Não"</w:t>
      </w:r>
      <w:r>
        <w:br/>
      </w:r>
      <w:r>
        <w:rPr>
          <w:rStyle w:val="949"/>
        </w:rPr>
        <w:t xml:space="preserve">} </w:t>
      </w:r>
    </w:p>
    <w:bookmarkEnd w:id="285"/>
    <w:bookmarkStart w:id="286" w:name="resultados-3"/>
    <w:p>
      <w:pPr>
        <w:pStyle w:val="906"/>
      </w:pPr>
      <w:r>
        <w:t xml:space="preserve">12.0.2 Resultados</w:t>
      </w:r>
    </w:p>
    <w:tbl>
      <w:tblPr>
        <w:tblStyle w:val="Table"/>
        <w:tblW w:type="pct" w:w="4881"/>
        <w:tblLayout w:type="fixed"/>
        <w:tblLook w:firstRow="1" w:lastRow="0" w:firstColumn="0" w:lastColumn="0" w:noHBand="0" w:noVBand="0" w:val="0020"/>
      </w:tblPr>
      <w:tblGrid>
        <w:gridCol w:w="1602"/>
        <w:gridCol w:w="1697"/>
        <w:gridCol w:w="1980"/>
        <w:gridCol w:w="1225"/>
        <w:gridCol w:w="754"/>
        <w:gridCol w:w="471"/>
      </w:tblGrid>
      <w:tr>
        <w:trPr>
          <w:tblHeader w:val="on"/>
        </w:trPr>
        <w:tc>
          <w:tcPr/>
          <w:p>
            <w:pPr>
              <w:pStyle w:val="918"/>
              <w:jc w:val="left"/>
            </w:pPr>
            <w:r>
              <w:t xml:space="preserve">Ação Corretiva</w:t>
            </w:r>
          </w:p>
        </w:tc>
        <w:tc>
          <w:tcPr/>
          <w:p>
            <w:pPr>
              <w:pStyle w:val="918"/>
              <w:jc w:val="left"/>
            </w:pPr>
            <w:r>
              <w:t xml:space="preserve">Ação Foco Causa</w:t>
            </w:r>
          </w:p>
        </w:tc>
        <w:tc>
          <w:tcPr/>
          <w:p>
            <w:pPr>
              <w:pStyle w:val="918"/>
              <w:jc w:val="left"/>
            </w:pPr>
            <w:r>
              <w:t xml:space="preserve">Efeitos Duradouros</w:t>
            </w:r>
          </w:p>
        </w:tc>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left"/>
            </w:pPr>
            <w:r>
              <w:t xml:space="preserve">Genérica</w:t>
            </w:r>
          </w:p>
        </w:tc>
        <w:tc>
          <w:tcPr/>
          <w:p>
            <w:pPr>
              <w:pStyle w:val="918"/>
              <w:jc w:val="left"/>
            </w:pPr>
            <w:r>
              <w:t xml:space="preserve">Não</w:t>
            </w:r>
          </w:p>
        </w:tc>
        <w:tc>
          <w:tcPr/>
          <w:p>
            <w:pPr>
              <w:pStyle w:val="918"/>
              <w:jc w:val="left"/>
            </w:pPr>
            <w:r>
              <w:t xml:space="preserve">Não</w:t>
            </w:r>
          </w:p>
        </w:tc>
        <w:tc>
          <w:tcPr/>
          <w:p>
            <w:pPr>
              <w:pStyle w:val="918"/>
              <w:jc w:val="right"/>
            </w:pPr>
            <w:r>
              <w:t xml:space="preserve">4</w:t>
            </w:r>
          </w:p>
        </w:tc>
        <w:tc>
          <w:tcPr/>
          <w:p>
            <w:pPr>
              <w:pStyle w:val="918"/>
              <w:jc w:val="right"/>
            </w:pPr>
            <w:r>
              <w:t xml:space="preserve">10</w:t>
            </w:r>
          </w:p>
        </w:tc>
      </w:tr>
      <w:tr>
        <w:tc>
          <w:tcPr/>
          <w:p>
            <w:pPr>
              <w:pStyle w:val="918"/>
              <w:jc w:val="left"/>
            </w:pPr>
            <w:r>
              <w:t xml:space="preserve">Sim</w:t>
            </w:r>
          </w:p>
        </w:tc>
        <w:tc>
          <w:tcPr/>
          <w:p>
            <w:pPr>
              <w:pStyle w:val="918"/>
              <w:jc w:val="left"/>
            </w:pPr>
            <w:r>
              <w:t xml:space="preserve">Específica</w:t>
            </w:r>
          </w:p>
        </w:tc>
        <w:tc>
          <w:tcPr/>
          <w:p>
            <w:pPr>
              <w:pStyle w:val="918"/>
              <w:jc w:val="left"/>
            </w:pPr>
            <w:r>
              <w:t xml:space="preserve">Sim</w:t>
            </w:r>
          </w:p>
        </w:tc>
        <w:tc>
          <w:tcPr/>
          <w:p>
            <w:pPr>
              <w:pStyle w:val="918"/>
              <w:jc w:val="left"/>
            </w:pPr>
            <w:r>
              <w:t xml:space="preserve">Sim</w:t>
            </w:r>
          </w:p>
        </w:tc>
        <w:tc>
          <w:tcPr/>
          <w:p>
            <w:pPr>
              <w:pStyle w:val="918"/>
              <w:jc w:val="right"/>
            </w:pPr>
            <w:r>
              <w:t xml:space="preserve">7</w:t>
            </w:r>
          </w:p>
        </w:tc>
        <w:tc>
          <w:tcPr/>
          <w:p>
            <w:pPr>
              <w:pStyle w:val="918"/>
              <w:jc w:val="right"/>
            </w:pPr>
            <w:r>
              <w:t xml:space="preserve">18</w:t>
            </w:r>
          </w:p>
        </w:tc>
      </w:tr>
      <w:tr>
        <w:tc>
          <w:tcPr/>
          <w:p>
            <w:pPr>
              <w:pStyle w:val="918"/>
              <w:jc w:val="left"/>
            </w:pPr>
            <w:r>
              <w:t xml:space="preserve">Sim</w:t>
            </w:r>
          </w:p>
        </w:tc>
        <w:tc>
          <w:tcPr/>
          <w:p>
            <w:pPr>
              <w:pStyle w:val="918"/>
              <w:jc w:val="left"/>
            </w:pPr>
            <w:r>
              <w:t xml:space="preserve">Genérica</w:t>
            </w:r>
          </w:p>
        </w:tc>
        <w:tc>
          <w:tcPr/>
          <w:p>
            <w:pPr>
              <w:pStyle w:val="918"/>
              <w:jc w:val="left"/>
            </w:pPr>
            <w:r>
              <w:t xml:space="preserve">Não</w:t>
            </w:r>
          </w:p>
        </w:tc>
        <w:tc>
          <w:tcPr/>
          <w:p>
            <w:pPr>
              <w:pStyle w:val="918"/>
              <w:jc w:val="left"/>
            </w:pPr>
            <w:r>
              <w:t xml:space="preserve">Não</w:t>
            </w:r>
          </w:p>
        </w:tc>
        <w:tc>
          <w:tcPr/>
          <w:p>
            <w:pPr>
              <w:pStyle w:val="918"/>
              <w:jc w:val="right"/>
            </w:pPr>
            <w:r>
              <w:t xml:space="preserve">27</w:t>
            </w:r>
          </w:p>
        </w:tc>
        <w:tc>
          <w:tcPr/>
          <w:p>
            <w:pPr>
              <w:pStyle w:val="918"/>
              <w:jc w:val="right"/>
            </w:pPr>
            <w:r>
              <w:t xml:space="preserve">68</w:t>
            </w:r>
          </w:p>
        </w:tc>
      </w:tr>
      <w:tr>
        <w:tc>
          <w:tcPr/>
          <w:p>
            <w:pPr>
              <w:pStyle w:val="918"/>
              <w:jc w:val="left"/>
            </w:pPr>
            <w:r>
              <w:t xml:space="preserve">Sim</w:t>
            </w:r>
          </w:p>
        </w:tc>
        <w:tc>
          <w:tcPr/>
          <w:p>
            <w:pPr>
              <w:pStyle w:val="918"/>
              <w:jc w:val="left"/>
            </w:pPr>
            <w:r>
              <w:t xml:space="preserve">Não</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2</w:t>
            </w:r>
          </w:p>
        </w:tc>
        <w:tc>
          <w:tcPr/>
          <w:p>
            <w:pPr>
              <w:pStyle w:val="918"/>
              <w:jc w:val="right"/>
            </w:pPr>
            <w:r>
              <w:t xml:space="preserve">5</w:t>
            </w:r>
          </w:p>
        </w:tc>
      </w:tr>
    </w:tbl>
    <w:p>
      <w:pPr>
        <w:pStyle w:val="916"/>
      </w:pPr>
      <w:r>
        <w:t xml:space="preserve"> </w:t>
      </w:r>
    </w:p>
    <w:tbl>
      <w:tblPr>
        <w:tblStyle w:val="Table"/>
        <w:tblW w:type="pct" w:w="4867"/>
        <w:tblLayout w:type="fixed"/>
        <w:tblLook w:firstRow="1" w:lastRow="0" w:firstColumn="0" w:lastColumn="0" w:noHBand="0" w:noVBand="0" w:val="0020"/>
      </w:tblPr>
      <w:tblGrid>
        <w:gridCol w:w="4012"/>
        <w:gridCol w:w="2217"/>
        <w:gridCol w:w="1478"/>
      </w:tblGrid>
      <w:tr>
        <w:trPr>
          <w:tblHeader w:val="on"/>
        </w:trPr>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right"/>
            </w:pPr>
            <w:r>
              <w:t xml:space="preserve">33</w:t>
            </w:r>
          </w:p>
        </w:tc>
        <w:tc>
          <w:tcPr/>
          <w:p>
            <w:pPr>
              <w:pStyle w:val="918"/>
              <w:jc w:val="right"/>
            </w:pPr>
            <w:r>
              <w:t xml:space="preserve">82</w:t>
            </w:r>
          </w:p>
        </w:tc>
      </w:tr>
      <w:tr>
        <w:tc>
          <w:tcPr/>
          <w:p>
            <w:pPr>
              <w:pStyle w:val="918"/>
              <w:jc w:val="left"/>
            </w:pPr>
            <w:r>
              <w:t xml:space="preserve">Sim</w:t>
            </w:r>
          </w:p>
        </w:tc>
        <w:tc>
          <w:tcPr/>
          <w:p>
            <w:pPr>
              <w:pStyle w:val="918"/>
              <w:jc w:val="right"/>
            </w:pPr>
            <w:r>
              <w:t xml:space="preserve">7</w:t>
            </w:r>
          </w:p>
        </w:tc>
        <w:tc>
          <w:tcPr/>
          <w:p>
            <w:pPr>
              <w:pStyle w:val="918"/>
              <w:jc w:val="right"/>
            </w:pPr>
            <w:r>
              <w:t xml:space="preserve">18</w:t>
            </w:r>
          </w:p>
        </w:tc>
      </w:tr>
    </w:tbl>
    <w:bookmarkEnd w:id="286"/>
    <w:bookmarkStart w:id="327" w:name="listagem-3"/>
    <w:p>
      <w:pPr>
        <w:pStyle w:val="906"/>
      </w:pPr>
      <w:r>
        <w:t xml:space="preserve">12.0.3 Listagem</w:t>
      </w:r>
    </w:p>
    <w:bookmarkStart w:id="287" w:name="auditoria-19770-constatação-nº-693848"/>
    <w:p>
      <w:pPr>
        <w:pStyle w:val="907"/>
      </w:pPr>
      <w:r>
        <w:t xml:space="preserve">12.0.3.1 Auditoria 19770, Constatação Nº 693848</w:t>
      </w:r>
    </w:p>
    <w:p>
      <w:pPr>
        <w:pStyle w:val="937"/>
      </w:pPr>
      <w:r>
        <w:rPr>
          <w:b/>
          <w:bCs/>
        </w:rPr>
        <w:t xml:space="preserve">Finalidade</w:t>
      </w:r>
      <w:r>
        <w:t xml:space="preserve">: Verificar a regularidade da produção inserida nos sistemas SIA-SIH/SUS para incremento do teto MAC.</w:t>
      </w:r>
    </w:p>
    <w:p>
      <w:pPr>
        <w:pStyle w:val="937"/>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937"/>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937"/>
      </w:pPr>
      <w:r>
        <w:rPr>
          <w:b/>
          <w:bCs/>
        </w:rPr>
        <w:t xml:space="preserve">Análise Codificação</w:t>
      </w:r>
      <w:r>
        <w:t xml:space="preserve">: A recomendação se limita a citar um dispositivo legal que exige o fornecimento de informações e acesso para auditoria, sem propor ações específicas para corrigir a condição imediata de não disponibilização da documentação ou para abordar as causas subjacentes, como falhas em processos ou treinamento.</w:t>
      </w:r>
    </w:p>
    <w:p>
      <w:pPr>
        <w:pStyle w:val="937"/>
      </w:pPr>
      <w:r>
        <w:t xml:space="preserve">Ação Corretiva: Não</w:t>
      </w:r>
    </w:p>
    <w:p>
      <w:pPr>
        <w:pStyle w:val="937"/>
      </w:pPr>
      <w:r>
        <w:t xml:space="preserve">Ação Foco Causa: Genérica</w:t>
      </w:r>
    </w:p>
    <w:p>
      <w:pPr>
        <w:pStyle w:val="937"/>
      </w:pPr>
      <w:r>
        <w:t xml:space="preserve">Efeitos Duradouros: Não</w:t>
      </w:r>
    </w:p>
    <w:bookmarkEnd w:id="287"/>
    <w:bookmarkStart w:id="288" w:name="auditoria-19635-constatação-nº-687559"/>
    <w:p>
      <w:pPr>
        <w:pStyle w:val="907"/>
      </w:pPr>
      <w:r>
        <w:t xml:space="preserve">12.0.3.2 Auditoria 19635, Constatação Nº 687559</w:t>
      </w:r>
    </w:p>
    <w:p>
      <w:pPr>
        <w:pStyle w:val="937"/>
      </w:pPr>
      <w:r>
        <w:rPr>
          <w:b/>
          <w:bCs/>
        </w:rPr>
        <w:t xml:space="preserve">Finalidade</w:t>
      </w:r>
      <w:r>
        <w:t xml:space="preserve">: Verificar a regularidade na inserção da produção no Sistema de Informação Ambulatorial do SUS</w:t>
      </w:r>
    </w:p>
    <w:p>
      <w:pPr>
        <w:pStyle w:val="937"/>
      </w:pPr>
      <w:r>
        <w:rPr>
          <w:b/>
          <w:bCs/>
        </w:rPr>
        <w:t xml:space="preserve">Constatação</w:t>
      </w:r>
      <w:r>
        <w:t xml:space="preserve">: Os instrumentos de gestão do SUS de Tutoia não demonstram justificativas para o aumento expressivo de procedimentos da Atenção Especializada que tiveram inserção de dados no Sistema de Informação Ambulatorial (SIA/SUS) superior em relação a produção efetivamente realizada nos exercícios 2021 e 2022.</w:t>
      </w:r>
    </w:p>
    <w:p>
      <w:pPr>
        <w:pStyle w:val="937"/>
      </w:pPr>
      <w:r>
        <w:rPr>
          <w:b/>
          <w:bCs/>
        </w:rPr>
        <w:t xml:space="preserve">Recomendação</w:t>
      </w:r>
      <w:r>
        <w:t xml:space="preserve">: 1- Cumprir com o que estabelecem os Arts. 95, 96, 97 e 99, todos da Portaria de Consolidação GM/MS nº 1, de 28/9/2017,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 2- Realizar, de acordo com o previsto no §1º, Art. 30, da Lei Complementar nº 141, de 13/1/2012, processo de planejamento e orçamento de forma ascendente e partindo das necessidades de saúde da população, com base no perfil epidemiológico, demográfico e socioeconômico, para definir as metas anuais de atenção integral à saúde e estimar os respectivos custos.</w:t>
      </w:r>
    </w:p>
    <w:p>
      <w:pPr>
        <w:pStyle w:val="937"/>
      </w:pPr>
      <w:r>
        <w:rPr>
          <w:b/>
          <w:bCs/>
        </w:rPr>
        <w:t xml:space="preserve">Análise Codificação</w:t>
      </w:r>
      <w:r>
        <w:t xml:space="preserve">: A recomendação propõe duas ações distintas: a primeira é genérica, focando no cumprimento de normativos existentes sem especificar ações concretas para além da adesão legal, o que não endereça diretamente a causa subjacente à falta de justificativas para o aumento de procedimentos. A segunda ação sugere realizar um processo de planejamento baseado em necessidades de saúde, o que pode ser visto como uma tentativa de abordar a causa raiz, mas ainda é genérica, pois não detalha etapas específicas como revisão de processos ou capacitação. Ambas as ações não garantem efeitos duradouros, pois dependem de conformidade contínua sem mudanças sistêmicas robustas.</w:t>
      </w:r>
    </w:p>
    <w:p>
      <w:pPr>
        <w:pStyle w:val="937"/>
      </w:pPr>
      <w:r>
        <w:t xml:space="preserve">Ação Corretiva: Não</w:t>
      </w:r>
    </w:p>
    <w:p>
      <w:pPr>
        <w:pStyle w:val="937"/>
      </w:pPr>
      <w:r>
        <w:t xml:space="preserve">Ação Foco Causa: Genérica</w:t>
      </w:r>
    </w:p>
    <w:p>
      <w:pPr>
        <w:pStyle w:val="937"/>
      </w:pPr>
      <w:r>
        <w:t xml:space="preserve">Efeitos Duradouros: Não</w:t>
      </w:r>
    </w:p>
    <w:bookmarkEnd w:id="288"/>
    <w:bookmarkStart w:id="289" w:name="auditoria-19598-constatação-nº-676938"/>
    <w:p>
      <w:pPr>
        <w:pStyle w:val="907"/>
      </w:pPr>
      <w:r>
        <w:t xml:space="preserve">12.0.3.3 Auditoria 19598, Constatação Nº 676938</w:t>
      </w:r>
    </w:p>
    <w:p>
      <w:pPr>
        <w:pStyle w:val="937"/>
      </w:pPr>
      <w:r>
        <w:rPr>
          <w:b/>
          <w:bCs/>
        </w:rPr>
        <w:t xml:space="preserve">Finalidade</w:t>
      </w:r>
      <w:r>
        <w:t xml:space="preserve">: Averiguar a prestação do serviço da Central de Regulação do Serviço Móvel de Urgência do Estado/RS.</w:t>
      </w:r>
    </w:p>
    <w:p>
      <w:pPr>
        <w:pStyle w:val="937"/>
      </w:pPr>
      <w:r>
        <w:rPr>
          <w:b/>
          <w:bCs/>
        </w:rPr>
        <w:t xml:space="preserve">Constatação</w:t>
      </w:r>
      <w:r>
        <w:t xml:space="preserve">: Foram realizados encaminhamentos de equipes para socorro SAMU 192 sem atendimento do chamado, através de ligação telefônica, pelo profissional regulador.</w:t>
      </w:r>
    </w:p>
    <w:p>
      <w:pPr>
        <w:pStyle w:val="937"/>
      </w:pPr>
      <w:r>
        <w:rPr>
          <w:b/>
          <w:bCs/>
        </w:rPr>
        <w:t xml:space="preserve">Recomendação</w:t>
      </w:r>
      <w:r>
        <w:t xml:space="preserve">: Manter fluxos de atendimento descritos em POPs acessíveis a todos os profissionais.</w:t>
      </w:r>
    </w:p>
    <w:p>
      <w:pPr>
        <w:pStyle w:val="937"/>
      </w:pPr>
      <w:r>
        <w:rPr>
          <w:b/>
          <w:bCs/>
        </w:rPr>
        <w:t xml:space="preserve">Análise Codificação</w:t>
      </w:r>
      <w:r>
        <w:t xml:space="preserve">: A recomendação sugere a manutenção de fluxos de atendimento descritos em POPs acessíveis, o que pode ser visto como uma ação para prevenir a repetição da condição de encaminhamentos sem atendimento, focando na causa subjacente de falta de procedimentos claros. No entanto, ela não propõe uma ação direta para corrigir a condição atual, como revisar ou corrigir os encaminhamentos já realizados. A ação é genérica, pois se limita a cumprir normativos existentes (POPs) sem detalhar ações específicas adicionais. Quanto aos efeitos duradouros, como a ação é genérica e não especifica mudanças estruturais, os efeitos podem não persistir com mudanças de atores.</w:t>
      </w:r>
    </w:p>
    <w:p>
      <w:pPr>
        <w:pStyle w:val="937"/>
      </w:pPr>
      <w:r>
        <w:t xml:space="preserve">Ação Corretiva: Não</w:t>
      </w:r>
    </w:p>
    <w:p>
      <w:pPr>
        <w:pStyle w:val="937"/>
      </w:pPr>
      <w:r>
        <w:t xml:space="preserve">Ação Foco Causa: Genérica</w:t>
      </w:r>
    </w:p>
    <w:p>
      <w:pPr>
        <w:pStyle w:val="937"/>
      </w:pPr>
      <w:r>
        <w:t xml:space="preserve">Efeitos Duradouros: Não</w:t>
      </w:r>
    </w:p>
    <w:bookmarkEnd w:id="289"/>
    <w:bookmarkStart w:id="290" w:name="auditoria-19700-constatação-nº-689138"/>
    <w:p>
      <w:pPr>
        <w:pStyle w:val="907"/>
      </w:pPr>
      <w:r>
        <w:t xml:space="preserve">12.0.3.4 Auditoria 19700, Constatação Nº 689138</w:t>
      </w:r>
    </w:p>
    <w:p>
      <w:pPr>
        <w:pStyle w:val="937"/>
      </w:pPr>
      <w:r>
        <w:rPr>
          <w:b/>
          <w:bCs/>
        </w:rPr>
        <w:t xml:space="preserve">Finalidade</w:t>
      </w:r>
      <w:r>
        <w:t xml:space="preserve">: Verificar a implementação do PNCH quanto a efetiva prest. de serviços de at. integral à hanseníase</w:t>
      </w:r>
    </w:p>
    <w:p>
      <w:pPr>
        <w:pStyle w:val="937"/>
      </w:pPr>
      <w:r>
        <w:rPr>
          <w:b/>
          <w:bCs/>
        </w:rPr>
        <w:t xml:space="preserve">Constatação</w:t>
      </w:r>
      <w:r>
        <w:t xml:space="preserve">: Os testes rápidos para avaliação de contatos para a hanseníase realizados nos serviços tipo I de São Luís não foram totalmente informados no Sistema de Informação Ambulatorial do SUS (SIA/SUS) no período auditado e não há registros de teste de biologia molecular para hanseníase.</w:t>
      </w:r>
    </w:p>
    <w:p>
      <w:pPr>
        <w:pStyle w:val="937"/>
      </w:pPr>
      <w:r>
        <w:rPr>
          <w:b/>
          <w:bCs/>
        </w:rPr>
        <w:t xml:space="preserve">Recomendação</w:t>
      </w:r>
      <w:r>
        <w:t xml:space="preserve">: À Secretaria de Vigilância em Saúde e Ambiente (SVSA/MS) para conhecimento da presente constatação e adoção dos procedimentos a seu cargo, conforme estabelecido no Inciso XI, do Art. 38, do Decreto n.º 11.798, de 28/11/2023, objetivando a organização e execução de atividades relativas à prevenção e ao controle de doenças, agravos e eventos de saúde pública relacionadas à vigilância em saúde.</w:t>
      </w:r>
    </w:p>
    <w:p>
      <w:pPr>
        <w:pStyle w:val="937"/>
      </w:pPr>
      <w:r>
        <w:rPr>
          <w:b/>
          <w:bCs/>
        </w:rPr>
        <w:t xml:space="preserve">Análise Codificação</w:t>
      </w:r>
      <w:r>
        <w:t xml:space="preserve">: A recomendação limita-se a encaminhar a constatação para conhecimento da SVSA/MS e recomendar a adoção de procedimentos conforme estabelecido em normativo legal (Decreto n.º 11.798/2023), sem propor ações específicas para resolver a condição encontrada (subnotificação de testes rápidos e ausência de registros de teste molecular) ou para tratar a causa subjacente que permitiu essa ocorrência. A ação sugerida é genérica, focada no cumprimento de um normativo, sem detalhar medidas concretas.</w:t>
      </w:r>
    </w:p>
    <w:p>
      <w:pPr>
        <w:pStyle w:val="937"/>
      </w:pPr>
      <w:r>
        <w:t xml:space="preserve">Ação Corretiva: Não</w:t>
      </w:r>
    </w:p>
    <w:p>
      <w:pPr>
        <w:pStyle w:val="937"/>
      </w:pPr>
      <w:r>
        <w:t xml:space="preserve">Ação Foco Causa: Genérica</w:t>
      </w:r>
    </w:p>
    <w:p>
      <w:pPr>
        <w:pStyle w:val="937"/>
      </w:pPr>
      <w:r>
        <w:t xml:space="preserve">Efeitos Duradouros: Não</w:t>
      </w:r>
    </w:p>
    <w:bookmarkEnd w:id="290"/>
    <w:bookmarkStart w:id="291" w:name="auditoria-19720-constatação-nº-697031"/>
    <w:p>
      <w:pPr>
        <w:pStyle w:val="907"/>
      </w:pPr>
      <w:r>
        <w:t xml:space="preserve">12.0.3.5 Auditoria 19720, Constatação Nº 697031</w:t>
      </w:r>
    </w:p>
    <w:p>
      <w:pPr>
        <w:pStyle w:val="937"/>
      </w:pPr>
      <w:r>
        <w:rPr>
          <w:b/>
          <w:bCs/>
        </w:rPr>
        <w:t xml:space="preserve">Finalidade</w:t>
      </w:r>
      <w:r>
        <w:t xml:space="preserve">: Verificar a regularidade da produção inserida nos sistemas do SUS em São José de Lagoa Tapada/PB.</w:t>
      </w:r>
    </w:p>
    <w:p>
      <w:pPr>
        <w:pStyle w:val="937"/>
      </w:pPr>
      <w:r>
        <w:rPr>
          <w:b/>
          <w:bCs/>
        </w:rPr>
        <w:t xml:space="preserve">Constatação</w:t>
      </w:r>
      <w:r>
        <w:t xml:space="preserve">: Os instrumentos de gestão elaborados não contiveram informações que permitissem o monitoramento dos dados de produção ambulatorial executados e inseridos no Sistema de Informações Ambulatoriais (SIA-SUS).</w:t>
      </w:r>
    </w:p>
    <w:p>
      <w:pPr>
        <w:pStyle w:val="937"/>
      </w:pPr>
      <w:r>
        <w:rPr>
          <w:b/>
          <w:bCs/>
        </w:rPr>
        <w:t xml:space="preserve">Recomendação</w:t>
      </w:r>
      <w:r>
        <w:t xml:space="preserve">: À SMS de São José da Lagoa Tapada/PB: Informatizar e padronizar a coleta de dados no Sistema de Informações Ambulatoriais - SIA/SUS, garantindo que todos os dados sejam registrados de maneira consistente e completa; Criação de mecanismos de acompanhamento e controle que permitam o monitoramento contínuo dos dados de produção ambulatorial, facilitando a identificação de tendências e a tomada de decisões baseadas em evidências; Capacitação das equipes de gestão e operação para assegurar que todos os envolvidos compreendam a importância do registro preciso dos dados e estejam aptos a utilizá-los de maneira eficaz;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pPr>
        <w:pStyle w:val="937"/>
      </w:pPr>
      <w:r>
        <w:rPr>
          <w:b/>
          <w:bCs/>
        </w:rPr>
        <w:t xml:space="preserve">Análise Codificação</w:t>
      </w:r>
      <w:r>
        <w:t xml:space="preserve">: A recomendação sugere ações para resolver a condição encontrada (informatizar e padronizar a coleta de dados) e também propõe ações específicas para tratar a causa subjacente, como a criação de mecanismos de acompanhamento, capacitação das equipes e auditorias regulares. Essas ações visam prevenir a reincidência da condição, indo além da mera correção imediata. Os efeitos pretendidos, como a padronização e os mecanismos de controle, têm potencial para permanecer mesmo com mudanças de atores, devido à institucionalização de processos.</w:t>
      </w:r>
    </w:p>
    <w:p>
      <w:pPr>
        <w:pStyle w:val="937"/>
      </w:pPr>
      <w:r>
        <w:t xml:space="preserve">Ação Corretiva: Sim</w:t>
      </w:r>
    </w:p>
    <w:p>
      <w:pPr>
        <w:pStyle w:val="937"/>
      </w:pPr>
      <w:r>
        <w:t xml:space="preserve">Ação Foco Causa: Específica</w:t>
      </w:r>
    </w:p>
    <w:p>
      <w:pPr>
        <w:pStyle w:val="937"/>
      </w:pPr>
      <w:r>
        <w:t xml:space="preserve">Efeitos Duradouros: Sim</w:t>
      </w:r>
    </w:p>
    <w:bookmarkEnd w:id="291"/>
    <w:bookmarkStart w:id="292" w:name="auditoria-19735-constatação-nº-693686"/>
    <w:p>
      <w:pPr>
        <w:pStyle w:val="907"/>
      </w:pPr>
      <w:r>
        <w:t xml:space="preserve">12.0.3.6 Auditoria 19735, Constatação Nº 693686</w:t>
      </w:r>
    </w:p>
    <w:p>
      <w:pPr>
        <w:pStyle w:val="937"/>
      </w:pPr>
      <w:r>
        <w:rPr>
          <w:b/>
          <w:bCs/>
        </w:rPr>
        <w:t xml:space="preserve">Finalidade</w:t>
      </w:r>
      <w:r>
        <w:t xml:space="preserve">: Verificar irregularidades na gestão e no sistema de sobreaviso dos Médicos Vinculados ao Hospital</w:t>
      </w:r>
    </w:p>
    <w:p>
      <w:pPr>
        <w:pStyle w:val="937"/>
      </w:pPr>
      <w:r>
        <w:rPr>
          <w:b/>
          <w:bCs/>
        </w:rPr>
        <w:t xml:space="preserve">Constatação</w:t>
      </w:r>
      <w:r>
        <w:t xml:space="preserve">: Existem pacientes atendidos na UPA que necessitam de internação e permanecem na unidade além das 24 horas, estando em desacordo com a legislação vigente.</w:t>
      </w:r>
    </w:p>
    <w:p>
      <w:pPr>
        <w:pStyle w:val="937"/>
      </w:pPr>
      <w:r>
        <w:rPr>
          <w:b/>
          <w:bCs/>
        </w:rPr>
        <w:t xml:space="preserve">Recomendação</w:t>
      </w:r>
      <w:r>
        <w:t xml:space="preserve">: A Secretaria Municipal de Saúde (SMS) de Canoinhas deve tomar providências imediatas para corrigir a permanência de pacientes por mais de 24 horas na UPA, o que está em desacordo com a legislação vigente, especificamente com a Portaria de Consolidação nº 6/2017, que estabelece que a UPA pode manter pacientes em observação por até 24 horas, sendo necessário transferi-los para serviços de maior complexidade quando não houver resolução da queixa clínica. Primeiramente, a SMS deve implementar um registro formal e sistemático para monitorar a permanência de pacientes em urgência e emergência além das 24 horas. Isso inclui a criação de indicadores específicos para o tempo de permanência, a média de tempo de espera por leitos, e a avaliação contínua da resolução clínica dos pacientes. É fundamental também que a UPA adote indicadores de desempenho para monitorar o retorno de pacientes com a mesma condição e o encaminhamento adequado para internação em hospitais de referência, utilizando o sistema SISREG de forma eficiente para garantir a agilidade nas transferências. Além disso, a SMS deve estabelecer um processo para monitorar e avaliar o desempenho da unidade, incluindo tempos de espera por atendimento, classificação de risco, e a resolutividade do tratamento, correlacionando esses dados com os desfechos clínicos. A falta desses indicadores compromete a qualidade do atendimento e a gestão eficiente da UPA. Essas medidas são essenciais para garantir o cumprimento da normativa e a continuidade adequada do cuidado aos pacientes, evitando a permanência indevida na UPA e assegurando a adequação ao padrão de assistência exigido para unidades de urgência e emergência.</w:t>
      </w:r>
    </w:p>
    <w:p>
      <w:pPr>
        <w:pStyle w:val="937"/>
      </w:pPr>
      <w:r>
        <w:rPr>
          <w:b/>
          <w:bCs/>
        </w:rPr>
        <w:t xml:space="preserve">Análise Codificação</w:t>
      </w:r>
      <w:r>
        <w:t xml:space="preserve">: A recomendação sugere ações corretivas imediatas para resolver a condição de permanência de pacientes além de 24 horas na UPA, como a implementação de registros formais e monitoramento. Além disso, propõe ações com foco na causa, como a criação de indicadores específicos para tempo de permanência, média de espera por leitos, avaliação contínua da resolução clínica, adoção de indicadores de desempenho para retorno de pacientes e encaminhamento adequado via SISREG, e estabelecimento de processos de monitoramento e avaliação do desempenho da unidade. Essas ações vão além do mero cumprimento normativo, sendo específicas e concretas. Quanto aos efeitos duradouros, as ações propostas, como a implementação de sistemas de registro e indicadores, tendem a permanecer mesmo com mudanças de atores, pois institucionalizam processos.</w:t>
      </w:r>
    </w:p>
    <w:p>
      <w:pPr>
        <w:pStyle w:val="937"/>
      </w:pPr>
      <w:r>
        <w:t xml:space="preserve">Ação Corretiva: Sim</w:t>
      </w:r>
    </w:p>
    <w:p>
      <w:pPr>
        <w:pStyle w:val="937"/>
      </w:pPr>
      <w:r>
        <w:t xml:space="preserve">Ação Foco Causa: Específica</w:t>
      </w:r>
    </w:p>
    <w:p>
      <w:pPr>
        <w:pStyle w:val="937"/>
      </w:pPr>
      <w:r>
        <w:t xml:space="preserve">Efeitos Duradouros: Sim</w:t>
      </w:r>
    </w:p>
    <w:bookmarkEnd w:id="292"/>
    <w:bookmarkStart w:id="293" w:name="auditoria-19060-constatação-nº-663757"/>
    <w:p>
      <w:pPr>
        <w:pStyle w:val="907"/>
      </w:pPr>
      <w:r>
        <w:t xml:space="preserve">12.0.3.7 Auditoria 19060, Constatação Nº 663757</w:t>
      </w:r>
    </w:p>
    <w:p>
      <w:pPr>
        <w:pStyle w:val="937"/>
      </w:pPr>
      <w:r>
        <w:rPr>
          <w:b/>
          <w:bCs/>
        </w:rPr>
        <w:t xml:space="preserve">Finalidade</w:t>
      </w:r>
      <w:r>
        <w:t xml:space="preserve">: Ver. a reg. form e ex. dos convênios entre mun. de Marilia p/ prest. de serv. de saúde e Ass. Fem.</w:t>
      </w:r>
    </w:p>
    <w:p>
      <w:pPr>
        <w:pStyle w:val="937"/>
      </w:pPr>
      <w:r>
        <w:rPr>
          <w:b/>
          <w:bCs/>
        </w:rPr>
        <w:t xml:space="preserve">Constatação</w:t>
      </w:r>
      <w:r>
        <w:t xml:space="preserve">: Foram realizadas despesas com honorários advocatícios, honorários contábeis e auditoria, utilizando recursos municipais destinados à execução do Convênio nº 1091/2016, em desacordo com o pactuado.</w:t>
      </w:r>
    </w:p>
    <w:p>
      <w:pPr>
        <w:pStyle w:val="937"/>
      </w:pPr>
      <w:r>
        <w:rPr>
          <w:b/>
          <w:bCs/>
        </w:rPr>
        <w:t xml:space="preserve">Recomendação</w:t>
      </w:r>
      <w:r>
        <w:t xml:space="preserve">: Nos próximos convênios a serem celebrados, fazer constar cláusula que vede a realização despesas com honorários advocatícios, honorários contábeis e auditoria para estar em conformidade com o com o art. 66 da Lei Federal nº 8.666, de 21 de junho de 1993, que estabelece que o contrato deverá ser executado fielmente pelas partes, de acordo com as cláusulas avençadas e as normas desta Lei, respondendo cada uma pelas consequências de sua inexecução total ou parcial e, aplica-se as disposições desta Lei, no que couber, aos convênios, acordos, ajustes e outros instrumentos congêneres celebrados por órgãos e entidades da Administração.</w:t>
      </w:r>
    </w:p>
    <w:p>
      <w:pPr>
        <w:pStyle w:val="937"/>
      </w:pPr>
      <w:r>
        <w:rPr>
          <w:b/>
          <w:bCs/>
        </w:rPr>
        <w:t xml:space="preserve">Análise Codificação</w:t>
      </w:r>
      <w:r>
        <w:t xml:space="preserve">: A recomendação sugere incluir uma cláusula específica em futuros convênios para proibir despesas com honorários advocatícios, contábeis e de auditoria, o que constitui uma ação corretiva para prevenir a recorrência da condição. Embora aponte para o cumprimento do art. 66 da Lei Federal nº 8.666/1993, a ação proposta é concreta e vai além de uma mera referência genérica ao normativo, focando na causa ao estabelecer um mecanismo preventivo. Os efeitos pretendidos são duradouros, pois a cláusula permanece válida independentemente de mudanças nos atores envolvidos.</w:t>
      </w:r>
    </w:p>
    <w:p>
      <w:pPr>
        <w:pStyle w:val="937"/>
      </w:pPr>
      <w:r>
        <w:t xml:space="preserve">Ação Corretiva: Sim</w:t>
      </w:r>
    </w:p>
    <w:p>
      <w:pPr>
        <w:pStyle w:val="937"/>
      </w:pPr>
      <w:r>
        <w:t xml:space="preserve">Ação Foco Causa: Específica</w:t>
      </w:r>
    </w:p>
    <w:p>
      <w:pPr>
        <w:pStyle w:val="937"/>
      </w:pPr>
      <w:r>
        <w:t xml:space="preserve">Efeitos Duradouros: Sim</w:t>
      </w:r>
    </w:p>
    <w:bookmarkEnd w:id="293"/>
    <w:bookmarkStart w:id="294" w:name="auditoria-19879-constatação-nº-703725-2"/>
    <w:p>
      <w:pPr>
        <w:pStyle w:val="907"/>
      </w:pPr>
      <w:r>
        <w:t xml:space="preserve">12.0.3.8 Auditoria 19879, Constatação Nº 703725</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O Hospital de Câncer de Cascavel (Uopeccan) não emitiu nova AIH para procedimento compatível nos casos em que a internação para quimioterapia de administração contínua (03.04.08.002-0) excedeu seis dias de permanência.</w:t>
      </w:r>
    </w:p>
    <w:p>
      <w:pPr>
        <w:pStyle w:val="937"/>
      </w:pPr>
      <w:r>
        <w:rPr>
          <w:b/>
          <w:bCs/>
        </w:rPr>
        <w:t xml:space="preserve">Recomendação</w:t>
      </w:r>
      <w:r>
        <w:t xml:space="preserve">: - Emitir nova AIH compatível com a condição clínica apresentada pelo paciente, nos termos da normativa vigente, utilizando-se do código 03.04.10.001-3 - Tratamento de intercorrências clínicas de paciente oncológico, sempre que a internação se prolongar por intercorrências que extrapolem o escopo do procedimento original de quimioterapia contínua; - Promover capacitação continuada da equipe responsável pelos processos de codificação e faturamento, com foco nas diretrizes do SIA/SUS e nos requisitos normativos para correta classificação e cobrança dos procedimentos oncológicos hospitalares. Essas recomendações seguem as diretrizes do Manual de Bases Técnicas da Oncologia - SIA/SUS, 30ª edição, Ministério da Saúde, 2022, página 22, contribuindo para a correta codificação, a precisão dos registros dos procedimentos realizados, o cumprimento das normas regulatórias e a otimização da gestão dos recursos de saúde.</w:t>
      </w:r>
    </w:p>
    <w:p>
      <w:pPr>
        <w:pStyle w:val="937"/>
      </w:pPr>
      <w:r>
        <w:rPr>
          <w:b/>
          <w:bCs/>
        </w:rPr>
        <w:t xml:space="preserve">Análise Codificação</w:t>
      </w:r>
      <w:r>
        <w:t xml:space="preserve">: A recomendação contém duas ações distintas. A primeira ação (</w:t>
      </w:r>
      <w:r>
        <w:t xml:space="preserve">‘Emitir nova AIH…’</w:t>
      </w:r>
      <w:r>
        <w:t xml:space="preserve">) é claramente uma ação corretiva, pois visa resolver diretamente a condição encontrada de não emissão de AIH compatível para internações prolongadas. A segunda ação (</w:t>
      </w:r>
      <w:r>
        <w:t xml:space="preserve">‘Promover capacitação continuada…’</w:t>
      </w:r>
      <w:r>
        <w:t xml:space="preserve">) propõe uma medida para evitar a recorrência do problema, focando na causa subjacente relacionada ao conhecimento da equipe. Esta ação é específica, pois vai além do mero cumprimento normativo, detalhando uma ação concreta de capacitação com foco em diretrizes específicas. Quanto aos efeitos duradouros, a capacitação continuada, se implementada adequadamente, pode criar um conhecimento institucional que permanece mesmo com mudanças de pessoal, embora dependa da continuidade do programa.</w:t>
      </w:r>
    </w:p>
    <w:p>
      <w:pPr>
        <w:pStyle w:val="937"/>
      </w:pPr>
      <w:r>
        <w:t xml:space="preserve">Ação Corretiva: Sim</w:t>
      </w:r>
    </w:p>
    <w:p>
      <w:pPr>
        <w:pStyle w:val="937"/>
      </w:pPr>
      <w:r>
        <w:t xml:space="preserve">Ação Foco Causa: Específica</w:t>
      </w:r>
    </w:p>
    <w:p>
      <w:pPr>
        <w:pStyle w:val="937"/>
      </w:pPr>
      <w:r>
        <w:t xml:space="preserve">Efeitos Duradouros: Sim</w:t>
      </w:r>
    </w:p>
    <w:bookmarkEnd w:id="294"/>
    <w:bookmarkStart w:id="295" w:name="auditoria-19565-constatação-nº-677635"/>
    <w:p>
      <w:pPr>
        <w:pStyle w:val="907"/>
      </w:pPr>
      <w:r>
        <w:t xml:space="preserve">12.0.3.9 Auditoria 19565, Constatação Nº 677635</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Estado crítico dos equipamentos de proteção individual para os motociclistas do SAMU 192 Teresina.</w:t>
      </w:r>
    </w:p>
    <w:p>
      <w:pPr>
        <w:pStyle w:val="937"/>
      </w:pPr>
      <w:r>
        <w:rPr>
          <w:b/>
          <w:bCs/>
        </w:rPr>
        <w:t xml:space="preserve">Recomendação</w:t>
      </w:r>
      <w:r>
        <w:t xml:space="preserve">: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pPr>
        <w:pStyle w:val="937"/>
      </w:pPr>
      <w:r>
        <w:rPr>
          <w:b/>
          <w:bCs/>
        </w:rPr>
        <w:t xml:space="preserve">Análise Codificação</w:t>
      </w:r>
      <w:r>
        <w:t xml:space="preserve">: A recomendação sugere ações para resolver a condição encontrada (substituir/reparar EPIs danificados) e também propõe uma ação específica para tratar a causa que levou à indisponibilidade de EPIs (manter estoque de reserva). Esta última ação visa prevenir a reocorrência do problema, indo além do mero cumprimento normativo. Os efeitos da ação de manter estoque são duradouros, pois independem de mudanças nos atores envolvidos.</w:t>
      </w:r>
    </w:p>
    <w:p>
      <w:pPr>
        <w:pStyle w:val="937"/>
      </w:pPr>
      <w:r>
        <w:t xml:space="preserve">Ação Corretiva: Sim</w:t>
      </w:r>
    </w:p>
    <w:p>
      <w:pPr>
        <w:pStyle w:val="937"/>
      </w:pPr>
      <w:r>
        <w:t xml:space="preserve">Ação Foco Causa: Específica</w:t>
      </w:r>
    </w:p>
    <w:p>
      <w:pPr>
        <w:pStyle w:val="937"/>
      </w:pPr>
      <w:r>
        <w:t xml:space="preserve">Efeitos Duradouros: Sim</w:t>
      </w:r>
    </w:p>
    <w:bookmarkEnd w:id="295"/>
    <w:bookmarkStart w:id="296" w:name="auditoria-19768-constatação-nº-693422"/>
    <w:p>
      <w:pPr>
        <w:pStyle w:val="907"/>
      </w:pPr>
      <w:r>
        <w:t xml:space="preserve">12.0.3.10 Auditoria 19768, Constatação Nº 693422</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transporte de imunobiológicos na CMRF não atende às boas práticas exigidas pelo PNI, quanto à integridade, higienização e controle de temperatura.</w:t>
      </w:r>
    </w:p>
    <w:p>
      <w:pPr>
        <w:pStyle w:val="937"/>
      </w:pPr>
      <w:r>
        <w:rPr>
          <w:b/>
          <w:bCs/>
        </w:rPr>
        <w:t xml:space="preserve">Recomendação</w:t>
      </w:r>
      <w:r>
        <w:t xml:space="preserve">: Adotar as seguintes medidas visando atender o estabelecido nos Incisos I, II e III do Art. 56, Seção VI, da Resolução de Diretoria Colegiada - RDC nº 430, de 08/10/2020, e no Subitem 4.6.4 pág. 30; subitem 7.1, Item 7, páginas 75 a 77 do Manual de Rede Frio do PNI, 2017. Além disso, o Art. 77 e seu parágrafo único, da Seção IX, da Resolução de Diretoria Colegiada - RDC nº 430, de 08/10/2020: - Disponibilizar veículo equipado com dispositivos que possibilitem o adequado acondicionamento e conservação das vacinas, e estabelecer rotinas adequadas de desinfecção e higiene no veículo para a preservação dos imunobiológicos durante o transporte; - Estabelecer checklist para que seja realizado o monitoramento da temperatura dos imunobiológicos durante o transporte e entrega destes à unidade de saúde; - Calibrar regularmente os termômetros utilizados durante o transporte e realizar o registro dessa rotina; e - Capacitar os motoristas que realizam o transporte dos imunobiológicos, de modo a compreender os procedimentos e cuidados necessários para garantir a segurança e eficácia dos produtos transportados.</w:t>
      </w:r>
    </w:p>
    <w:p>
      <w:pPr>
        <w:pStyle w:val="937"/>
      </w:pPr>
      <w:r>
        <w:rPr>
          <w:b/>
          <w:bCs/>
        </w:rPr>
        <w:t xml:space="preserve">Análise Codificação</w:t>
      </w:r>
      <w:r>
        <w:t xml:space="preserve">: A recomendação sugere múltiplas ações para corrigir a condição encontrada, incluindo disponibilizar veículo adequado, estabelecer rotinas de higiene, criar checklist para monitoramento de temperatura, calibrar termômetros e capacitar motoristas. Essas ações visam resolver diretamente os problemas de integridade, higienização e controle de temperatura no transporte. Além disso, as ações de estabelecer rotinas, criar checklist, calibrar regularmente e capacitar motoristas indicam medidas que buscam tratar as causas subjacentes, como falta de procedimentos padronizados e capacitação inadequada, indo além do mero cumprimento normativo ao propor implementações concretas.</w:t>
      </w:r>
    </w:p>
    <w:p>
      <w:pPr>
        <w:pStyle w:val="937"/>
      </w:pPr>
      <w:r>
        <w:t xml:space="preserve">Ação Corretiva: Sim</w:t>
      </w:r>
    </w:p>
    <w:p>
      <w:pPr>
        <w:pStyle w:val="937"/>
      </w:pPr>
      <w:r>
        <w:t xml:space="preserve">Ação Foco Causa: Específica</w:t>
      </w:r>
    </w:p>
    <w:p>
      <w:pPr>
        <w:pStyle w:val="937"/>
      </w:pPr>
      <w:r>
        <w:t xml:space="preserve">Efeitos Duradouros: Sim</w:t>
      </w:r>
    </w:p>
    <w:bookmarkEnd w:id="296"/>
    <w:bookmarkStart w:id="297" w:name="auditoria-19819-constatação-nº-695145"/>
    <w:p>
      <w:pPr>
        <w:pStyle w:val="907"/>
      </w:pPr>
      <w:r>
        <w:t xml:space="preserve">12.0.3.11 Auditoria 19819, Constatação Nº 695145</w:t>
      </w:r>
    </w:p>
    <w:p>
      <w:pPr>
        <w:pStyle w:val="937"/>
      </w:pPr>
      <w:r>
        <w:rPr>
          <w:b/>
          <w:bCs/>
        </w:rPr>
        <w:t xml:space="preserve">Finalidade</w:t>
      </w:r>
      <w:r>
        <w:t xml:space="preserve">: Auditoria na PNSMAD - 2024</w:t>
      </w:r>
    </w:p>
    <w:p>
      <w:pPr>
        <w:pStyle w:val="937"/>
      </w:pPr>
      <w:r>
        <w:rPr>
          <w:b/>
          <w:bCs/>
        </w:rPr>
        <w:t xml:space="preserve">Constatação</w:t>
      </w:r>
      <w:r>
        <w:t xml:space="preserve">: As equipes avaliadas não realizam acompanhamento dos familiares de usuários com transtorno mental e uso abusivo de álcool e drogas.</w:t>
      </w:r>
    </w:p>
    <w:p>
      <w:pPr>
        <w:pStyle w:val="937"/>
      </w:pPr>
      <w:r>
        <w:rPr>
          <w:b/>
          <w:bCs/>
        </w:rPr>
        <w:t xml:space="preserve">Recomendação</w:t>
      </w:r>
      <w:r>
        <w:t xml:space="preserve">: Realizar acompanhamento dos familiares de usuários com transtorno mental e uso abusivo de álcool e drogas, em cumprimento ao disposto no inciso VIII do item 4.1, Capítulo I, Anexo 1 do Anexo XXII, da Portaria de Consolidação GM/MS nº 2, de 28/09/2017 e Cadernos de Atenção Básica 34 - Saúde Mental/MS - 2013, item 5 (págs. 63-71). O Acolhimento dos familiares logo no início do processo de tratamento é essencial para garantir que eles se sintam parte do cuidado e recebam orientações claras sobre o transtorno mental do paciente, o processo terapêutico e a importância do suporte familiar no tratamento. É importante proporcionar espaços de escuta onde os familiares possam expressar suas dúvidas, preocupações e sentimentos. Isso ajuda a reduzir o estigma relacionado aos transtornos mentais e a fortalecer o vínculo entre a família e os serviços de saúde.</w:t>
      </w:r>
    </w:p>
    <w:p>
      <w:pPr>
        <w:pStyle w:val="937"/>
      </w:pPr>
      <w:r>
        <w:rPr>
          <w:b/>
          <w:bCs/>
        </w:rPr>
        <w:t xml:space="preserve">Análise Codificação</w:t>
      </w:r>
      <w:r>
        <w:t xml:space="preserve">: A recomendação sugere uma ação específica para realizar o acompanhamento dos familiares, o que corrige diretamente a condição encontrada de falta de acompanhamento. Além disso, propõe ações como acolhimento inicial, orientações claras e espaços de escuta, que visam abordar causas subjacentes, como a falta de envolvimento familiar e estigma, indo além do mero cumprimento normativo. Essas ações são específicas e podem ter efeitos duradouros, pois estabelecem práticas estruturadas que podem persistir independentemente de mudanças nos atores envolvidos.</w:t>
      </w:r>
    </w:p>
    <w:p>
      <w:pPr>
        <w:pStyle w:val="937"/>
      </w:pPr>
      <w:r>
        <w:t xml:space="preserve">Ação Corretiva: Sim</w:t>
      </w:r>
    </w:p>
    <w:p>
      <w:pPr>
        <w:pStyle w:val="937"/>
      </w:pPr>
      <w:r>
        <w:t xml:space="preserve">Ação Foco Causa: Específica</w:t>
      </w:r>
    </w:p>
    <w:p>
      <w:pPr>
        <w:pStyle w:val="937"/>
      </w:pPr>
      <w:r>
        <w:t xml:space="preserve">Efeitos Duradouros: Sim</w:t>
      </w:r>
    </w:p>
    <w:bookmarkEnd w:id="297"/>
    <w:bookmarkStart w:id="298" w:name="auditoria-19832-constatação-nº-696014"/>
    <w:p>
      <w:pPr>
        <w:pStyle w:val="907"/>
      </w:pPr>
      <w:r>
        <w:t xml:space="preserve">12.0.3.12 Auditoria 19832, Constatação Nº 696014</w:t>
      </w:r>
    </w:p>
    <w:p>
      <w:pPr>
        <w:pStyle w:val="937"/>
      </w:pPr>
      <w:r>
        <w:rPr>
          <w:b/>
          <w:bCs/>
        </w:rPr>
        <w:t xml:space="preserve">Finalidade</w:t>
      </w:r>
      <w:r>
        <w:t xml:space="preserve">: Auditoria na PNSMAD - 2024</w:t>
      </w:r>
    </w:p>
    <w:p>
      <w:pPr>
        <w:pStyle w:val="937"/>
      </w:pPr>
      <w:r>
        <w:rPr>
          <w:b/>
          <w:bCs/>
        </w:rPr>
        <w:t xml:space="preserve">Constatação</w:t>
      </w:r>
      <w:r>
        <w:t xml:space="preserve">: A Unidade Básica de Saúde - UBS Jardim Luiza não comprovou a realização da continuidade do cuidado e ações de redução a danos a grupos específicos de pacientes.</w:t>
      </w:r>
    </w:p>
    <w:p>
      <w:pPr>
        <w:pStyle w:val="937"/>
      </w:pPr>
      <w:r>
        <w:rPr>
          <w:b/>
          <w:bCs/>
        </w:rPr>
        <w:t xml:space="preserve">Recomendação</w:t>
      </w:r>
      <w:r>
        <w:t xml:space="preserve">: Estabelecer cronograma para implantar ações de redução de danos na atenção primária em saúde para grupos específicos de pacientes, como as gestantes, os idosos, as pessoas em situações de rua, adolescentes, dentre outros, de forma a promover a melhoria do atendimento em Saúde Mental, em toda sua rede, atendendo ao preconizado na Portaria de Consolidação nº 3, de 28 de setembro de 2017, Anexo V, Art.4º I c/c Artigo 6º, inciso I.</w:t>
      </w:r>
    </w:p>
    <w:p>
      <w:pPr>
        <w:pStyle w:val="937"/>
      </w:pPr>
      <w:r>
        <w:rPr>
          <w:b/>
          <w:bCs/>
        </w:rPr>
        <w:t xml:space="preserve">Análise Codificação</w:t>
      </w:r>
      <w:r>
        <w:t xml:space="preserve">: A recomendação sugere estabelecer um cronograma para implantar ações de redução de danos, o que visa corrigir a condição encontrada de falta de comprovação dessas ações. No entanto, a ação proposta é genérica, pois se limita a cumprir o normativo mencionado (Portaria de Consolidação nº 3) sem detalhar ações concretas além disso. Como a ação de foco na causa é genérica, os efeitos duradouros não são avaliados como positivos.</w:t>
      </w:r>
    </w:p>
    <w:p>
      <w:pPr>
        <w:pStyle w:val="937"/>
      </w:pPr>
      <w:r>
        <w:t xml:space="preserve">Ação Corretiva: Sim</w:t>
      </w:r>
    </w:p>
    <w:p>
      <w:pPr>
        <w:pStyle w:val="937"/>
      </w:pPr>
      <w:r>
        <w:t xml:space="preserve">Ação Foco Causa: Genérica</w:t>
      </w:r>
    </w:p>
    <w:p>
      <w:pPr>
        <w:pStyle w:val="937"/>
      </w:pPr>
      <w:r>
        <w:t xml:space="preserve">Efeitos Duradouros: Não</w:t>
      </w:r>
    </w:p>
    <w:bookmarkEnd w:id="298"/>
    <w:bookmarkStart w:id="299" w:name="auditoria-19614-constatação-nº-676605-2"/>
    <w:p>
      <w:pPr>
        <w:pStyle w:val="907"/>
      </w:pPr>
      <w:r>
        <w:t xml:space="preserve">12.0.3.13 Auditoria 19614, Constatação Nº 676605</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 acompanhamento mensal do Eixo de Atenção à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Análise Codificação</w:t>
      </w:r>
      <w:r>
        <w:t xml:space="preserve">: A recomendação sugere uma ação corretiva para conferir a documentação comprobatória/complementar no Transferegov, visando resolver a condição de informações incorretas no sistema. No entanto, a ação com foco na causa é genérica, pois se limita a determinar o cumprimento de um normativo existente (inciso IV, art. 11 da Portaria de Consolidação nº 1 SESAI/MS/2020), sem propor medidas adicionais ou específicas para evitar a causa raiz das impropriedades, como melhorias em processos ou capacitação.</w:t>
      </w:r>
    </w:p>
    <w:p>
      <w:pPr>
        <w:pStyle w:val="937"/>
      </w:pPr>
      <w:r>
        <w:t xml:space="preserve">Ação Corretiva: Sim</w:t>
      </w:r>
    </w:p>
    <w:p>
      <w:pPr>
        <w:pStyle w:val="937"/>
      </w:pPr>
      <w:r>
        <w:t xml:space="preserve">Ação Foco Causa: Genérica</w:t>
      </w:r>
    </w:p>
    <w:p>
      <w:pPr>
        <w:pStyle w:val="937"/>
      </w:pPr>
      <w:r>
        <w:t xml:space="preserve">Efeitos Duradouros: Não</w:t>
      </w:r>
    </w:p>
    <w:bookmarkEnd w:id="299"/>
    <w:bookmarkStart w:id="300" w:name="auditoria-19519-constatação-nº-683237"/>
    <w:p>
      <w:pPr>
        <w:pStyle w:val="907"/>
      </w:pPr>
      <w:r>
        <w:t xml:space="preserve">12.0.3.14 Auditoria 19519, Constatação Nº 683237</w:t>
      </w:r>
    </w:p>
    <w:p>
      <w:pPr>
        <w:pStyle w:val="937"/>
      </w:pPr>
      <w:r>
        <w:rPr>
          <w:b/>
          <w:bCs/>
        </w:rPr>
        <w:t xml:space="preserve">Finalidade</w:t>
      </w:r>
      <w:r>
        <w:t xml:space="preserve">: Verificar regularidade da execução dos convênios nº 01,02,03/2017 entre SMS/Sta Casa M. S. J. Barra</w:t>
      </w:r>
    </w:p>
    <w:p>
      <w:pPr>
        <w:pStyle w:val="937"/>
      </w:pPr>
      <w:r>
        <w:rPr>
          <w:b/>
          <w:bCs/>
        </w:rPr>
        <w:t xml:space="preserve">Constatação</w:t>
      </w:r>
      <w:r>
        <w:t xml:space="preserve">: As informações referentes às Regras Contratuais e Habilitação não foram inseridas nos módulos do Sistema de Cadastro Nacional de Estabelecimentos de Saúde (SCNES).</w:t>
      </w:r>
    </w:p>
    <w:p>
      <w:pPr>
        <w:pStyle w:val="937"/>
      </w:pPr>
      <w:r>
        <w:rPr>
          <w:b/>
          <w:bCs/>
        </w:rPr>
        <w:t xml:space="preserve">Recomendação</w:t>
      </w:r>
      <w:r>
        <w:t xml:space="preserve">: Manter os dados do Sistema de Cadastro Nacional de Estabelecimentos de Saúde (SCNES) atualizados, pelo estabelecimento contratualizado, bem como pela SMS de São João da Barra, em observância ao estabelecido nas cláusulas contratuais e na Seção I, Capítulo IV, Título VII, da Portaria de Consolidação GM/MS nº 1, de 28 de setembro de 2017.</w:t>
      </w:r>
    </w:p>
    <w:p>
      <w:pPr>
        <w:pStyle w:val="937"/>
      </w:pPr>
      <w:r>
        <w:rPr>
          <w:b/>
          <w:bCs/>
        </w:rPr>
        <w:t xml:space="preserve">Análise Codificação</w:t>
      </w:r>
      <w:r>
        <w:t xml:space="preserve">: A recomendação sugere manter os dados do SCNES atualizados, o que constitui uma ação corretiva para resolver a condição de informações não inseridas. No entanto, a ação proposta é genérica, limitando-se a cumprir normativos existentes sem especificar medidas concretas para abordar as causas subjacentes, como falhas de processo ou capacitação. Portanto, não há uma ação específica com foco na causa, e os efeitos duradouros não se aplicam ou são inexistentes devido à natureza genérica.</w:t>
      </w:r>
    </w:p>
    <w:p>
      <w:pPr>
        <w:pStyle w:val="937"/>
      </w:pPr>
      <w:r>
        <w:t xml:space="preserve">Ação Corretiva: Sim</w:t>
      </w:r>
    </w:p>
    <w:p>
      <w:pPr>
        <w:pStyle w:val="937"/>
      </w:pPr>
      <w:r>
        <w:t xml:space="preserve">Ação Foco Causa: Genérica</w:t>
      </w:r>
    </w:p>
    <w:p>
      <w:pPr>
        <w:pStyle w:val="937"/>
      </w:pPr>
      <w:r>
        <w:t xml:space="preserve">Efeitos Duradouros: Não</w:t>
      </w:r>
    </w:p>
    <w:bookmarkEnd w:id="300"/>
    <w:bookmarkStart w:id="301" w:name="auditoria-19879-constatação-nº-703731"/>
    <w:p>
      <w:pPr>
        <w:pStyle w:val="907"/>
      </w:pPr>
      <w:r>
        <w:t xml:space="preserve">12.0.3.15 Auditoria 19879, Constatação Nº 703731</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No Hospital de Câncer de Cascavel (Uopeccan), as Autorizações de Procedimentos Ambulatoriais (APACs) com o código 03.04 (Tratamentos Oncológicos de Quimioterapia e Radioterapia) foram emitidas, na maioria dos casos, com data de autorização posterior ao início do tratamento clínico no prontuário do paciente.</w:t>
      </w:r>
    </w:p>
    <w:p>
      <w:pPr>
        <w:pStyle w:val="937"/>
      </w:pPr>
      <w:r>
        <w:rPr>
          <w:b/>
          <w:bCs/>
        </w:rPr>
        <w:t xml:space="preserve">Recomendação</w:t>
      </w:r>
      <w:r>
        <w:t xml:space="preserve">: Acompanhar, fiscalizar, supervisionar e auditar as ações descritas no contrato firmado com o prestador, principalmente no que se refere à observância do subitem 2.5, página 19, do Manual Técnico Operacional do SIA/SUS (versão agosto de 2016), que exige a autorização prévia para esses procedimentos; do Manual de Bases Técnicas da Oncologia - SIA/SUS, elaborado pelo Instituto Nacional de Câncer (INCA); e da Portaria SAES/MS nº 470, de 22 de abril de 2021, a qual estabelece que os procedimentos oncológicos ambulatoriais devem ser formalmente autorizados por meio da APAC antes do início do tratamento.</w:t>
      </w:r>
    </w:p>
    <w:p>
      <w:pPr>
        <w:pStyle w:val="937"/>
      </w:pPr>
      <w:r>
        <w:rPr>
          <w:b/>
          <w:bCs/>
        </w:rPr>
        <w:t xml:space="preserve">Análise Codificação</w:t>
      </w:r>
      <w:r>
        <w:t xml:space="preserve">: A recomendação sugere ações de acompanhamento, fiscalização, supervisão e auditoria para garantir que os procedimentos oncológicos sejam autorizados previamente, conforme normativos. Isso visa corrigir a condição encontrada de autorizações emitidas após o início do tratamento. No entanto, a ação proposta é genérica, limitando-se a citar o cumprimento de normativos existentes sem especificar medidas concretas para abordar a causa subjacente, como falhas em processos internos ou capacitação. Consequentemente, não há indicação de efeitos duradouros, pois a recomendação não implementa mudanças sistêmicas que persistiriam independentemente de mudanças nos atores envolvidos.</w:t>
      </w:r>
    </w:p>
    <w:p>
      <w:pPr>
        <w:pStyle w:val="937"/>
      </w:pPr>
      <w:r>
        <w:t xml:space="preserve">Ação Corretiva: Sim</w:t>
      </w:r>
    </w:p>
    <w:p>
      <w:pPr>
        <w:pStyle w:val="937"/>
      </w:pPr>
      <w:r>
        <w:t xml:space="preserve">Ação Foco Causa: Genérica</w:t>
      </w:r>
    </w:p>
    <w:p>
      <w:pPr>
        <w:pStyle w:val="937"/>
      </w:pPr>
      <w:r>
        <w:t xml:space="preserve">Efeitos Duradouros: Não</w:t>
      </w:r>
    </w:p>
    <w:bookmarkEnd w:id="301"/>
    <w:bookmarkStart w:id="302" w:name="auditoria-19616-constatação-nº-676191"/>
    <w:p>
      <w:pPr>
        <w:pStyle w:val="907"/>
      </w:pPr>
      <w:r>
        <w:t xml:space="preserve">12.0.3.16 Auditoria 19616, Constatação Nº 676191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contrato de prestação de serviço de assessoria contábil.</w:t>
      </w:r>
    </w:p>
    <w:p>
      <w:pPr>
        <w:pStyle w:val="937"/>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937"/>
      </w:pPr>
      <w:r>
        <w:rPr>
          <w:b/>
          <w:bCs/>
        </w:rPr>
        <w:t xml:space="preserve">Análise Codificação</w:t>
      </w:r>
      <w:r>
        <w:t xml:space="preserve">: A recomendação sugere notificar a convenente para apresentar justificativas sobre a ausência do contrato, o que constitui uma ação para resolver a condição encontrada. No entanto, não propõe ações específicas para tratar a causa subjacente, limitando-se a citar conformidade com normativos, sem indicar medidas concretas como implementação de processos de verificação ou capacitação para prevenir recorrências.</w:t>
      </w:r>
    </w:p>
    <w:p>
      <w:pPr>
        <w:pStyle w:val="937"/>
      </w:pPr>
      <w:r>
        <w:t xml:space="preserve">Ação Corretiva: Sim</w:t>
      </w:r>
    </w:p>
    <w:p>
      <w:pPr>
        <w:pStyle w:val="937"/>
      </w:pPr>
      <w:r>
        <w:t xml:space="preserve">Ação Foco Causa: Genérica</w:t>
      </w:r>
    </w:p>
    <w:p>
      <w:pPr>
        <w:pStyle w:val="937"/>
      </w:pPr>
      <w:r>
        <w:t xml:space="preserve">Efeitos Duradouros: Não</w:t>
      </w:r>
    </w:p>
    <w:bookmarkEnd w:id="302"/>
    <w:bookmarkStart w:id="303" w:name="auditoria-19683-constatação-nº-697245"/>
    <w:p>
      <w:pPr>
        <w:pStyle w:val="907"/>
      </w:pPr>
      <w:r>
        <w:t xml:space="preserve">12.0.3.17 Auditoria 19683, Constatação Nº 697245</w:t>
      </w:r>
    </w:p>
    <w:p>
      <w:pPr>
        <w:pStyle w:val="937"/>
      </w:pPr>
      <w:r>
        <w:rPr>
          <w:b/>
          <w:bCs/>
        </w:rPr>
        <w:t xml:space="preserve">Finalidade</w:t>
      </w:r>
      <w:r>
        <w:t xml:space="preserve">: Realizar auditoria no Convênio 878444/2018 com a Santa Casa de Misericórdia de Sabará</w:t>
      </w:r>
    </w:p>
    <w:p>
      <w:pPr>
        <w:pStyle w:val="937"/>
      </w:pPr>
      <w:r>
        <w:rPr>
          <w:b/>
          <w:bCs/>
        </w:rPr>
        <w:t xml:space="preserve">Constatação</w:t>
      </w:r>
      <w:r>
        <w:t xml:space="preserve">: Ausência de critérios para as contratações dos profissionais do Apoio à Gestão Administrativa do Convênio nº 878444/2018 (DSEI Altamira).</w:t>
      </w:r>
    </w:p>
    <w:p>
      <w:pPr>
        <w:pStyle w:val="937"/>
      </w:pPr>
      <w:r>
        <w:rPr>
          <w:b/>
          <w:bCs/>
        </w:rPr>
        <w:t xml:space="preserve">Recomendação</w:t>
      </w:r>
      <w:r>
        <w:t xml:space="preserve">: Estabelecer critérios para a definição das despesas necessárias a serem contratadas para a gestão administr</w:t>
      </w:r>
    </w:p>
    <w:p>
      <w:pPr>
        <w:pStyle w:val="937"/>
      </w:pPr>
      <w:r>
        <w:t xml:space="preserve">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pPr>
        <w:pStyle w:val="937"/>
      </w:pPr>
      <w:r>
        <w:rPr>
          <w:b/>
          <w:bCs/>
        </w:rPr>
        <w:t xml:space="preserve">Análise Codificação</w:t>
      </w:r>
      <w:r>
        <w:t xml:space="preserve">: A recomendação sugere ações para resolver a condição encontrada (ausência de critérios para contratações) ao estabelecer critérios e controles específicos. No entanto, a ação proposta para tratar a causa principal limita-se a citar o cumprimento de normativos existentes, sem especificar medidas concretas além disso, caracterizando-a como genérica em foco na causa.</w:t>
      </w:r>
    </w:p>
    <w:p>
      <w:pPr>
        <w:pStyle w:val="937"/>
      </w:pPr>
      <w:r>
        <w:t xml:space="preserve">Ação Corretiva: Sim</w:t>
      </w:r>
    </w:p>
    <w:p>
      <w:pPr>
        <w:pStyle w:val="937"/>
      </w:pPr>
      <w:r>
        <w:t xml:space="preserve">Ação Foco Causa: Genérica</w:t>
      </w:r>
    </w:p>
    <w:p>
      <w:pPr>
        <w:pStyle w:val="937"/>
      </w:pPr>
      <w:r>
        <w:t xml:space="preserve">Efeitos Duradouros: Não</w:t>
      </w:r>
    </w:p>
    <w:bookmarkEnd w:id="303"/>
    <w:bookmarkStart w:id="304" w:name="auditoria-19484-constatação-nº-683071"/>
    <w:p>
      <w:pPr>
        <w:pStyle w:val="907"/>
      </w:pPr>
      <w:r>
        <w:t xml:space="preserve">12.0.3.18 Auditoria 19484, Constatação Nº 683071</w:t>
      </w:r>
    </w:p>
    <w:p>
      <w:pPr>
        <w:pStyle w:val="937"/>
      </w:pPr>
      <w:r>
        <w:rPr>
          <w:b/>
          <w:bCs/>
        </w:rPr>
        <w:t xml:space="preserve">Finalidade</w:t>
      </w:r>
      <w:r>
        <w:t xml:space="preserve">: Verificar regularidade execução contrato SMS Bom Jesus Itabapoana e o Hospital São Vicente de Paula</w:t>
      </w:r>
    </w:p>
    <w:p>
      <w:pPr>
        <w:pStyle w:val="937"/>
      </w:pPr>
      <w:r>
        <w:rPr>
          <w:b/>
          <w:bCs/>
        </w:rPr>
        <w:t xml:space="preserve">Constatação</w:t>
      </w:r>
      <w:r>
        <w:t xml:space="preserve">: O Ordenador de Despesas não assinou as ordens de pagamento dos processos financeiros de 2017 a 2019, referentes ao Convênio n.º 01/2017 da Secretaria Municipal de Saúde de Bom Jesus do Itabapoana/RJ.</w:t>
      </w:r>
    </w:p>
    <w:p>
      <w:pPr>
        <w:pStyle w:val="937"/>
      </w:pPr>
      <w:r>
        <w:rPr>
          <w:b/>
          <w:bCs/>
        </w:rPr>
        <w:t xml:space="preserve">Recomendação</w:t>
      </w:r>
      <w:r>
        <w:t xml:space="preserve">: Adotar medidas que corrijam o fluxo documental e processual de forma tal que evitem ou mitiguem o risco de que sejam praticados atos administrativos que descumpram a legislação orçamentária, financeira e contábil no âmbito da Secretaria Municipal de Saúde de Bom Jesus do Itabapoana/RJ, em especial quanto à Lei n.º 4.320/1964 e o art. n.° 1.149 da Portaria GM/MS de Consolidação n.° 6/2017. Não obstante, assegurar com que sejam cumpridos os conteúdos dispostos na Lei Municipal n.º 1.453, de 11 de março de 2021, no que se refere à constituição e funcionamento do Núcleo de Controle Interno da Secretaria Municipal de Saúde previsto no §1° do art. 14.</w:t>
      </w:r>
    </w:p>
    <w:p>
      <w:pPr>
        <w:pStyle w:val="937"/>
      </w:pPr>
      <w:r>
        <w:rPr>
          <w:b/>
          <w:bCs/>
        </w:rPr>
        <w:t xml:space="preserve">Análise Codificação</w:t>
      </w:r>
      <w:r>
        <w:t xml:space="preserve">: A recomendação sugere a correção do fluxo documental e processual para evitar atos administrativos irregulares, o que constitui uma ação corretiva. Quanto ao foco na causa, a recomendação propõe medidas genéricas como cumprir legislações específicas (Lei n.º 4.320/1964, Portaria GM/MS n.° 6/2017, Lei Municipal n.º 1.453/2021) e assegurar o funcionamento do Núcleo de Controle Interno, sem detalhar ações concretas além do mero cumprimento normativo. Não há indicação de efeitos duradouros, pois as ações são genéricas e dependem da aplicação contínua das normas.</w:t>
      </w:r>
    </w:p>
    <w:p>
      <w:pPr>
        <w:pStyle w:val="937"/>
      </w:pPr>
      <w:r>
        <w:t xml:space="preserve">Ação Corretiva: Sim</w:t>
      </w:r>
    </w:p>
    <w:p>
      <w:pPr>
        <w:pStyle w:val="937"/>
      </w:pPr>
      <w:r>
        <w:t xml:space="preserve">Ação Foco Causa: Genérica</w:t>
      </w:r>
    </w:p>
    <w:p>
      <w:pPr>
        <w:pStyle w:val="937"/>
      </w:pPr>
      <w:r>
        <w:t xml:space="preserve">Efeitos Duradouros: Não</w:t>
      </w:r>
    </w:p>
    <w:bookmarkEnd w:id="304"/>
    <w:bookmarkStart w:id="305" w:name="auditoria-19561-constatação-nº-675765"/>
    <w:p>
      <w:pPr>
        <w:pStyle w:val="907"/>
      </w:pPr>
      <w:r>
        <w:t xml:space="preserve">12.0.3.19 Auditoria 19561, Constatação Nº 675765</w:t>
      </w:r>
    </w:p>
    <w:p>
      <w:pPr>
        <w:pStyle w:val="937"/>
      </w:pPr>
      <w:r>
        <w:rPr>
          <w:b/>
          <w:bCs/>
        </w:rPr>
        <w:t xml:space="preserve">Finalidade</w:t>
      </w:r>
      <w:r>
        <w:t xml:space="preserve">: Avaliar a atuação do referido município por meio dos indicadores de desempenho do Programa Previne</w:t>
      </w:r>
    </w:p>
    <w:p>
      <w:pPr>
        <w:pStyle w:val="937"/>
      </w:pPr>
      <w:r>
        <w:rPr>
          <w:b/>
          <w:bCs/>
        </w:rPr>
        <w:t xml:space="preserve">Constatação</w:t>
      </w:r>
      <w:r>
        <w:t xml:space="preserve">: O Município não preenche todos os campos obrigatórios para qualificação dos 7 indicadores PREVINE Brasil no prontuário eletrônico próprio em utilização pelas 6 USF.</w:t>
      </w:r>
    </w:p>
    <w:p>
      <w:pPr>
        <w:pStyle w:val="937"/>
      </w:pPr>
      <w:r>
        <w:rPr>
          <w:b/>
          <w:bCs/>
        </w:rPr>
        <w:t xml:space="preserve">Recomendação</w:t>
      </w:r>
      <w:r>
        <w:t xml:space="preserve">: Instituir intervenções educativas, sistemáticas e permanentes junto aos profissionais de saúde das USF para melhoria da qualidade dos registros das informações de saúde nos prontuários individuais, nas cadernetas de saúde individuais e nos sistemas de registros informatizados utilizados oficialmente pela SMS de Sumidouro/RJ conforme orientam as NOTAS TÉCNICAS SAPS/MS Nº 13/2022, Nº 14/2022, Nº 15/2022, Nº 16/2022, Nº 18/2022, Nº 22/2022, Nº 23/2022, o Manual Instrutivo do Previne Brasil, 1ª ed., 2021, 2.2.2.3 - Ações para melhoria dos indicadores, Brasil, 1ª ed., 2021 e o Documento Orientador: Como a equipe de saúde da família pode melhorar os indicadores de desempenho.</w:t>
      </w:r>
    </w:p>
    <w:p>
      <w:pPr>
        <w:pStyle w:val="937"/>
      </w:pPr>
      <w:r>
        <w:rPr>
          <w:b/>
          <w:bCs/>
        </w:rPr>
        <w:t xml:space="preserve">Análise Codificação</w:t>
      </w:r>
      <w:r>
        <w:t xml:space="preserve">: A recomendação propõe a instituição de intervenções educativas sistemáticas e permanentes para melhorar a qualidade dos registros nos prontuários, o que visa corrigir a condição atual de campos não preenchidos. No entanto, a ação sugerida é genérica, pois se limita a citar o cumprimento de normativos sem especificar medidas concretas, como treinamentos específicos ou revisões de processos, para abordar a causa subjacente, como falta de capacitação ou supervisão.</w:t>
      </w:r>
    </w:p>
    <w:p>
      <w:pPr>
        <w:pStyle w:val="937"/>
      </w:pPr>
      <w:r>
        <w:t xml:space="preserve">Ação Corretiva: Sim</w:t>
      </w:r>
    </w:p>
    <w:p>
      <w:pPr>
        <w:pStyle w:val="937"/>
      </w:pPr>
      <w:r>
        <w:t xml:space="preserve">Ação Foco Causa: Genérica</w:t>
      </w:r>
    </w:p>
    <w:p>
      <w:pPr>
        <w:pStyle w:val="937"/>
      </w:pPr>
      <w:r>
        <w:t xml:space="preserve">Efeitos Duradouros: Não</w:t>
      </w:r>
    </w:p>
    <w:bookmarkEnd w:id="305"/>
    <w:bookmarkStart w:id="306" w:name="auditoria-19537-constatação-nº-685226"/>
    <w:p>
      <w:pPr>
        <w:pStyle w:val="907"/>
      </w:pPr>
      <w:r>
        <w:t xml:space="preserve">12.0.3.20 Auditoria 19537, Constatação Nº 685226</w:t>
      </w:r>
    </w:p>
    <w:p>
      <w:pPr>
        <w:pStyle w:val="937"/>
      </w:pPr>
      <w:r>
        <w:rPr>
          <w:b/>
          <w:bCs/>
        </w:rPr>
        <w:t xml:space="preserve">Finalidade</w:t>
      </w:r>
      <w:r>
        <w:t xml:space="preserve">: Verificar a regularidade na formalização e execução dos Contratos nº 36/2014 e nº 39/2014.</w:t>
      </w:r>
    </w:p>
    <w:p>
      <w:pPr>
        <w:pStyle w:val="937"/>
      </w:pPr>
      <w:r>
        <w:rPr>
          <w:b/>
          <w:bCs/>
        </w:rPr>
        <w:t xml:space="preserve">Constatação</w:t>
      </w:r>
      <w:r>
        <w:t xml:space="preserve">: A Secretaria de Saúde e Defesa Civil de São Gonçalo/RJ não enviou toda a documentação solicitada por meio dos Comunicados de Auditoria.</w:t>
      </w:r>
    </w:p>
    <w:p>
      <w:pPr>
        <w:pStyle w:val="937"/>
      </w:pPr>
      <w:r>
        <w:rPr>
          <w:b/>
          <w:bCs/>
        </w:rPr>
        <w:t xml:space="preserve">Recomendação</w:t>
      </w:r>
      <w:r>
        <w:t xml:space="preserve">: Observar, nas futuras auditorias deste DenaSUS,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937"/>
      </w:pPr>
      <w:r>
        <w:rPr>
          <w:b/>
          <w:bCs/>
        </w:rPr>
        <w:t xml:space="preserve">Análise Codificação</w:t>
      </w:r>
      <w:r>
        <w:t xml:space="preserve">: A recomendação sugere que, em futuras auditorias, seja observado um artigo de decreto que exige a prestação de informações e acesso a documentos, o que pode ser visto como uma ação para prevenir a reincidência da condição de não envio de documentação, mas não propõe uma ação concreta para corrigir a causa subjacente, limitando-se a citar o cumprimento de um normativo. Portanto, há uma ação corretiva implícita ao enfatizar a conformidade futura, mas a ação com foco na causa é genérica, pois apenas referencia o decreto sem detalhar medidas específicas. Como a ação com foco na causa é genérica, os efeitos duradouros não são avaliados como presentes.</w:t>
      </w:r>
    </w:p>
    <w:p>
      <w:pPr>
        <w:pStyle w:val="937"/>
      </w:pPr>
      <w:r>
        <w:t xml:space="preserve">Ação Corretiva: Sim</w:t>
      </w:r>
    </w:p>
    <w:p>
      <w:pPr>
        <w:pStyle w:val="937"/>
      </w:pPr>
      <w:r>
        <w:t xml:space="preserve">Ação Foco Causa: Genérica</w:t>
      </w:r>
    </w:p>
    <w:p>
      <w:pPr>
        <w:pStyle w:val="937"/>
      </w:pPr>
      <w:r>
        <w:t xml:space="preserve">Efeitos Duradouros: Não</w:t>
      </w:r>
    </w:p>
    <w:bookmarkEnd w:id="306"/>
    <w:bookmarkStart w:id="307" w:name="auditoria-18714-constatação-nº-671301"/>
    <w:p>
      <w:pPr>
        <w:pStyle w:val="907"/>
      </w:pPr>
      <w:r>
        <w:t xml:space="preserve">12.0.3.21 Auditoria 18714, Constatação Nº 671301</w:t>
      </w:r>
    </w:p>
    <w:p>
      <w:pPr>
        <w:pStyle w:val="937"/>
      </w:pPr>
      <w:r>
        <w:rPr>
          <w:b/>
          <w:bCs/>
        </w:rPr>
        <w:t xml:space="preserve">Finalidade</w:t>
      </w:r>
      <w:r>
        <w:t xml:space="preserve">: Verificar a regular utilização de recursos da fonte n°117 na aquisição de veículos pela SMS.</w:t>
      </w:r>
    </w:p>
    <w:p>
      <w:pPr>
        <w:pStyle w:val="937"/>
      </w:pPr>
      <w:r>
        <w:rPr>
          <w:b/>
          <w:bCs/>
        </w:rPr>
        <w:t xml:space="preserve">Constatação</w:t>
      </w:r>
      <w:r>
        <w:t xml:space="preserve">: A Secretaria Municipal de Saúde de Cabo Frio/RJ não apresentou comprovação sobre o vínculo funcional do pregoeiro e equipe de apoio designados para os Pregões Eletrônicos nº 006/2017 e nº 009/2017 (Processo Administrativo nº 30.382/2017), bem como da Comissão Permanente de Licitação (Processo Administrativo nº 4.442/2018).</w:t>
      </w:r>
    </w:p>
    <w:p>
      <w:pPr>
        <w:pStyle w:val="937"/>
      </w:pPr>
      <w:r>
        <w:rPr>
          <w:b/>
          <w:bCs/>
        </w:rPr>
        <w:t xml:space="preserve">Recomendação</w:t>
      </w:r>
      <w:r>
        <w:t xml:space="preserve">: Instruir adequadamente os processos administrativos de compra na modalidade Pregão Eletrônico, comprovando os vínculos funcionais do pregoeiro, membros da equipe de apoio e da Comissão Permanente de Licitação, conforme previsto no art. 3º da Lei nº 10.520/2002 e no art. 51 da Lei nº 8.666/1993.</w:t>
      </w:r>
    </w:p>
    <w:p>
      <w:pPr>
        <w:pStyle w:val="937"/>
      </w:pPr>
      <w:r>
        <w:rPr>
          <w:b/>
          <w:bCs/>
        </w:rPr>
        <w:t xml:space="preserve">Análise Codificação</w:t>
      </w:r>
      <w:r>
        <w:t xml:space="preserve">: A recomendação sugere instruir adequadamente os processos administrativos para comprovar os vínculos funcionais, o que corrige a condição específica de falta de comprovação identificada na constatação. No entanto, a ação proposta limita-se a cumprir os normativos legais citados (Lei nº 10.520/2002 e Lei nº 8.666/1993), sem indicar medidas concretas adicionais para abordar a causa subjacente que permitiu a ocorrência da condição, como falhas em processos de designação ou controle interno.</w:t>
      </w:r>
    </w:p>
    <w:p>
      <w:pPr>
        <w:pStyle w:val="937"/>
      </w:pPr>
      <w:r>
        <w:t xml:space="preserve">Ação Corretiva: Sim</w:t>
      </w:r>
    </w:p>
    <w:p>
      <w:pPr>
        <w:pStyle w:val="937"/>
      </w:pPr>
      <w:r>
        <w:t xml:space="preserve">Ação Foco Causa: Genérica</w:t>
      </w:r>
    </w:p>
    <w:p>
      <w:pPr>
        <w:pStyle w:val="937"/>
      </w:pPr>
      <w:r>
        <w:t xml:space="preserve">Efeitos Duradouros: Não</w:t>
      </w:r>
    </w:p>
    <w:bookmarkEnd w:id="307"/>
    <w:bookmarkStart w:id="308" w:name="auditoria-18885-constatação-nº-664822"/>
    <w:p>
      <w:pPr>
        <w:pStyle w:val="907"/>
      </w:pPr>
      <w:r>
        <w:t xml:space="preserve">12.0.3.22 Auditoria 18885, Constatação Nº 664822</w:t>
      </w:r>
    </w:p>
    <w:p>
      <w:pPr>
        <w:pStyle w:val="937"/>
      </w:pPr>
      <w:r>
        <w:rPr>
          <w:b/>
          <w:bCs/>
        </w:rPr>
        <w:t xml:space="preserve">Finalidade</w:t>
      </w:r>
      <w:r>
        <w:t xml:space="preserve">: Auditar a SMS de Catanduva/SP, focando Contrato de Gestão n°. 01/2015, com OSCIP Mahatma Gandhi</w:t>
      </w:r>
    </w:p>
    <w:p>
      <w:pPr>
        <w:pStyle w:val="937"/>
      </w:pPr>
      <w:r>
        <w:rPr>
          <w:b/>
          <w:bCs/>
        </w:rPr>
        <w:t xml:space="preserve">Constatação</w:t>
      </w:r>
      <w:r>
        <w:t xml:space="preserve">: Foram realizados pagamentos de encargos trabalhistas, previdenciários e fiscais, com recursos do Contrato de Gestão nº 01/2015, estando em desacordo com o contrato firmado.</w:t>
      </w:r>
    </w:p>
    <w:p>
      <w:pPr>
        <w:pStyle w:val="937"/>
      </w:pPr>
      <w:r>
        <w:rPr>
          <w:b/>
          <w:bCs/>
        </w:rPr>
        <w:t xml:space="preserve">Recomendação</w:t>
      </w:r>
      <w:r>
        <w:t xml:space="preserve">: Executar o contrato fielmente de acordo com as cláusulas avençadas conforme inciso II do artigo nº 39 da Portaria Interministerial nº 127, de 29 de maio de 2008, que determina que o convênio deverá ser executado em estrita observância às cláusulas avençadas e às normas pertinentes.</w:t>
      </w:r>
    </w:p>
    <w:p>
      <w:pPr>
        <w:pStyle w:val="937"/>
      </w:pPr>
      <w:r>
        <w:rPr>
          <w:b/>
          <w:bCs/>
        </w:rPr>
        <w:t xml:space="preserve">Análise Codificação</w:t>
      </w:r>
      <w:r>
        <w:t xml:space="preserve">: A recomendação sugere que o destinatário execute o contrato conforme as cláusulas estabelecidas, o que constitui uma ação para resolver a condição encontrada de pagamentos indevidos. No entanto, a ação proposta é genérica, limitando-se a exigir o cumprimento de normativos existentes sem especificar medidas concretas para abordar a causa subjacente, como falhas em processos de controle ou gestão que permitiram os desvios. Quanto aos efeitos duradouros, como a ação é genérica e não implementa mudanças estruturais, os efeitos não são sustentáveis a longo prazo independentemente de mudanças nos atores envolvidos.</w:t>
      </w:r>
    </w:p>
    <w:p>
      <w:pPr>
        <w:pStyle w:val="937"/>
      </w:pPr>
      <w:r>
        <w:t xml:space="preserve">Ação Corretiva: Sim</w:t>
      </w:r>
    </w:p>
    <w:p>
      <w:pPr>
        <w:pStyle w:val="937"/>
      </w:pPr>
      <w:r>
        <w:t xml:space="preserve">Ação Foco Causa: Genérica</w:t>
      </w:r>
    </w:p>
    <w:p>
      <w:pPr>
        <w:pStyle w:val="937"/>
      </w:pPr>
      <w:r>
        <w:t xml:space="preserve">Efeitos Duradouros: Não</w:t>
      </w:r>
    </w:p>
    <w:bookmarkEnd w:id="308"/>
    <w:bookmarkStart w:id="309" w:name="auditoria-19545-constatação-nº-673135"/>
    <w:p>
      <w:pPr>
        <w:pStyle w:val="907"/>
      </w:pPr>
      <w:r>
        <w:t xml:space="preserve">12.0.3.23 Auditoria 19545, Constatação Nº 673135</w:t>
      </w:r>
    </w:p>
    <w:p>
      <w:pPr>
        <w:pStyle w:val="937"/>
      </w:pPr>
      <w:r>
        <w:rPr>
          <w:b/>
          <w:bCs/>
        </w:rPr>
        <w:t xml:space="preserve">Finalidade</w:t>
      </w:r>
      <w:r>
        <w:t xml:space="preserve">: Verificar a gestão e o funcionamento do Serviço de Atendimento Móvel de Urgência (SAMU 19).</w:t>
      </w:r>
    </w:p>
    <w:p>
      <w:pPr>
        <w:pStyle w:val="937"/>
      </w:pPr>
      <w:r>
        <w:rPr>
          <w:b/>
          <w:bCs/>
        </w:rPr>
        <w:t xml:space="preserve">Constatação</w:t>
      </w:r>
      <w:r>
        <w:t xml:space="preserve">: Não houve prestação de contas dos recursos recebidos relativos ao SAMU 192 no Relatório Anual de Gestão (RAG), ano de 2022, do Estado do Amapá.</w:t>
      </w:r>
    </w:p>
    <w:p>
      <w:pPr>
        <w:pStyle w:val="937"/>
      </w:pPr>
      <w:r>
        <w:rPr>
          <w:b/>
          <w:bCs/>
        </w:rPr>
        <w:t xml:space="preserve">Recomendação</w:t>
      </w:r>
      <w:r>
        <w:t xml:space="preserve">: Cumprir o que estabelece o inciso IV do art. 4º, da Lei n.º 8.142 de 28/12/1990, no que tange ao relatório de gestão que permita o controle para o recebimento de recursos, combinado com o § 4° do art. 33 da Lei n.° 8.080 de 19/9/1990; ainda de acordo com o §1º do art. 36, da Lei Complementar n.º 141 de 13/1/2012, do disposto nos art. 56 e 57 da Lei Complementar n.º 101 de 4/5/2000.</w:t>
      </w:r>
    </w:p>
    <w:p>
      <w:pPr>
        <w:pStyle w:val="937"/>
      </w:pPr>
      <w:r>
        <w:rPr>
          <w:b/>
          <w:bCs/>
        </w:rPr>
        <w:t xml:space="preserve">Análise Codificação</w:t>
      </w:r>
      <w:r>
        <w:t xml:space="preserve">: A recomendação se limita a citar dispositivos legais que exigem a prestação de contas, sem propor ações específicas para implementar esse cumprimento ou endereçar as causas subjacentes da não prestação. Portanto, sugere apenas uma ação corretiva genérica de cumprir a lei, sem detalhar medidas concretas para resolver a condição ou prevenir sua recorrência.</w:t>
      </w:r>
    </w:p>
    <w:p>
      <w:pPr>
        <w:pStyle w:val="937"/>
      </w:pPr>
      <w:r>
        <w:t xml:space="preserve">Ação Corretiva: Sim</w:t>
      </w:r>
    </w:p>
    <w:p>
      <w:pPr>
        <w:pStyle w:val="937"/>
      </w:pPr>
      <w:r>
        <w:t xml:space="preserve">Ação Foco Causa: Genérica</w:t>
      </w:r>
    </w:p>
    <w:p>
      <w:pPr>
        <w:pStyle w:val="937"/>
      </w:pPr>
      <w:r>
        <w:t xml:space="preserve">Efeitos Duradouros: Não</w:t>
      </w:r>
    </w:p>
    <w:bookmarkEnd w:id="309"/>
    <w:bookmarkStart w:id="310" w:name="auditoria-19775-constatação-nº-693880"/>
    <w:p>
      <w:pPr>
        <w:pStyle w:val="907"/>
      </w:pPr>
      <w:r>
        <w:t xml:space="preserve">12.0.3.24 Auditoria 19775, Constatação Nº 693880</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Central de Armazenamento e Distribuição de Imunobiológicos de Campos dos Goytacazes/RJ não possui responsável técnico (RT) e um substituto legalmente designados.</w:t>
      </w:r>
    </w:p>
    <w:p>
      <w:pPr>
        <w:pStyle w:val="937"/>
      </w:pPr>
      <w:r>
        <w:rPr>
          <w:b/>
          <w:bCs/>
        </w:rPr>
        <w:t xml:space="preserve">Recomendação</w:t>
      </w:r>
      <w:r>
        <w:t xml:space="preserve">: Formalizar a nomeação e publicação de responsável técnico (RT) e um substituto legalmente designados para a CMRF conforme estabelece os Arts. 14, 15 e 16, da Seção III, Capítulo II, da RDC n.º 63, de 25/11/2011.</w:t>
      </w:r>
    </w:p>
    <w:p>
      <w:pPr>
        <w:pStyle w:val="937"/>
      </w:pPr>
      <w:r>
        <w:rPr>
          <w:b/>
          <w:bCs/>
        </w:rPr>
        <w:t xml:space="preserve">Análise Codificação</w:t>
      </w:r>
      <w:r>
        <w:t xml:space="preserve">: A recomendação sugere uma ação corretiva para resolver a condição encontrada de ausência de responsável técnico e substituto, ao propor a formalização da nomeação e publicação. Em relação ao foco na causa, a ação proposta se limita a cumprir o normativo estabelecido (RDC n.º 63/2011), sem indicar medidas adicionais para tratar as causas subjacentes que levaram à ausência de designação, como falhas em processos de gestão de pessoal ou controle interno. Portanto, a ação com foco na causa é genérica. Quanto aos efeitos duradouros, como a ação é genérica e não propõe mudanças estruturais ou sistêmicas, os efeitos não são necessariamente mantidos com mudanças de atores.</w:t>
      </w:r>
    </w:p>
    <w:p>
      <w:pPr>
        <w:pStyle w:val="937"/>
      </w:pPr>
      <w:r>
        <w:t xml:space="preserve">Ação Corretiva: Sim</w:t>
      </w:r>
    </w:p>
    <w:p>
      <w:pPr>
        <w:pStyle w:val="937"/>
      </w:pPr>
      <w:r>
        <w:t xml:space="preserve">Ação Foco Causa: Genérica</w:t>
      </w:r>
    </w:p>
    <w:p>
      <w:pPr>
        <w:pStyle w:val="937"/>
      </w:pPr>
      <w:r>
        <w:t xml:space="preserve">Efeitos Duradouros: Não</w:t>
      </w:r>
    </w:p>
    <w:bookmarkEnd w:id="310"/>
    <w:bookmarkStart w:id="311" w:name="auditoria-19769-constatação-nº-692837"/>
    <w:p>
      <w:pPr>
        <w:pStyle w:val="907"/>
      </w:pPr>
      <w:r>
        <w:t xml:space="preserve">12.0.3.25 Auditoria 19769, Constatação Nº 692837</w:t>
      </w:r>
    </w:p>
    <w:p>
      <w:pPr>
        <w:pStyle w:val="937"/>
      </w:pPr>
      <w:r>
        <w:rPr>
          <w:b/>
          <w:bCs/>
        </w:rPr>
        <w:t xml:space="preserve">Finalidade</w:t>
      </w:r>
      <w:r>
        <w:t xml:space="preserve">: Verificar a regularidade da produção inserida nos sistemas SIA-SIH/SUS para incremento do teto MAC.</w:t>
      </w:r>
    </w:p>
    <w:p>
      <w:pPr>
        <w:pStyle w:val="937"/>
      </w:pPr>
      <w:r>
        <w:rPr>
          <w:b/>
          <w:bCs/>
        </w:rPr>
        <w:t xml:space="preserve">Constatação</w:t>
      </w:r>
      <w:r>
        <w:t xml:space="preserve">: A Secretaria Municipal de Saúde e Higiene (SMSH) de São Sebastião do Alto/RJ recebeu, indevidamente, recursos por meio do mecanismo de Incremento Temporário MAC no exercício de 2022 em razão da inserção de dados não comprovados e/ou incorretos no Sistema de Informação Ambulatorial (SIA/SUS) e no Sistema de Informação Hospitalar (SIH/SUS) no ano de 2021.</w:t>
      </w:r>
    </w:p>
    <w:p>
      <w:pPr>
        <w:pStyle w:val="937"/>
      </w:pPr>
      <w:r>
        <w:rPr>
          <w:b/>
          <w:bCs/>
        </w:rPr>
        <w:t xml:space="preserve">Recomendação</w:t>
      </w:r>
      <w:r>
        <w:t xml:space="preserve">: Realizar o acompanhamento, bem como adotar medidas administrativas para efetiva devolução do valor de R$ 411.242,89 (quatrocentos e onze mil, duzentos e quarenta e dois reais e oitenta e nove centavos), ao Fundo Nacional de Saúde, atualizado monetariamente, conforme preceituam o parágrafo único do art. 2º, art. 3° da Portaria GM/MS nº 885/2021 e Inc. VII do art. 2º do Decreto nº 3.964/01; Aperfeiçoar mecanismos de controle, monitoramento e de avaliação acerca das informações inseridas nos sistemas SIA/SUS e SIH/SUS, para o cumprimento do que preceitua o Inc V do art. 26 do Decreto nº 11.798/23.</w:t>
      </w:r>
    </w:p>
    <w:p>
      <w:pPr>
        <w:pStyle w:val="937"/>
      </w:pPr>
      <w:r>
        <w:rPr>
          <w:b/>
          <w:bCs/>
        </w:rPr>
        <w:t xml:space="preserve">Análise Codificação</w:t>
      </w:r>
      <w:r>
        <w:t xml:space="preserve">: A recomendação sugere duas ações distintas. A primeira ação (</w:t>
      </w:r>
      <w:r>
        <w:t xml:space="preserve">‘Realizar o acompanhamento, bem como adotar medidas administrativas para efetiva devolução do valor…’</w:t>
      </w:r>
      <w:r>
        <w:t xml:space="preserve">) visa corrigir a condição encontrada, ou seja, a devolução dos recursos recebidos indevidamente. A segunda ação (</w:t>
      </w:r>
      <w:r>
        <w:t xml:space="preserve">‘Aperfeiçoar mecanismos de controle, monitoramento e de avaliação acerca das informações inseridas nos sistemas SIA/SUS e SIH/SUS…’</w:t>
      </w:r>
      <w:r>
        <w:t xml:space="preserve">) propõe uma ação para tratar a causa que permitiu a inserção de dados não comprovados e/ou incorretos, focando em prevenir a recorrência. No entanto, essa ação é genérica, pois se limita a citar o cumprimento de um normativo (Decreto nº 11.798/23) sem especificar medidas concretas, como a implementação de um sistema de verificação de dados ou treinamento específico.</w:t>
      </w:r>
    </w:p>
    <w:p>
      <w:pPr>
        <w:pStyle w:val="937"/>
      </w:pPr>
      <w:r>
        <w:t xml:space="preserve">Ação Corretiva: Sim</w:t>
      </w:r>
    </w:p>
    <w:p>
      <w:pPr>
        <w:pStyle w:val="937"/>
      </w:pPr>
      <w:r>
        <w:t xml:space="preserve">Ação Foco Causa: Genérica</w:t>
      </w:r>
    </w:p>
    <w:p>
      <w:pPr>
        <w:pStyle w:val="937"/>
      </w:pPr>
      <w:r>
        <w:t xml:space="preserve">Efeitos Duradouros: Não</w:t>
      </w:r>
    </w:p>
    <w:bookmarkEnd w:id="311"/>
    <w:bookmarkStart w:id="312" w:name="auditoria-19424-constatação-nº-663574"/>
    <w:p>
      <w:pPr>
        <w:pStyle w:val="907"/>
      </w:pPr>
      <w:r>
        <w:t xml:space="preserve">12.0.3.26 Auditoria 19424, Constatação Nº 663574</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O estabelecimento credenciado não apresentou a documentação obrigatória para funcionamento regular.</w:t>
      </w:r>
    </w:p>
    <w:p>
      <w:pPr>
        <w:pStyle w:val="937"/>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 que dele participarem de forma complementar, ficam obrigados a prestar, quando exigidos, ao pessoal em exercício no SNA, toda informação necessária ao desempenho das atividades de controle, avaliação e auditoria, como também o disposto no Art. 36 do Anexo LXXVII da Portaria de Consolidação nº 5, de 28/09/2017, onde dispõe que o MS solicitará ao estabelecimento credenciado a prestação de informações sobre as suas operações, bem como as cópias dos documentos previstos nesta Portaria e na legislação vigente.</w:t>
      </w:r>
    </w:p>
    <w:p>
      <w:pPr>
        <w:pStyle w:val="937"/>
      </w:pPr>
      <w:r>
        <w:rPr>
          <w:b/>
          <w:bCs/>
        </w:rPr>
        <w:t xml:space="preserve">Análise Codificação</w:t>
      </w:r>
      <w:r>
        <w:t xml:space="preserve">: A recomendação sugere que o estabelecimento encaminhe a documentação obrigatória quando solicitada, o que constitui uma ação corretiva para resolver a condição imediata de falta de documentação. No entanto, a ação proposta é genérica, pois se limita a citar o cumprimento de normativos existentes sem propor medidas adicionais para abordar a causa subjacente, como a implementação de um sistema de gestão documental. Como a ação é genérica, não há efeitos duradouros a serem considerados.</w:t>
      </w:r>
    </w:p>
    <w:p>
      <w:pPr>
        <w:pStyle w:val="937"/>
      </w:pPr>
      <w:r>
        <w:t xml:space="preserve">Ação Corretiva: Sim</w:t>
      </w:r>
    </w:p>
    <w:p>
      <w:pPr>
        <w:pStyle w:val="937"/>
      </w:pPr>
      <w:r>
        <w:t xml:space="preserve">Ação Foco Causa: Genérica</w:t>
      </w:r>
    </w:p>
    <w:p>
      <w:pPr>
        <w:pStyle w:val="937"/>
      </w:pPr>
      <w:r>
        <w:t xml:space="preserve">Efeitos Duradouros: Não</w:t>
      </w:r>
    </w:p>
    <w:bookmarkEnd w:id="312"/>
    <w:bookmarkStart w:id="313" w:name="auditoria-19788-constatação-nº-694501"/>
    <w:p>
      <w:pPr>
        <w:pStyle w:val="907"/>
      </w:pPr>
      <w:r>
        <w:t xml:space="preserve">12.0.3.27 Auditoria 19788, Constatação Nº 694501</w:t>
      </w:r>
    </w:p>
    <w:p>
      <w:pPr>
        <w:pStyle w:val="937"/>
      </w:pPr>
      <w:r>
        <w:rPr>
          <w:b/>
          <w:bCs/>
        </w:rPr>
        <w:t xml:space="preserve">Finalidade</w:t>
      </w:r>
      <w:r>
        <w:t xml:space="preserve">: Verificar se a APS está exercendo as atribuições de coord. da Rede de Atenção Psicossocial.</w:t>
      </w:r>
    </w:p>
    <w:p>
      <w:pPr>
        <w:pStyle w:val="937"/>
      </w:pPr>
      <w:r>
        <w:rPr>
          <w:b/>
          <w:bCs/>
        </w:rPr>
        <w:t xml:space="preserve">Constatação</w:t>
      </w:r>
      <w:r>
        <w:t xml:space="preserve">: As UBSs visitadas não possuem critérios definidos para a classificação de risco de atendimento e continuidade do cuidado considerando risco e vulnerabilidade relacionados a transtornos mentais.</w:t>
      </w:r>
    </w:p>
    <w:p>
      <w:pPr>
        <w:pStyle w:val="937"/>
      </w:pPr>
      <w:r>
        <w:rPr>
          <w:b/>
          <w:bCs/>
        </w:rPr>
        <w:t xml:space="preserve">Recomendação</w:t>
      </w:r>
      <w:r>
        <w:t xml:space="preserve">: Promover capacitação das equipes que atuam nas UBSs em todas as regiões, para que estejam aptas a aplicar os procedimentos de estratificação de Riscos em Saúde Mental, tendo em vista o que dispõe o Anexo I do Anexo XXII da PCR 02/2017, que define que as ofertas educacionais devem ser indissociadas das temáticas relevantes para a Atenção Básica e da dinâmica cotidiana de trabalho dos profissionais.</w:t>
      </w:r>
    </w:p>
    <w:p>
      <w:pPr>
        <w:pStyle w:val="937"/>
      </w:pPr>
      <w:r>
        <w:rPr>
          <w:b/>
          <w:bCs/>
        </w:rPr>
        <w:t xml:space="preserve">Análise Codificação</w:t>
      </w:r>
      <w:r>
        <w:t xml:space="preserve">: A recomendação sugere uma ação corretiva ao propor a capacitação das equipes para aplicar procedimentos de estratificação de riscos, visando resolver a condição de ausência de critérios definidos. Quanto ao foco na causa, a ação é genérica, pois se limita a citar o cumprimento de um normativo (PCR 02/2017) sem detalhar ações concretas além da capacitação. Como o foco na causa é genérico, os efeitos duradouros não se aplicam de forma específica.</w:t>
      </w:r>
    </w:p>
    <w:p>
      <w:pPr>
        <w:pStyle w:val="937"/>
      </w:pPr>
      <w:r>
        <w:t xml:space="preserve">Ação Corretiva: Sim</w:t>
      </w:r>
    </w:p>
    <w:p>
      <w:pPr>
        <w:pStyle w:val="937"/>
      </w:pPr>
      <w:r>
        <w:t xml:space="preserve">Ação Foco Causa: Genérica</w:t>
      </w:r>
    </w:p>
    <w:p>
      <w:pPr>
        <w:pStyle w:val="937"/>
      </w:pPr>
      <w:r>
        <w:t xml:space="preserve">Efeitos Duradouros: Não</w:t>
      </w:r>
    </w:p>
    <w:bookmarkEnd w:id="313"/>
    <w:bookmarkStart w:id="314" w:name="auditoria-19779-constatação-nº-691462"/>
    <w:p>
      <w:pPr>
        <w:pStyle w:val="907"/>
      </w:pPr>
      <w:r>
        <w:t xml:space="preserve">12.0.3.28 Auditoria 19779, Constatação Nº 691462</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Os instrumentos de gestão da Secretaria Municipal de Saúde e Defesa Civil de São Gonçalo/RJ não contêm informações suficientes sobre o Programa Nacional de Imunizações (PNI).</w:t>
      </w:r>
    </w:p>
    <w:p>
      <w:pPr>
        <w:pStyle w:val="937"/>
      </w:pPr>
      <w:r>
        <w:rPr>
          <w:b/>
          <w:bCs/>
        </w:rPr>
        <w:t xml:space="preserve">Recomendação</w:t>
      </w:r>
      <w:r>
        <w:t xml:space="preserve">: Promover adequações na elaboração dos instrumentos de planejamento e gestão da CMRF de São Gonçalo/RJ, tornando-os suficientemente detalhados e completos, a fim de que estes se tornem efetivos na gestão dos serviços, bem como estejam alinhados aos instrumentos de planejamento do SUS com adequado monitoramento e reporte dos resultados obtidos atendendo o que dispõe os arts. 95 a 99 da Portaria de Consolidação GM/MS n.º 01/2017, de 28/09/2017 que tratam dos instrumentos de planejamento no âmbito do SUS, contendo aspectos de elaboração e de acompanhamento dos mesmos.</w:t>
      </w:r>
    </w:p>
    <w:p>
      <w:pPr>
        <w:pStyle w:val="937"/>
      </w:pPr>
      <w:r>
        <w:rPr>
          <w:b/>
          <w:bCs/>
        </w:rPr>
        <w:t xml:space="preserve">Análise Codificação</w:t>
      </w:r>
      <w:r>
        <w:t xml:space="preserve">: A recomendação sugere adequações nos instrumentos de planejamento para torná-los mais detalhados e completos, o que constitui uma ação corretiva para resolver a condição de falta de informações sobre o PNI. No entanto, a ação proposta é genérica, pois se limita a citar o cumprimento de normativos existentes, como a Portaria de Consolidação GM/MS n.º 01/2017, sem especificar medidas concretas além disso. Como a ação não é específica, os efeitos duradouros não são aplicáveis para avaliação.</w:t>
      </w:r>
    </w:p>
    <w:p>
      <w:pPr>
        <w:pStyle w:val="937"/>
      </w:pPr>
      <w:r>
        <w:t xml:space="preserve">Ação Corretiva: Sim</w:t>
      </w:r>
    </w:p>
    <w:p>
      <w:pPr>
        <w:pStyle w:val="937"/>
      </w:pPr>
      <w:r>
        <w:t xml:space="preserve">Ação Foco Causa: Genérica</w:t>
      </w:r>
    </w:p>
    <w:p>
      <w:pPr>
        <w:pStyle w:val="937"/>
      </w:pPr>
      <w:r>
        <w:t xml:space="preserve">Efeitos Duradouros: Não</w:t>
      </w:r>
    </w:p>
    <w:bookmarkEnd w:id="314"/>
    <w:bookmarkStart w:id="315" w:name="auditoria-19747-constatação-nº-689728"/>
    <w:p>
      <w:pPr>
        <w:pStyle w:val="907"/>
      </w:pPr>
      <w:r>
        <w:t xml:space="preserve">12.0.3.29 Auditoria 19747, Constatação Nº 689728</w:t>
      </w:r>
    </w:p>
    <w:p>
      <w:pPr>
        <w:pStyle w:val="937"/>
      </w:pPr>
      <w:r>
        <w:rPr>
          <w:b/>
          <w:bCs/>
        </w:rPr>
        <w:t xml:space="preserve">Finalidade</w:t>
      </w:r>
      <w:r>
        <w:t xml:space="preserve">: Verificar se a CMRF possui controles internos capazes de assegurar adequadamente a Cadeia de Frios.</w:t>
      </w:r>
    </w:p>
    <w:p>
      <w:pPr>
        <w:pStyle w:val="937"/>
      </w:pPr>
      <w:r>
        <w:rPr>
          <w:b/>
          <w:bCs/>
        </w:rPr>
        <w:t xml:space="preserve">Constatação</w:t>
      </w:r>
      <w:r>
        <w:t xml:space="preserve">: A gestão não utiliza as informações do sistema de informações do Programa Nacional de Imunização para o planejamento de necessidades e a capacidade de armazenamento da CMRF é insuficiente para atender a demanda atual de imunobiológicos do município.</w:t>
      </w:r>
    </w:p>
    <w:p>
      <w:pPr>
        <w:pStyle w:val="937"/>
      </w:pPr>
      <w:r>
        <w:rPr>
          <w:b/>
          <w:bCs/>
        </w:rPr>
        <w:t xml:space="preserve">Recomendação</w:t>
      </w:r>
      <w:r>
        <w:t xml:space="preserve">: Adotar providências no sentido de garantir estrutura para a CMRF com capacidade de armazenamento suficiente para atender a demanda existente e potencial de imunobiológicos do município, com base nas informações disponíveis nos sistemas de informação de saúde e observando as orientações técnicas para os projetos de Centrais de Rede de Frio (CRFs) e salas de imunização (SI) contidas no Item 1, pág. 13, Item 6, pág. 39, e Item 8, págs. 88 a 106, do Manual de Rede de Frio do PNI, 5ª edição/2017.</w:t>
      </w:r>
    </w:p>
    <w:p>
      <w:pPr>
        <w:pStyle w:val="937"/>
      </w:pPr>
      <w:r>
        <w:rPr>
          <w:b/>
          <w:bCs/>
        </w:rPr>
        <w:t xml:space="preserve">Análise Codificação</w:t>
      </w:r>
      <w:r>
        <w:t xml:space="preserve">: A recomendação sugere uma ação corretiva ao propor garantir estrutura com capacidade de armazenamento suficiente para atender a demanda existente e potencial de imunobiológicos, o que visa resolver diretamente a condição de capacidade insuficiente. Quanto ao foco na causa, a recomendação menciona basear-se em informações dos sistemas de informação de saúde e observar orientações técnicas do manual, mas não propõe ações específicas para corrigir a causa subjacente (como a falta de uso das informações para planejamento), limitando-se a referenciar o cumprimento de normativos. Assim, a ação com foco na causa é genérica. Como o foco na causa é genérico, os efeitos duradouros não se aplicam de forma positiva.</w:t>
      </w:r>
    </w:p>
    <w:p>
      <w:pPr>
        <w:pStyle w:val="937"/>
      </w:pPr>
      <w:r>
        <w:t xml:space="preserve">Ação Corretiva: Sim</w:t>
      </w:r>
    </w:p>
    <w:p>
      <w:pPr>
        <w:pStyle w:val="937"/>
      </w:pPr>
      <w:r>
        <w:t xml:space="preserve">Ação Foco Causa: Genérica</w:t>
      </w:r>
    </w:p>
    <w:p>
      <w:pPr>
        <w:pStyle w:val="937"/>
      </w:pPr>
      <w:r>
        <w:t xml:space="preserve">Efeitos Duradouros: Não</w:t>
      </w:r>
    </w:p>
    <w:bookmarkEnd w:id="315"/>
    <w:bookmarkStart w:id="316" w:name="auditoria-19435-constatação-nº-671642-1"/>
    <w:p>
      <w:pPr>
        <w:pStyle w:val="907"/>
      </w:pPr>
      <w:r>
        <w:t xml:space="preserve">12.0.3.30 Auditoria 19435, Constatação Nº 671642</w:t>
      </w:r>
    </w:p>
    <w:p>
      <w:pPr>
        <w:pStyle w:val="937"/>
      </w:pPr>
      <w:r>
        <w:rPr>
          <w:b/>
          <w:bCs/>
        </w:rPr>
        <w:t xml:space="preserve">Finalidade</w:t>
      </w:r>
      <w:r>
        <w:t xml:space="preserve">: Verificar a regularidade da execução do Programa Farmácia Popular do Brasil (PFPB)</w:t>
      </w:r>
    </w:p>
    <w:p>
      <w:pPr>
        <w:pStyle w:val="937"/>
      </w:pPr>
      <w:r>
        <w:rPr>
          <w:b/>
          <w:bCs/>
        </w:rPr>
        <w:t xml:space="preserve">Constatação</w:t>
      </w:r>
      <w:r>
        <w:t xml:space="preserve">: Irregularidades em cupons e receitas médicas apresentadas pela empresa.</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 9.795/2019 de 21/05/2019, combinado com o Inciso VIII do Artigo 2º do Decreto n. 3.964, de 11/10/2001, visando à elisão do dano e/ou impropriedade ocorrida com recursos de origem federal, indicado no Capítulo PROPOSIÇÃO DE DEVOLUÇÃO do presente Relatório, no montante de R$ 252,48 (duzentos e cinquenta e dois reais e quarenta e oito centavos), a ser acrescido das devidas correções legais, observados os princípios norteadores dos processos administrativos.</w:t>
      </w:r>
    </w:p>
    <w:p>
      <w:pPr>
        <w:pStyle w:val="937"/>
      </w:pPr>
      <w:r>
        <w:rPr>
          <w:b/>
          <w:bCs/>
        </w:rPr>
        <w:t xml:space="preserve">Análise Codificação</w:t>
      </w:r>
      <w:r>
        <w:t xml:space="preserve">: A recomendação se limita a citar dispositivos legais genéricos (Decreto n. 9.795/2019 e Decreto n. 3.964/2001) sem propor ações específicas para corrigir a causa das irregularidades em cupons e receitas médicas. Foca apenas na devolução do valor irregular, o que caracteriza uma ação corretiva para resolver a condição encontrada, mas não avança para medidas que previnam a recorrência do problema.</w:t>
      </w:r>
    </w:p>
    <w:p>
      <w:pPr>
        <w:pStyle w:val="937"/>
      </w:pPr>
      <w:r>
        <w:t xml:space="preserve">Ação Corretiva: Sim</w:t>
      </w:r>
    </w:p>
    <w:p>
      <w:pPr>
        <w:pStyle w:val="937"/>
      </w:pPr>
      <w:r>
        <w:t xml:space="preserve">Ação Foco Causa: Genérica</w:t>
      </w:r>
    </w:p>
    <w:p>
      <w:pPr>
        <w:pStyle w:val="937"/>
      </w:pPr>
      <w:r>
        <w:t xml:space="preserve">Efeitos Duradouros: Não</w:t>
      </w:r>
    </w:p>
    <w:bookmarkEnd w:id="316"/>
    <w:bookmarkStart w:id="317" w:name="auditoria-19758-constatação-nº-693187"/>
    <w:p>
      <w:pPr>
        <w:pStyle w:val="907"/>
      </w:pPr>
      <w:r>
        <w:t xml:space="preserve">12.0.3.31 Auditoria 19758, Constatação Nº 693187</w:t>
      </w:r>
    </w:p>
    <w:p>
      <w:pPr>
        <w:pStyle w:val="937"/>
      </w:pPr>
      <w:r>
        <w:rPr>
          <w:b/>
          <w:bCs/>
        </w:rPr>
        <w:t xml:space="preserve">Finalidade</w:t>
      </w:r>
      <w:r>
        <w:t xml:space="preserve">: Verificar se CMRFs possuem controles internos capazes de assegurar adequadamente a Cadeia de Frio.</w:t>
      </w:r>
    </w:p>
    <w:p>
      <w:pPr>
        <w:pStyle w:val="937"/>
      </w:pPr>
      <w:r>
        <w:rPr>
          <w:b/>
          <w:bCs/>
        </w:rPr>
        <w:t xml:space="preserve">Constatação</w:t>
      </w:r>
      <w:r>
        <w:t xml:space="preserve">: A Central Municipal de Rede de Frio (CMRF) não está completamente inserida na estrutura da SMS de Maranguape.</w:t>
      </w:r>
    </w:p>
    <w:p>
      <w:pPr>
        <w:pStyle w:val="937"/>
      </w:pPr>
      <w:r>
        <w:rPr>
          <w:b/>
          <w:bCs/>
        </w:rPr>
        <w:t xml:space="preserve">Recomendação</w:t>
      </w:r>
      <w:r>
        <w:t xml:space="preserve">: Submeter a Proposta de Reforma Administrativa/2021, devidamente atualizada, à Câmara Municipal de Maranguape, em atendimento ao Art. 9º, da Seção III, Capítulo II, RDC ANVISA/MS nº 63, 25/11/2011, que diz que:</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p>
    <w:p>
      <w:pPr>
        <w:pStyle w:val="937"/>
      </w:pPr>
      <w:r>
        <w:rPr>
          <w:b/>
          <w:bCs/>
        </w:rPr>
        <w:t xml:space="preserve">Análise Codificação</w:t>
      </w:r>
      <w:r>
        <w:t xml:space="preserve">: A recomendação propõe submeter uma proposta de reforma administrativa atualizada para formalizar a inserção da CMRF na estrutura da SMS, o que constitui uma ação corretiva para resolver a condição de não inserção completa. No entanto, a ação sugerida é genérica, pois se limita a cumprir um normativo (RDC ANVISA/MS nº 63) sem especificar medidas concretas além disso, não endereçando explicitamente a causa subjacente, como falhas em processos de gestão ou alocação de recursos. Portanto, não há uma ação específica com foco na causa, e os efeitos duradouros não são aplicáveis devido à natureza genérica da recomendação.</w:t>
      </w:r>
    </w:p>
    <w:p>
      <w:pPr>
        <w:pStyle w:val="937"/>
      </w:pPr>
      <w:r>
        <w:t xml:space="preserve">Ação Corretiva: Sim</w:t>
      </w:r>
    </w:p>
    <w:p>
      <w:pPr>
        <w:pStyle w:val="937"/>
      </w:pPr>
      <w:r>
        <w:t xml:space="preserve">Ação Foco Causa: Genérica</w:t>
      </w:r>
    </w:p>
    <w:p>
      <w:pPr>
        <w:pStyle w:val="937"/>
      </w:pPr>
      <w:r>
        <w:t xml:space="preserve">Efeitos Duradouros: Não</w:t>
      </w:r>
    </w:p>
    <w:bookmarkEnd w:id="317"/>
    <w:bookmarkStart w:id="318" w:name="auditoria-19378-constatação-nº-662383"/>
    <w:p>
      <w:pPr>
        <w:pStyle w:val="907"/>
      </w:pPr>
      <w:r>
        <w:t xml:space="preserve">12.0.3.32 Auditoria 19378, Constatação Nº 662383</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pPr>
        <w:pStyle w:val="937"/>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937"/>
      </w:pPr>
      <w:r>
        <w:rPr>
          <w:b/>
          <w:bCs/>
        </w:rPr>
        <w:t xml:space="preserve">Análise Codificação</w:t>
      </w:r>
      <w:r>
        <w:t xml:space="preserve">: A recomendação sugere que o destinatário cumpra dispositivos normativos específicos da Portaria de Consolidação GM/MS nº 1/2017, que estabelecem a necessidade de utilizar instrumentos de planejamento do SUS (Plano de Saúde, Programação Anual de Saúde e Relatório Anual de Gestão) de forma integrada. Esta ação visa corrigir a condição encontrada de ausência de informações sobre procedimentos de média e alta complexidade nos instrumentos de gestão. No entanto, a recomendação não propõe ações específicas além do mero cumprimento do normativo, limitando-se a citar os artigos que devem ser obedecidos sem detalhar medidas concretas para implementar esses instrumentos ou abordar as causas subjacentes que levaram à não conformidade.</w:t>
      </w:r>
    </w:p>
    <w:p>
      <w:pPr>
        <w:pStyle w:val="937"/>
      </w:pPr>
      <w:r>
        <w:t xml:space="preserve">Ação Corretiva: Sim</w:t>
      </w:r>
    </w:p>
    <w:p>
      <w:pPr>
        <w:pStyle w:val="937"/>
      </w:pPr>
      <w:r>
        <w:t xml:space="preserve">Ação Foco Causa: Genérica</w:t>
      </w:r>
    </w:p>
    <w:p>
      <w:pPr>
        <w:pStyle w:val="937"/>
      </w:pPr>
      <w:r>
        <w:t xml:space="preserve">Efeitos Duradouros: Não</w:t>
      </w:r>
    </w:p>
    <w:bookmarkEnd w:id="318"/>
    <w:bookmarkStart w:id="319" w:name="auditoria-19782-constatação-nº-693765"/>
    <w:p>
      <w:pPr>
        <w:pStyle w:val="907"/>
      </w:pPr>
      <w:r>
        <w:t xml:space="preserve">12.0.3.33 Auditoria 19782, Constatação Nº 693765</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Ausência de documentação oficial que comprove que a Rede Frio seja um componente do PNI e esteja inserida na estrutura da Secretaria Municipal de Saúde de Porto Seguro (SMS).</w:t>
      </w:r>
    </w:p>
    <w:p>
      <w:pPr>
        <w:pStyle w:val="937"/>
      </w:pPr>
      <w:r>
        <w:rPr>
          <w:b/>
          <w:bCs/>
        </w:rPr>
        <w:t xml:space="preserve">Recomendação</w:t>
      </w:r>
      <w:r>
        <w:t xml:space="preserve">: Providenciar para que a Rede Frio esteja devidamente formalizada como um componente do PNI e inserida na estrutura da SMS, conforme Art. 9º, da Seção III, Capítulo II, da Resolução - RDC n.º 63, de 25/11/2011:</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p>
    <w:p>
      <w:pPr>
        <w:pStyle w:val="937"/>
      </w:pPr>
      <w:r>
        <w:rPr>
          <w:b/>
          <w:bCs/>
        </w:rPr>
        <w:t xml:space="preserve">Análise Codificação</w:t>
      </w:r>
      <w:r>
        <w:t xml:space="preserve">: A recomendação sugere uma ação corretiva para formalizar a Rede Frio na estrutura da SMS, resolvendo a condição de ausência de documentação. No entanto, a ação proposta é genérica, pois se limita a cumprir um normativo (RDC n.º 63/2011) sem especificar medidas concretas para abordar as causas subjacentes, como falhas em processos ou responsabilidades.</w:t>
      </w:r>
    </w:p>
    <w:p>
      <w:pPr>
        <w:pStyle w:val="937"/>
      </w:pPr>
      <w:r>
        <w:t xml:space="preserve">Ação Corretiva: Sim</w:t>
      </w:r>
    </w:p>
    <w:p>
      <w:pPr>
        <w:pStyle w:val="937"/>
      </w:pPr>
      <w:r>
        <w:t xml:space="preserve">Ação Foco Causa: Genérica</w:t>
      </w:r>
    </w:p>
    <w:p>
      <w:pPr>
        <w:pStyle w:val="937"/>
      </w:pPr>
      <w:r>
        <w:t xml:space="preserve">Efeitos Duradouros: Não</w:t>
      </w:r>
    </w:p>
    <w:bookmarkEnd w:id="319"/>
    <w:bookmarkStart w:id="320" w:name="auditoria-19620-constatação-nº-685619"/>
    <w:p>
      <w:pPr>
        <w:pStyle w:val="907"/>
      </w:pPr>
      <w:r>
        <w:t xml:space="preserve">12.0.3.34 Auditoria 19620, Constatação Nº 685619</w:t>
      </w:r>
    </w:p>
    <w:p>
      <w:pPr>
        <w:pStyle w:val="937"/>
      </w:pPr>
      <w:r>
        <w:rPr>
          <w:b/>
          <w:bCs/>
        </w:rPr>
        <w:t xml:space="preserve">Finalidade</w:t>
      </w:r>
      <w:r>
        <w:t xml:space="preserve">: Verificar regularidade recebimento, armazenamento, dispensação e utilização das OPME</w:t>
      </w:r>
    </w:p>
    <w:p>
      <w:pPr>
        <w:pStyle w:val="937"/>
      </w:pPr>
      <w:r>
        <w:rPr>
          <w:b/>
          <w:bCs/>
        </w:rPr>
        <w:t xml:space="preserve">Constatação</w:t>
      </w:r>
      <w:r>
        <w:t xml:space="preserve">: O Hospital Federal dos Servidores do Estado (HFSE) não dispõe de procedimentos e rotinas técnicas escritas e atualizadas para o recebimento, armazenagem e distribuição das OPME.</w:t>
      </w:r>
    </w:p>
    <w:p>
      <w:pPr>
        <w:pStyle w:val="937"/>
      </w:pPr>
      <w:r>
        <w:rPr>
          <w:b/>
          <w:bCs/>
        </w:rPr>
        <w:t xml:space="preserve">Recomendação</w:t>
      </w:r>
      <w:r>
        <w:t xml:space="preserve">: Elaborar e fazer cumprir para o Serviço de Almoxarifado normas, procedimentos e rotinas técnicas escritas e atualizadas de todos os processos de trabalho para o recebimento, armazenagem e distribuição das OPME, em cumprimento do que dispõe o art. 51 da RDC/ANVISA n.º 63, de 25 de novembro de 2011. Prestar toda informação necessária ao desempenho das atividades de controle, avaliação e auditoria, quando exigida, pelo Sistema Nacional de Auditoria do SUS, facilitando-lhes o acesso a documentos, conforme o art. 11, do Decreto n.º 1.651, de 28 de setembro de 1995.</w:t>
      </w:r>
    </w:p>
    <w:p>
      <w:pPr>
        <w:pStyle w:val="937"/>
      </w:pPr>
      <w:r>
        <w:rPr>
          <w:b/>
          <w:bCs/>
        </w:rPr>
        <w:t xml:space="preserve">Análise Codificação</w:t>
      </w:r>
      <w:r>
        <w:t xml:space="preserve">: A recomendação sugere a elaboração e implementação de normas, procedimentos e rotinas técnicas para corrigir a ausência de documentação no recebimento, armazenagem e distribuição de OPME, o que constitui uma ação corretiva. Além disso, ao propor a criação de procedimentos escritos e atualizados, a ação visa tratar a causa subjacente da falta de documentação, mas a referência ao cumprimento de normativos existentes (como a RDC/ANVISA n.º 63) torna a ação genérica, pois não especifica medidas concretas além da adesão a esses normativos. Quanto aos efeitos duradouros, como a ação é genérica, não há garantia de que os efeitos persistiriam com mudanças de atores, pois depende da mera conformidade sem mecanismos específicos de sustentação.</w:t>
      </w:r>
    </w:p>
    <w:p>
      <w:pPr>
        <w:pStyle w:val="937"/>
      </w:pPr>
      <w:r>
        <w:t xml:space="preserve">Ação Corretiva: Sim</w:t>
      </w:r>
    </w:p>
    <w:p>
      <w:pPr>
        <w:pStyle w:val="937"/>
      </w:pPr>
      <w:r>
        <w:t xml:space="preserve">Ação Foco Causa: Genérica</w:t>
      </w:r>
    </w:p>
    <w:p>
      <w:pPr>
        <w:pStyle w:val="937"/>
      </w:pPr>
      <w:r>
        <w:t xml:space="preserve">Efeitos Duradouros: Não</w:t>
      </w:r>
    </w:p>
    <w:bookmarkEnd w:id="320"/>
    <w:bookmarkStart w:id="321" w:name="auditoria-19557-constatação-nº-676033"/>
    <w:p>
      <w:pPr>
        <w:pStyle w:val="907"/>
      </w:pPr>
      <w:r>
        <w:t xml:space="preserve">12.0.3.35 Auditoria 19557, Constatação Nº 676033</w:t>
      </w:r>
    </w:p>
    <w:p>
      <w:pPr>
        <w:pStyle w:val="937"/>
      </w:pPr>
      <w:r>
        <w:rPr>
          <w:b/>
          <w:bCs/>
        </w:rPr>
        <w:t xml:space="preserve">Finalidade</w:t>
      </w:r>
      <w:r>
        <w:t xml:space="preserve">: Verificar a implementação da P. Nac. ao Portador de Doença Renal Crônica, nos estágios 4 e 5 em TRS.</w:t>
      </w:r>
    </w:p>
    <w:p>
      <w:pPr>
        <w:pStyle w:val="937"/>
      </w:pPr>
      <w:r>
        <w:rPr>
          <w:b/>
          <w:bCs/>
        </w:rPr>
        <w:t xml:space="preserve">Constatação</w:t>
      </w:r>
      <w:r>
        <w:t xml:space="preserve">: A PRONEFRO apresentou relação dos pacientes aptos para transplante sem data de entrada na fila de transplante, impossibilitando o controle do tempo médio de espera na fila de transplantes.</w:t>
      </w:r>
    </w:p>
    <w:p>
      <w:pPr>
        <w:pStyle w:val="937"/>
      </w:pPr>
      <w:r>
        <w:rPr>
          <w:b/>
          <w:bCs/>
        </w:rPr>
        <w:t xml:space="preserve">Recomendação</w:t>
      </w:r>
      <w:r>
        <w:t xml:space="preserve">: À Secretaria Estadual de Saúde-SES/AM no âmbito da sua competênica como gestora Responsável pela implementação da Política Nacional de Atenção ao Portador de doença Renal providencie para cumprir o item 11 das Diretrizes Clínicas para o Cuidado ao Paciente com Doença Renal Crônica, que estabelece que no prazo de 90 (noventa) dias após o início do tratamento dialítico, o serviço de diálise deverá, obrigatoriamente, apresentar ao paciente apto ou ao seu representante legal, a opção de inscrição na Central de Notificação Captação e Distribuição de Órgãos (CNCDO) local ou de referência.</w:t>
      </w:r>
    </w:p>
    <w:p>
      <w:pPr>
        <w:pStyle w:val="937"/>
      </w:pPr>
      <w:r>
        <w:rPr>
          <w:b/>
          <w:bCs/>
        </w:rPr>
        <w:t xml:space="preserve">Análise Codificação</w:t>
      </w:r>
      <w:r>
        <w:t xml:space="preserve">: A recomendação sugere que a SES/AM cumpra o item 11 das Diretrizes Clínicas, que estabelece a apresentação da opção de inscrição na CNCDO no prazo de 90 dias após o início do tratamento dialítico. Isso visa corrigir a condição encontrada (ausência de data de entrada na fila de transplante) ao assegurar que os pacientes aptos sejam inscritos na CNCDO, permitindo o controle do tempo médio de espera. No entanto, a ação proposta é genérica, limitando-se a cumprir um normativo existente sem especificar medidas adicionais para tratar a causa subjacente (como falhas no processo de inscrição ou capacitação da equipe).</w:t>
      </w:r>
    </w:p>
    <w:p>
      <w:pPr>
        <w:pStyle w:val="937"/>
      </w:pPr>
      <w:r>
        <w:t xml:space="preserve">Ação Corretiva: Sim</w:t>
      </w:r>
    </w:p>
    <w:p>
      <w:pPr>
        <w:pStyle w:val="937"/>
      </w:pPr>
      <w:r>
        <w:t xml:space="preserve">Ação Foco Causa: Genérica</w:t>
      </w:r>
    </w:p>
    <w:p>
      <w:pPr>
        <w:pStyle w:val="937"/>
      </w:pPr>
      <w:r>
        <w:t xml:space="preserve">Efeitos Duradouros: Não</w:t>
      </w:r>
    </w:p>
    <w:bookmarkEnd w:id="321"/>
    <w:bookmarkStart w:id="322" w:name="auditoria-19861-constatação-nº-701900"/>
    <w:p>
      <w:pPr>
        <w:pStyle w:val="907"/>
      </w:pPr>
      <w:r>
        <w:t xml:space="preserve">12.0.3.36 Auditoria 19861, Constatação Nº 701900</w:t>
      </w:r>
    </w:p>
    <w:p>
      <w:pPr>
        <w:pStyle w:val="937"/>
      </w:pPr>
      <w:r>
        <w:rPr>
          <w:b/>
          <w:bCs/>
        </w:rPr>
        <w:t xml:space="preserve">Finalidade</w:t>
      </w:r>
      <w:r>
        <w:t xml:space="preserve">: Verificar a regularidade na inserção da produção no Sistema de Informação Ambulatorial do SUS</w:t>
      </w:r>
    </w:p>
    <w:p>
      <w:pPr>
        <w:pStyle w:val="937"/>
      </w:pPr>
      <w:r>
        <w:rPr>
          <w:b/>
          <w:bCs/>
        </w:rPr>
        <w:t xml:space="preserve">Constatação</w:t>
      </w:r>
      <w:r>
        <w:t xml:space="preserve">: A Secretaria Municipal de Saúde de Bequimão (SEMUS) recebeu, indevidamente, recursos por meio do mecanismo de Incremento Temporário MAC no exercício de 2022 em razão da inserção de dados não comprovados e/ou incorretos no Sistema de Informação Ambulatorial (SIA/SUS) no ano de 2021.</w:t>
      </w:r>
    </w:p>
    <w:p>
      <w:pPr>
        <w:pStyle w:val="937"/>
      </w:pPr>
      <w:r>
        <w:rPr>
          <w:b/>
          <w:bCs/>
        </w:rPr>
        <w:t xml:space="preserve">Recomendação</w:t>
      </w:r>
      <w:r>
        <w:t xml:space="preserve">: Devolver ao Fundo Nacional de Saúde - FNS o valor de R$ 2.252.640,00, referente a procedimentos registrados no SIA/SUS sem a devida comprovação da realização dos atendimentos, nos termos do item 9.3.4 do Acórdão 1072/2017/TCU. Cumprir com as atribuições legais de realizar controle e avaliação dos procedimentos assistenciais realizados, minimizando assim a ocorrência de inserção de dados incorretos nos sistemas de informação de saúde, conforme o art. 15 e 18 da Lei nº 8.080/1990.</w:t>
      </w:r>
    </w:p>
    <w:p>
      <w:pPr>
        <w:pStyle w:val="937"/>
      </w:pPr>
      <w:r>
        <w:rPr>
          <w:b/>
          <w:bCs/>
        </w:rPr>
        <w:t xml:space="preserve">Análise Codificação</w:t>
      </w:r>
      <w:r>
        <w:t xml:space="preserve">: A recomendação sugere uma ação corretiva específica (devolução do valor recebido indevidamente) para resolver a condição encontrada. Além disso, propõe uma ação genérica de cumprir atribuições legais de controle e avaliação para minimizar a ocorrência futura, sem especificar medidas concretas além do mero cumprimento normativo. Não há ações específicas com foco na causa que garantam efeitos duradouros independentemente de mudanças de atores.</w:t>
      </w:r>
    </w:p>
    <w:p>
      <w:pPr>
        <w:pStyle w:val="937"/>
      </w:pPr>
      <w:r>
        <w:t xml:space="preserve">Ação Corretiva: Sim</w:t>
      </w:r>
    </w:p>
    <w:p>
      <w:pPr>
        <w:pStyle w:val="937"/>
      </w:pPr>
      <w:r>
        <w:t xml:space="preserve">Ação Foco Causa: Genérica</w:t>
      </w:r>
    </w:p>
    <w:p>
      <w:pPr>
        <w:pStyle w:val="937"/>
      </w:pPr>
      <w:r>
        <w:t xml:space="preserve">Efeitos Duradouros: Não</w:t>
      </w:r>
    </w:p>
    <w:bookmarkEnd w:id="322"/>
    <w:bookmarkStart w:id="323" w:name="auditoria-19238-constatação-nº-654919"/>
    <w:p>
      <w:pPr>
        <w:pStyle w:val="907"/>
      </w:pPr>
      <w:r>
        <w:t xml:space="preserve">12.0.3.37 Auditoria 19238, Constatação Nº 654919</w:t>
      </w:r>
    </w:p>
    <w:p>
      <w:pPr>
        <w:pStyle w:val="937"/>
      </w:pPr>
      <w:r>
        <w:rPr>
          <w:b/>
          <w:bCs/>
        </w:rPr>
        <w:t xml:space="preserve">Finalidade</w:t>
      </w:r>
      <w:r>
        <w:t xml:space="preserve">: Monitorar as recomendações da Auditoria nº 16936 ref a execução da PNAISP</w:t>
      </w:r>
    </w:p>
    <w:p>
      <w:pPr>
        <w:pStyle w:val="937"/>
      </w:pPr>
      <w:r>
        <w:rPr>
          <w:b/>
          <w:bCs/>
        </w:rPr>
        <w:t xml:space="preserve">Constatação</w:t>
      </w:r>
      <w:r>
        <w:t xml:space="preserve">: A SESAPI pagou, com recursos da PNAISP, gratificação de produtividade aos profissionais das eAPP sem respaldo legal.</w:t>
      </w:r>
    </w:p>
    <w:p>
      <w:pPr>
        <w:pStyle w:val="937"/>
      </w:pPr>
      <w:r>
        <w:rPr>
          <w:b/>
          <w:bCs/>
        </w:rPr>
        <w:t xml:space="preserve">Recomendação</w:t>
      </w:r>
      <w:r>
        <w:t xml:space="preserve">: Adotar providências para que os pagamentos de produtividade das eAPP sejam custeados com os recursos específicos fixados na lei que a instituiu, conforme determina o inciso X do art. 37 da Constituição Federal. Restituir ao Fundo Estadual de Saúde o valor de R$ 1.425.600,00 (um milhão quatrocentos e vinte e cinco mil e seiscentos reais), corrigidos monetariamente, nos termos do parágrafo 3º do art. 23 do Decreto nº 7.827, de 16/10/2012. Dar ciência ao responsável pela irregularidade registrada neste item acerca do ressarcimento a ser feito junto ao Fundo Estadual de Saúde, em cumprimento ao item 9.3.2.2 do Acórdão/TCU nº 1.072/2017-Plenário visando à elisão do dano ao erário.</w:t>
      </w:r>
    </w:p>
    <w:p>
      <w:pPr>
        <w:pStyle w:val="937"/>
      </w:pPr>
      <w:r>
        <w:rPr>
          <w:b/>
          <w:bCs/>
        </w:rPr>
        <w:t xml:space="preserve">Análise Codificação</w:t>
      </w:r>
      <w:r>
        <w:t xml:space="preserve">: A recomendação sugere uma ação corretiva ao determinar a restituição do valor pago indevidamente ao Fundo Estadual de Saúde, corrigido monetariamente. Quanto ao foco na causa, a ação proposta de</w:t>
      </w:r>
      <w:r>
        <w:t xml:space="preserve"> </w:t>
      </w:r>
      <w:r>
        <w:t xml:space="preserve">‘adotar providências para que os pagamentos de produtividade das eAPP sejam custeados com os recursos específicos fixados na lei que a instituiu’</w:t>
      </w:r>
      <w:r>
        <w:t xml:space="preserve"> </w:t>
      </w:r>
      <w:r>
        <w:t xml:space="preserve">é genérica, pois se limita a citar o cumprimento de um normativo (inciso X do art. 37 da Constituição Federal) sem especificar medidas concretas para evitar a reincidência, como a implementação de controles internos ou revisão de processos. Como o foco na causa é genérico, os efeitos duradouros não se aplicam de forma positiva.</w:t>
      </w:r>
    </w:p>
    <w:p>
      <w:pPr>
        <w:pStyle w:val="937"/>
      </w:pPr>
      <w:r>
        <w:t xml:space="preserve">Ação Corretiva: Sim</w:t>
      </w:r>
    </w:p>
    <w:p>
      <w:pPr>
        <w:pStyle w:val="937"/>
      </w:pPr>
      <w:r>
        <w:t xml:space="preserve">Ação Foco Causa: Genérica</w:t>
      </w:r>
    </w:p>
    <w:p>
      <w:pPr>
        <w:pStyle w:val="937"/>
      </w:pPr>
      <w:r>
        <w:t xml:space="preserve">Efeitos Duradouros: Não</w:t>
      </w:r>
    </w:p>
    <w:bookmarkEnd w:id="323"/>
    <w:bookmarkStart w:id="324" w:name="auditoria-19683-constatação-nº-699648"/>
    <w:p>
      <w:pPr>
        <w:pStyle w:val="907"/>
      </w:pPr>
      <w:r>
        <w:t xml:space="preserve">12.0.3.38 Auditoria 19683, Constatação Nº 699648</w:t>
      </w:r>
    </w:p>
    <w:p>
      <w:pPr>
        <w:pStyle w:val="937"/>
      </w:pPr>
      <w:r>
        <w:rPr>
          <w:b/>
          <w:bCs/>
        </w:rPr>
        <w:t xml:space="preserve">Finalidade</w:t>
      </w:r>
      <w:r>
        <w:t xml:space="preserve">: Realizar auditoria no Convênio 878444/2018 com a Santa Casa de Misericórdia de Sabará</w:t>
      </w:r>
    </w:p>
    <w:p>
      <w:pPr>
        <w:pStyle w:val="937"/>
      </w:pPr>
      <w:r>
        <w:rPr>
          <w:b/>
          <w:bCs/>
        </w:rPr>
        <w:t xml:space="preserve">Constatação</w:t>
      </w:r>
      <w:r>
        <w:t xml:space="preserve">: Contratação de empresa de consultoria jurídica por inexigibilidade sem observância aos critérios do art. 25 da Lei nº 8.666/1993.</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no sentido de evitar o dano ao erário, conforme previsto no art. 12 da Portaria de Consolidação Sesai/MS nº 1/2020; §2º do art. 54, art. 56 e art. 77 da Portaria MP/MF/CGU nº 424/2016.</w:t>
      </w:r>
    </w:p>
    <w:p>
      <w:pPr>
        <w:pStyle w:val="937"/>
      </w:pPr>
      <w:r>
        <w:rPr>
          <w:b/>
          <w:bCs/>
        </w:rPr>
        <w:t xml:space="preserve">Análise Codificação</w:t>
      </w:r>
      <w:r>
        <w:t xml:space="preserve">: A recomendação sugere uma ação corretiva ao orientar a conferência da documentação comprobatória para evitar danos ao erário, o que visa resolver a condição encontrada de contratação irregular. No entanto, a ação proposta para tratar a causa é genérica, pois se limita a recomendar o cumprimento de normativos existentes (art. 12 da Portaria de Consolidação Sesai/MS nº 1/2020 e outros), sem especificar medidas concretas além da mera observância legal. Como a ação de foco na causa é genérica, os efeitos duradouros não se aplicam de forma específica.</w:t>
      </w:r>
    </w:p>
    <w:p>
      <w:pPr>
        <w:pStyle w:val="937"/>
      </w:pPr>
      <w:r>
        <w:t xml:space="preserve">Ação Corretiva: Sim</w:t>
      </w:r>
    </w:p>
    <w:p>
      <w:pPr>
        <w:pStyle w:val="937"/>
      </w:pPr>
      <w:r>
        <w:t xml:space="preserve">Ação Foco Causa: Genérica</w:t>
      </w:r>
    </w:p>
    <w:p>
      <w:pPr>
        <w:pStyle w:val="937"/>
      </w:pPr>
      <w:r>
        <w:t xml:space="preserve">Efeitos Duradouros: Não</w:t>
      </w:r>
    </w:p>
    <w:bookmarkEnd w:id="324"/>
    <w:bookmarkStart w:id="325" w:name="auditoria-19703-constatação-nº-688047"/>
    <w:p>
      <w:pPr>
        <w:pStyle w:val="907"/>
      </w:pPr>
      <w:r>
        <w:t xml:space="preserve">12.0.3.39 Auditoria 19703, Constatação Nº 688047</w:t>
      </w:r>
    </w:p>
    <w:p>
      <w:pPr>
        <w:pStyle w:val="937"/>
      </w:pPr>
      <w:r>
        <w:rPr>
          <w:b/>
          <w:bCs/>
        </w:rPr>
        <w:t xml:space="preserve">Finalidade</w:t>
      </w:r>
      <w:r>
        <w:t xml:space="preserve">: Verificar a regularidade da produção inserida no SIASUS e no SIHSUS.</w:t>
      </w:r>
    </w:p>
    <w:p>
      <w:pPr>
        <w:pStyle w:val="937"/>
      </w:pPr>
      <w:r>
        <w:rPr>
          <w:b/>
          <w:bCs/>
        </w:rPr>
        <w:t xml:space="preserve">Constatação</w:t>
      </w:r>
      <w:r>
        <w:t xml:space="preserve">: A SMS Autazes não comprovou a compatibilidade da produção aprovada no Sistema de Informações Ambulatoriais- SIA, Ficha de Programação Orçamentária-FPO; Boletim de Produção Ambulatorial-BPA e Síntese de Produção Ambulatorial com a Ficha de Atendimento da produção de serviços efetivamente realizados do procedimento cod. 0301060061 Atendimento de Urgência em Atenção Especializada, no estabelecimento 2013045 Unidade Hospitalar de Autazes.</w:t>
      </w:r>
    </w:p>
    <w:p>
      <w:pPr>
        <w:pStyle w:val="937"/>
      </w:pPr>
      <w:r>
        <w:rPr>
          <w:b/>
          <w:bCs/>
        </w:rPr>
        <w:t xml:space="preserve">Recomendação</w:t>
      </w:r>
      <w:r>
        <w:t xml:space="preserve">: À Secretaria de Atenção Especializada a Saúde do Ministério da Saúde (SAES/MS), para que, no âmbito da sua competência como gestora responsável pelos recursos federais repassados a Secretaria de Municipal Saúde de Autazes, conforme determina o Art. 3°, da Portaria n°885/GM/MS, de 04/05/2021, realize o acompanhamento, bem como adote medidas administrativas para efetiva devolução do valor de R$ de 59.389,00 (cinquenta e nove mil e trezentos e oitenta e nove reais), ao Fundo Nacional de Saúde, atualizado monetariamente por índice oficial, conforme indicativo na Planilha de Proposição de Devolução parte integrante deste Relatório de Auditoria.</w:t>
      </w:r>
    </w:p>
    <w:p>
      <w:pPr>
        <w:pStyle w:val="937"/>
      </w:pPr>
      <w:r>
        <w:rPr>
          <w:b/>
          <w:bCs/>
        </w:rPr>
        <w:t xml:space="preserve">Análise Codificação</w:t>
      </w:r>
      <w:r>
        <w:t xml:space="preserve">: A recomendação sugere uma ação corretiva específica para resolver a condição encontrada, que é a devolução dos recursos indevidamente recebidos. No entanto, não propõe ações para tratar a causa que permitiu a incompatibilidade na produção, limitando-se a medidas administrativas genéricas de acompanhamento e devolução, sem indicar ações concretas para prevenir a recorrência do problema.</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25"/>
    <w:bookmarkStart w:id="326" w:name="auditoria-19863-constatação-nº-703459"/>
    <w:p>
      <w:pPr>
        <w:pStyle w:val="907"/>
      </w:pPr>
      <w:r>
        <w:t xml:space="preserve">12.0.3.40 Auditoria 19863, Constatação Nº 703459</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Não foi localizada documentação que comprove a publicação da portaria de monitoramento e avaliação das contratualizações com as Maternidades da rede complementar.</w:t>
      </w:r>
    </w:p>
    <w:p>
      <w:pPr>
        <w:pStyle w:val="937"/>
      </w:pPr>
      <w:r>
        <w:rPr>
          <w:b/>
          <w:bCs/>
        </w:rPr>
        <w:t xml:space="preserve">Recomendação</w:t>
      </w:r>
      <w:r>
        <w:t xml:space="preserve">: Comprovar documentalmente a publicação da portaria de monitoramento e avaliação das contratualizações com as Maternidades da rede complementar. Caso ainda não tenha ocorrido, deve-se providenciar a publicação, conforme acordado no item 1.2 do Plano de Ação SES/TO 2022 (Auditoria 4).</w:t>
      </w:r>
    </w:p>
    <w:p>
      <w:pPr>
        <w:pStyle w:val="937"/>
      </w:pPr>
      <w:r>
        <w:rPr>
          <w:b/>
          <w:bCs/>
        </w:rPr>
        <w:t xml:space="preserve">Análise Codificação</w:t>
      </w:r>
      <w:r>
        <w:t xml:space="preserve">: A recomendação sugere uma ação imediata para comprovar ou providenciar a publicação da portaria, o que corrige a condição encontrada de falta de documentação. No entanto, não propõe ações adicionais para tratar a causa subjacente, como melhorias em processos ou políticas para prevenir futuras omissões, limitando-se a cumprir o acordado no plano de ação sem especificar medidas concretas além disso.</w:t>
      </w:r>
    </w:p>
    <w:p>
      <w:pPr>
        <w:pStyle w:val="937"/>
      </w:pPr>
      <w:r>
        <w:t xml:space="preserve">Ação Corretiva: Sim</w:t>
      </w:r>
    </w:p>
    <w:p>
      <w:pPr>
        <w:pStyle w:val="937"/>
      </w:pPr>
      <w:r>
        <w:t xml:space="preserve">Ação Foco Causa: Não</w:t>
      </w:r>
    </w:p>
    <w:p>
      <w:pPr>
        <w:pStyle w:val="937"/>
      </w:pPr>
      <w:r>
        <w:t xml:space="preserve">Efeitos Duradouros: Não se Aplica</w:t>
      </w:r>
    </w:p>
    <w:p>
      <w:r>
        <w:br w:type="page"/>
      </w:r>
    </w:p>
    <w:bookmarkEnd w:id="326"/>
    <w:bookmarkEnd w:id="327"/>
    <w:bookmarkEnd w:id="328"/>
    <w:bookmarkStart w:id="375" w:name="Xb1c35cdc4e2f46e3e082d3a944f5fed14a2de54"/>
    <w:p>
      <w:pPr>
        <w:pStyle w:val="904"/>
      </w:pPr>
      <w:r>
        <w:t xml:space="preserve">13. Apêndice G — Prompt de Codificação — Tentativa 4</w:t>
      </w:r>
    </w:p>
    <w:bookmarkStart w:id="329" w:name="prompt-4"/>
    <w:p>
      <w:pPr>
        <w:pStyle w:val="906"/>
      </w:pPr>
      <w:r>
        <w:t xml:space="preserve">13.0.1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É importante salientar que recomendações podem conter múltiplas ações sugeridas, visando tanto corrigir a condição encontrada quanto endereçar a causa que permitiu a ocorrência da condição.</w:t>
      </w:r>
      <w:r>
        <w:br/>
      </w:r>
      <w:r>
        <w:br/>
      </w:r>
      <w:r>
        <w:rPr>
          <w:rStyle w:val="949"/>
        </w:rPr>
        <w:t xml:space="preserve">Para realizar essa identificação, o usuário 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949"/>
        </w:rPr>
        <w:t xml:space="preserve">- Critério "Ação Corretiva": A recomendação sugere uma ação para resolver a condição encontrada? Responda somente "Sim" ou "Não".</w:t>
      </w:r>
      <w:r>
        <w:br/>
      </w:r>
      <w:r>
        <w:rPr>
          <w:rStyle w:val="949"/>
        </w:rPr>
        <w:t xml:space="preserve">- Critério "Ação Foco Causa": Além da ação corretiva, que tipo de ação foi sugerida para corrigir a causa que levou à ocorrência da condição? Se não há nenhuma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Caso a recomendação não contenha uma recomendação de fato, responda "Não se aplica" para os três critérios.</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aos efeitos, a recomendação... Ja em relação à ação proposta, a recomendação...",</w:t>
      </w:r>
      <w:r>
        <w:br/>
      </w:r>
      <w:r>
        <w:rPr>
          <w:rStyle w:val="949"/>
        </w:rPr>
        <w:t xml:space="preserve">   "Ação Corretiva": "Sim",</w:t>
      </w:r>
      <w:r>
        <w:br/>
      </w:r>
      <w:r>
        <w:rPr>
          <w:rStyle w:val="949"/>
        </w:rPr>
        <w:t xml:space="preserve">   "Ação Foco Causa": "Genérica",</w:t>
      </w:r>
      <w:r>
        <w:br/>
      </w:r>
      <w:r>
        <w:rPr>
          <w:rStyle w:val="949"/>
        </w:rPr>
        <w:t xml:space="preserve">   "Efeitos Duradouros": "Não"</w:t>
      </w:r>
      <w:r>
        <w:br/>
      </w:r>
      <w:r>
        <w:rPr>
          <w:rStyle w:val="949"/>
        </w:rPr>
        <w:t xml:space="preserve">} </w:t>
      </w:r>
    </w:p>
    <w:bookmarkEnd w:id="329"/>
    <w:bookmarkStart w:id="330" w:name="resultados-4"/>
    <w:p>
      <w:pPr>
        <w:pStyle w:val="906"/>
      </w:pPr>
      <w:r>
        <w:t xml:space="preserve">13.0.2 Resultados</w:t>
      </w:r>
    </w:p>
    <w:tbl>
      <w:tblPr>
        <w:tblStyle w:val="Table"/>
        <w:tblW w:type="pct" w:w="4885"/>
        <w:tblLayout w:type="fixed"/>
        <w:tblLook w:firstRow="1" w:lastRow="0" w:firstColumn="0" w:lastColumn="0" w:noHBand="0" w:noVBand="0" w:val="0020"/>
      </w:tblPr>
      <w:tblGrid>
        <w:gridCol w:w="1547"/>
        <w:gridCol w:w="1638"/>
        <w:gridCol w:w="1911"/>
        <w:gridCol w:w="1183"/>
        <w:gridCol w:w="728"/>
        <w:gridCol w:w="728"/>
      </w:tblGrid>
      <w:tr>
        <w:trPr>
          <w:tblHeader w:val="on"/>
        </w:trPr>
        <w:tc>
          <w:tcPr/>
          <w:p>
            <w:pPr>
              <w:pStyle w:val="918"/>
              <w:jc w:val="left"/>
            </w:pPr>
            <w:r>
              <w:t xml:space="preserve">Ação Corretiva</w:t>
            </w:r>
          </w:p>
        </w:tc>
        <w:tc>
          <w:tcPr/>
          <w:p>
            <w:pPr>
              <w:pStyle w:val="918"/>
              <w:jc w:val="left"/>
            </w:pPr>
            <w:r>
              <w:t xml:space="preserve">Ação Foco Causa</w:t>
            </w:r>
          </w:p>
        </w:tc>
        <w:tc>
          <w:tcPr/>
          <w:p>
            <w:pPr>
              <w:pStyle w:val="918"/>
              <w:jc w:val="left"/>
            </w:pPr>
            <w:r>
              <w:t xml:space="preserve">Efeitos Duradouros</w:t>
            </w:r>
          </w:p>
        </w:tc>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Sim</w:t>
            </w:r>
          </w:p>
        </w:tc>
        <w:tc>
          <w:tcPr/>
          <w:p>
            <w:pPr>
              <w:pStyle w:val="918"/>
              <w:jc w:val="left"/>
            </w:pPr>
            <w:r>
              <w:t xml:space="preserve">Específica</w:t>
            </w:r>
          </w:p>
        </w:tc>
        <w:tc>
          <w:tcPr/>
          <w:p>
            <w:pPr>
              <w:pStyle w:val="918"/>
              <w:jc w:val="left"/>
            </w:pPr>
            <w:r>
              <w:t xml:space="preserve">Não</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Não</w:t>
            </w:r>
          </w:p>
        </w:tc>
        <w:tc>
          <w:tcPr/>
          <w:p>
            <w:pPr>
              <w:pStyle w:val="918"/>
              <w:jc w:val="left"/>
            </w:pPr>
            <w:r>
              <w:t xml:space="preserve">Específica</w:t>
            </w:r>
          </w:p>
        </w:tc>
        <w:tc>
          <w:tcPr/>
          <w:p>
            <w:pPr>
              <w:pStyle w:val="918"/>
              <w:jc w:val="left"/>
            </w:pPr>
            <w:r>
              <w:t xml:space="preserve">Sim</w:t>
            </w:r>
          </w:p>
        </w:tc>
        <w:tc>
          <w:tcPr/>
          <w:p>
            <w:pPr>
              <w:pStyle w:val="918"/>
              <w:jc w:val="left"/>
            </w:pPr>
            <w:r>
              <w:t xml:space="preserve">Sim</w:t>
            </w:r>
          </w:p>
        </w:tc>
        <w:tc>
          <w:tcPr/>
          <w:p>
            <w:pPr>
              <w:pStyle w:val="918"/>
              <w:jc w:val="right"/>
            </w:pPr>
            <w:r>
              <w:t xml:space="preserve">3</w:t>
            </w:r>
          </w:p>
        </w:tc>
        <w:tc>
          <w:tcPr/>
          <w:p>
            <w:pPr>
              <w:pStyle w:val="918"/>
              <w:jc w:val="right"/>
            </w:pPr>
            <w:r>
              <w:t xml:space="preserve">7.0</w:t>
            </w:r>
          </w:p>
        </w:tc>
      </w:tr>
      <w:tr>
        <w:tc>
          <w:tcPr/>
          <w:p>
            <w:pPr>
              <w:pStyle w:val="918"/>
              <w:jc w:val="left"/>
            </w:pPr>
            <w:r>
              <w:t xml:space="preserve">Sim</w:t>
            </w:r>
          </w:p>
        </w:tc>
        <w:tc>
          <w:tcPr/>
          <w:p>
            <w:pPr>
              <w:pStyle w:val="918"/>
              <w:jc w:val="left"/>
            </w:pPr>
            <w:r>
              <w:t xml:space="preserve">Específica</w:t>
            </w:r>
          </w:p>
        </w:tc>
        <w:tc>
          <w:tcPr/>
          <w:p>
            <w:pPr>
              <w:pStyle w:val="918"/>
              <w:jc w:val="left"/>
            </w:pPr>
            <w:r>
              <w:t xml:space="preserve">Sim</w:t>
            </w:r>
          </w:p>
        </w:tc>
        <w:tc>
          <w:tcPr/>
          <w:p>
            <w:pPr>
              <w:pStyle w:val="918"/>
              <w:jc w:val="left"/>
            </w:pPr>
            <w:r>
              <w:t xml:space="preserve">Sim</w:t>
            </w:r>
          </w:p>
        </w:tc>
        <w:tc>
          <w:tcPr/>
          <w:p>
            <w:pPr>
              <w:pStyle w:val="918"/>
              <w:jc w:val="right"/>
            </w:pPr>
            <w:r>
              <w:t xml:space="preserve">5</w:t>
            </w:r>
          </w:p>
        </w:tc>
        <w:tc>
          <w:tcPr/>
          <w:p>
            <w:pPr>
              <w:pStyle w:val="918"/>
              <w:jc w:val="right"/>
            </w:pPr>
            <w:r>
              <w:t xml:space="preserve">11.6</w:t>
            </w:r>
          </w:p>
        </w:tc>
      </w:tr>
      <w:tr>
        <w:tc>
          <w:tcPr/>
          <w:p>
            <w:pPr>
              <w:pStyle w:val="918"/>
              <w:jc w:val="left"/>
            </w:pPr>
            <w:r>
              <w:t xml:space="preserve">Não</w:t>
            </w:r>
          </w:p>
        </w:tc>
        <w:tc>
          <w:tcPr/>
          <w:p>
            <w:pPr>
              <w:pStyle w:val="918"/>
              <w:jc w:val="left"/>
            </w:pPr>
            <w:r>
              <w:t xml:space="preserve">Genérica</w:t>
            </w:r>
          </w:p>
        </w:tc>
        <w:tc>
          <w:tcPr/>
          <w:p>
            <w:pPr>
              <w:pStyle w:val="918"/>
              <w:jc w:val="left"/>
            </w:pPr>
            <w:r>
              <w:t xml:space="preserve">Não</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Sim</w:t>
            </w:r>
          </w:p>
        </w:tc>
        <w:tc>
          <w:tcPr/>
          <w:p>
            <w:pPr>
              <w:pStyle w:val="918"/>
              <w:jc w:val="left"/>
            </w:pPr>
            <w:r>
              <w:t xml:space="preserve">Genérica</w:t>
            </w:r>
          </w:p>
        </w:tc>
        <w:tc>
          <w:tcPr/>
          <w:p>
            <w:pPr>
              <w:pStyle w:val="918"/>
              <w:jc w:val="left"/>
            </w:pPr>
            <w:r>
              <w:t xml:space="preserve">Não</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Sim</w:t>
            </w:r>
          </w:p>
        </w:tc>
        <w:tc>
          <w:tcPr/>
          <w:p>
            <w:pPr>
              <w:pStyle w:val="918"/>
              <w:jc w:val="left"/>
            </w:pPr>
            <w:r>
              <w:t xml:space="preserve">Não</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Não</w:t>
            </w:r>
          </w:p>
        </w:tc>
        <w:tc>
          <w:tcPr/>
          <w:p>
            <w:pPr>
              <w:pStyle w:val="918"/>
              <w:jc w:val="left"/>
            </w:pPr>
            <w:r>
              <w:t xml:space="preserve">Não</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5</w:t>
            </w:r>
          </w:p>
        </w:tc>
        <w:tc>
          <w:tcPr/>
          <w:p>
            <w:pPr>
              <w:pStyle w:val="918"/>
              <w:jc w:val="right"/>
            </w:pPr>
            <w:r>
              <w:t xml:space="preserve">11.6</w:t>
            </w:r>
          </w:p>
        </w:tc>
      </w:tr>
      <w:tr>
        <w:tc>
          <w:tcPr/>
          <w:p>
            <w:pPr>
              <w:pStyle w:val="918"/>
              <w:jc w:val="left"/>
            </w:pPr>
            <w:r>
              <w:t xml:space="preserve">Sim</w:t>
            </w:r>
          </w:p>
        </w:tc>
        <w:tc>
          <w:tcPr/>
          <w:p>
            <w:pPr>
              <w:pStyle w:val="918"/>
              <w:jc w:val="left"/>
            </w:pPr>
            <w:r>
              <w:t xml:space="preserve">Não</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3</w:t>
            </w:r>
          </w:p>
        </w:tc>
        <w:tc>
          <w:tcPr/>
          <w:p>
            <w:pPr>
              <w:pStyle w:val="918"/>
              <w:jc w:val="right"/>
            </w:pPr>
            <w:r>
              <w:t xml:space="preserve">7.0</w:t>
            </w:r>
          </w:p>
        </w:tc>
      </w:tr>
      <w:tr>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 se aplica</w:t>
            </w:r>
          </w:p>
        </w:tc>
        <w:tc>
          <w:tcPr/>
          <w:p>
            <w:pPr>
              <w:pStyle w:val="918"/>
              <w:jc w:val="left"/>
            </w:pPr>
            <w:r>
              <w:t xml:space="preserve">Não</w:t>
            </w:r>
          </w:p>
        </w:tc>
        <w:tc>
          <w:tcPr/>
          <w:p>
            <w:pPr>
              <w:pStyle w:val="918"/>
              <w:jc w:val="right"/>
            </w:pPr>
            <w:r>
              <w:t xml:space="preserve">2</w:t>
            </w:r>
          </w:p>
        </w:tc>
        <w:tc>
          <w:tcPr/>
          <w:p>
            <w:pPr>
              <w:pStyle w:val="918"/>
              <w:jc w:val="right"/>
            </w:pPr>
            <w:r>
              <w:t xml:space="preserve">4.6</w:t>
            </w:r>
          </w:p>
        </w:tc>
      </w:tr>
    </w:tbl>
    <w:p>
      <w:pPr>
        <w:pStyle w:val="916"/>
      </w:pPr>
      <w:r>
        <w:t xml:space="preserve"> </w:t>
      </w:r>
    </w:p>
    <w:tbl>
      <w:tblPr>
        <w:tblStyle w:val="Table"/>
        <w:tblW w:type="pct" w:w="4867"/>
        <w:tblLayout w:type="fixed"/>
        <w:tblLook w:firstRow="1" w:lastRow="0" w:firstColumn="0" w:lastColumn="0" w:noHBand="0" w:noVBand="0" w:val="0020"/>
      </w:tblPr>
      <w:tblGrid>
        <w:gridCol w:w="4012"/>
        <w:gridCol w:w="2217"/>
        <w:gridCol w:w="1478"/>
      </w:tblGrid>
      <w:tr>
        <w:trPr>
          <w:tblHeader w:val="on"/>
        </w:trPr>
        <w:tc>
          <w:tcPr/>
          <w:p>
            <w:pPr>
              <w:pStyle w:val="918"/>
              <w:jc w:val="left"/>
            </w:pPr>
            <w:r>
              <w:t xml:space="preserve">Foco Causa</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right"/>
            </w:pPr>
            <w:r>
              <w:t xml:space="preserve">35</w:t>
            </w:r>
          </w:p>
        </w:tc>
        <w:tc>
          <w:tcPr/>
          <w:p>
            <w:pPr>
              <w:pStyle w:val="918"/>
              <w:jc w:val="right"/>
            </w:pPr>
            <w:r>
              <w:t xml:space="preserve">81</w:t>
            </w:r>
          </w:p>
        </w:tc>
      </w:tr>
      <w:tr>
        <w:tc>
          <w:tcPr/>
          <w:p>
            <w:pPr>
              <w:pStyle w:val="918"/>
              <w:jc w:val="left"/>
            </w:pPr>
            <w:r>
              <w:t xml:space="preserve">Sim</w:t>
            </w:r>
          </w:p>
        </w:tc>
        <w:tc>
          <w:tcPr/>
          <w:p>
            <w:pPr>
              <w:pStyle w:val="918"/>
              <w:jc w:val="right"/>
            </w:pPr>
            <w:r>
              <w:t xml:space="preserve">8</w:t>
            </w:r>
          </w:p>
        </w:tc>
        <w:tc>
          <w:tcPr/>
          <w:p>
            <w:pPr>
              <w:pStyle w:val="918"/>
              <w:jc w:val="right"/>
            </w:pPr>
            <w:r>
              <w:t xml:space="preserve">19</w:t>
            </w:r>
          </w:p>
        </w:tc>
      </w:tr>
    </w:tbl>
    <w:bookmarkEnd w:id="330"/>
    <w:bookmarkStart w:id="374" w:name="listagem-4"/>
    <w:p>
      <w:pPr>
        <w:pStyle w:val="906"/>
      </w:pPr>
      <w:r>
        <w:t xml:space="preserve">13.0.3 Listagem</w:t>
      </w:r>
    </w:p>
    <w:bookmarkStart w:id="331" w:name="auditoria-19179-constatação-nº-667920"/>
    <w:p>
      <w:pPr>
        <w:pStyle w:val="907"/>
      </w:pPr>
      <w:r>
        <w:t xml:space="preserve">13.0.3.1 Auditoria 19179, Constatação Nº 667920</w:t>
      </w:r>
    </w:p>
    <w:p>
      <w:pPr>
        <w:pStyle w:val="937"/>
      </w:pPr>
      <w:r>
        <w:rPr>
          <w:b/>
          <w:bCs/>
        </w:rPr>
        <w:t xml:space="preserve">Finalidade</w:t>
      </w:r>
      <w:r>
        <w:t xml:space="preserve">: Verificar prestação dos serviços e aplicação dos recursos federais no Hosp. Mun. de Imperatriz</w:t>
      </w:r>
    </w:p>
    <w:p>
      <w:pPr>
        <w:pStyle w:val="937"/>
      </w:pPr>
      <w:r>
        <w:rPr>
          <w:b/>
          <w:bCs/>
        </w:rPr>
        <w:t xml:space="preserve">Constatação</w:t>
      </w:r>
      <w:r>
        <w:t xml:space="preserve">: A Secretaria Municipal de Saúde - SEMUS de Imperatriz/MA realizou no ano de 2020 o Pregão Eletrônico nº 029/2020, Processo nº 02.19.00.2328-2020 SEMUS, para contratação complementar de empresa especializada em serviços médicos de urgência e emergência em neurologia para atender às demandas da UPA São José, com impropriedades que prejudicam a avaliação acerca da necessidade efetiva da contratação de mão-de-obra complementar.</w:t>
      </w:r>
    </w:p>
    <w:p>
      <w:pPr>
        <w:pStyle w:val="937"/>
      </w:pPr>
      <w:r>
        <w:rPr>
          <w:b/>
          <w:bCs/>
        </w:rPr>
        <w:t xml:space="preserve">Recomendação</w:t>
      </w:r>
      <w:r>
        <w:t xml:space="preserve">: Observar e fazer cumprir pelo setor competente a elevação do valor contratual dentro da porcentagem permitida pelo Art. 65 da Lei 8666/03, § 1o e § 2o; Realizar estudo técnico demonstrativo da necessidade de contratação de serviço para complementar a mão-de-obra de médicos especialistas, com demonstração da correlação entre a crescente demanda e o esgotamento operacional dos servidores efetivos do município.</w:t>
      </w:r>
    </w:p>
    <w:p>
      <w:pPr>
        <w:pStyle w:val="937"/>
      </w:pPr>
      <w:r>
        <w:rPr>
          <w:b/>
          <w:bCs/>
        </w:rPr>
        <w:t xml:space="preserve">Análise Codificação</w:t>
      </w:r>
      <w:r>
        <w:t xml:space="preserve">: A recomendação contém duas ações distintas. A primeira ação sugere ajustar o valor contratual conforme a lei, o que é uma medida corretiva para resolver a condição específica de impropriedade contratual. A segunda ação propõe a realização de um estudo técnico para demonstrar a necessidade da contratação, o que visa abordar a causa subjacente, como a falta de análise prévia da demanda e capacidade operacional, indo além do mero cumprimento normativo ao exigir uma ação concreta de estudo. No entanto, os efeitos dessa ação não são necessariamente duradouros, pois dependem da execução contínua do estudo e podem variar com mudanças na equipe ou nas circunstâncias.</w:t>
      </w:r>
    </w:p>
    <w:p>
      <w:pPr>
        <w:pStyle w:val="937"/>
      </w:pPr>
      <w:r>
        <w:t xml:space="preserve">Ação Corretiva: Sim</w:t>
      </w:r>
    </w:p>
    <w:p>
      <w:pPr>
        <w:pStyle w:val="937"/>
      </w:pPr>
      <w:r>
        <w:t xml:space="preserve">Ação Foco Causa: Específica</w:t>
      </w:r>
    </w:p>
    <w:p>
      <w:pPr>
        <w:pStyle w:val="937"/>
      </w:pPr>
      <w:r>
        <w:t xml:space="preserve">Efeitos Duradouros: Não</w:t>
      </w:r>
    </w:p>
    <w:bookmarkEnd w:id="331"/>
    <w:bookmarkStart w:id="332" w:name="auditoria-19761-constatação-nº-691403"/>
    <w:p>
      <w:pPr>
        <w:pStyle w:val="907"/>
      </w:pPr>
      <w:r>
        <w:t xml:space="preserve">13.0.3.2 Auditoria 19761, Constatação Nº 691403</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estrutura física da Central Municipal da Rede de Frio (CMRF) de Gurupi/TO não atende aos requisitos mínimos para manutenção da cadeia de frio, conforme preconizado pelo Programa Nacional de Imunizações.</w:t>
      </w:r>
    </w:p>
    <w:p>
      <w:pPr>
        <w:pStyle w:val="937"/>
      </w:pPr>
      <w:r>
        <w:rPr>
          <w:b/>
          <w:bCs/>
        </w:rPr>
        <w:t xml:space="preserve">Recomendação</w:t>
      </w:r>
      <w:r>
        <w:t xml:space="preserve">: Adequar a estrutura física da CMRF para incluir áreas específicas e identificadas para recebimento, expedição e armazenamento, a fim de garantir a conformidade com as melhores práticas de gestão de imunobiológicos, conforme preconizado na RDC ANVISA n.º 63, de 25 de novembro de 2011, que estabelece o dever do estabelecimento de saúde em fornecer todos os recursos necessários, incluindo ambientes identificados, equipamentos, materiais e suporte logístico, combinado com o Manual de Rede de Frio do PNI, 2017, quanto a necessidade das áreas separadas e identificadas para recebimento e expedição (pág. 75).</w:t>
      </w:r>
    </w:p>
    <w:p>
      <w:pPr>
        <w:pStyle w:val="937"/>
      </w:pPr>
      <w:r>
        <w:rPr>
          <w:b/>
          <w:bCs/>
        </w:rPr>
        <w:t xml:space="preserve">Análise Codificação</w:t>
      </w:r>
      <w:r>
        <w:t xml:space="preserve">: A recomendação sugere adequar a estrutura física para corrigir a condição atual de não conformidade, caracterizando uma ação corretiva. Além disso, propõe a implementação de áreas específicas e identificadas, o que vai além do mero cumprimento de normativos, indicando uma ação concreta para tratar a causa subjacente, como a falta de organização física adequada. No entanto, os efeitos dessa ação dependem da manutenção contínua da estrutura e práticas, podendo ser comprometidos por mudanças na gestão ou recursos, não sendo intrinsecamente duradouros independentemente dos atores envolvidos.</w:t>
      </w:r>
    </w:p>
    <w:p>
      <w:pPr>
        <w:pStyle w:val="937"/>
      </w:pPr>
      <w:r>
        <w:t xml:space="preserve">Ação Corretiva: Sim</w:t>
      </w:r>
    </w:p>
    <w:p>
      <w:pPr>
        <w:pStyle w:val="937"/>
      </w:pPr>
      <w:r>
        <w:t xml:space="preserve">Ação Foco Causa: Específica</w:t>
      </w:r>
    </w:p>
    <w:p>
      <w:pPr>
        <w:pStyle w:val="937"/>
      </w:pPr>
      <w:r>
        <w:t xml:space="preserve">Efeitos Duradouros: Não</w:t>
      </w:r>
    </w:p>
    <w:bookmarkEnd w:id="332"/>
    <w:bookmarkStart w:id="333" w:name="auditoria-19735-constatação-nº-694137"/>
    <w:p>
      <w:pPr>
        <w:pStyle w:val="907"/>
      </w:pPr>
      <w:r>
        <w:t xml:space="preserve">13.0.3.3 Auditoria 19735, Constatação Nº 694137</w:t>
      </w:r>
    </w:p>
    <w:p>
      <w:pPr>
        <w:pStyle w:val="937"/>
      </w:pPr>
      <w:r>
        <w:rPr>
          <w:b/>
          <w:bCs/>
        </w:rPr>
        <w:t xml:space="preserve">Finalidade</w:t>
      </w:r>
      <w:r>
        <w:t xml:space="preserve">: Verificar irregularidades na gestão e no sistema de sobreaviso dos Médicos Vinculados ao Hospital</w:t>
      </w:r>
    </w:p>
    <w:p>
      <w:pPr>
        <w:pStyle w:val="937"/>
      </w:pPr>
      <w:r>
        <w:rPr>
          <w:b/>
          <w:bCs/>
        </w:rPr>
        <w:t xml:space="preserve">Constatação</w:t>
      </w:r>
      <w:r>
        <w:t xml:space="preserve">: A UPA e a SMS não monitoram o número de pacientes que retornam à UPA em até 72 horas com a mesma queixa do primeiro atendimento.</w:t>
      </w:r>
    </w:p>
    <w:p>
      <w:pPr>
        <w:pStyle w:val="937"/>
      </w:pPr>
      <w:r>
        <w:rPr>
          <w:b/>
          <w:bCs/>
        </w:rPr>
        <w:t xml:space="preserve">Recomendação</w:t>
      </w:r>
      <w:r>
        <w:t xml:space="preserve">: A Secretaria Municipal de Saúde (SMS) e a UPA devem implementar indicadores específicos para monitorar o número de pacientes que retornam à unidade em até 72 horas com a mesma queixa do primeiro atendimento. Embora a SMS tenha adotado uma planilha de monitoramento desde agosto de 2024, que inclui dados sobre tempos de espera e retornos, ainda não é possível identificar claramente as causas dos retornos, o que compromete a avaliação da resolutividade do atendimento. A SMS deve aprimorar esse monitoramento, permitindo uma análise precisa da eficácia do atendimento prestado e tomando medidas corretivas quando necessário para melhorar a qualidade dos serviços oferecidos.</w:t>
      </w:r>
    </w:p>
    <w:p>
      <w:pPr>
        <w:pStyle w:val="937"/>
      </w:pPr>
      <w:r>
        <w:rPr>
          <w:b/>
          <w:bCs/>
        </w:rPr>
        <w:t xml:space="preserve">Análise Codificação</w:t>
      </w:r>
      <w:r>
        <w:t xml:space="preserve">: A recomendação sugere a implementação de indicadores específicos para monitorar retornos de pacientes, o que constitui uma ação para resolver a condição de falta de monitoramento identificada. Além disso, propõe o aprimoramento do monitoramento existente para permitir análise precisa da eficácia do atendimento e tomada de medidas corretivas, indicando uma ação com foco na causa ao buscar entender e tratar as razões subjacentes aos retornos, não se limitando ao mero cumprimento normativo. Os efeitos pretendidos, como a análise precisa e medidas corretivas, dependem de ações contínuas e podem não ser mantidos automaticamente com mudanças de atores, pois requerem implementação e manutenção ativa.</w:t>
      </w:r>
    </w:p>
    <w:p>
      <w:pPr>
        <w:pStyle w:val="937"/>
      </w:pPr>
      <w:r>
        <w:t xml:space="preserve">Ação Corretiva: Sim</w:t>
      </w:r>
    </w:p>
    <w:p>
      <w:pPr>
        <w:pStyle w:val="937"/>
      </w:pPr>
      <w:r>
        <w:t xml:space="preserve">Ação Foco Causa: Específica</w:t>
      </w:r>
    </w:p>
    <w:p>
      <w:pPr>
        <w:pStyle w:val="937"/>
      </w:pPr>
      <w:r>
        <w:t xml:space="preserve">Efeitos Duradouros: Não</w:t>
      </w:r>
    </w:p>
    <w:bookmarkEnd w:id="333"/>
    <w:bookmarkStart w:id="334" w:name="auditoria-19518-constatação-nº-677558"/>
    <w:p>
      <w:pPr>
        <w:pStyle w:val="907"/>
      </w:pPr>
      <w:r>
        <w:t xml:space="preserve">13.0.3.4 Auditoria 19518, Constatação Nº 677558</w:t>
      </w:r>
    </w:p>
    <w:p>
      <w:pPr>
        <w:pStyle w:val="937"/>
      </w:pPr>
      <w:r>
        <w:rPr>
          <w:b/>
          <w:bCs/>
        </w:rPr>
        <w:t xml:space="preserve">Finalidade</w:t>
      </w:r>
      <w:r>
        <w:t xml:space="preserve">: Avaliar a atuação do município auditado através dos indicadores de desempenho PREVINE Brasil.</w:t>
      </w:r>
    </w:p>
    <w:p>
      <w:pPr>
        <w:pStyle w:val="937"/>
      </w:pPr>
      <w:r>
        <w:rPr>
          <w:b/>
          <w:bCs/>
        </w:rPr>
        <w:t xml:space="preserve">Constatação</w:t>
      </w:r>
      <w:r>
        <w:t xml:space="preserve">: O Município não adotou as ações propostas no</w:t>
      </w:r>
      <w:r>
        <w:t xml:space="preserve"> </w:t>
      </w:r>
      <w:r>
        <w:rPr>
          <w:rStyle w:val="949"/>
        </w:rPr>
        <w:t xml:space="preserve">Documento Orientador</w:t>
      </w:r>
      <w:r>
        <w:t xml:space="preserve">, como forma de atingir a meta para o indicador 06 - Proporção de pessoas com hipertensão, com consulta e pressão arterial aferida no semestre.</w:t>
      </w:r>
    </w:p>
    <w:p>
      <w:pPr>
        <w:pStyle w:val="937"/>
      </w:pPr>
      <w:r>
        <w:rPr>
          <w:b/>
          <w:bCs/>
        </w:rPr>
        <w:t xml:space="preserve">Recomendação</w:t>
      </w:r>
      <w:r>
        <w:t xml:space="preserve">: Capacitar os profissionais sobre a importância do programa PREVINE BRASIL para o acesso ao usuário e para a melhoria do indicador 06 no Município e efetuar os registros dos atendimentos de modo a evoluir em prontuário o histórico do paciente cadastrado no programa Hiperdia, cumprindo assim a alínea</w:t>
      </w:r>
      <w:r>
        <w:t xml:space="preserve"> </w:t>
      </w:r>
      <w:r>
        <w:t xml:space="preserve">“C”</w:t>
      </w:r>
      <w:r>
        <w:t xml:space="preserve"> </w:t>
      </w:r>
      <w:r>
        <w:t xml:space="preserve">do item 6 do Documento Orientador do Previne Brasil; Manual Previne Brasil: 2.2.3. Ações para melhoria dos indicadores (pág. 40 e 41) combinado com o subitem 5.1 da Nota Técnica N° 18/2022-SAPS/MS.</w:t>
      </w:r>
    </w:p>
    <w:p>
      <w:pPr>
        <w:pStyle w:val="937"/>
      </w:pPr>
      <w:r>
        <w:rPr>
          <w:b/>
          <w:bCs/>
        </w:rPr>
        <w:t xml:space="preserve">Análise Codificação</w:t>
      </w:r>
      <w:r>
        <w:t xml:space="preserve">: A recomendação sugere duas ações principais: capacitar profissionais sobre o programa PREVINE BRASIL e efetuar registros de atendimentos para evoluir o histórico do paciente no Hiperdia. A primeira ação visa abordar a causa subjacente da falta de conhecimento ou engajamento, enquanto a segunda é uma ação corretiva para resolver a condição imediata de registros inadequados. A ação de capacitação é específica, pois propõe uma medida concreta além do mero cumprimento normativo, mas seus efeitos podem não ser duradouros se dependentes de indivíduos específicos.</w:t>
      </w:r>
    </w:p>
    <w:p>
      <w:pPr>
        <w:pStyle w:val="937"/>
      </w:pPr>
      <w:r>
        <w:t xml:space="preserve">Ação Corretiva: Sim</w:t>
      </w:r>
    </w:p>
    <w:p>
      <w:pPr>
        <w:pStyle w:val="937"/>
      </w:pPr>
      <w:r>
        <w:t xml:space="preserve">Ação Foco Causa: Específica</w:t>
      </w:r>
    </w:p>
    <w:p>
      <w:pPr>
        <w:pStyle w:val="937"/>
      </w:pPr>
      <w:r>
        <w:t xml:space="preserve">Efeitos Duradouros: Não</w:t>
      </w:r>
    </w:p>
    <w:bookmarkEnd w:id="334"/>
    <w:bookmarkStart w:id="335" w:name="auditoria-19293-constatação-nº-683535"/>
    <w:p>
      <w:pPr>
        <w:pStyle w:val="907"/>
      </w:pPr>
      <w:r>
        <w:t xml:space="preserve">13.0.3.5 Auditoria 19293, Constatação Nº 683535</w:t>
      </w:r>
    </w:p>
    <w:p>
      <w:pPr>
        <w:pStyle w:val="937"/>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p>
    <w:p>
      <w:pPr>
        <w:pStyle w:val="937"/>
      </w:pPr>
      <w:r>
        <w:rPr>
          <w:b/>
          <w:bCs/>
        </w:rPr>
        <w:t xml:space="preserve">Constatação</w:t>
      </w:r>
      <w:r>
        <w:t xml:space="preserve">: Não pagamento de subsídio para parte dos profissionais em cargos de direção nos hospitais HGP, HMDR, HRA, HRAug e HRG, no período de agosto a outubro de 2023.</w:t>
      </w:r>
    </w:p>
    <w:p>
      <w:pPr>
        <w:pStyle w:val="937"/>
      </w:pPr>
      <w:r>
        <w:rPr>
          <w:b/>
          <w:bCs/>
        </w:rPr>
        <w:t xml:space="preserve">Recomendação</w:t>
      </w:r>
      <w:r>
        <w:t xml:space="preserve">: Identificar os motivos pelos quais há profissionais ocupantes em cargo de Direção que não estão recebendo a remuneração (integral ou seu percentual) inerente ao cargo; Analisar as ações que podem ser adotadas para revisar a política de remuneração, considerando as necessidades salariais dos cargos de direção dos hospitais. Tais medidas objetivam dar cumprimento ao parágrafo único do artigo 38 da Lei Estadual n.º 1.818, de 23/8/2007, que estabeleceu que é facultado ao servidor titular de cargo de provimento efetivo ou ao estabilizado, investido em cargo de provimento em comissão, optar entre a remuneração global atribuída ao cargo comissionado ou a sua remuneração relativa ao cargo de provimento efetivo e a gratificação de representação atribuída ao cargo de provimento em comissão; e ao artigo 22 da Lei Estadual n.º 3.421, de 8/3/2019, que preconiza que o servidor, ocupante de cargo de provimento efetivo ou de emprego, (…) quando nomeado para o cargo em comissão na Administração Direta e Indireta do Poder Executivo, poderá optar por sua remuneração ou subsídio de origem, acrescido de 40% do valor do subsídio do cargo em comissão que vier a exercer.</w:t>
      </w:r>
    </w:p>
    <w:p>
      <w:pPr>
        <w:pStyle w:val="937"/>
      </w:pPr>
      <w:r>
        <w:rPr>
          <w:b/>
          <w:bCs/>
        </w:rPr>
        <w:t xml:space="preserve">Análise Codificação</w:t>
      </w:r>
      <w:r>
        <w:t xml:space="preserve">: A recomendação sugere ações para identificar os motivos do não pagamento (ação corretiva) e analisar a revisão da política de remuneração (ação com foco na causa). A ação de revisar a política é específica, pois propõe uma análise concreta além do mero cumprimento normativo, mas os efeitos duradouros não são claros, pois dependem de implementação contínua e podem variar com mudanças de atores.</w:t>
      </w:r>
    </w:p>
    <w:p>
      <w:pPr>
        <w:pStyle w:val="937"/>
      </w:pPr>
      <w:r>
        <w:t xml:space="preserve">Ação Corretiva: Sim</w:t>
      </w:r>
    </w:p>
    <w:p>
      <w:pPr>
        <w:pStyle w:val="937"/>
      </w:pPr>
      <w:r>
        <w:t xml:space="preserve">Ação Foco Causa: Específica</w:t>
      </w:r>
    </w:p>
    <w:p>
      <w:pPr>
        <w:pStyle w:val="937"/>
      </w:pPr>
      <w:r>
        <w:t xml:space="preserve">Efeitos Duradouros: Não</w:t>
      </w:r>
    </w:p>
    <w:bookmarkEnd w:id="335"/>
    <w:bookmarkStart w:id="336" w:name="auditoria-19598-constatação-nº-677670"/>
    <w:p>
      <w:pPr>
        <w:pStyle w:val="907"/>
      </w:pPr>
      <w:r>
        <w:t xml:space="preserve">13.0.3.6 Auditoria 19598, Constatação Nº 677670</w:t>
      </w:r>
    </w:p>
    <w:p>
      <w:pPr>
        <w:pStyle w:val="937"/>
      </w:pPr>
      <w:r>
        <w:rPr>
          <w:b/>
          <w:bCs/>
        </w:rPr>
        <w:t xml:space="preserve">Finalidade</w:t>
      </w:r>
      <w:r>
        <w:t xml:space="preserve">: Averiguar a prestação do serviço da Central de Regulação do Serviço Móvel de Urgência do Estado/RS.</w:t>
      </w:r>
    </w:p>
    <w:p>
      <w:pPr>
        <w:pStyle w:val="937"/>
      </w:pPr>
      <w:r>
        <w:rPr>
          <w:b/>
          <w:bCs/>
        </w:rPr>
        <w:t xml:space="preserve">Constatação</w:t>
      </w:r>
      <w:r>
        <w:t xml:space="preserve">: Verificação de inobservâncias in loco dos profissionais médicos reguladores no turno noturno comparando as escalas recebidas, os espelhos pontos e os profissionais efetivamente presentes.</w:t>
      </w:r>
    </w:p>
    <w:p>
      <w:pPr>
        <w:pStyle w:val="937"/>
      </w:pPr>
      <w:r>
        <w:rPr>
          <w:b/>
          <w:bCs/>
        </w:rPr>
        <w:t xml:space="preserve">Recomendação</w:t>
      </w:r>
      <w:r>
        <w:t xml:space="preserve">: Elaborar de forma participativa documento instrucional para definição de regras de troca de escalas, horários de descanso diurno e noturno, atestados, trocas de serviços etc, de forma que as regras sejam internalizadas e aplicadas a todos os profissionais.</w:t>
      </w:r>
    </w:p>
    <w:p>
      <w:pPr>
        <w:pStyle w:val="937"/>
      </w:pPr>
      <w:r>
        <w:rPr>
          <w:b/>
          <w:bCs/>
        </w:rPr>
        <w:t xml:space="preserve">Análise Codificação</w:t>
      </w:r>
      <w:r>
        <w:t xml:space="preserve">: A recomendação propõe a elaboração de um documento instrucional para definir regras sobre troca de escalas, horários de descanso, atestados e trocas de serviços, visando internalizar e aplicar essas regras a todos os profissionais. Isso sugere uma ação para resolver a causa subjacente (falta de regras claras) que levou à inobservância das escalas, em vez de apenas corrigir a condição específica encontrada (ausência de profissionais no turno noturno). A ação é concreta, indo além do mero cumprimento de normativos, e os efeitos pretendidos (regras internalizadas) podem perdurar mesmo com mudanças de atores, pois o documento institucionaliza as regras.</w:t>
      </w:r>
    </w:p>
    <w:p>
      <w:pPr>
        <w:pStyle w:val="937"/>
      </w:pPr>
      <w:r>
        <w:t xml:space="preserve">Ação Corretiva: Não</w:t>
      </w:r>
    </w:p>
    <w:p>
      <w:pPr>
        <w:pStyle w:val="937"/>
      </w:pPr>
      <w:r>
        <w:t xml:space="preserve">Ação Foco Causa: Específica</w:t>
      </w:r>
    </w:p>
    <w:p>
      <w:pPr>
        <w:pStyle w:val="937"/>
      </w:pPr>
      <w:r>
        <w:t xml:space="preserve">Efeitos Duradouros: Sim</w:t>
      </w:r>
    </w:p>
    <w:bookmarkEnd w:id="336"/>
    <w:bookmarkStart w:id="337" w:name="auditoria-19611-constatação-nº-674292"/>
    <w:p>
      <w:pPr>
        <w:pStyle w:val="907"/>
      </w:pPr>
      <w:r>
        <w:t xml:space="preserve">13.0.3.7 Auditoria 19611, Constatação Nº 674292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p>
    <w:p>
      <w:pPr>
        <w:pStyle w:val="937"/>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w:t>
      </w:r>
    </w:p>
    <w:p>
      <w:pPr>
        <w:pStyle w:val="937"/>
      </w:pPr>
      <w:r>
        <w:rPr>
          <w:b/>
          <w:bCs/>
        </w:rPr>
        <w:t xml:space="preserve">Análise Codificação</w:t>
      </w:r>
      <w:r>
        <w:t xml:space="preserve">: A recomendação sugere a adoção de providências para estabelecer critérios objetivos de avaliação da capacidade técnica e operacional das proponentes em futuros chamamentos públicos, o que visa prevenir a recorrência da condição observada (ausência de comprovação da capacidade do IOM). Embora não haja uma ação direta para corrigir a condição específica do convênio atual, a proposta de criar critérios obrigatórios constitui uma ação com foco na causa, pois busca modificar processos para evitar problemas similares. A ação é específica, pois vai além do mero cumprimento normativo, detalhando elementos como composição do corpo profissional e instalações adequadas. Os efeitos pretendidos são duradouros, pois a implementação de critérios estruturados permanece independentemente de mudanças nos atores envolvidos.</w:t>
      </w:r>
    </w:p>
    <w:p>
      <w:pPr>
        <w:pStyle w:val="937"/>
      </w:pPr>
      <w:r>
        <w:t xml:space="preserve">Ação Corretiva: Não</w:t>
      </w:r>
    </w:p>
    <w:p>
      <w:pPr>
        <w:pStyle w:val="937"/>
      </w:pPr>
      <w:r>
        <w:t xml:space="preserve">Ação Foco Causa: Específica</w:t>
      </w:r>
    </w:p>
    <w:p>
      <w:pPr>
        <w:pStyle w:val="937"/>
      </w:pPr>
      <w:r>
        <w:t xml:space="preserve">Efeitos Duradouros: Sim</w:t>
      </w:r>
    </w:p>
    <w:bookmarkEnd w:id="337"/>
    <w:bookmarkStart w:id="338" w:name="auditoria-19676-constatação-nº-686901"/>
    <w:p>
      <w:pPr>
        <w:pStyle w:val="907"/>
      </w:pPr>
      <w:r>
        <w:t xml:space="preserve">13.0.3.8 Auditoria 19676, Constatação Nº 686901</w:t>
      </w:r>
    </w:p>
    <w:p>
      <w:pPr>
        <w:pStyle w:val="937"/>
      </w:pPr>
      <w:r>
        <w:rPr>
          <w:b/>
          <w:bCs/>
        </w:rPr>
        <w:t xml:space="preserve">Finalidade</w:t>
      </w:r>
      <w:r>
        <w:t xml:space="preserve">: Realizar auditoria no Convênio 878445/2018 com o Hospital e Maternidade Terezinha de Jesus</w:t>
      </w:r>
    </w:p>
    <w:p>
      <w:pPr>
        <w:pStyle w:val="937"/>
      </w:pPr>
      <w:r>
        <w:rPr>
          <w:b/>
          <w:bCs/>
        </w:rPr>
        <w:t xml:space="preserve">Constatação</w:t>
      </w:r>
      <w:r>
        <w:t xml:space="preserve">: Ausência de documentação comprobatória sobre atendimento de critérios mínimos de capacidade gerencial, operacional e técnica da Convenente Hospital e Maternidade Therezinha de Jesus para execução do objeto do Convênio nº 878.445/2018 DSEI Alto Rio Juruá-AC.</w:t>
      </w:r>
    </w:p>
    <w:p>
      <w:pPr>
        <w:pStyle w:val="937"/>
      </w:pPr>
      <w:r>
        <w:rPr>
          <w:b/>
          <w:bCs/>
        </w:rPr>
        <w:t xml:space="preserve">Recomendação</w:t>
      </w:r>
      <w:r>
        <w:t xml:space="preserve">: Estabelecer critérios objetivos para avaliação da capacidade técnica e operacional das proponentes no chamamento público para os próximos convênios a serem celebrados; quanto ao atendimento d o s requisitos necessários das entidades contratadas para o desenvolvimento de atividades relacionadas à gestão d a saúde indígena e quanto à capacidade técnica e operacional para a prestação dos serviços descritos no convênio e no Plano de Trabalho, nos termos do §2º do art. 1º e no inciso V do art. 16 e art. 20, da Portaria Interministerial MP/MF/CGU nº 424 de 2016. Com o objetivo de mitigar o risco de contratar entidade que não possui condições técnicas mínimas para a prestação dos serviços descritos nos instrumentos referentes às atividades de saúde indígena, bem como o risco de execução e prestação de serviços da saúde indígena de forma a não atender as cláusulas contratuais avençadas.</w:t>
      </w:r>
    </w:p>
    <w:p>
      <w:pPr>
        <w:pStyle w:val="937"/>
      </w:pPr>
      <w:r>
        <w:rPr>
          <w:b/>
          <w:bCs/>
        </w:rPr>
        <w:t xml:space="preserve">Análise Codificação</w:t>
      </w:r>
      <w:r>
        <w:t xml:space="preserve">: A recomendação sugere estabelecer critérios objetivos para avaliação da capacidade técnica e operacional das proponentes em futuros convênios, o que visa prevenir a reincidência da ausência de documentação comprobatória observada. Esta ação é focada na causa, pois busca modificar o processo de seleção para evitar que entidades sem condições mínimas sejam contratadas novamente. No entanto, a recomendação não propõe uma ação específica para corrigir diretamente a condição encontrada no convênio atual (ausência de documentação), mas sim uma medida preventiva para convênios futuros. A ação sugerida é concreta, indo além do mero cumprimento normativo, ao exigir a definição de critérios objetivos. Os efeitos pretendidos são duradouros, pois a implementação de critérios claros permanece independentemente de mudanças nos atores envolvidos.</w:t>
      </w:r>
    </w:p>
    <w:p>
      <w:pPr>
        <w:pStyle w:val="937"/>
      </w:pPr>
      <w:r>
        <w:t xml:space="preserve">Ação Corretiva: Não</w:t>
      </w:r>
    </w:p>
    <w:p>
      <w:pPr>
        <w:pStyle w:val="937"/>
      </w:pPr>
      <w:r>
        <w:t xml:space="preserve">Ação Foco Causa: Específica</w:t>
      </w:r>
    </w:p>
    <w:p>
      <w:pPr>
        <w:pStyle w:val="937"/>
      </w:pPr>
      <w:r>
        <w:t xml:space="preserve">Efeitos Duradouros: Sim</w:t>
      </w:r>
    </w:p>
    <w:bookmarkEnd w:id="338"/>
    <w:bookmarkStart w:id="339" w:name="auditoria-19859-constatação-nº-702312"/>
    <w:p>
      <w:pPr>
        <w:pStyle w:val="907"/>
      </w:pPr>
      <w:r>
        <w:t xml:space="preserve">13.0.3.9 Auditoria 19859, Constatação Nº 702312</w:t>
      </w:r>
    </w:p>
    <w:p>
      <w:pPr>
        <w:pStyle w:val="937"/>
      </w:pPr>
      <w:r>
        <w:rPr>
          <w:b/>
          <w:bCs/>
        </w:rPr>
        <w:t xml:space="preserve">Finalidade</w:t>
      </w:r>
      <w:r>
        <w:t xml:space="preserve">: Verificar a regularidade na inserção da produção no Sistema de Informação Ambulatorial do SUS</w:t>
      </w:r>
    </w:p>
    <w:p>
      <w:pPr>
        <w:pStyle w:val="937"/>
      </w:pPr>
      <w:r>
        <w:rPr>
          <w:b/>
          <w:bCs/>
        </w:rPr>
        <w:t xml:space="preserve">Constatação</w:t>
      </w:r>
      <w:r>
        <w:t xml:space="preserve">: A SMS não apresentou documentos que comprovem a capacidade instalada e a quantidade de profissionais de saúde que permitisse a execução dos procedimentos relacionados e informados no Sistema de Informações Ambulatoriais - SIA/SUS.</w:t>
      </w:r>
    </w:p>
    <w:p>
      <w:pPr>
        <w:pStyle w:val="937"/>
      </w:pPr>
      <w:r>
        <w:rPr>
          <w:b/>
          <w:bCs/>
        </w:rPr>
        <w:t xml:space="preserve">Recomendação</w:t>
      </w:r>
      <w:r>
        <w:t xml:space="preserve">: I Promover capacitações regulares para os profissionais responsáveis pelo preenchimento dos dados nos sistemas de informação em saúde, reforçando a importância da veracidade, precisão e compatibilidade dos registros com a estrutura e os recursos disponíveis, conforme as competências do ente municipal em relação ao CNES, dispostas nos Artigos 366 e 369 da Portaria de Consolidação GM/MS nº 1/2017, e em consonância com o Art. 18 da Lei nº 8.080/1990, que atribui à direção municipal do Sistema de Saúde (SUS) o controle e avaliação das ações e os serviços de saúde; II Estabelecer rotinas periódicas de conciliação e auditoria interna que verifiquem a coerência entre os dados registrados no CNES e SIA/SUS e a capacidade real da unidade, considerando estrutura física, equipamentos e força de trabalho disponível, em conformidade com as competências do ente municipal em relação ao CNES, dispostas nos Artigos 366 e 369 da Portaria de Consolidação GM/MS nº 1/2017, e em consonância com o Art. 18 da Lei nº 8.080/1990, que atribui à direção municipal do Sistema de Saúde (SUS) o controle e avaliação das ações e os serviços de saúde; III Implementar medidas corretivas e preventivas que assegurem a fidelidade das informações registradas no SIA/SUS, garantindo que a produção ambulatorial declarada corresponda, de fato, aos atendimentos realizados e que os registros sejam efetuados com base na documentação comprobatória da execução dos serviços, em consonância com as competências do ente municipal em relação ao CNES, dispostas nos Artigos 366 e 369 da Portaria de Consolidação GM/MS nº 1/2017, e com o Art. 18 da Lei nº 8.080/1990, que atribui à direção municipal do Sistema de Saúde (SUS) o controle e avaliação das ações e os serviços de saúde. Essas ações visam atender o art. 18 da Lei nº 8.080/1990, que atribui a competência à direção municipal do Sistema de Saúde (SUS) o controle e avaliação das ações e os serviços de saúde.</w:t>
      </w:r>
    </w:p>
    <w:p>
      <w:pPr>
        <w:pStyle w:val="937"/>
      </w:pPr>
      <w:r>
        <w:rPr>
          <w:b/>
          <w:bCs/>
        </w:rPr>
        <w:t xml:space="preserve">Análise Codificação</w:t>
      </w:r>
      <w:r>
        <w:t xml:space="preserve">: A recomendação sugere ações corretivas para resolver a condição de falta de documentos comprobatórios, como implementar medidas corretivas e preventivas para assegurar a fidelidade das informações. Além disso, propõe ações com foco na causa, como capacitações regulares e rotinas de auditoria interna, que visam prevenir a reincidência ao abordar deficiências na capacitação e processos. Essas ações são específicas, pois vão além do mero cumprimento normativo, e os efeitos duradouros são alcançados através de mudanças estruturais que podem persistir independentemente de mudanças de pessoal.</w:t>
      </w:r>
    </w:p>
    <w:p>
      <w:pPr>
        <w:pStyle w:val="937"/>
      </w:pPr>
      <w:r>
        <w:t xml:space="preserve">Ação Corretiva: Sim</w:t>
      </w:r>
    </w:p>
    <w:p>
      <w:pPr>
        <w:pStyle w:val="937"/>
      </w:pPr>
      <w:r>
        <w:t xml:space="preserve">Ação Foco Causa: Específica</w:t>
      </w:r>
    </w:p>
    <w:p>
      <w:pPr>
        <w:pStyle w:val="937"/>
      </w:pPr>
      <w:r>
        <w:t xml:space="preserve">Efeitos Duradouros: Sim</w:t>
      </w:r>
    </w:p>
    <w:bookmarkEnd w:id="339"/>
    <w:bookmarkStart w:id="340" w:name="auditoria-19742-constatação-nº-691783"/>
    <w:p>
      <w:pPr>
        <w:pStyle w:val="907"/>
      </w:pPr>
      <w:r>
        <w:t xml:space="preserve">13.0.3.10 Auditoria 19742, Constatação Nº 691783</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Não há registro padronizado no processo de inspeção na entrada e saída dos imunobiológicos que asseguram a integridade física e as condições de temperatura adequada.</w:t>
      </w:r>
    </w:p>
    <w:p>
      <w:pPr>
        <w:pStyle w:val="937"/>
      </w:pPr>
      <w:r>
        <w:rPr>
          <w:b/>
          <w:bCs/>
        </w:rPr>
        <w:t xml:space="preserve">Recomendação</w:t>
      </w:r>
      <w:r>
        <w:t xml:space="preserve">: Implementar um sistema de registro padronizado para o documentar as inspeções na entrada e saída dos imunobiológicos, com foco na verificação da integridade física dos produtos, desenvolver checklists visuais e documentos de fácil preenchimento para que a equipe possa seguir e registrar rapidamente as condições dos imunobiológicos durante a entrada e saída, facilitando a adoção desses procedimentos no dia a dia e adotar sistemas de monitoramento automatizado que registrem continuamente a temperatura durante o armazenamento e transporte, gerando relatórios, conforme descrito nos Incisos I, II e III do art. 56, da Seção VI, da RDC Nº 430/2020 referente a verificação e registro das condições de transporte e armazenamento, incluindo requisitos de temperatura, umidade e exposição à luz, além da conferência de lotes, datas de validade, quantidades e integridade das cargas recebidas.</w:t>
      </w:r>
    </w:p>
    <w:p>
      <w:pPr>
        <w:pStyle w:val="937"/>
      </w:pPr>
      <w:r>
        <w:rPr>
          <w:b/>
          <w:bCs/>
        </w:rPr>
        <w:t xml:space="preserve">Análise Codificação</w:t>
      </w:r>
      <w:r>
        <w:t xml:space="preserve">: A recomendação sugere ações corretivas para resolver a condição encontrada, como a implementação de um sistema de registro padronizado e checklists, que abordam diretamente a falta de registros. Além disso, propõe ações com foco na causa, como o desenvolvimento de documentos de fácil preenchimento e sistemas de monitoramento automatizado, visando prevenir a reocorrência ao facilitar a adoção de procedimentos e garantir a continuidade dos registros. No entanto, a referência ao cumprimento da RDC Nº 430/2020 é genérica, mas as ações específicas vão além disso. Os efeitos duradouros são considerados, pois as melhorias no sistema e na documentação podem persistir independentemente de mudanças na equipe.</w:t>
      </w:r>
    </w:p>
    <w:p>
      <w:pPr>
        <w:pStyle w:val="937"/>
      </w:pPr>
      <w:r>
        <w:t xml:space="preserve">Ação Corretiva: Sim</w:t>
      </w:r>
    </w:p>
    <w:p>
      <w:pPr>
        <w:pStyle w:val="937"/>
      </w:pPr>
      <w:r>
        <w:t xml:space="preserve">Ação Foco Causa: Específica</w:t>
      </w:r>
    </w:p>
    <w:p>
      <w:pPr>
        <w:pStyle w:val="937"/>
      </w:pPr>
      <w:r>
        <w:t xml:space="preserve">Efeitos Duradouros: Sim</w:t>
      </w:r>
    </w:p>
    <w:bookmarkEnd w:id="340"/>
    <w:bookmarkStart w:id="341" w:name="auditoria-19885-constatação-nº-702344"/>
    <w:p>
      <w:pPr>
        <w:pStyle w:val="907"/>
      </w:pPr>
      <w:r>
        <w:t xml:space="preserve">13.0.3.11 Auditoria 19885, Constatação Nº 702344</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Há inconsistências no registro de procedimento entre os dados clínicos e os dados dos instrumentos de cobrança.</w:t>
      </w:r>
    </w:p>
    <w:p>
      <w:pPr>
        <w:pStyle w:val="937"/>
      </w:pPr>
      <w:r>
        <w:rPr>
          <w:b/>
          <w:bCs/>
        </w:rPr>
        <w:t xml:space="preserve">Recomendação</w:t>
      </w:r>
      <w:r>
        <w:t xml:space="preserve">: Recomenda-se a Secretaria de Estado da Saúde de São Paulo e ao Departamento Regional de Saúde II quanto a mudança de procedimento sem a solicitação e/ou autorização do auditor/gestor, o que configura glosa parcial (glosar a diferença entre o valor cobrado e o valor do procedimento autorizado inicialmente) conforme disposto nos subitens 16 e 48 quanto a cobrança de quimioterapia, sem a comprovação de prescrição médica e de formulário de controle de frequência individual, devidamente assinado (paciente/responsável) dispostos no item Motivo de Glosas do Caderno de Orientações Técnicas sobre a Aplicação de Glosas em Auditoria no SUS, aprovado pela Portaria de nº 26 de 17 de junho do ano de 2005 e corroborado pelo Manual de Bases Técnicas em Oncologia do ano de 2022 -Ministério da Saúde, quanto a: Os gestores devem executar um monitoramento contínuo, com auditorias periódicas in loco, disposto em sua página 100 e ainda, orientações para registro e faturamento de atendimentos procedidos, e embutem a responsabilidade do SUS por seu reconhecimento e pagamento, conforme os seus atributos, competindo à auditoria da Secretaria Gestora auditar os prontuários e os laudos patológicos disposto na página 47 do mesmo Manual. Assim, terá melhor orientação do autorizador ao hospital e, também, a verificação, pelo auditor, do descritivo do ato operatório e do laudo patológico da peça operatória, dentre outros, conforme preconizado em sua página 44.</w:t>
      </w:r>
    </w:p>
    <w:p>
      <w:pPr>
        <w:pStyle w:val="937"/>
      </w:pPr>
      <w:r>
        <w:rPr>
          <w:b/>
          <w:bCs/>
        </w:rPr>
        <w:t xml:space="preserve">Análise Codificação</w:t>
      </w:r>
      <w:r>
        <w:t xml:space="preserve">: A recomendação aborda a inconsistência no registro de procedimentos entre dados clínicos e instrumentos de cobrança, sugerindo a glosa parcial como ação corretiva imediata para a condição encontrada. Além disso, propõe que os gestores executem monitoramento contínuo com auditorias periódicas in loco e orientações para registro e faturamento, o que visa tratar a causa subjacente (falhas no controle e monitoramento) de forma específica, indo além do mero cumprimento de normativos. Essas ações de monitoramento e auditoria contínuos têm efeitos duradouros, pois estabelecem processos que permanecem independentemente de mudanças nos atores envolvidos.</w:t>
      </w:r>
    </w:p>
    <w:p>
      <w:pPr>
        <w:pStyle w:val="937"/>
      </w:pPr>
      <w:r>
        <w:t xml:space="preserve">Ação Corretiva: Sim</w:t>
      </w:r>
    </w:p>
    <w:p>
      <w:pPr>
        <w:pStyle w:val="937"/>
      </w:pPr>
      <w:r>
        <w:t xml:space="preserve">Ação Foco Causa: Específica</w:t>
      </w:r>
    </w:p>
    <w:p>
      <w:pPr>
        <w:pStyle w:val="937"/>
      </w:pPr>
      <w:r>
        <w:t xml:space="preserve">Efeitos Duradouros: Sim</w:t>
      </w:r>
    </w:p>
    <w:bookmarkEnd w:id="341"/>
    <w:bookmarkStart w:id="342" w:name="auditoria-19615-constatação-nº-675042"/>
    <w:p>
      <w:pPr>
        <w:pStyle w:val="907"/>
      </w:pPr>
      <w:r>
        <w:t xml:space="preserve">13.0.3.12 Auditoria 19615, Constatação Nº 675042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comprovação da capacidade técnica e operacional da Missão Evangélica Caiuá para realização do objeto e das atividades previstas no Convênio nº 882478/2019 - DSEI Manaus.</w:t>
      </w:r>
    </w:p>
    <w:p>
      <w:pPr>
        <w:pStyle w:val="937"/>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chamamentos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 em conformidade ao estabelecido no art. 116, caput, no art. 27, inciso II, e art. 55, inciso XIII, da Lei 8.666/1993, expressa no § 2º do art. 1º e no V do art. 16 da Portaria Interministerial MP/MF/CGU nº 424 de 2016. Aprimorar também os instrumentos de análise como pareceres técnicos de mérito e técnicos-econômico, no sentido de atender ao preconizado no inciso II, art. 8º, da Portaria Interministerial MP/MF/CGU nº 424 de 2016.</w:t>
      </w:r>
    </w:p>
    <w:p>
      <w:pPr>
        <w:pStyle w:val="937"/>
      </w:pPr>
      <w:r>
        <w:rPr>
          <w:b/>
          <w:bCs/>
        </w:rPr>
        <w:t xml:space="preserve">Análise Codificação</w:t>
      </w:r>
      <w:r>
        <w:t xml:space="preserve">: A recomendação sugere ações para corrigir a condição encontrada, como estabelecer critérios objetivos e aprimorar instrumentos de análise. Além disso, propõe ações específicas para tratar a causa subjacente, como a criação de critérios de avaliação e aprimoramento de pareceres técnicos, que vão além do mero cumprimento normativo. Essas ações visam efeitos duradouros, pois a implementação de critérios e instrumentos permanece independentemente de mudanças nos atores envolvidos.</w:t>
      </w:r>
    </w:p>
    <w:p>
      <w:pPr>
        <w:pStyle w:val="937"/>
      </w:pPr>
      <w:r>
        <w:t xml:space="preserve">Ação Corretiva: Sim</w:t>
      </w:r>
    </w:p>
    <w:p>
      <w:pPr>
        <w:pStyle w:val="937"/>
      </w:pPr>
      <w:r>
        <w:t xml:space="preserve">Ação Foco Causa: Específica</w:t>
      </w:r>
    </w:p>
    <w:p>
      <w:pPr>
        <w:pStyle w:val="937"/>
      </w:pPr>
      <w:r>
        <w:t xml:space="preserve">Efeitos Duradouros: Sim</w:t>
      </w:r>
    </w:p>
    <w:bookmarkEnd w:id="342"/>
    <w:bookmarkStart w:id="343" w:name="auditoria-19745-constatação-nº-694776"/>
    <w:p>
      <w:pPr>
        <w:pStyle w:val="907"/>
      </w:pPr>
      <w:r>
        <w:t xml:space="preserve">13.0.3.13 Auditoria 19745, Constatação Nº 694776</w:t>
      </w:r>
    </w:p>
    <w:p>
      <w:pPr>
        <w:pStyle w:val="937"/>
      </w:pPr>
      <w:r>
        <w:rPr>
          <w:b/>
          <w:bCs/>
        </w:rPr>
        <w:t xml:space="preserve">Finalidade</w:t>
      </w:r>
      <w:r>
        <w:t xml:space="preserve">: Verificar se a CMRF possui controles internos capazes de assegurar adequadamente a Cadeia de Frios</w:t>
      </w:r>
    </w:p>
    <w:p>
      <w:pPr>
        <w:pStyle w:val="937"/>
      </w:pPr>
      <w:r>
        <w:rPr>
          <w:b/>
          <w:bCs/>
        </w:rPr>
        <w:t xml:space="preserve">Constatação</w:t>
      </w:r>
      <w:r>
        <w:t xml:space="preserve">: A Central Municipal da Rede de Frio - CMRF de Manacapuru não estabelece programas de treinamento regulares, especialmente para procedimentos, equipamentos e tecnologias relacionadas à Cadeia de Frio.</w:t>
      </w:r>
    </w:p>
    <w:p>
      <w:pPr>
        <w:pStyle w:val="937"/>
      </w:pPr>
      <w:r>
        <w:rPr>
          <w:b/>
          <w:bCs/>
        </w:rPr>
        <w:t xml:space="preserve">Recomendação</w:t>
      </w:r>
      <w:r>
        <w:t xml:space="preserve">: Adotar medidas para realização de treinamentos, de acordo com o Subitem 7.4, Item 7, pág. 78/79, do Manual de Rede Frio do PNI de 2017 e arts. 32 e 33 da RDC Anvisa nº 63/2011 os quais recomendam: Elaboração de um Plano Anual de Capacitação que identifique as necessidades de treinamento específico para os profissionais da CMRF, com foco em procedimentos, equipamentos e tecnologias relevantes para a rede de frios; Mapeamento das necessidades de Capacitação: Realizar um levantamento das competências necessárias para as atividades desempenhadas, envolvendo a equipe na identificação de lacunas de conhecimentos habilidade, possibilitando alinhar os treinamentos às necessidades reais da CMRF; Registros e relatórios de Execução, implementação de um sistema de registro que documente todas as ações de capacitação realizadas, incluindo participantes, conteúdos abordados e resultados obtidos, de forma a facilitar a avaliação e aprimoramento contínuo do plano; Capacitação contínua e atualização: Promover treinamentos regulares e atualizações sobre a Rede de Frios, utilizando recursos como webinars, cursos online e parcerias com instituições de ensino e pesquisa; Treinamento dos motoristas: Desenvolver um programa específico de capacitação para os motoristas terceirizados responsáveis pelo transporte de Imunobiológicos. Ainda, deverá buscar parcerias com Instituições de ensino, Órgãos governamentais e Organizações não Governamentais para oferecer cursos e capacitações sobre a Rede de Frios. As recomendações acima propostas, têm o objetivo, além do atendimento às exigências regulatórias, a garantia de que os profissionais da CMRF/Manacapuru estejam preparados para realizar suas funções, melhorando a eficiência e qualidade dos serviços prestados e a segurança dos Imunobiológicos.</w:t>
      </w:r>
    </w:p>
    <w:p>
      <w:pPr>
        <w:pStyle w:val="937"/>
      </w:pPr>
      <w:r>
        <w:rPr>
          <w:b/>
          <w:bCs/>
        </w:rPr>
        <w:t xml:space="preserve">Análise Codificação</w:t>
      </w:r>
      <w:r>
        <w:t xml:space="preserve">: A recomendação sugere ações para resolver a condição encontrada (falta de treinamentos regulares) por meio da elaboração de um plano anual de capacitação, mapeamento de necessidades, implementação de sistema de registro e realização de treinamentos contínuos. Além disso, propõe ações específicas para tratar a causa subjacente (falta de estruturação de programas de treinamento), como o desenvolvimento de um programa específico para motoristas e a busca de parcerias com instituições externas, indo além do mero cumprimento de normativos. Essas ações específicas visam criar uma estrutura permanente de capacitação, cujos efeitos podem perdurar mesmo com mudanças de atores, devido à institucionalização dos processos.</w:t>
      </w:r>
    </w:p>
    <w:p>
      <w:pPr>
        <w:pStyle w:val="937"/>
      </w:pPr>
      <w:r>
        <w:t xml:space="preserve">Ação Corretiva: Sim</w:t>
      </w:r>
    </w:p>
    <w:p>
      <w:pPr>
        <w:pStyle w:val="937"/>
      </w:pPr>
      <w:r>
        <w:t xml:space="preserve">Ação Foco Causa: Específica</w:t>
      </w:r>
    </w:p>
    <w:p>
      <w:pPr>
        <w:pStyle w:val="937"/>
      </w:pPr>
      <w:r>
        <w:t xml:space="preserve">Efeitos Duradouros: Sim</w:t>
      </w:r>
    </w:p>
    <w:bookmarkEnd w:id="343"/>
    <w:bookmarkStart w:id="344" w:name="auditoria-19829-constatação-nº-697111"/>
    <w:p>
      <w:pPr>
        <w:pStyle w:val="907"/>
      </w:pPr>
      <w:r>
        <w:t xml:space="preserve">13.0.3.14 Auditoria 19829, Constatação Nº 697111</w:t>
      </w:r>
    </w:p>
    <w:p>
      <w:pPr>
        <w:pStyle w:val="937"/>
      </w:pPr>
      <w:r>
        <w:rPr>
          <w:b/>
          <w:bCs/>
        </w:rPr>
        <w:t xml:space="preserve">Finalidade</w:t>
      </w:r>
      <w:r>
        <w:t xml:space="preserve">: Auditoria na PNSMAD - 2024</w:t>
      </w:r>
    </w:p>
    <w:p>
      <w:pPr>
        <w:pStyle w:val="937"/>
      </w:pPr>
      <w:r>
        <w:rPr>
          <w:b/>
          <w:bCs/>
        </w:rPr>
        <w:t xml:space="preserve">Constatação</w:t>
      </w:r>
      <w:r>
        <w:t xml:space="preserve">: Os registros dos atendimentos em saúde mental não estão sendo coletados de forma detalhada e atualizada nas UBS visitadas.</w:t>
      </w:r>
    </w:p>
    <w:p>
      <w:pPr>
        <w:pStyle w:val="937"/>
      </w:pPr>
      <w:r>
        <w:rPr>
          <w:b/>
          <w:bCs/>
        </w:rPr>
        <w:t xml:space="preserve">Recomendação</w:t>
      </w:r>
      <w:r>
        <w:t xml:space="preserve">: Atender os subitens X e XV do item 4.1 referente ao Capítulo I do Anexo da a Portaria de Consolidação n. 2, de 28 de setembro de 2017, Anexo 1 do Anexo XXII (texto originário da antiga Portaria n. 2.436, de 21 de setembro de 2017) que citam respectivamente que dentre as atribuições dos profissionais da atenção básica estão: a utilização do Sistema de Informação da Atenção Básica vigente para registro das ações de saúde na Atenção Básica, visando subsidiar a gestão, planejamento, investigação clínica e epidemiológica, e à avaliação dos serviços de saúde; e a alimentação e garantia da qualidade do registro das atividades nos sistemas de informação da atenção básica, conforme normativa vigente.</w:t>
      </w:r>
    </w:p>
    <w:p>
      <w:pPr>
        <w:pStyle w:val="937"/>
      </w:pPr>
      <w:r>
        <w:rPr>
          <w:b/>
          <w:bCs/>
        </w:rPr>
        <w:t xml:space="preserve">Análise Codificação</w:t>
      </w:r>
      <w:r>
        <w:t xml:space="preserve">: A recomendação se limita a citar a necessidade de cumprir subitens de uma portaria, sem propor ações concretas para resolver a condição encontrada de registros inadequados ou para abordar a causa subjacente. Ela é genérica e não especifica medidas corretivas ou preventivas.</w:t>
      </w:r>
    </w:p>
    <w:p>
      <w:pPr>
        <w:pStyle w:val="937"/>
      </w:pPr>
      <w:r>
        <w:t xml:space="preserve">Ação Corretiva: Não</w:t>
      </w:r>
    </w:p>
    <w:p>
      <w:pPr>
        <w:pStyle w:val="937"/>
      </w:pPr>
      <w:r>
        <w:t xml:space="preserve">Ação Foco Causa: Genérica</w:t>
      </w:r>
    </w:p>
    <w:p>
      <w:pPr>
        <w:pStyle w:val="937"/>
      </w:pPr>
      <w:r>
        <w:t xml:space="preserve">Efeitos Duradouros: Não</w:t>
      </w:r>
    </w:p>
    <w:bookmarkEnd w:id="344"/>
    <w:bookmarkStart w:id="345" w:name="auditoria-19857-constatação-nº-702622"/>
    <w:p>
      <w:pPr>
        <w:pStyle w:val="907"/>
      </w:pPr>
      <w:r>
        <w:t xml:space="preserve">13.0.3.15 Auditoria 19857, Constatação Nº 702622</w:t>
      </w:r>
    </w:p>
    <w:p>
      <w:pPr>
        <w:pStyle w:val="937"/>
      </w:pPr>
      <w:r>
        <w:rPr>
          <w:b/>
          <w:bCs/>
        </w:rPr>
        <w:t xml:space="preserve">Finalidade</w:t>
      </w:r>
      <w:r>
        <w:t xml:space="preserve">: Verificar a regularidade da execução da emenda parlamentar federal nº 3630007.</w:t>
      </w:r>
    </w:p>
    <w:p>
      <w:pPr>
        <w:pStyle w:val="937"/>
      </w:pPr>
      <w:r>
        <w:rPr>
          <w:b/>
          <w:bCs/>
        </w:rPr>
        <w:t xml:space="preserve">Constatação</w:t>
      </w:r>
      <w:r>
        <w:t xml:space="preserve">: Funcionários contratados para duas funções diferentes no mesmo período.</w:t>
      </w:r>
    </w:p>
    <w:p>
      <w:pPr>
        <w:pStyle w:val="937"/>
      </w:pPr>
      <w:r>
        <w:rPr>
          <w:b/>
          <w:bCs/>
        </w:rPr>
        <w:t xml:space="preserve">Recomendação</w:t>
      </w:r>
      <w:r>
        <w:t xml:space="preserve">: Tomar conhecimento da presente constatação e adoção dos procedimentos a seu cargo, conforme estabelecido no art. 3º da Portaria GM/MS n.º 885/2021, visando a elisão do dano e/ou impropriedade ocorrida com recursos de origem federal, indicado no Capítulo IX - Proposição de Devolução deste relatório.</w:t>
      </w:r>
    </w:p>
    <w:p>
      <w:pPr>
        <w:pStyle w:val="937"/>
      </w:pPr>
      <w:r>
        <w:rPr>
          <w:b/>
          <w:bCs/>
        </w:rPr>
        <w:t xml:space="preserve">Análise Codificação</w:t>
      </w:r>
      <w:r>
        <w:t xml:space="preserve">: A recomendação solicita que o destinatário tome conhecimento da constatação e adote procedimentos conforme a Portaria GM/MS n.º 885/2021, sem especificar ações concretas para resolver a condição imediata (funcionários contratados para duas funções no mesmo período) ou para tratar a causa subjacente. A referência à portaria é genérica e não detalha medidas específicas de correção ou prevenção.</w:t>
      </w:r>
    </w:p>
    <w:p>
      <w:pPr>
        <w:pStyle w:val="937"/>
      </w:pPr>
      <w:r>
        <w:t xml:space="preserve">Ação Corretiva: Não</w:t>
      </w:r>
    </w:p>
    <w:p>
      <w:pPr>
        <w:pStyle w:val="937"/>
      </w:pPr>
      <w:r>
        <w:t xml:space="preserve">Ação Foco Causa: Genérica</w:t>
      </w:r>
    </w:p>
    <w:p>
      <w:pPr>
        <w:pStyle w:val="937"/>
      </w:pPr>
      <w:r>
        <w:t xml:space="preserve">Efeitos Duradouros: Não</w:t>
      </w:r>
    </w:p>
    <w:bookmarkEnd w:id="345"/>
    <w:bookmarkStart w:id="346" w:name="auditoria-19892-constatação-nº-704051"/>
    <w:p>
      <w:pPr>
        <w:pStyle w:val="907"/>
      </w:pPr>
      <w:r>
        <w:t xml:space="preserve">13.0.3.16 Auditoria 19892, Constatação Nº 704051</w:t>
      </w:r>
    </w:p>
    <w:p>
      <w:pPr>
        <w:pStyle w:val="937"/>
      </w:pPr>
      <w:r>
        <w:rPr>
          <w:b/>
          <w:bCs/>
        </w:rPr>
        <w:t xml:space="preserve">Finalidade</w:t>
      </w:r>
      <w:r>
        <w:t xml:space="preserve">: Realizar auditoria de oncologia, SIA e SIH, na Santa Casa de Misericórdia de Patos de Minas/MG</w:t>
      </w:r>
    </w:p>
    <w:p>
      <w:pPr>
        <w:pStyle w:val="937"/>
      </w:pPr>
      <w:r>
        <w:rPr>
          <w:b/>
          <w:bCs/>
        </w:rPr>
        <w:t xml:space="preserve">Constatação</w:t>
      </w:r>
      <w:r>
        <w:t xml:space="preserve">: Inconsistências no início da realização de quimioterapia adjuvante (profilática) até 60 dias após a realização da cirurgia oncológica.</w:t>
      </w:r>
    </w:p>
    <w:p>
      <w:pPr>
        <w:pStyle w:val="937"/>
      </w:pPr>
      <w:r>
        <w:rPr>
          <w:b/>
          <w:bCs/>
        </w:rPr>
        <w:t xml:space="preserve">Recomendação</w:t>
      </w:r>
      <w:r>
        <w:t xml:space="preserve">: Cumprir a Resolução CFM nº 1931/09 em seu Capítulo III, sobre Responsabilidade Profissional, no Art. 87, diz que é vedado ao médico deixar de elaborar prontuário legível para cada paciente. § 1º O prontuário deve conter os dados clínicos necessários para a boa condução do caso, sendo preenchido, em cada avaliação, em ordem cronológica com data, hora, assinatura e número de registro do médico no Conselho Regional de Medicina.</w:t>
      </w:r>
    </w:p>
    <w:p>
      <w:pPr>
        <w:pStyle w:val="937"/>
      </w:pPr>
      <w:r>
        <w:rPr>
          <w:b/>
          <w:bCs/>
        </w:rPr>
        <w:t xml:space="preserve">Análise Codificação</w:t>
      </w:r>
      <w:r>
        <w:t xml:space="preserve">: A recomendação se limita a citar o cumprimento de uma resolução do CFM sobre a elaboração de prontuários legíveis, sem propor ações específicas para resolver a condição encontrada (inconsistências no início da quimioterapia adjuvante) ou para tratar a causa subjacente que permitiu essa condição. Ela é genérica e não direcionada à correção imediata ou à causa raiz do problema.</w:t>
      </w:r>
    </w:p>
    <w:p>
      <w:pPr>
        <w:pStyle w:val="937"/>
      </w:pPr>
      <w:r>
        <w:t xml:space="preserve">Ação Corretiva: Não</w:t>
      </w:r>
    </w:p>
    <w:p>
      <w:pPr>
        <w:pStyle w:val="937"/>
      </w:pPr>
      <w:r>
        <w:t xml:space="preserve">Ação Foco Causa: Genérica</w:t>
      </w:r>
    </w:p>
    <w:p>
      <w:pPr>
        <w:pStyle w:val="937"/>
      </w:pPr>
      <w:r>
        <w:t xml:space="preserve">Efeitos Duradouros: Não</w:t>
      </w:r>
    </w:p>
    <w:bookmarkEnd w:id="346"/>
    <w:bookmarkStart w:id="347" w:name="auditoria-19312-constatação-nº-657763"/>
    <w:p>
      <w:pPr>
        <w:pStyle w:val="907"/>
      </w:pPr>
      <w:r>
        <w:t xml:space="preserve">13.0.3.17 Auditoria 19312, Constatação Nº 657763</w:t>
      </w:r>
    </w:p>
    <w:p>
      <w:pPr>
        <w:pStyle w:val="937"/>
      </w:pPr>
      <w:r>
        <w:rPr>
          <w:b/>
          <w:bCs/>
        </w:rPr>
        <w:t xml:space="preserve">Finalidade</w:t>
      </w:r>
      <w:r>
        <w:t xml:space="preserve">: Verificar a regularidade da utilização de Dispositivos Médicos Implantáveis - DMI</w:t>
      </w:r>
    </w:p>
    <w:p>
      <w:pPr>
        <w:pStyle w:val="937"/>
      </w:pPr>
      <w:r>
        <w:rPr>
          <w:b/>
          <w:bCs/>
        </w:rPr>
        <w:t xml:space="preserve">Constatação</w:t>
      </w:r>
      <w:r>
        <w:t xml:space="preserve">: Há cobrança ao SUS de código de OPME incompatível e/ou em quantidade superior com a OPME efetivamente implantada nos pacientes.</w:t>
      </w:r>
    </w:p>
    <w:p>
      <w:pPr>
        <w:pStyle w:val="937"/>
      </w:pPr>
      <w:r>
        <w:rPr>
          <w:b/>
          <w:bCs/>
        </w:rPr>
        <w:t xml:space="preserve">Recomendação</w:t>
      </w:r>
      <w:r>
        <w:t xml:space="preserve">: Atender as definições referentes ao limite quantitativo de OPME-DMI, contidas no item 23 do Manual Técnico Operacional do Sistema de Informação Hospitalar (SIH/SUS, 2017), aprovado pela Portaria GM/MS nº 396, de 12 de abril de 2000.</w:t>
      </w:r>
    </w:p>
    <w:p>
      <w:pPr>
        <w:pStyle w:val="937"/>
      </w:pPr>
      <w:r>
        <w:rPr>
          <w:b/>
          <w:bCs/>
        </w:rPr>
        <w:t xml:space="preserve">Análise Codificação</w:t>
      </w:r>
      <w:r>
        <w:t xml:space="preserve">: A recomendação consiste em uma instrução genérica para cumprir um normativo específico, sem propor ações concretas para corrigir a condição encontrada ou endereçar a causa subjacente. Não há sugestões de medidas corretivas diretas para resolver a discrepância na cobrança, nem ações específicas para prevenir a recorrência, focando apenas na adesão a um manual existente.</w:t>
      </w:r>
    </w:p>
    <w:p>
      <w:pPr>
        <w:pStyle w:val="937"/>
      </w:pPr>
      <w:r>
        <w:t xml:space="preserve">Ação Corretiva: Não</w:t>
      </w:r>
    </w:p>
    <w:p>
      <w:pPr>
        <w:pStyle w:val="937"/>
      </w:pPr>
      <w:r>
        <w:t xml:space="preserve">Ação Foco Causa: Genérica</w:t>
      </w:r>
    </w:p>
    <w:p>
      <w:pPr>
        <w:pStyle w:val="937"/>
      </w:pPr>
      <w:r>
        <w:t xml:space="preserve">Efeitos Duradouros: Não</w:t>
      </w:r>
    </w:p>
    <w:bookmarkEnd w:id="347"/>
    <w:bookmarkStart w:id="348" w:name="auditoria-19770-constatação-nº-693848-1"/>
    <w:p>
      <w:pPr>
        <w:pStyle w:val="907"/>
      </w:pPr>
      <w:r>
        <w:t xml:space="preserve">13.0.3.18 Auditoria 19770, Constatação Nº 693848</w:t>
      </w:r>
    </w:p>
    <w:p>
      <w:pPr>
        <w:pStyle w:val="937"/>
      </w:pPr>
      <w:r>
        <w:rPr>
          <w:b/>
          <w:bCs/>
        </w:rPr>
        <w:t xml:space="preserve">Finalidade</w:t>
      </w:r>
      <w:r>
        <w:t xml:space="preserve">: Verificar a regularidade da produção inserida nos sistemas SIA-SIH/SUS para incremento do teto MAC.</w:t>
      </w:r>
    </w:p>
    <w:p>
      <w:pPr>
        <w:pStyle w:val="937"/>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937"/>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937"/>
      </w:pPr>
      <w:r>
        <w:rPr>
          <w:b/>
          <w:bCs/>
        </w:rPr>
        <w:t xml:space="preserve">Análise Codificação</w:t>
      </w:r>
      <w:r>
        <w:t xml:space="preserve">: A recomendação se limita a citar um dispositivo legal que exige o fornecimento de informações e acesso para auditoria, sem propor ações específicas para corrigir a condição imediata de não disponibilização da documentação ou para abordar as causas subjacentes, como falhas em processos ou treinamento.</w:t>
      </w:r>
    </w:p>
    <w:p>
      <w:pPr>
        <w:pStyle w:val="937"/>
      </w:pPr>
      <w:r>
        <w:t xml:space="preserve">Ação Corretiva: Não</w:t>
      </w:r>
    </w:p>
    <w:p>
      <w:pPr>
        <w:pStyle w:val="937"/>
      </w:pPr>
      <w:r>
        <w:t xml:space="preserve">Ação Foco Causa: Genérica</w:t>
      </w:r>
    </w:p>
    <w:p>
      <w:pPr>
        <w:pStyle w:val="937"/>
      </w:pPr>
      <w:r>
        <w:t xml:space="preserve">Efeitos Duradouros: Não</w:t>
      </w:r>
    </w:p>
    <w:bookmarkEnd w:id="348"/>
    <w:bookmarkStart w:id="349" w:name="auditoria-19761-constatação-nº-693150"/>
    <w:p>
      <w:pPr>
        <w:pStyle w:val="907"/>
      </w:pPr>
      <w:r>
        <w:t xml:space="preserve">13.0.3.19 Auditoria 19761, Constatação Nº 693150</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Os profissionais atuantes na Central Municipal da Rede de Frio não estão devidamente cadastrados no Cadastro Nacional de Estabelecimentos de Saúde (Cnes).</w:t>
      </w:r>
    </w:p>
    <w:p>
      <w:pPr>
        <w:pStyle w:val="937"/>
      </w:pPr>
      <w:r>
        <w:rPr>
          <w:b/>
          <w:bCs/>
        </w:rPr>
        <w:t xml:space="preserve">Recomendação</w:t>
      </w:r>
      <w:r>
        <w:t xml:space="preserve">: Manter atualizado no Cnes os dados dos profissionais que efetivamente atuam na CMRF de Gurupi/TO, em conformidade com o disposto no artigo 294 da Portaria de Consolidação GM/MS n.º 1/2017, que estabelece a obrigatoriedade de alimentação mensal e sistemática do Cadastro Nacional de Estabelecimentos de Saúde (Scnes).</w:t>
      </w:r>
    </w:p>
    <w:p>
      <w:pPr>
        <w:pStyle w:val="937"/>
      </w:pPr>
      <w:r>
        <w:rPr>
          <w:b/>
          <w:bCs/>
        </w:rPr>
        <w:t xml:space="preserve">Análise Codificação</w:t>
      </w:r>
      <w:r>
        <w:t xml:space="preserve">: A recomendação sugere uma ação para resolver a condição encontrada, que é a falta de cadastro atualizado dos profissionais no Cnes, ao propor a manutenção atualizada dos dados. Em relação ao foco na causa, a ação proposta é genérica, pois se limita a cumprir o normativo existente sem especificar medidas adicionais para prevenir a recorrência, como implementação de processos de revisão ou treinamentos. Quanto aos efeitos duradouros, como a ação é genérica, não há indicação de que os efeitos persistiriam com mudanças de atores.</w:t>
      </w:r>
    </w:p>
    <w:p>
      <w:pPr>
        <w:pStyle w:val="937"/>
      </w:pPr>
      <w:r>
        <w:t xml:space="preserve">Ação Corretiva: Sim</w:t>
      </w:r>
    </w:p>
    <w:p>
      <w:pPr>
        <w:pStyle w:val="937"/>
      </w:pPr>
      <w:r>
        <w:t xml:space="preserve">Ação Foco Causa: Genérica</w:t>
      </w:r>
    </w:p>
    <w:p>
      <w:pPr>
        <w:pStyle w:val="937"/>
      </w:pPr>
      <w:r>
        <w:t xml:space="preserve">Efeitos Duradouros: Não</w:t>
      </w:r>
    </w:p>
    <w:bookmarkEnd w:id="349"/>
    <w:bookmarkStart w:id="350" w:name="auditoria-19771-constatação-nº-692740"/>
    <w:p>
      <w:pPr>
        <w:pStyle w:val="907"/>
      </w:pPr>
      <w:r>
        <w:t xml:space="preserve">13.0.3.20 Auditoria 19771, Constatação Nº 692740</w:t>
      </w:r>
    </w:p>
    <w:p>
      <w:pPr>
        <w:pStyle w:val="937"/>
      </w:pPr>
      <w:r>
        <w:rPr>
          <w:b/>
          <w:bCs/>
        </w:rPr>
        <w:t xml:space="preserve">Finalidade</w:t>
      </w:r>
      <w:r>
        <w:t xml:space="preserve">: Realizar auditoria de monitoramento referente à Auditoria nº 17847.</w:t>
      </w:r>
    </w:p>
    <w:p>
      <w:pPr>
        <w:pStyle w:val="937"/>
      </w:pPr>
      <w:r>
        <w:rPr>
          <w:b/>
          <w:bCs/>
        </w:rPr>
        <w:t xml:space="preserve">Constatação</w:t>
      </w:r>
      <w:r>
        <w:t xml:space="preserve">: O Hospital Estadual Carlos Chagas (HECC) necessita de reparos de manutenção.</w:t>
      </w:r>
    </w:p>
    <w:p>
      <w:pPr>
        <w:pStyle w:val="937"/>
      </w:pPr>
      <w:r>
        <w:rPr>
          <w:b/>
          <w:bCs/>
        </w:rPr>
        <w:t xml:space="preserve">Recomendação</w:t>
      </w:r>
      <w:r>
        <w:t xml:space="preserve">: Realizar os devidos ajustes e reformas nas instalações físicas da edificação, de modo a obedecer ao disposto no Art. 36 da Resolução RDC ANVISA n.° 63, de 25 de novembro de 2011.</w:t>
      </w:r>
    </w:p>
    <w:p>
      <w:pPr>
        <w:pStyle w:val="937"/>
      </w:pPr>
      <w:r>
        <w:rPr>
          <w:b/>
          <w:bCs/>
        </w:rPr>
        <w:t xml:space="preserve">Análise Codificação</w:t>
      </w:r>
      <w:r>
        <w:t xml:space="preserve">: A recomendação sugere realizar ajustes e reformas para corrigir a condição de necessidade de reparos de manutenção, o que caracteriza uma ação corretiva. No entanto, a ação proposta é genérica, limitando-se a cumprir um normativo (Art. 36 da RDC ANVISA n.° 63/2011) sem especificar medidas concretas para abordar a causa subjacente, como falhas em processos de manutenção preventiva ou alocação de recursos. Portanto, não há uma ação específica focada na causa, e os efeitos duradouros não são aplicáveis devido à natureza genérica da recomendação.</w:t>
      </w:r>
    </w:p>
    <w:p>
      <w:pPr>
        <w:pStyle w:val="937"/>
      </w:pPr>
      <w:r>
        <w:t xml:space="preserve">Ação Corretiva: Sim</w:t>
      </w:r>
    </w:p>
    <w:p>
      <w:pPr>
        <w:pStyle w:val="937"/>
      </w:pPr>
      <w:r>
        <w:t xml:space="preserve">Ação Foco Causa: Genérica</w:t>
      </w:r>
    </w:p>
    <w:p>
      <w:pPr>
        <w:pStyle w:val="937"/>
      </w:pPr>
      <w:r>
        <w:t xml:space="preserve">Efeitos Duradouros: Não</w:t>
      </w:r>
    </w:p>
    <w:bookmarkEnd w:id="350"/>
    <w:bookmarkStart w:id="351" w:name="auditoria-19335-constatação-nº-665846"/>
    <w:p>
      <w:pPr>
        <w:pStyle w:val="907"/>
      </w:pPr>
      <w:r>
        <w:t xml:space="preserve">13.0.3.21 Auditoria 19335, Constatação Nº 665846</w:t>
      </w:r>
    </w:p>
    <w:p>
      <w:pPr>
        <w:pStyle w:val="937"/>
      </w:pPr>
      <w:r>
        <w:rPr>
          <w:b/>
          <w:bCs/>
        </w:rPr>
        <w:t xml:space="preserve">Finalidade</w:t>
      </w:r>
      <w:r>
        <w:t xml:space="preserve">: Verificar a regularidade da utilização de Dispositivos Médicos Implantáveis - DMI.</w:t>
      </w:r>
    </w:p>
    <w:p>
      <w:pPr>
        <w:pStyle w:val="937"/>
      </w:pPr>
      <w:r>
        <w:rPr>
          <w:b/>
          <w:bCs/>
        </w:rPr>
        <w:t xml:space="preserve">Constatação</w:t>
      </w:r>
      <w:r>
        <w:t xml:space="preserve">: Houve cobrança ao SUS de Órteses, Próteses e Materiais Especiais (OPME) em quantidade superior à implantada, referente ao código 07.02.05.038-5 Parafuso de Titânio associável a Haste, Tipo Pedicular, Monoaxial.</w:t>
      </w:r>
    </w:p>
    <w:p>
      <w:pPr>
        <w:pStyle w:val="937"/>
      </w:pPr>
      <w:r>
        <w:rPr>
          <w:b/>
          <w:bCs/>
        </w:rPr>
        <w:t xml:space="preserve">Recomendação</w:t>
      </w:r>
      <w:r>
        <w:t xml:space="preserve">: À SAES, para adoção de medidas cabíveis de apuração para a cobrança administrativa com vistas à recomposição do recurso ao Fundo Nacional de Saúde, conforme estabelece o art. 3º da Portaria GM/MS nº 885, de 04/05/2021, combinado com o Inciso VIII, do art. 2º, do Decreto nº 3.964, de 10/10/2001, visando à elisão do dano ocorrida com recursos de origem federal indicados no Capítulo Proposição de Devolução no valor de R$ 3.281,92 (três mil, duzentos e oitenta e um reais e noventa e dois centavos), com acréscimos legais, observados os princípios norteadores dos processos administrativos.</w:t>
      </w:r>
    </w:p>
    <w:p>
      <w:pPr>
        <w:pStyle w:val="937"/>
      </w:pPr>
      <w:r>
        <w:rPr>
          <w:b/>
          <w:bCs/>
        </w:rPr>
        <w:t xml:space="preserve">Análise Codificação</w:t>
      </w:r>
      <w:r>
        <w:t xml:space="preserve">: A recomendação sugere uma ação corretiva específica para resolver a condição encontrada de cobrança excessiva, que é a apuração e cobrança administrativa para devolução do recurso. No entanto, a ação proposta para tratar a causa que permitiu a ocorrência da condição é genérica, limitando-se a citar o cumprimento de normativos (Portaria GM/MS nº 885/2021 e Decreto nº 3.964/2001), sem propor medidas concretas para prevenir futuras ocorrências, como revisão de processos de controle ou capacitação. Como a ação de foco na causa é genérica, a avaliação de efeitos duradouros não se aplica de forma positiva.</w:t>
      </w:r>
    </w:p>
    <w:p>
      <w:pPr>
        <w:pStyle w:val="937"/>
      </w:pPr>
      <w:r>
        <w:t xml:space="preserve">Ação Corretiva: Sim</w:t>
      </w:r>
    </w:p>
    <w:p>
      <w:pPr>
        <w:pStyle w:val="937"/>
      </w:pPr>
      <w:r>
        <w:t xml:space="preserve">Ação Foco Causa: Genérica</w:t>
      </w:r>
    </w:p>
    <w:p>
      <w:pPr>
        <w:pStyle w:val="937"/>
      </w:pPr>
      <w:r>
        <w:t xml:space="preserve">Efeitos Duradouros: Não</w:t>
      </w:r>
    </w:p>
    <w:bookmarkEnd w:id="351"/>
    <w:bookmarkStart w:id="352" w:name="auditoria-19434-constatação-nº-665070"/>
    <w:p>
      <w:pPr>
        <w:pStyle w:val="907"/>
      </w:pPr>
      <w:r>
        <w:t xml:space="preserve">13.0.3.22 Auditoria 19434, Constatação Nº 665070</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Registro de dispensação de medicamentos pelo Programa Farmácia Popular do Brasil sem a comprovação das aquisições por meio de notas fiscais, no período de janeiro de 2018 a junho de 2020.</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nº 9.795, de 17.05.2019, combinado com o inciso VIII, do artigo 2º, do Decreto nº 3.964, de 10.10.2001, visando à elisão do dano e/ou impropriedade ocorrida com recursos de origem federal com características de PREJUÍZO, indicado no capítulo PROPOSIÇÃO DE DEVOLUÇÃO do presente relatório, no valor de R$ 73.185,87 (setenta e três mil, cento e oitenta e cinco reais e oitenta e sete centavos), com os acréscimos legais, observados os princípios norteadores dos processos administrativos. Poderá, também, deduzir dos valores retidos referentes as competências de maio e junho de 2020 e ainda não pagos ao estabelecimento farmacêutico a importância de R$ 3.547,18 (três mil, quinhentos e quarenta e sete reais e dezoito centavos), cuja regularidade das dispensações não ficou comprovada.</w:t>
      </w:r>
    </w:p>
    <w:p>
      <w:pPr>
        <w:pStyle w:val="937"/>
      </w:pPr>
      <w:r>
        <w:rPr>
          <w:b/>
          <w:bCs/>
        </w:rPr>
        <w:t xml:space="preserve">Análise Codificação</w:t>
      </w:r>
      <w:r>
        <w:t xml:space="preserve">: A recomendação se limita a citar dispositivos legais genéricos (Decreto nº 9.795/2019 e Decreto nº 3.964/2001) sem propor ações específicas para tratar a causa da dispensação irregular de medicamentos. A ação sugerida é genérica (</w:t>
      </w:r>
      <w:r>
        <w:t xml:space="preserve">‘adoção dos procedimentos a seu cargo’</w:t>
      </w:r>
      <w:r>
        <w:t xml:space="preserve">), sem detalhamento de medidas concretas para prevenir a reincidência. Embora mencione a possibilidade de dedução de valores, isso se caracteriza como uma ação corretiva para resolver a condição atual, mas não há proposta de ação focada na causa.</w:t>
      </w:r>
    </w:p>
    <w:p>
      <w:pPr>
        <w:pStyle w:val="937"/>
      </w:pPr>
      <w:r>
        <w:t xml:space="preserve">Ação Corretiva: Sim</w:t>
      </w:r>
    </w:p>
    <w:p>
      <w:pPr>
        <w:pStyle w:val="937"/>
      </w:pPr>
      <w:r>
        <w:t xml:space="preserve">Ação Foco Causa: Genérica</w:t>
      </w:r>
    </w:p>
    <w:p>
      <w:pPr>
        <w:pStyle w:val="937"/>
      </w:pPr>
      <w:r>
        <w:t xml:space="preserve">Efeitos Duradouros: Não</w:t>
      </w:r>
    </w:p>
    <w:bookmarkEnd w:id="352"/>
    <w:bookmarkStart w:id="353" w:name="auditoria-19721-constatação-nº-692918"/>
    <w:p>
      <w:pPr>
        <w:pStyle w:val="907"/>
      </w:pPr>
      <w:r>
        <w:t xml:space="preserve">13.0.3.23 Auditoria 19721, Constatação Nº 692918</w:t>
      </w:r>
    </w:p>
    <w:p>
      <w:pPr>
        <w:pStyle w:val="937"/>
      </w:pPr>
      <w:r>
        <w:rPr>
          <w:b/>
          <w:bCs/>
        </w:rPr>
        <w:t xml:space="preserve">Finalidade</w:t>
      </w:r>
      <w:r>
        <w:t xml:space="preserve">: Apurar possíveis irregularidades na execução de Convênios n. 01/2022 e 03/2019 entre SESPA/Hospitais</w:t>
      </w:r>
    </w:p>
    <w:p>
      <w:pPr>
        <w:pStyle w:val="937"/>
      </w:pPr>
      <w:r>
        <w:rPr>
          <w:b/>
          <w:bCs/>
        </w:rPr>
        <w:t xml:space="preserve">Constatação</w:t>
      </w:r>
      <w:r>
        <w:t xml:space="preserve">: O HSAMZ não possui a quantidade de profissionais/especialidades previstas na legislação vigente e contratualizados no Convênio Assistencial nº 01/2022.</w:t>
      </w:r>
    </w:p>
    <w:p>
      <w:pPr>
        <w:pStyle w:val="937"/>
      </w:pPr>
      <w:r>
        <w:rPr>
          <w:b/>
          <w:bCs/>
        </w:rPr>
        <w:t xml:space="preserve">Recomendação</w:t>
      </w:r>
      <w:r>
        <w:t xml:space="preserve">: Adotar providências, junto ao Hospital conveniado, no sentido de que seja disponibilizado o quantitativo de profissionais necessários ao pleno funcionamentos dos serviços, conforme estabelecido no Inciso V do artigo 8º do Anexo XXIV, Capítulo III do Anexo 2, Seção II Do Eixo de Assistência Hospitalar, da Portaria de Consolidação GM/MS nº 2, de 28/09/2017, combinado com a alínea</w:t>
      </w:r>
      <w:r>
        <w:t xml:space="preserve"> </w:t>
      </w:r>
      <w:r>
        <w:rPr>
          <w:rStyle w:val="949"/>
        </w:rPr>
        <w:t xml:space="preserve">g</w:t>
      </w:r>
      <w:r>
        <w:t xml:space="preserve">, do Inciso II- Da Gestão, Cláusula Sétima - Dos Deveres da Convenente, do Convênio Assistencial nº 01/2022 e subitem 1.3 - Recursos Humanos, Eixo 1 do 5º Termo Aditivo do Convênio Assistencial n° 1/2022.</w:t>
      </w:r>
    </w:p>
    <w:p>
      <w:pPr>
        <w:pStyle w:val="937"/>
      </w:pPr>
      <w:r>
        <w:rPr>
          <w:b/>
          <w:bCs/>
        </w:rPr>
        <w:t xml:space="preserve">Análise Codificação</w:t>
      </w:r>
      <w:r>
        <w:t xml:space="preserve">: A recomendação sugere que o destinatário adote providências para disponibilizar o quantitativo de profissionais necessário, o que constitui uma ação para resolver a condição encontrada de falta de profissionais. No entanto, a recomendação se limita a citar o cumprimento de normativos existentes (Portaria de Consolidação e cláusulas do convênio), sem propor ações concretas adicionais para tratar a causa subjacente que permitiu a ocorrência da condição, como a implementação de um processo de contratação ou revisão de políticas de recursos humanos. Portanto, a ação com foco na causa é genérica, baseada apenas no cumprimento de normativos, e não específica. Como a ação com foco na causa é genérica, os efeitos duradouros não são avaliados como presentes.</w:t>
      </w:r>
    </w:p>
    <w:p>
      <w:pPr>
        <w:pStyle w:val="937"/>
      </w:pPr>
      <w:r>
        <w:t xml:space="preserve">Ação Corretiva: Sim</w:t>
      </w:r>
    </w:p>
    <w:p>
      <w:pPr>
        <w:pStyle w:val="937"/>
      </w:pPr>
      <w:r>
        <w:t xml:space="preserve">Ação Foco Causa: Genérica</w:t>
      </w:r>
    </w:p>
    <w:p>
      <w:pPr>
        <w:pStyle w:val="937"/>
      </w:pPr>
      <w:r>
        <w:t xml:space="preserve">Efeitos Duradouros: Não</w:t>
      </w:r>
    </w:p>
    <w:bookmarkEnd w:id="353"/>
    <w:bookmarkStart w:id="354" w:name="auditoria-19402-constatação-nº-663323"/>
    <w:p>
      <w:pPr>
        <w:pStyle w:val="907"/>
      </w:pPr>
      <w:r>
        <w:t xml:space="preserve">13.0.3.24 Auditoria 19402, Constatação Nº 663323</w:t>
      </w:r>
    </w:p>
    <w:p>
      <w:pPr>
        <w:pStyle w:val="937"/>
      </w:pPr>
      <w:r>
        <w:rPr>
          <w:b/>
          <w:bCs/>
        </w:rPr>
        <w:t xml:space="preserve">Finalidade</w:t>
      </w:r>
      <w:r>
        <w:t xml:space="preserve">: Verificar a regularidade da execução do Programa Farmácia Popular do Brasil (PFPB)</w:t>
      </w:r>
    </w:p>
    <w:p>
      <w:pPr>
        <w:pStyle w:val="937"/>
      </w:pPr>
      <w:r>
        <w:rPr>
          <w:b/>
          <w:bCs/>
        </w:rPr>
        <w:t xml:space="preserve">Constatação</w:t>
      </w:r>
      <w:r>
        <w:t xml:space="preserve">: Irregularidades em cupons e prescrições médicas apresentadas pelo estabelecimento comercial, referentes ao período de janeiro de 2018 até julho de 2019.</w:t>
      </w:r>
    </w:p>
    <w:p>
      <w:pPr>
        <w:pStyle w:val="937"/>
      </w:pPr>
      <w:r>
        <w:rPr>
          <w:b/>
          <w:bCs/>
        </w:rPr>
        <w:t xml:space="preserve">Recomendação</w:t>
      </w:r>
      <w:r>
        <w:t xml:space="preserve">: Ao Departamento de Assistência Farmacêutica e Insumos Estratégicos - DAF/SCTIE/MS para conhecimento da presente constatação e adoção dos procedimentos a seu cargo, conforme estabelece o art. 12, do ANEXO I do Decreto nº 11.358, de 1º de janeiro de 2023, combinado com o inciso VIII do art. 2º do Decreto nº 3.964, de 10 de outubro de 2001, visando à elisão do dano ou impropriedade ocorrida com recursos de origem federal, indicado no Capítulo</w:t>
      </w:r>
      <w:r>
        <w:t xml:space="preserve"> </w:t>
      </w:r>
      <w:r>
        <w:t xml:space="preserve">‘’Proposição de Devolução’</w:t>
      </w:r>
      <w:r>
        <w:t xml:space="preserve">’, do presente Relatório, com os acréscimos legais, observados os princípios norteadores dos processos administrativos.</w:t>
      </w:r>
    </w:p>
    <w:p>
      <w:pPr>
        <w:pStyle w:val="937"/>
      </w:pPr>
      <w:r>
        <w:rPr>
          <w:b/>
          <w:bCs/>
        </w:rPr>
        <w:t xml:space="preserve">Análise Codificação</w:t>
      </w:r>
      <w:r>
        <w:t xml:space="preserve">: A recomendação se limita a encaminhar a constatação ao órgão responsável para adoção de procedimentos conforme dispositivos legais mencionados, sem especificar ações concretas para resolver a condição encontrada ou tratar suas causas subjacentes. Não há menção a medidas específicas de correção ou prevenção.</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54"/>
    <w:bookmarkStart w:id="355" w:name="auditoria-19513-constatação-nº-671421"/>
    <w:p>
      <w:pPr>
        <w:pStyle w:val="907"/>
      </w:pPr>
      <w:r>
        <w:t xml:space="preserve">13.0.3.25 Auditoria 19513, Constatação Nº 671421</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p>
    <w:p>
      <w:pPr>
        <w:pStyle w:val="937"/>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937"/>
      </w:pPr>
      <w:r>
        <w:rPr>
          <w:b/>
          <w:bCs/>
        </w:rPr>
        <w:t xml:space="preserve">Análise Codificação</w:t>
      </w:r>
      <w:r>
        <w:t xml:space="preserve">: A recomendação não propõe ações específicas para resolver a condição encontrada de inserção e não comprovação das produções ambulatoriais, limitando-se a encaminhar a constatação para conhecimento e adoção de procedimentos conforme um decreto, sem detalhar ações corretivas ou focadas na causa.</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55"/>
    <w:bookmarkStart w:id="356" w:name="auditoria-19496-constatação-nº-670138"/>
    <w:p>
      <w:pPr>
        <w:pStyle w:val="907"/>
      </w:pPr>
      <w:r>
        <w:t xml:space="preserve">13.0.3.26 Auditoria 19496, Constatação Nº 670138</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Não apresentação de cópias da totalidade dos cupons vinculados e receitas médicas solicitadas.</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Análise Codificação</w:t>
      </w:r>
      <w:r>
        <w:t xml:space="preserve">: A recomendação não propõe ações específicas para resolver a condição encontrada (não apresentação de cópias dos cupons e receitas médicas) ou para tratar a causa subjacente. Ela apenas encaminha a constatação para conhecimento do departamento, citando dispositivos legais, sem sugerir medidas corretivas ou preventivas concretas.</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56"/>
    <w:bookmarkStart w:id="357" w:name="auditoria-19248-constatação-nº-692555"/>
    <w:p>
      <w:pPr>
        <w:pStyle w:val="907"/>
      </w:pPr>
      <w:r>
        <w:t xml:space="preserve">13.0.3.27 Auditoria 19248, Constatação Nº 692555</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O estabelecimento auditado não apresentou os documentos necessários para o seu funcionamento.</w:t>
      </w:r>
    </w:p>
    <w:p>
      <w:pPr>
        <w:pStyle w:val="937"/>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 que dele participarem de forma complementar, ficam obrigados a prestar, quando exigidos, ao pessoal em exercício no SNA, toda informação necessária ao desempenho das atividades de controle, avaliação e auditoria, como também o disposto no Art. 36 do Anexo LXXVII da Portaria de Consolidação nº 5, de 28/09/2017, onde dispõe que o MS solicitará ao estabelecimento credenciado a prestação de informações sobre as suas operações, bem como as cópias dos documentos previstos nesta Portaria e na legislação vigente.</w:t>
      </w:r>
    </w:p>
    <w:p>
      <w:pPr>
        <w:pStyle w:val="937"/>
      </w:pPr>
      <w:r>
        <w:rPr>
          <w:b/>
          <w:bCs/>
        </w:rPr>
        <w:t xml:space="preserve">Análise Codificação</w:t>
      </w:r>
      <w:r>
        <w:t xml:space="preserve">: A recomendação se limita a citar a obrigação legal de fornecer documentos quando solicitados, sem propor ações específicas para resolver a condição imediata ou abordar a causa subjacente da falta de documentação.</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57"/>
    <w:bookmarkStart w:id="358" w:name="auditoria-19248-constatação-nº-692560"/>
    <w:p>
      <w:pPr>
        <w:pStyle w:val="907"/>
      </w:pPr>
      <w:r>
        <w:t xml:space="preserve">13.0.3.28 Auditoria 19248, Constatação Nº 692560</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O estabelecimento auditado não apresentou as cópias dos Cupons Vinculados/Fiscais e Receitas Médicas solicitadas no Comunicado de Auditoria.</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revogado pelo Decreto nº 11.798, 28/11/2023.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Análise Codificação</w:t>
      </w:r>
      <w:r>
        <w:t xml:space="preserve">: A recomendação não propõe uma ação específica para resolver a condição encontrada (falta de apresentação de cópias dos cupons e receitas), limitando-se a encaminhar a constatação para conhecimento e citar dispositivos legais, sem sugerir medidas corretivas ou preventivas. Não há menção a ações para corrigir a causa subjacente, como melhorias em processos ou controles internos.</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58"/>
    <w:bookmarkStart w:id="359" w:name="auditoria-19513-constatação-nº-671421-1"/>
    <w:p>
      <w:pPr>
        <w:pStyle w:val="907"/>
      </w:pPr>
      <w:r>
        <w:t xml:space="preserve">13.0.3.29 Auditoria 19513, Constatação Nº 671421</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p>
    <w:p>
      <w:pPr>
        <w:pStyle w:val="937"/>
      </w:pPr>
      <w:r>
        <w:rPr>
          <w:b/>
          <w:bCs/>
        </w:rPr>
        <w:t xml:space="preserve">Recomendação</w:t>
      </w:r>
      <w:r>
        <w:t xml:space="preserve">: Adotar providências para restituir ao Fundo Nacional de Saúde (FNS) o valor de R$ 4.849.412,50 (quatro milhões, oitocentos e quarenta e nove mil, quatrocentos e doze reais e cinquenta centavos), atualizado monetariamente e com os acréscimos legais adotados por esse ente federado, conforme indicativo da Planilha de Proposição de devolução, referente aos recursos recebidos de forma indevida, provenientes de Emendas Parlamentares por informação adulterada, inserida nos sistemas do Ministério da Saúde, com base no item 9.3.4, do ACÓRDÃO n.º 1072/2017, do TCU, que prevê:</w:t>
      </w:r>
      <w:r>
        <w:t xml:space="preserve"> </w:t>
      </w:r>
      <w:r>
        <w:t xml:space="preserve">“nos casos de débito decorrente do recebimento irregular de recursos federais pelos estados, municípios ou Distrito Federal, em razão de incorreções nas informações prestadas pelo beneficiário, independentemente do destino final dado aos recursos repassados, cabe ao ente recebedor restituir ao FNS, uma vez que não fazia jus ao repasse…”</w:t>
      </w:r>
      <w:r>
        <w:t xml:space="preserve">. Ressalta-se ainda que é de responsabilidade dos Estados, Municípios e do Distrito Federal, conforme a gestão dos estabelecimentos, a alimentação dos Bancos de Dados Nacionais do SIA, de acordo com o previsto no § 1º, Art. 294, da Portaria de Consolidação GM/MS n.º 1, de 28/09/2017. ACÓRDÃO n.º 1072/2017 TCU - Plenário, item 9.3.4 e Portaria GM/MS n.º 684, de 30 de março de 2022, Capítulo II, do inciso II, item b ,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p>
    <w:p>
      <w:pPr>
        <w:pStyle w:val="937"/>
      </w:pPr>
      <w:r>
        <w:rPr>
          <w:b/>
          <w:bCs/>
        </w:rPr>
        <w:t xml:space="preserve">Análise Codificação</w:t>
      </w:r>
      <w:r>
        <w:t xml:space="preserve">: A recomendação sugere uma ação corretiva específica de restituição de valores recebidos indevidamente, focando na correção da condição financeira irregular identificada. No entanto, não propõe ações para tratar as causas que permitiram a inserção de informações adulteradas nos sistemas, limitando-se a citar normativos existentes sem especificar medidas preventivas concretas.</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59"/>
    <w:bookmarkStart w:id="360" w:name="auditoria-19534-constatação-nº-673071"/>
    <w:p>
      <w:pPr>
        <w:pStyle w:val="907"/>
      </w:pPr>
      <w:r>
        <w:t xml:space="preserve">13.0.3.30 Auditoria 19534, Constatação Nº 673071</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O cidadão, L.V.L., não reconheceu a utilização e as dispensações de medicamentos pelo PFPB, realizadas no período de 29/05 a 09/10/2020, no estabelecimento auditado.</w:t>
      </w:r>
    </w:p>
    <w:p>
      <w:pPr>
        <w:pStyle w:val="937"/>
      </w:pPr>
      <w:r>
        <w:rPr>
          <w:b/>
          <w:bCs/>
        </w:rPr>
        <w:t xml:space="preserve">Recomendação</w:t>
      </w:r>
      <w:r>
        <w:t xml:space="preserve">: Apresentar a documentação solicitada pelos órgãos de controle do SUS em observância a determinação contida no artigo 11 do Decreto Federal nº 1.651 de 28/09/1995.</w:t>
      </w:r>
    </w:p>
    <w:p>
      <w:pPr>
        <w:pStyle w:val="937"/>
      </w:pPr>
      <w:r>
        <w:rPr>
          <w:b/>
          <w:bCs/>
        </w:rPr>
        <w:t xml:space="preserve">Análise Codificação</w:t>
      </w:r>
      <w:r>
        <w:t xml:space="preserve">: A recomendação sugere a apresentação de documentação para atender a uma exigência legal específica, o que constitui uma ação direta para resolver a condição encontrada de falta de reconhecimento das dispensações. No entanto, não propõe nenhuma ação adicional para tratar a causa subjacente que permitiu a ocorrência da condição, limitando-se ao cumprimento de um normativo existente.</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60"/>
    <w:bookmarkStart w:id="361" w:name="auditoria-19890-constatação-nº-702473"/>
    <w:p>
      <w:pPr>
        <w:pStyle w:val="907"/>
      </w:pPr>
      <w:r>
        <w:t xml:space="preserve">13.0.3.31 Auditoria 19890, Constatação Nº 702473</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Os procedimentos das AIHs pagas ao estabelecimento pelo procedimento 03.04.08.002-0 (internação para quimioterapia de administração contínua), não constam evoluídos em prontuário, detalhando sobre a administração (quimioterapia) endovenosa contínua de 24horas/dia.</w:t>
      </w:r>
    </w:p>
    <w:p>
      <w:pPr>
        <w:pStyle w:val="937"/>
      </w:pPr>
      <w:r>
        <w:rPr>
          <w:b/>
          <w:bCs/>
        </w:rPr>
        <w:t xml:space="preserve">Recomendação</w:t>
      </w:r>
      <w:r>
        <w:t xml:space="preserve">: À Secretaria de Estado de Saúde Pública para conhecimento e adoção de providências para cobrança aos responsáveis identificados nesta constatação com vistas à devida devolução dos recursos federais ao Fundo Nacional de Saúde - FNS/SE/MS, no montante de R$ 8.706,08 (oito mil, setecentos e seis reais, oito centavos) , decorrentes da não comprovação da realização de 07 (um) procedimentos de quimioterapia de administração contínua, conforme indicado na Proposição de Devolução, parte integrante desta Auditoria, com os devidos acréscimos legais, nos termos do disposto nos itens 9.4 e 9.5 do Acórdão TCU nº 785/2018 - Plenário, combinado com o art. 93 do Decreto Lei nº 200, de 25/02/1967, que disciplinam sobre a obrigatoriedade, de quem quer que utilize dinheiros públicos, de justificar seu bom e regular emprego na conformidade das leis, regulamentos e normas emanadas das autoridades administrativas competentes, bem como o art. 63 da Lei nº 4.320, de 17/03/1964, visando à elisão do dano ao erário.</w:t>
      </w:r>
    </w:p>
    <w:p>
      <w:pPr>
        <w:pStyle w:val="937"/>
      </w:pPr>
      <w:r>
        <w:rPr>
          <w:b/>
          <w:bCs/>
        </w:rPr>
        <w:t xml:space="preserve">Análise Codificação</w:t>
      </w:r>
      <w:r>
        <w:t xml:space="preserve">: A recomendação sugere uma ação corretiva específica de cobrança e devolução de recursos federais para resolver a condição encontrada de pagamento por procedimentos não comprovados. No entanto, não propõe nenhuma ação adicional para tratar a causa subjacente que permitiu a ocorrência da condição, como melhorias em processos de registro ou fiscalização. A referência a normativos visa apenas embasar a devolução, sem propor ações concretas para prevenir recorrências.</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61"/>
    <w:bookmarkStart w:id="362" w:name="auditoria-19693-constatação-nº-686409"/>
    <w:p>
      <w:pPr>
        <w:pStyle w:val="907"/>
      </w:pPr>
      <w:r>
        <w:t xml:space="preserve">13.0.3.32 Auditoria 19693, Constatação Nº 686409</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Secretaria Municipal de Saúde de Turiúba inseriu dados no Sistema de Informações Ambulatoriais - SIA/SUS do procedimento de Unidade de remuneração para deslocamento de acompanhante por transporte terrestre (cada 50 km de distância) e do procedimento Unidade de remuneração para deslocamento de paciente por transporte terrestre (cada 50 km) no exercício de 2021, da Unidade Básica de Saúde Benedito Ap. Fabricio dos Santos e não comprovou a realização dos procedimentos, ocasionando proposta de devolução dos recursos recebidos.</w:t>
      </w:r>
    </w:p>
    <w:p>
      <w:pPr>
        <w:pStyle w:val="937"/>
      </w:pPr>
      <w:r>
        <w:rPr>
          <w:b/>
          <w:bCs/>
        </w:rPr>
        <w:t xml:space="preserve">Recomendação</w:t>
      </w:r>
      <w:r>
        <w:t xml:space="preserve">: Restituir o FNS, o valor total de R$ 501.568,65, conforme o contido no item 9.3.4, do ACÓRDÃO Nº 1072/2017 do TCU,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p>
    <w:p>
      <w:pPr>
        <w:pStyle w:val="937"/>
      </w:pPr>
      <w:r>
        <w:rPr>
          <w:b/>
          <w:bCs/>
        </w:rPr>
        <w:t xml:space="preserve">Análise Codificação</w:t>
      </w:r>
      <w:r>
        <w:t xml:space="preserve">: A recomendação se limita a exigir a restituição dos recursos recebidos irregularmente, conforme determinado por acórdão do TCU, sem propor nenhuma ação para corrigir a causa subjacente que permitiu a inserção de dados não comprovados no sistema. Não há sugestão de medidas preventivas, como melhorias nos processos de registro ou verificação de dados, que evitem a recorrência do problema.</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62"/>
    <w:bookmarkStart w:id="363" w:name="auditoria-18714-constatação-nº-671371"/>
    <w:p>
      <w:pPr>
        <w:pStyle w:val="907"/>
      </w:pPr>
      <w:r>
        <w:t xml:space="preserve">13.0.3.33 Auditoria 18714, Constatação Nº 671371</w:t>
      </w:r>
    </w:p>
    <w:p>
      <w:pPr>
        <w:pStyle w:val="937"/>
      </w:pPr>
      <w:r>
        <w:rPr>
          <w:b/>
          <w:bCs/>
        </w:rPr>
        <w:t xml:space="preserve">Finalidade</w:t>
      </w:r>
      <w:r>
        <w:t xml:space="preserve">: Verificar a regular utilização de recursos da fonte n°117 na aquisição de veículos pela SMS.</w:t>
      </w:r>
    </w:p>
    <w:p>
      <w:pPr>
        <w:pStyle w:val="937"/>
      </w:pPr>
      <w:r>
        <w:rPr>
          <w:b/>
          <w:bCs/>
        </w:rPr>
        <w:t xml:space="preserve">Constatação</w:t>
      </w:r>
      <w:r>
        <w:t xml:space="preserve">: Os recursos transferidos pelo Fundo Nacional de Saúde - FNS/MS referente às Emendas Parlamentares nº 27920010, 3724007 e 3815005, foram aplicados intempestivamente no mercado financeiro.</w:t>
      </w:r>
    </w:p>
    <w:p>
      <w:pPr>
        <w:pStyle w:val="937"/>
      </w:pPr>
      <w:r>
        <w:rPr>
          <w:b/>
          <w:bCs/>
        </w:rPr>
        <w:t xml:space="preserve">Recomendação</w:t>
      </w:r>
      <w:r>
        <w:t xml:space="preserve">: Dar ciência aos responsáveis pela irregularidade registrada nesta constatação para que providenciem a restituição ao Fundo Nacional de Saúde o valor de R$ 15.676,43 (quinze mil, seiscentos e setenta e seis reais e quarenta e três centavos), atualizado monetariamente e com os acréscimos legais, conforme indicativo na Planilha de Proposição de Devolução, parte integrante deste Relatório, em cumprimento ao item 9.3.3 do Acórdão/TCU nº 1.072/2017 - Plenário, visando à elisão do dano ao erário.</w:t>
      </w:r>
    </w:p>
    <w:p>
      <w:pPr>
        <w:pStyle w:val="937"/>
      </w:pPr>
      <w:r>
        <w:rPr>
          <w:b/>
          <w:bCs/>
        </w:rPr>
        <w:t xml:space="preserve">Análise Codificação</w:t>
      </w:r>
      <w:r>
        <w:t xml:space="preserve">: A recomendação propõe a restituição do valor aplicado intempestivamente, o que constitui uma ação para corrigir a condição encontrada (aplicação indevida dos recursos). No entanto, não há nenhuma ação sugerida para tratar a causa que permitiu a ocorrência da condição, como a implementação de controles ou políticas para prevenir futuras aplicações irregulares. A recomendação limita-se a cumprir um normativo específico (Acórdão/TCU) sem propor ações adicionais para endereçar a causa raiz.</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63"/>
    <w:bookmarkStart w:id="364" w:name="auditoria-19748-constatação-nº-690833"/>
    <w:p>
      <w:pPr>
        <w:pStyle w:val="907"/>
      </w:pPr>
      <w:r>
        <w:t xml:space="preserve">13.0.3.34 Auditoria 19748, Constatação Nº 690833</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SMS de Ponto Belo não comprovou a execução da produção do serviço de TSE inserida no Sistema de Informações Ambulatoriais (SIA-SUS) no exercício de 2022.</w:t>
      </w:r>
    </w:p>
    <w:p>
      <w:pPr>
        <w:pStyle w:val="937"/>
      </w:pPr>
      <w:r>
        <w:rPr>
          <w:b/>
          <w:bCs/>
        </w:rPr>
        <w:t xml:space="preserve">Recomendação</w:t>
      </w:r>
      <w:r>
        <w:t xml:space="preserve">: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p>
    <w:p>
      <w:pPr>
        <w:pStyle w:val="937"/>
      </w:pPr>
      <w:r>
        <w:rPr>
          <w:b/>
          <w:bCs/>
        </w:rPr>
        <w:t xml:space="preserve">Análise Codificação</w:t>
      </w:r>
      <w:r>
        <w:t xml:space="preserve">: A recomendação não propõe ações específicas, apenas cita a adoção de procedimentos conforme um normativo existente (Portaria GM/MS nº 885/2021) e refere-se a um capítulo externo para detalhes. Não há sugestão de ação corretiva direta para resolver a condição encontrada, nem ações focadas na causa que levou à não comprovação da produção.</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64"/>
    <w:bookmarkStart w:id="365" w:name="auditoria-19770-constatação-nº-693848-2"/>
    <w:p>
      <w:pPr>
        <w:pStyle w:val="907"/>
      </w:pPr>
      <w:r>
        <w:t xml:space="preserve">13.0.3.35 Auditoria 19770, Constatação Nº 693848</w:t>
      </w:r>
    </w:p>
    <w:p>
      <w:pPr>
        <w:pStyle w:val="937"/>
      </w:pPr>
      <w:r>
        <w:rPr>
          <w:b/>
          <w:bCs/>
        </w:rPr>
        <w:t xml:space="preserve">Finalidade</w:t>
      </w:r>
      <w:r>
        <w:t xml:space="preserve">: Verificar a regularidade da produção inserida nos sistemas SIA-SIH/SUS para incremento do teto MAC.</w:t>
      </w:r>
    </w:p>
    <w:p>
      <w:pPr>
        <w:pStyle w:val="937"/>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937"/>
      </w:pPr>
      <w:r>
        <w:rPr>
          <w:b/>
          <w:bCs/>
        </w:rPr>
        <w:t xml:space="preserve">Recomendação</w:t>
      </w:r>
      <w:r>
        <w:t xml:space="preserve">: Observar o disposto na Lei 12.527, de 12 de novembro de 2011, Art. 32. Constituem condutas ilícitas que ensejam responsabilidade do agente público ou militar: I - recusar-se a fornecer informação requerida nos termos desta Lei, retardar deliberadamente o seu fornecimento ou fornecê-la intencionalmente de forma incorreta, incompleta ou imprecisa.</w:t>
      </w:r>
    </w:p>
    <w:p>
      <w:pPr>
        <w:pStyle w:val="937"/>
      </w:pPr>
      <w:r>
        <w:rPr>
          <w:b/>
          <w:bCs/>
        </w:rPr>
        <w:t xml:space="preserve">Análise Codificação</w:t>
      </w:r>
      <w:r>
        <w:t xml:space="preserve">: A recomendação não propõe uma ação específica para resolver a condição encontrada, que é a não disponibilização da documentação solicitada. Em vez disso, ela apenas cita uma lei que define condutas ilícitas, sem sugerir medidas concretas para corrigir a condição ou abordar a causa subjacente. Portanto, não há uma ação corretiva ou foco na causa, sendo a recomendação genérica e não aplicável para efeitos duradouros.</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65"/>
    <w:bookmarkStart w:id="366" w:name="auditoria-19522-constatação-nº-673639"/>
    <w:p>
      <w:pPr>
        <w:pStyle w:val="907"/>
      </w:pPr>
      <w:r>
        <w:t xml:space="preserve">13.0.3.36 Auditoria 19522, Constatação Nº 673639</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A Secretaria Municipal de Saúde de Lima Campos não alimentou no Sistema de Informação Ambulatorial a totalidade dos atendimentos realizados no Hospital Municipal de Lima Campos, CNES n.º 2656159, Centro de Atendimento para Enfrentamento a COVID 19, CNES n.º 0196355 e no Centro de Saúde Dr. Paulo Bogéa, CNES n.º 2459841 referente aos procedimentos de Atendimento de Urgência com Observação até 24 horas em Atenção Especializada, Código 03.01.06.002-9, Atendimento de Urgência em Atenção Especializada, Código 03.01.06.006-1 e Consulta Médica em Atenção Especializada, Código 03.01.01.007-2, no exercício de 2020.</w:t>
      </w:r>
    </w:p>
    <w:p>
      <w:pPr>
        <w:pStyle w:val="937"/>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combinado com o inciso VIII do Art. 2º do Decreto n.º 3.964, de 11 de outubro de 2001 e Portaria GM/MS n.º 885, de 4 de maio de 2021, visando a elisão do dano e/ou impropriedade ocorrida com recursos de origem federal, indicado no Anexo - Proposição de Devolução.</w:t>
      </w:r>
    </w:p>
    <w:p>
      <w:pPr>
        <w:pStyle w:val="937"/>
      </w:pPr>
      <w:r>
        <w:rPr>
          <w:b/>
          <w:bCs/>
        </w:rPr>
        <w:t xml:space="preserve">Análise Codificação</w:t>
      </w:r>
      <w:r>
        <w:t xml:space="preserve">: A recomendação não propõe ações específicas para resolver a condição encontrada (falta de alimentação dos atendimentos no sistema) ou para tratar a causa subjacente. Ela apenas encaminha a constatação para outro órgão (SAES/MS) para adoção de procedimentos conforme normativos citados, sem detalhar quais ações devem ser tomadas.</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66"/>
    <w:bookmarkStart w:id="367" w:name="auditoria-19439-constatação-nº-663790"/>
    <w:p>
      <w:pPr>
        <w:pStyle w:val="907"/>
      </w:pPr>
      <w:r>
        <w:t xml:space="preserve">13.0.3.37 Auditoria 19439, Constatação Nº 663790</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O Município de Santa Quitéria do Maranhão não possui Setor de Controle, Avaliação e Monitoramento das ações e serviços de saúde implantado e organizado, não havendo acompanhamento e análise da produção ambulatorial e hospitalar informados nos Sistemas de Informação Ambulatorial e Hospitalar - SIA/SIH/SUS, pela gestão municipal de saúde.</w:t>
      </w:r>
    </w:p>
    <w:p>
      <w:pPr>
        <w:pStyle w:val="937"/>
      </w:pPr>
      <w:r>
        <w:rPr>
          <w:b/>
          <w:bCs/>
        </w:rPr>
        <w:t xml:space="preserve">Recomendação</w:t>
      </w:r>
      <w:r>
        <w:t xml:space="preserve">: Cumprir com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os incisos I e II, do Art. 295 da Portaria de Consolidação GM/MS nº 01, de 28/09/2017, que define a sistemática de alimentação dos Bancos de Dados Nacionais dos Sistemas de Informação em Saúde SIA, SIH e SCNES.</w:t>
      </w:r>
    </w:p>
    <w:p>
      <w:pPr>
        <w:pStyle w:val="937"/>
      </w:pPr>
      <w:r>
        <w:rPr>
          <w:b/>
          <w:bCs/>
        </w:rPr>
        <w:t xml:space="preserve">Análise Codificação</w:t>
      </w:r>
      <w:r>
        <w:t xml:space="preserve">: A recomendação se limita a citar dispositivos legais e normativos que devem ser cumpridos, sem propor ações específicas para implementar um Setor de Controle, Avaliação e Monitoramento ou para corrigir a falta de acompanhamento da produção ambulatorial e hospitalar. Não há menção a ações concretas para resolver a condição encontrada ou para tratar suas causas subjacentes.</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67"/>
    <w:bookmarkStart w:id="368" w:name="auditoria-19616-constatação-nº-676190"/>
    <w:p>
      <w:pPr>
        <w:pStyle w:val="907"/>
      </w:pPr>
      <w:r>
        <w:t xml:space="preserve">13.0.3.38 Auditoria 19616, Constatação Nº 676190</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contratos com agências de turismos para prestação de serviços referentes à aquisição de passagens aéreas e de hospedagem para atendimento ao Convênio nº 878450/2018.</w:t>
      </w:r>
    </w:p>
    <w:p>
      <w:pPr>
        <w:pStyle w:val="937"/>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937"/>
      </w:pPr>
      <w:r>
        <w:rPr>
          <w:b/>
          <w:bCs/>
        </w:rPr>
        <w:t xml:space="preserve">Análise Codificação</w:t>
      </w:r>
      <w:r>
        <w:t xml:space="preserve">: A recomendação solicita apenas a apresentação de justificativas para a ausência de contratos, sem propor ações para resolver a condição encontrada ou endereçar suas causas subjacentes. Portanto, não há uma recomendação de ação corretiva ou foco na causa, sendo apenas uma solicitação de informação.</w:t>
      </w:r>
    </w:p>
    <w:p>
      <w:pPr>
        <w:pStyle w:val="937"/>
      </w:pPr>
      <w:r>
        <w:t xml:space="preserve">Ação Corretiva: Não</w:t>
      </w:r>
    </w:p>
    <w:p>
      <w:pPr>
        <w:pStyle w:val="937"/>
      </w:pPr>
      <w:r>
        <w:t xml:space="preserve">Ação Foco Causa: Não</w:t>
      </w:r>
    </w:p>
    <w:p>
      <w:pPr>
        <w:pStyle w:val="937"/>
      </w:pPr>
      <w:r>
        <w:t xml:space="preserve">Efeitos Duradouros: Não se aplica</w:t>
      </w:r>
    </w:p>
    <w:bookmarkEnd w:id="368"/>
    <w:bookmarkStart w:id="369" w:name="auditoria-19885-constatação-nº-702195"/>
    <w:p>
      <w:pPr>
        <w:pStyle w:val="907"/>
      </w:pPr>
      <w:r>
        <w:t xml:space="preserve">13.0.3.39 Auditoria 19885, Constatação Nº 702195</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Há inconsistência na codificação do procedimento sequencial em oncologia, nos casos de mastectomia radical.</w:t>
      </w:r>
    </w:p>
    <w:p>
      <w:pPr>
        <w:pStyle w:val="937"/>
      </w:pPr>
      <w:r>
        <w:rPr>
          <w:b/>
          <w:bCs/>
        </w:rPr>
        <w:t xml:space="preserve">Recomendação</w:t>
      </w:r>
      <w:r>
        <w:t xml:space="preserve">: À Secretaria de Estado da Saúde de São Paulo/SP para conhecimento e adoção de providências para cobrança aos responsáveis identificados nesta constatação com vistas à devolução dos recursos federais ao Fundo Nacional de Saúde - FNS/SE/MS, no montante de R$ 58.389,45 (cinquenta e oito mil, trezentos e oitenta e nove reais e quarenta e cinco centavos), decorrentes de pagamentos de procedimentos em desacordo com os comprovados nos prontuários dos pacientes, conforme indicado na Proposição de Devolução, parte integrante desta Auditoria, com os devidos acréscimos legais, nos termos do disposto nos itens 9.4 e 9.5 do Acórdão TCU nº 785/2018 - Plenário, combinado com o art. 93 do Decreto Lei nº 200, de 25/02/1967, que disciplinam sobre a obrigatoriedade, de quem quer que utilize dinheiros públicos, de justificar seu bom e regular emprego na conformidade das leis, regulamentos e normas emanadas das autoridades administrativas competentes, bem como o art. 63 da Lei nº 4.320, de 17/03/1964.</w:t>
      </w:r>
    </w:p>
    <w:p>
      <w:pPr>
        <w:pStyle w:val="937"/>
      </w:pPr>
      <w:r>
        <w:rPr>
          <w:b/>
          <w:bCs/>
        </w:rPr>
        <w:t xml:space="preserve">Análise Codificação</w:t>
      </w:r>
      <w:r>
        <w:t xml:space="preserve">: A recomendação sugere uma ação corretiva específica para resolver a condição encontrada, que é a devolução dos recursos federais pagos indevidamente devido à inconsistência na codificação do procedimento sequencial em oncologia. No entanto, a recomendação não propõe ações para corrigir a causa subjacente que levou à inconsistência na codificação, limitando-se a citar o cumprimento de normativos gerais sem especificar medidas concretas para prevenir a recorrência do problema.</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69"/>
    <w:bookmarkStart w:id="370" w:name="auditoria-19797-constatação-nº-691573"/>
    <w:p>
      <w:pPr>
        <w:pStyle w:val="907"/>
      </w:pPr>
      <w:r>
        <w:t xml:space="preserve">13.0.3.40 Auditoria 19797, Constatação Nº 691573</w:t>
      </w:r>
    </w:p>
    <w:p>
      <w:pPr>
        <w:pStyle w:val="937"/>
      </w:pPr>
      <w:r>
        <w:rPr>
          <w:b/>
          <w:bCs/>
        </w:rPr>
        <w:t xml:space="preserve">Finalidade</w:t>
      </w:r>
      <w:r>
        <w:t xml:space="preserve">: Verificar se a SEMSA possui controles internos capazes de assegurar adequadamente a Cadeia de Frio.</w:t>
      </w:r>
    </w:p>
    <w:p>
      <w:pPr>
        <w:pStyle w:val="937"/>
      </w:pPr>
      <w:r>
        <w:rPr>
          <w:b/>
          <w:bCs/>
        </w:rPr>
        <w:t xml:space="preserve">Constatação</w:t>
      </w:r>
      <w:r>
        <w:t xml:space="preserve">: A estrutura física da CMRF não atende aos requisitos mínimos para manutenção da cadeia de frio, conforme preconizado pelo Programa Nacional de Imunizações.</w:t>
      </w:r>
    </w:p>
    <w:p>
      <w:pPr>
        <w:pStyle w:val="937"/>
      </w:pPr>
      <w:r>
        <w:rPr>
          <w:b/>
          <w:bCs/>
        </w:rPr>
        <w:t xml:space="preserve">Recomendação</w:t>
      </w:r>
      <w:r>
        <w:t xml:space="preserve">: Providenciar adequações da estrutura física da CMRF, conforme parâmetros preconizdos nos Subitem 3.1.4, Item 3, pág. 20 e Item 8, pág. 88 a 116 do Manual de Rede Frio do PNI, 2017.</w:t>
      </w:r>
    </w:p>
    <w:p>
      <w:pPr>
        <w:pStyle w:val="937"/>
      </w:pPr>
      <w:r>
        <w:rPr>
          <w:b/>
          <w:bCs/>
        </w:rPr>
        <w:t xml:space="preserve">Análise Codificação</w:t>
      </w:r>
      <w:r>
        <w:t xml:space="preserve">: A recomendação propõe adequações físicas na CMRF para corrigir a condição de não conformidade com os requisitos mínimos da cadeia de frio, focando na correção imediata da estrutura. No entanto, não há menção a ações adicionais que abordem a causa subjacente, como falhas em processos de manutenção ou supervisão, limitando-se ao cumprimento de normativos específicos sem propor medidas preventivas duradouras.</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70"/>
    <w:bookmarkStart w:id="371" w:name="auditoria-19863-constatação-nº-703409"/>
    <w:p>
      <w:pPr>
        <w:pStyle w:val="907"/>
      </w:pPr>
      <w:r>
        <w:t xml:space="preserve">13.0.3.41 Auditoria 19863, Constatação Nº 703409</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Não foi localizada documentação que comprove a realização de visita técnica aos Hospitais de Porte I, II e III, por parte da SES/TO, com o objetivo de verificar a implementação dos protocolos e normas.</w:t>
      </w:r>
    </w:p>
    <w:p>
      <w:pPr>
        <w:pStyle w:val="937"/>
      </w:pPr>
      <w:r>
        <w:rPr>
          <w:b/>
          <w:bCs/>
        </w:rPr>
        <w:t xml:space="preserve">Recomendação</w:t>
      </w:r>
      <w:r>
        <w:t xml:space="preserve">: Comprovar a realização de visita técnica aos Hospitais de Porte I (Hospital Regional de Alvorada, Araguaçu, Arapoema, Arraias, Pedro Afonso e Xambioá), Porte II Hospital Regional de Augustinópolis, Dianópolis, Guaraí, Miracema, Paraíso, Porto Nacional e no Hospital e Maternidade Tia Dedé), Porte III (Hospital Geral de Palmas, Araguaína, Gurupi e no Hospital e Maternidade Dona Regina), com o objetivo de verificar a implementação dos protocolos e normas. Caso ainda não tenha sido realizada, deve-se providenciar as visitas técnicas, conforme acordado no item 5.1 do Plano de Ação SES/TO 2022 (Auditoria 1).</w:t>
      </w:r>
    </w:p>
    <w:p>
      <w:pPr>
        <w:pStyle w:val="937"/>
      </w:pPr>
      <w:r>
        <w:rPr>
          <w:b/>
          <w:bCs/>
        </w:rPr>
        <w:t xml:space="preserve">Análise Codificação</w:t>
      </w:r>
      <w:r>
        <w:t xml:space="preserve">: A recomendação sugere uma ação para resolver a condição encontrada, que é a falta de comprovação da realização de visitas técnicas, ao recomendar que se comprove ou providencie essas visitas. No entanto, a ação proposta é focada apenas em corrigir a condição imediata (realizar as visitas) e em cumprir o que está estabelecido no Plano de Ação, sem propor medidas adicionais para abordar a causa subjacente que permitiu a não realização das visitas, como falhas em processos de monitoramento ou gestão.</w:t>
      </w:r>
    </w:p>
    <w:p>
      <w:pPr>
        <w:pStyle w:val="937"/>
      </w:pPr>
      <w:r>
        <w:t xml:space="preserve">Ação Corretiva: Sim</w:t>
      </w:r>
    </w:p>
    <w:p>
      <w:pPr>
        <w:pStyle w:val="937"/>
      </w:pPr>
      <w:r>
        <w:t xml:space="preserve">Ação Foco Causa: Não</w:t>
      </w:r>
    </w:p>
    <w:p>
      <w:pPr>
        <w:pStyle w:val="937"/>
      </w:pPr>
      <w:r>
        <w:t xml:space="preserve">Efeitos Duradouros: Não se aplica</w:t>
      </w:r>
    </w:p>
    <w:bookmarkEnd w:id="371"/>
    <w:bookmarkStart w:id="372" w:name="auditoria-19513-constatação-nº-671418"/>
    <w:p>
      <w:pPr>
        <w:pStyle w:val="907"/>
      </w:pPr>
      <w:r>
        <w:t xml:space="preserve">13.0.3.42 Auditoria 19513, Constatação Nº 671418</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A Secretaria Municipal de Saúde de Poção de Pedras nos exercícios de 2020 e 2021 inseriu dados no Sistema de Informações Ambulatoriais (SIA/SUS) para os procedimentos Consulta de profissionais de nível superior na Atenção Especializada (exceto médico), Código 03.01.01.004-8, Consulta Médica em Atenção Especializada, Código 03.01.01.007-2, Atendimento de Urgência com Observação até 24 horas em Atenção Especializada, Código 03.01.06.002-9 e Atendimento de Urgência em Atenção Especializada, Código 03.01.06.006-1, que não correspondem à quantidade encontrada nos registros do Hospital Maternidade Agostinho Cruz Marques.</w:t>
      </w:r>
    </w:p>
    <w:p>
      <w:pPr>
        <w:pStyle w:val="937"/>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937"/>
      </w:pPr>
      <w:r>
        <w:rPr>
          <w:b/>
          <w:bCs/>
        </w:rPr>
        <w:t xml:space="preserve">Análise Codificação</w:t>
      </w:r>
      <w:r>
        <w:t xml:space="preserve">: A recomendação não propõe ações específicas para corrigir a condição encontrada ou endereçar suas causas, limitando-se a informar a constatação e sugerir que a SAES/MS adote procedimentos conforme um decreto, sem detalhar ações concretas. Portanto, não há uma recomendação de fato para avaliação dos critérios.</w:t>
      </w:r>
    </w:p>
    <w:p>
      <w:pPr>
        <w:pStyle w:val="937"/>
      </w:pPr>
      <w:r>
        <w:t xml:space="preserve">Ação Corretiva: Não se aplica</w:t>
      </w:r>
    </w:p>
    <w:p>
      <w:pPr>
        <w:pStyle w:val="937"/>
      </w:pPr>
      <w:r>
        <w:t xml:space="preserve">Ação Foco Causa: Não se aplica</w:t>
      </w:r>
    </w:p>
    <w:p>
      <w:pPr>
        <w:pStyle w:val="937"/>
      </w:pPr>
      <w:r>
        <w:t xml:space="preserve">Efeitos Duradouros: Não se aplica</w:t>
      </w:r>
    </w:p>
    <w:bookmarkEnd w:id="372"/>
    <w:bookmarkStart w:id="373" w:name="auditoria-19590-constatação-nº-684816-2"/>
    <w:p>
      <w:pPr>
        <w:pStyle w:val="907"/>
      </w:pPr>
      <w:r>
        <w:t xml:space="preserve">13.0.3.43 Auditoria 19590, Constatação Nº 684816</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937"/>
      </w:pPr>
      <w:r>
        <w:rPr>
          <w:b/>
          <w:bCs/>
        </w:rPr>
        <w:t xml:space="preserve">Recomendação</w:t>
      </w:r>
      <w:r>
        <w:t xml:space="preserve">: Recomendação descrita na Constatação n.° 684813.</w:t>
      </w:r>
    </w:p>
    <w:p>
      <w:pPr>
        <w:pStyle w:val="937"/>
      </w:pPr>
      <w:r>
        <w:rPr>
          <w:b/>
          <w:bCs/>
        </w:rPr>
        <w:t xml:space="preserve">Análise Codificação</w:t>
      </w:r>
      <w:r>
        <w:t xml:space="preserve">: A recomendação não foi fornecida diretamente no texto, sendo apenas referenciada a outra constatação. Portanto, não é possível avaliar os critérios com base nas informações disponíveis.</w:t>
      </w:r>
    </w:p>
    <w:p>
      <w:pPr>
        <w:pStyle w:val="937"/>
      </w:pPr>
      <w:r>
        <w:t xml:space="preserve">Ação Corretiva: Não se aplica</w:t>
      </w:r>
    </w:p>
    <w:p>
      <w:pPr>
        <w:pStyle w:val="937"/>
      </w:pPr>
      <w:r>
        <w:t xml:space="preserve">Ação Foco Causa: Não se aplica</w:t>
      </w:r>
    </w:p>
    <w:p>
      <w:pPr>
        <w:pStyle w:val="937"/>
      </w:pPr>
      <w:r>
        <w:t xml:space="preserve">Efeitos Duradouros: Não se aplica</w:t>
      </w:r>
    </w:p>
    <w:p>
      <w:r>
        <w:br w:type="page"/>
      </w:r>
    </w:p>
    <w:bookmarkEnd w:id="373"/>
    <w:bookmarkEnd w:id="374"/>
    <w:bookmarkEnd w:id="375"/>
    <w:bookmarkStart w:id="594" w:name="X5b98ee7e3ab227318ad78875e6cf55c2f7f9d9b"/>
    <w:p>
      <w:pPr>
        <w:pStyle w:val="904"/>
      </w:pPr>
      <w:r>
        <w:t xml:space="preserve">14. Apêndice H — Prompt de Codificação — Tentativa 6</w:t>
      </w:r>
    </w:p>
    <w:bookmarkStart w:id="376" w:name="prompt-5"/>
    <w:p>
      <w:pPr>
        <w:pStyle w:val="906"/>
      </w:pPr>
      <w:r>
        <w:t xml:space="preserve">14.0.1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O objetivo do trabalho consiste em etiquetar as recomendações por área de processo.</w:t>
      </w:r>
      <w:r>
        <w:br/>
      </w:r>
      <w:r>
        <w:br/>
      </w:r>
      <w:r>
        <w:rPr>
          <w:rStyle w:val="949"/>
        </w:rPr>
        <w:t xml:space="preserve">Para tanto, usuário pesquisador irá fornecer uma breve descrição da finalidade do trabalho de auditoria realizado, a constatação que motivou a emissão da recomendação e a própria recomendação e o seu trabalho será analisar as ações propostas e propor etiquetas para as mesmas.</w:t>
      </w:r>
      <w:r>
        <w:br/>
      </w:r>
      <w:r>
        <w:br/>
      </w:r>
      <w:r>
        <w:rPr>
          <w:rStyle w:val="949"/>
        </w:rPr>
        <w:t xml:space="preserve">Sua função é sugerir uma etiqueta para a recomendação informada. </w:t>
      </w:r>
      <w:r>
        <w:br/>
      </w:r>
      <w:r>
        <w:br/>
      </w:r>
      <w:r>
        <w:rPr>
          <w:rStyle w:val="949"/>
        </w:rPr>
        <w:t xml:space="preserve">As etiquetas abaixo já foram detectadas em rodadas anteriores. Se alguma delas se aplicar ao caso, use-a.</w:t>
      </w:r>
      <w:r>
        <w:br/>
      </w:r>
      <w:r>
        <w:br/>
      </w:r>
      <w:r>
        <w:rPr>
          <w:rStyle w:val="949"/>
        </w:rPr>
        <w:t xml:space="preserve">- Responsabilização</w:t>
      </w:r>
      <w:r>
        <w:br/>
      </w:r>
      <w:r>
        <w:rPr>
          <w:rStyle w:val="949"/>
        </w:rPr>
        <w:t xml:space="preserve">- Articulação institucional </w:t>
      </w:r>
      <w:r>
        <w:br/>
      </w:r>
      <w:r>
        <w:rPr>
          <w:rStyle w:val="949"/>
        </w:rPr>
        <w:t xml:space="preserve">- Governança e estrutura organizacional</w:t>
      </w:r>
      <w:r>
        <w:br/>
      </w:r>
      <w:r>
        <w:rPr>
          <w:rStyle w:val="949"/>
        </w:rPr>
        <w:t xml:space="preserve">- Estrutura física</w:t>
      </w:r>
      <w:r>
        <w:br/>
      </w:r>
      <w:r>
        <w:rPr>
          <w:rStyle w:val="949"/>
        </w:rPr>
        <w:t xml:space="preserve">- Gestão orçamentária e financeira</w:t>
      </w:r>
      <w:r>
        <w:br/>
      </w:r>
      <w:r>
        <w:rPr>
          <w:rStyle w:val="949"/>
        </w:rPr>
        <w:t xml:space="preserve">- Gestão de operações</w:t>
      </w:r>
      <w:r>
        <w:br/>
      </w:r>
      <w:r>
        <w:rPr>
          <w:rStyle w:val="949"/>
        </w:rPr>
        <w:t xml:space="preserve">- Gestão de pessoas e capacitação </w:t>
      </w:r>
      <w:r>
        <w:br/>
      </w:r>
      <w:r>
        <w:rPr>
          <w:rStyle w:val="949"/>
        </w:rPr>
        <w:t xml:space="preserve">- Gestão de contratos, convênios e parceiras</w:t>
      </w:r>
      <w:r>
        <w:br/>
      </w:r>
      <w:r>
        <w:rPr>
          <w:rStyle w:val="949"/>
        </w:rPr>
        <w:t xml:space="preserve">- Gestão de patrimônio</w:t>
      </w:r>
      <w:r>
        <w:br/>
      </w:r>
      <w:r>
        <w:rPr>
          <w:rStyle w:val="949"/>
        </w:rPr>
        <w:t xml:space="preserve">- Gestão de recursos materiais</w:t>
      </w:r>
      <w:r>
        <w:br/>
      </w:r>
      <w:r>
        <w:rPr>
          <w:rStyle w:val="949"/>
        </w:rPr>
        <w:t xml:space="preserve">- Gestão de projetos</w:t>
      </w:r>
      <w:r>
        <w:br/>
      </w:r>
      <w:r>
        <w:rPr>
          <w:rStyle w:val="949"/>
        </w:rPr>
        <w:t xml:space="preserve">- Gestão de dados e informações </w:t>
      </w:r>
      <w:r>
        <w:br/>
      </w:r>
      <w:r>
        <w:rPr>
          <w:rStyle w:val="949"/>
        </w:rPr>
        <w:t xml:space="preserve">- Gestão de contratualização</w:t>
      </w:r>
      <w:r>
        <w:br/>
      </w:r>
      <w:r>
        <w:rPr>
          <w:rStyle w:val="949"/>
        </w:rPr>
        <w:t xml:space="preserve">- Atendimento de Solicitação da Auditoria</w:t>
      </w:r>
      <w:r>
        <w:br/>
      </w:r>
      <w:r>
        <w:br/>
      </w:r>
      <w:r>
        <w:rPr>
          <w:rStyle w:val="949"/>
        </w:rPr>
        <w:t xml:space="preserve">Instruções importantes para a atribuição das etiquetas:</w:t>
      </w:r>
      <w:r>
        <w:br/>
      </w:r>
      <w:r>
        <w:br/>
      </w:r>
      <w:r>
        <w:rPr>
          <w:rStyle w:val="949"/>
        </w:rPr>
        <w:t xml:space="preserve">- Caso o texto fornecido não seja uma recomendação de fato, sugira "Não se aplica".</w:t>
      </w:r>
      <w:r>
        <w:br/>
      </w:r>
      <w:r>
        <w:rPr>
          <w:rStyle w:val="949"/>
        </w:rPr>
        <w:t xml:space="preserve">- A ausência de um contrato para executar uma determinada atividade necessária não é gestão de contratos. Deve ser classificado de acordo com a área que o contrato deveria atender. Por exemplo, se a recomendação falar da ausência de um contrato de manutenção predial, isso é Gestão de Patrimônio. Se for sobre ausência de contrato para transporte de pacientes, é "Gestão de operações" e assim por diante.</w:t>
      </w:r>
      <w:r>
        <w:br/>
      </w:r>
      <w:r>
        <w:rPr>
          <w:rStyle w:val="949"/>
        </w:rPr>
        <w:t xml:space="preserve">- Uma recomendação que solicite que determinado ente apresente documento solicitado pela Auditoria não é "Articulação institucional". Da mesma forma, uma recomendação cuja constatação é a falta de comprovação de cumprimento de outra recomendação emitida anteriormente também não é "Articulação institucional". Ambas são "Atendimento de Solicitação da Auditoria".</w:t>
      </w:r>
      <w:r>
        <w:br/>
      </w:r>
      <w:r>
        <w:rPr>
          <w:rStyle w:val="949"/>
        </w:rPr>
        <w:t xml:space="preserve">- Recomendações que dizem respeito à necessidade de se adequar espaços físicos através de obras e reformas devem ser etiquetados como "Estrutura física".</w:t>
      </w:r>
      <w:r>
        <w:br/>
      </w:r>
      <w:r>
        <w:rPr>
          <w:rStyle w:val="949"/>
        </w:rPr>
        <w:t xml:space="preserve">- A etiqueta "Articulação institucional" se destina a recomendações para realização de reuniões, debates e demais articulações para execução de políticas públicas de saúde.</w:t>
      </w:r>
      <w:r>
        <w:br/>
      </w:r>
      <w:r>
        <w:rPr>
          <w:rStyle w:val="949"/>
        </w:rPr>
        <w:t xml:space="preserve">- Recomendações para apuração de prejuízo, devolução de valores, encaminhamento para órãos de controle, polícias e ministério público são devem ser etiquetadas como "Responsabilização".</w:t>
      </w:r>
      <w:r>
        <w:br/>
      </w:r>
      <w:r>
        <w:rPr>
          <w:rStyle w:val="949"/>
        </w:rPr>
        <w:t xml:space="preserve">- A "Gestão da contratualização" tem etiqueta própria que não deve ser tratada como "Gestão de contratos, convênios e parcerias". A contratualização se refere especificamente ao processo pelo qual o gestor do SUS e o representante legal do hospital público ou privado estabelecem obrigações e metas quantitativas e qualitativas de atenção à saúde e de gestão hospitalar, formalizadas por meio de um instrumento contratual. Quando se falar da estão desses tipos de instrumento, etiquete como "Gestão da contratualização".</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"Etiqueta": "..."</w:t>
      </w:r>
      <w:r>
        <w:br/>
      </w:r>
      <w:r>
        <w:rPr>
          <w:rStyle w:val="949"/>
        </w:rPr>
        <w:t xml:space="preserve">} </w:t>
      </w:r>
    </w:p>
    <w:bookmarkEnd w:id="376"/>
    <w:bookmarkStart w:id="377" w:name="resultados-5"/>
    <w:p>
      <w:pPr>
        <w:pStyle w:val="906"/>
      </w:pPr>
      <w:r>
        <w:t xml:space="preserve">14.0.2 Resultados</w:t>
      </w:r>
    </w:p>
    <w:tbl>
      <w:tblPr>
        <w:tblStyle w:val="Table"/>
        <w:tblW w:type="pct" w:w="4868"/>
        <w:tblLayout w:type="fixed"/>
        <w:tblLook w:firstRow="1" w:lastRow="0" w:firstColumn="0" w:lastColumn="0" w:noHBand="0" w:noVBand="0" w:val="0020"/>
      </w:tblPr>
      <w:tblGrid>
        <w:gridCol w:w="5627"/>
        <w:gridCol w:w="1042"/>
        <w:gridCol w:w="1042"/>
      </w:tblGrid>
      <w:tr>
        <w:trPr>
          <w:tblHeader w:val="on"/>
        </w:trPr>
        <w:tc>
          <w:tcPr/>
          <w:p>
            <w:pPr>
              <w:pStyle w:val="918"/>
              <w:jc w:val="left"/>
            </w:pPr>
            <w:r>
              <w:t xml:space="preserve">Etiqueta Nova</w:t>
            </w:r>
          </w:p>
        </w:tc>
        <w:tc>
          <w:tcPr/>
          <w:p>
            <w:pPr>
              <w:pStyle w:val="918"/>
              <w:jc w:val="right"/>
            </w:pPr>
            <w:r>
              <w:t xml:space="preserve">Total</w:t>
            </w:r>
          </w:p>
        </w:tc>
        <w:tc>
          <w:tcPr/>
          <w:p>
            <w:pPr>
              <w:pStyle w:val="918"/>
              <w:jc w:val="right"/>
            </w:pPr>
            <w:r>
              <w:t xml:space="preserve">%</w:t>
            </w:r>
          </w:p>
        </w:tc>
      </w:tr>
      <w:tr>
        <w:tc>
          <w:tcPr/>
          <w:p>
            <w:pPr>
              <w:pStyle w:val="918"/>
              <w:jc w:val="left"/>
            </w:pPr>
            <w:r>
              <w:t xml:space="preserve">Gestão de operações</w:t>
            </w:r>
          </w:p>
        </w:tc>
        <w:tc>
          <w:tcPr/>
          <w:p>
            <w:pPr>
              <w:pStyle w:val="918"/>
              <w:jc w:val="right"/>
            </w:pPr>
            <w:r>
              <w:t xml:space="preserve">49</w:t>
            </w:r>
          </w:p>
        </w:tc>
        <w:tc>
          <w:tcPr/>
          <w:p>
            <w:pPr>
              <w:pStyle w:val="918"/>
              <w:jc w:val="right"/>
            </w:pPr>
            <w:r>
              <w:t xml:space="preserve">24.5</w:t>
            </w:r>
          </w:p>
        </w:tc>
      </w:tr>
      <w:tr>
        <w:tc>
          <w:tcPr/>
          <w:p>
            <w:pPr>
              <w:pStyle w:val="918"/>
              <w:jc w:val="left"/>
            </w:pPr>
            <w:r>
              <w:t xml:space="preserve">Gestão de dados e informações</w:t>
            </w:r>
          </w:p>
        </w:tc>
        <w:tc>
          <w:tcPr/>
          <w:p>
            <w:pPr>
              <w:pStyle w:val="918"/>
              <w:jc w:val="right"/>
            </w:pPr>
            <w:r>
              <w:t xml:space="preserve">42</w:t>
            </w:r>
          </w:p>
        </w:tc>
        <w:tc>
          <w:tcPr/>
          <w:p>
            <w:pPr>
              <w:pStyle w:val="918"/>
              <w:jc w:val="right"/>
            </w:pPr>
            <w:r>
              <w:t xml:space="preserve">21.0</w:t>
            </w:r>
          </w:p>
        </w:tc>
      </w:tr>
      <w:tr>
        <w:tc>
          <w:tcPr/>
          <w:p>
            <w:pPr>
              <w:pStyle w:val="918"/>
              <w:jc w:val="left"/>
            </w:pPr>
            <w:r>
              <w:t xml:space="preserve">Responsabilização</w:t>
            </w:r>
          </w:p>
        </w:tc>
        <w:tc>
          <w:tcPr/>
          <w:p>
            <w:pPr>
              <w:pStyle w:val="918"/>
              <w:jc w:val="right"/>
            </w:pPr>
            <w:r>
              <w:t xml:space="preserve">26</w:t>
            </w:r>
          </w:p>
        </w:tc>
        <w:tc>
          <w:tcPr/>
          <w:p>
            <w:pPr>
              <w:pStyle w:val="918"/>
              <w:jc w:val="right"/>
            </w:pPr>
            <w:r>
              <w:t xml:space="preserve">13.0</w:t>
            </w:r>
          </w:p>
        </w:tc>
      </w:tr>
      <w:tr>
        <w:tc>
          <w:tcPr/>
          <w:p>
            <w:pPr>
              <w:pStyle w:val="918"/>
              <w:jc w:val="left"/>
            </w:pPr>
            <w:r>
              <w:t xml:space="preserve">Gestão de contratos, convênios e parceiras</w:t>
            </w:r>
          </w:p>
        </w:tc>
        <w:tc>
          <w:tcPr/>
          <w:p>
            <w:pPr>
              <w:pStyle w:val="918"/>
              <w:jc w:val="right"/>
            </w:pPr>
            <w:r>
              <w:t xml:space="preserve">26</w:t>
            </w:r>
          </w:p>
        </w:tc>
        <w:tc>
          <w:tcPr/>
          <w:p>
            <w:pPr>
              <w:pStyle w:val="918"/>
              <w:jc w:val="right"/>
            </w:pPr>
            <w:r>
              <w:t xml:space="preserve">13.0</w:t>
            </w:r>
          </w:p>
        </w:tc>
      </w:tr>
      <w:tr>
        <w:tc>
          <w:tcPr/>
          <w:p>
            <w:pPr>
              <w:pStyle w:val="918"/>
              <w:jc w:val="left"/>
            </w:pPr>
            <w:r>
              <w:t xml:space="preserve">Atendimento de solicitação da auditoria</w:t>
            </w:r>
          </w:p>
        </w:tc>
        <w:tc>
          <w:tcPr/>
          <w:p>
            <w:pPr>
              <w:pStyle w:val="918"/>
              <w:jc w:val="right"/>
            </w:pPr>
            <w:r>
              <w:t xml:space="preserve">14</w:t>
            </w:r>
          </w:p>
        </w:tc>
        <w:tc>
          <w:tcPr/>
          <w:p>
            <w:pPr>
              <w:pStyle w:val="918"/>
              <w:jc w:val="right"/>
            </w:pPr>
            <w:r>
              <w:t xml:space="preserve">7.0</w:t>
            </w:r>
          </w:p>
        </w:tc>
      </w:tr>
      <w:tr>
        <w:tc>
          <w:tcPr/>
          <w:p>
            <w:pPr>
              <w:pStyle w:val="918"/>
              <w:jc w:val="left"/>
            </w:pPr>
            <w:r>
              <w:t xml:space="preserve">Gestão de pessoas e capacitação</w:t>
            </w:r>
          </w:p>
        </w:tc>
        <w:tc>
          <w:tcPr/>
          <w:p>
            <w:pPr>
              <w:pStyle w:val="918"/>
              <w:jc w:val="right"/>
            </w:pPr>
            <w:r>
              <w:t xml:space="preserve">12</w:t>
            </w:r>
          </w:p>
        </w:tc>
        <w:tc>
          <w:tcPr/>
          <w:p>
            <w:pPr>
              <w:pStyle w:val="918"/>
              <w:jc w:val="right"/>
            </w:pPr>
            <w:r>
              <w:t xml:space="preserve">6.0</w:t>
            </w:r>
          </w:p>
        </w:tc>
      </w:tr>
      <w:tr>
        <w:tc>
          <w:tcPr/>
          <w:p>
            <w:pPr>
              <w:pStyle w:val="918"/>
              <w:jc w:val="left"/>
            </w:pPr>
            <w:r>
              <w:t xml:space="preserve">Estrutura física</w:t>
            </w:r>
          </w:p>
        </w:tc>
        <w:tc>
          <w:tcPr/>
          <w:p>
            <w:pPr>
              <w:pStyle w:val="918"/>
              <w:jc w:val="right"/>
            </w:pPr>
            <w:r>
              <w:t xml:space="preserve">6</w:t>
            </w:r>
          </w:p>
        </w:tc>
        <w:tc>
          <w:tcPr/>
          <w:p>
            <w:pPr>
              <w:pStyle w:val="918"/>
              <w:jc w:val="right"/>
            </w:pPr>
            <w:r>
              <w:t xml:space="preserve">3.0</w:t>
            </w:r>
          </w:p>
        </w:tc>
      </w:tr>
      <w:tr>
        <w:tc>
          <w:tcPr/>
          <w:p>
            <w:pPr>
              <w:pStyle w:val="918"/>
              <w:jc w:val="left"/>
            </w:pPr>
            <w:r>
              <w:t xml:space="preserve">Governança e estrutura organizacional</w:t>
            </w:r>
          </w:p>
        </w:tc>
        <w:tc>
          <w:tcPr/>
          <w:p>
            <w:pPr>
              <w:pStyle w:val="918"/>
              <w:jc w:val="right"/>
            </w:pPr>
            <w:r>
              <w:t xml:space="preserve">6</w:t>
            </w:r>
          </w:p>
        </w:tc>
        <w:tc>
          <w:tcPr/>
          <w:p>
            <w:pPr>
              <w:pStyle w:val="918"/>
              <w:jc w:val="right"/>
            </w:pPr>
            <w:r>
              <w:t xml:space="preserve">3.0</w:t>
            </w:r>
          </w:p>
        </w:tc>
      </w:tr>
      <w:tr>
        <w:tc>
          <w:tcPr/>
          <w:p>
            <w:pPr>
              <w:pStyle w:val="918"/>
              <w:jc w:val="left"/>
            </w:pPr>
            <w:r>
              <w:t xml:space="preserve">Gestão da contratualização</w:t>
            </w:r>
          </w:p>
        </w:tc>
        <w:tc>
          <w:tcPr/>
          <w:p>
            <w:pPr>
              <w:pStyle w:val="918"/>
              <w:jc w:val="right"/>
            </w:pPr>
            <w:r>
              <w:t xml:space="preserve">4</w:t>
            </w:r>
          </w:p>
        </w:tc>
        <w:tc>
          <w:tcPr/>
          <w:p>
            <w:pPr>
              <w:pStyle w:val="918"/>
              <w:jc w:val="right"/>
            </w:pPr>
            <w:r>
              <w:t xml:space="preserve">2.0</w:t>
            </w:r>
          </w:p>
        </w:tc>
      </w:tr>
      <w:tr>
        <w:tc>
          <w:tcPr/>
          <w:p>
            <w:pPr>
              <w:pStyle w:val="918"/>
              <w:jc w:val="left"/>
            </w:pPr>
            <w:r>
              <w:t xml:space="preserve">Gestão de recursos materiais</w:t>
            </w:r>
          </w:p>
        </w:tc>
        <w:tc>
          <w:tcPr/>
          <w:p>
            <w:pPr>
              <w:pStyle w:val="918"/>
              <w:jc w:val="right"/>
            </w:pPr>
            <w:r>
              <w:t xml:space="preserve">3</w:t>
            </w:r>
          </w:p>
        </w:tc>
        <w:tc>
          <w:tcPr/>
          <w:p>
            <w:pPr>
              <w:pStyle w:val="918"/>
              <w:jc w:val="right"/>
            </w:pPr>
            <w:r>
              <w:t xml:space="preserve">1.5</w:t>
            </w:r>
          </w:p>
        </w:tc>
      </w:tr>
      <w:tr>
        <w:tc>
          <w:tcPr/>
          <w:p>
            <w:pPr>
              <w:pStyle w:val="918"/>
              <w:jc w:val="left"/>
            </w:pPr>
            <w:r>
              <w:t xml:space="preserve">Gestão de contratos, convênios e parcerias</w:t>
            </w:r>
          </w:p>
        </w:tc>
        <w:tc>
          <w:tcPr/>
          <w:p>
            <w:pPr>
              <w:pStyle w:val="918"/>
              <w:jc w:val="right"/>
            </w:pPr>
            <w:r>
              <w:t xml:space="preserve">3</w:t>
            </w:r>
          </w:p>
        </w:tc>
        <w:tc>
          <w:tcPr/>
          <w:p>
            <w:pPr>
              <w:pStyle w:val="918"/>
              <w:jc w:val="right"/>
            </w:pPr>
            <w:r>
              <w:t xml:space="preserve">1.5</w:t>
            </w:r>
          </w:p>
        </w:tc>
      </w:tr>
      <w:tr>
        <w:tc>
          <w:tcPr/>
          <w:p>
            <w:pPr>
              <w:pStyle w:val="918"/>
              <w:jc w:val="left"/>
            </w:pPr>
            <w:r>
              <w:t xml:space="preserve">Gestão de patrimônio</w:t>
            </w:r>
          </w:p>
        </w:tc>
        <w:tc>
          <w:tcPr/>
          <w:p>
            <w:pPr>
              <w:pStyle w:val="918"/>
              <w:jc w:val="right"/>
            </w:pPr>
            <w:r>
              <w:t xml:space="preserve">3</w:t>
            </w:r>
          </w:p>
        </w:tc>
        <w:tc>
          <w:tcPr/>
          <w:p>
            <w:pPr>
              <w:pStyle w:val="918"/>
              <w:jc w:val="right"/>
            </w:pPr>
            <w:r>
              <w:t xml:space="preserve">1.5</w:t>
            </w:r>
          </w:p>
        </w:tc>
      </w:tr>
      <w:tr>
        <w:tc>
          <w:tcPr/>
          <w:p>
            <w:pPr>
              <w:pStyle w:val="918"/>
              <w:jc w:val="left"/>
            </w:pPr>
            <w:r>
              <w:t xml:space="preserve">Articulação institucional</w:t>
            </w:r>
          </w:p>
        </w:tc>
        <w:tc>
          <w:tcPr/>
          <w:p>
            <w:pPr>
              <w:pStyle w:val="918"/>
              <w:jc w:val="right"/>
            </w:pPr>
            <w:r>
              <w:t xml:space="preserve">3</w:t>
            </w:r>
          </w:p>
        </w:tc>
        <w:tc>
          <w:tcPr/>
          <w:p>
            <w:pPr>
              <w:pStyle w:val="918"/>
              <w:jc w:val="right"/>
            </w:pPr>
            <w:r>
              <w:t xml:space="preserve">1.5</w:t>
            </w:r>
          </w:p>
        </w:tc>
      </w:tr>
      <w:tr>
        <w:tc>
          <w:tcPr/>
          <w:p>
            <w:pPr>
              <w:pStyle w:val="918"/>
              <w:jc w:val="left"/>
            </w:pPr>
            <w:r>
              <w:t xml:space="preserve">Gestão orçamentária e financeira</w:t>
            </w:r>
          </w:p>
        </w:tc>
        <w:tc>
          <w:tcPr/>
          <w:p>
            <w:pPr>
              <w:pStyle w:val="918"/>
              <w:jc w:val="right"/>
            </w:pPr>
            <w:r>
              <w:t xml:space="preserve">2</w:t>
            </w:r>
          </w:p>
        </w:tc>
        <w:tc>
          <w:tcPr/>
          <w:p>
            <w:pPr>
              <w:pStyle w:val="918"/>
              <w:jc w:val="right"/>
            </w:pPr>
            <w:r>
              <w:t xml:space="preserve">1.0</w:t>
            </w:r>
          </w:p>
        </w:tc>
      </w:tr>
      <w:tr>
        <w:tc>
          <w:tcPr/>
          <w:p>
            <w:pPr>
              <w:pStyle w:val="918"/>
              <w:jc w:val="left"/>
            </w:pPr>
            <w:r>
              <w:t xml:space="preserve">Não se aplica</w:t>
            </w:r>
          </w:p>
        </w:tc>
        <w:tc>
          <w:tcPr/>
          <w:p>
            <w:pPr>
              <w:pStyle w:val="918"/>
              <w:jc w:val="right"/>
            </w:pPr>
            <w:r>
              <w:t xml:space="preserve">1</w:t>
            </w:r>
          </w:p>
        </w:tc>
        <w:tc>
          <w:tcPr/>
          <w:p>
            <w:pPr>
              <w:pStyle w:val="918"/>
              <w:jc w:val="right"/>
            </w:pPr>
            <w:r>
              <w:t xml:space="preserve">0.5</w:t>
            </w:r>
          </w:p>
        </w:tc>
      </w:tr>
    </w:tbl>
    <w:bookmarkEnd w:id="377"/>
    <w:bookmarkStart w:id="378" w:name="listagem-6"/>
    <w:p>
      <w:pPr>
        <w:pStyle w:val="906"/>
      </w:pPr>
      <w:r>
        <w:t xml:space="preserve">14.0.3 Listagem</w:t>
      </w:r>
    </w:p>
    <w:bookmarkEnd w:id="378"/>
    <w:bookmarkStart w:id="405" w:name="responsabilização"/>
    <w:p>
      <w:pPr>
        <w:pStyle w:val="906"/>
      </w:pPr>
      <w:r>
        <w:t xml:space="preserve">14.0.4 Responsabilização</w:t>
      </w:r>
    </w:p>
    <w:bookmarkStart w:id="379" w:name="auditoria-18714-constatação-nº-671370-1"/>
    <w:p>
      <w:pPr>
        <w:pStyle w:val="907"/>
      </w:pPr>
      <w:r>
        <w:t xml:space="preserve">14.0.4.1 Auditoria 18714, Constatação Nº 671370 (#1)</w:t>
      </w:r>
    </w:p>
    <w:p>
      <w:pPr>
        <w:pStyle w:val="937"/>
      </w:pPr>
      <w:r>
        <w:rPr>
          <w:b/>
          <w:bCs/>
        </w:rPr>
        <w:t xml:space="preserve">Grupo</w:t>
      </w:r>
      <w:r>
        <w:t xml:space="preserve">: Recursos Financeiros</w:t>
      </w:r>
    </w:p>
    <w:p>
      <w:pPr>
        <w:pStyle w:val="937"/>
      </w:pPr>
      <w:r>
        <w:rPr>
          <w:b/>
          <w:bCs/>
        </w:rPr>
        <w:t xml:space="preserve">Subgrupo</w:t>
      </w:r>
      <w:r>
        <w:t xml:space="preserve">: Execução Orçamentária</w:t>
      </w:r>
    </w:p>
    <w:p>
      <w:pPr>
        <w:pStyle w:val="937"/>
      </w:pPr>
      <w:r>
        <w:rPr>
          <w:b/>
          <w:bCs/>
        </w:rPr>
        <w:t xml:space="preserve">Item</w:t>
      </w:r>
      <w:r>
        <w:t xml:space="preserve">: Movimentação financeira</w:t>
      </w:r>
    </w:p>
    <w:p>
      <w:pPr>
        <w:pStyle w:val="937"/>
      </w:pPr>
      <w:r>
        <w:rPr>
          <w:b/>
          <w:bCs/>
        </w:rPr>
        <w:t xml:space="preserve">Constatação</w:t>
      </w:r>
      <w:r>
        <w:t xml:space="preserve">: A Secretaria Municipal de Saúde de Cabo Frio/RJ utilizou recursos federais de natureza econômica Corrente (Receita Corrente) para executar Despesas de Capital (Investimento).</w:t>
      </w:r>
    </w:p>
    <w:p>
      <w:pPr>
        <w:pStyle w:val="937"/>
      </w:pPr>
      <w:r>
        <w:rPr>
          <w:b/>
          <w:bCs/>
        </w:rPr>
        <w:t xml:space="preserve">Recomendação</w:t>
      </w:r>
      <w:r>
        <w:t xml:space="preserve">: Realizar o acompanhamento, bem como adotar medidas administrativas para efetiva recomposição pela Secretaria Municipal de Saúde de Cabo Frio/RJ, do próprio Fundo Municipal de Saúde, no valor de R$ 39.990,00 (trinta e nove mil novecentos e noventa reais), atualizado monetariamente, conforme determina o art. 3°, da Portaria n°885/GM/MS, de 04/05/2021.</w:t>
      </w:r>
    </w:p>
    <w:p>
      <w:pPr>
        <w:pStyle w:val="937"/>
      </w:pPr>
      <w:r>
        <w:rPr>
          <w:b/>
          <w:bCs/>
        </w:rPr>
        <w:t xml:space="preserve">Etiqueta Antiga</w:t>
      </w:r>
      <w:r>
        <w:t xml:space="preserve">: Prejuízo e restituição</w:t>
      </w:r>
    </w:p>
    <w:bookmarkEnd w:id="379"/>
    <w:bookmarkStart w:id="380" w:name="auditoria-19197-constatação-nº-654741-1"/>
    <w:p>
      <w:pPr>
        <w:pStyle w:val="907"/>
      </w:pPr>
      <w:r>
        <w:t xml:space="preserve">14.0.4.2 Auditoria 19197, Constatação Nº 654741 (#1)</w:t>
      </w:r>
    </w:p>
    <w:p>
      <w:pPr>
        <w:pStyle w:val="937"/>
      </w:pPr>
      <w:r>
        <w:rPr>
          <w:b/>
          <w:bCs/>
        </w:rPr>
        <w:t xml:space="preserve">Grupo</w:t>
      </w:r>
      <w:r>
        <w:t xml:space="preserve">: Recursos Financeiros</w:t>
      </w:r>
    </w:p>
    <w:p>
      <w:pPr>
        <w:pStyle w:val="937"/>
      </w:pPr>
      <w:r>
        <w:rPr>
          <w:b/>
          <w:bCs/>
        </w:rPr>
        <w:t xml:space="preserve">Subgrupo</w:t>
      </w:r>
      <w:r>
        <w:t xml:space="preserve">: Licitação</w:t>
      </w:r>
    </w:p>
    <w:p>
      <w:pPr>
        <w:pStyle w:val="937"/>
      </w:pPr>
      <w:r>
        <w:rPr>
          <w:b/>
          <w:bCs/>
        </w:rPr>
        <w:t xml:space="preserve">Item</w:t>
      </w:r>
      <w:r>
        <w:t xml:space="preserve">: Procedimento</w:t>
      </w:r>
    </w:p>
    <w:p>
      <w:pPr>
        <w:pStyle w:val="937"/>
      </w:pPr>
      <w:r>
        <w:rPr>
          <w:b/>
          <w:bCs/>
        </w:rPr>
        <w:t xml:space="preserve">Constatação</w:t>
      </w:r>
      <w:r>
        <w:t xml:space="preserve">: O HFI executou pagamento em favor da empresa Implantar Comércio de Material Médico Hospitalar Ltda, por valores superiores aos registrados em Ata de Registro de Preços.</w:t>
      </w:r>
    </w:p>
    <w:p>
      <w:pPr>
        <w:pStyle w:val="937"/>
      </w:pPr>
      <w:r>
        <w:rPr>
          <w:b/>
          <w:bCs/>
        </w:rPr>
        <w:t xml:space="preserve">Recomendação</w:t>
      </w:r>
      <w:r>
        <w:t xml:space="preserve">: Efetuar a recomposição ao Fundo Nacional de Saúde, no valor de R$ 75.000,00 (setenta e cinco mil reais) atualizados monetariamente e com os acréscimos legais, conforme indicativo na Planilha de Proposição de Devolução parte integrante deste Relatório, em cumprimento ao exposto ao parágrafo único do art. 70 da Constituição Federal.</w:t>
      </w:r>
    </w:p>
    <w:p>
      <w:pPr>
        <w:pStyle w:val="937"/>
      </w:pPr>
      <w:r>
        <w:rPr>
          <w:b/>
          <w:bCs/>
        </w:rPr>
        <w:t xml:space="preserve">Etiqueta Antiga</w:t>
      </w:r>
      <w:r>
        <w:t xml:space="preserve">: Prejuízo e restituição</w:t>
      </w:r>
    </w:p>
    <w:bookmarkEnd w:id="380"/>
    <w:bookmarkStart w:id="381" w:name="auditoria-19238-constatação-nº-654358-1"/>
    <w:p>
      <w:pPr>
        <w:pStyle w:val="907"/>
      </w:pPr>
      <w:r>
        <w:t xml:space="preserve">14.0.4.3 Auditoria 19238, Constatação Nº 654358 (#1)</w:t>
      </w:r>
    </w:p>
    <w:p>
      <w:pPr>
        <w:pStyle w:val="937"/>
      </w:pPr>
      <w:r>
        <w:rPr>
          <w:b/>
          <w:bCs/>
        </w:rPr>
        <w:t xml:space="preserve">Grupo</w:t>
      </w:r>
      <w:r>
        <w:t xml:space="preserve">: Recursos Financeiros</w:t>
      </w:r>
    </w:p>
    <w:p>
      <w:pPr>
        <w:pStyle w:val="937"/>
      </w:pPr>
      <w:r>
        <w:rPr>
          <w:b/>
          <w:bCs/>
        </w:rPr>
        <w:t xml:space="preserve">Subgrupo</w:t>
      </w:r>
      <w:r>
        <w:t xml:space="preserve">: Execução Orçamentária</w:t>
      </w:r>
    </w:p>
    <w:p>
      <w:pPr>
        <w:pStyle w:val="937"/>
      </w:pPr>
      <w:r>
        <w:rPr>
          <w:b/>
          <w:bCs/>
        </w:rPr>
        <w:t xml:space="preserve">Item</w:t>
      </w:r>
      <w:r>
        <w:t xml:space="preserve">: Movimentação financeira</w:t>
      </w:r>
    </w:p>
    <w:p>
      <w:pPr>
        <w:pStyle w:val="937"/>
      </w:pPr>
      <w:r>
        <w:rPr>
          <w:b/>
          <w:bCs/>
        </w:rPr>
        <w:t xml:space="preserve">Constatação</w:t>
      </w:r>
      <w:r>
        <w:t xml:space="preserve">: Existe mais de 1,4 milhão de reais da PNAISP em conta corrente sem movimentação desde 2018.</w:t>
      </w:r>
    </w:p>
    <w:p>
      <w:pPr>
        <w:pStyle w:val="937"/>
      </w:pPr>
      <w:r>
        <w:rPr>
          <w:b/>
          <w:bCs/>
        </w:rPr>
        <w:t xml:space="preserve">Recomendação</w:t>
      </w:r>
      <w:r>
        <w:t xml:space="preserve">: Restituir ao Fundo Nacional de Saúde o valor de R$ 1.422.391,96 (um milhão quatrocentos e vinte e dois mil trezentos e noventa e um reais e noventa e seis centavos), referente a não utilização dos recursos da PNAISP mantidos na conta corrente nº 994-3, agência 0029/Caixa Econômica Federal desde o exercício de 2016, atualizado monetariamente segundo o</w:t>
      </w:r>
      <w:r>
        <w:t xml:space="preserve"> </w:t>
      </w:r>
      <w:r>
        <w:rPr>
          <w:rStyle w:val="949"/>
        </w:rPr>
        <w:t xml:space="preserve">Sistema Débito</w:t>
      </w:r>
      <w:r>
        <w:t xml:space="preserve"> </w:t>
      </w:r>
      <w:r>
        <w:t xml:space="preserve">do Tribunal de Contas da União, em cumprimento aos incisos VII e VIII do art. 2º do Decreto nº 3.964/2001 e ao item 9.3.3 do Acórdão/TCU nº 1.072/2017-Plenário. Dar ciência ao responsável pela irregularidade registrada neste item acerca do ressarcimento a ser feito junto ao Fundo Nacional de Saúde, em cumprimento ao item 9.3.3 do Acórdão/TCU nº 1.072/2017-Plenário visando à elisão do dano ao erário</w:t>
      </w:r>
    </w:p>
    <w:p>
      <w:pPr>
        <w:pStyle w:val="937"/>
      </w:pPr>
      <w:r>
        <w:rPr>
          <w:b/>
          <w:bCs/>
        </w:rPr>
        <w:t xml:space="preserve">Etiqueta Antiga</w:t>
      </w:r>
      <w:r>
        <w:t xml:space="preserve">: Prejuízo e restituição</w:t>
      </w:r>
    </w:p>
    <w:bookmarkEnd w:id="381"/>
    <w:bookmarkStart w:id="382" w:name="auditoria-19264-constatação-nº-656808-1"/>
    <w:p>
      <w:pPr>
        <w:pStyle w:val="907"/>
      </w:pPr>
      <w:r>
        <w:t xml:space="preserve">14.0.4.4 Auditoria 19264, Constatação Nº 656808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Há cobrança ao SUS de Órteses, Próteses e Materiais Especiais (OPME) em quantidade superior à implantada, no Hospital Evangélico de Londrina, das OPME 07.02.05.039-3 - Parafuso de titânio associável à haste, tipo pedicular, poliaxial; 07.02.05.038-5 - Parafuso de titânio associável à haste, tipo pedicular, monoaxial; 07.02.05.033-4 - Haste para associação com parafusos e/ou ganchos de titânio e 070205052-0 - Sistema para fixação transversal de titânio, no período compreendido entre 2012 e 2017.</w:t>
      </w:r>
    </w:p>
    <w:p>
      <w:pPr>
        <w:pStyle w:val="937"/>
      </w:pPr>
      <w:r>
        <w:rPr>
          <w:b/>
          <w:bCs/>
        </w:rPr>
        <w:t xml:space="preserve">Recomendação</w:t>
      </w:r>
      <w:r>
        <w:t xml:space="preserve">: Adotar medidas, conforme determina o inciso II do art. 23 Decreto nº 7.827, 16/10/2012,</w:t>
      </w:r>
      <w:r>
        <w:t xml:space="preserve"> </w:t>
      </w:r>
      <w:r>
        <w:t xml:space="preserve">“Verificado o descumprimento das disposições da Lei Complementar nº 141, de 2012, ou deste Decreto, ou detectada a aplicação de recursos federais em objeto diverso do originalmente pactuado, o Ministério da Saúde comunicará a irregularidade à direção local do SUS”</w:t>
      </w:r>
      <w:r>
        <w:t xml:space="preserve">; objetivando à devolução dos recursos federais com os responsáveis pelas não conformidades apontadas, identificados neste relatório, para que seja efetuada a devolução ao Fundo Nacional de Saúde, no montante de 4.485,32 (quatro mil, quatrocentos e oitenta e cinco reais e trinta e dois centavos), conforme indicado no item IX - Proposição de Devolução, parte integrante deste Relatório de Auditoria, com os devidos acréscimos legais.</w:t>
      </w:r>
    </w:p>
    <w:p>
      <w:pPr>
        <w:pStyle w:val="937"/>
      </w:pPr>
      <w:r>
        <w:rPr>
          <w:b/>
          <w:bCs/>
        </w:rPr>
        <w:t xml:space="preserve">Etiqueta Antiga</w:t>
      </w:r>
      <w:r>
        <w:t xml:space="preserve">: Prejuízo e restituição</w:t>
      </w:r>
    </w:p>
    <w:bookmarkEnd w:id="382"/>
    <w:bookmarkStart w:id="383" w:name="auditoria-19264-constatação-nº-656807-2"/>
    <w:p>
      <w:pPr>
        <w:pStyle w:val="907"/>
      </w:pPr>
      <w:r>
        <w:t xml:space="preserve">14.0.4.5 Auditoria 19264, Constatação Nº 656807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Falta de comprovação da utilização das OPME 07.02.05.039-3 - Parafuso de titânio associável à haste, tipo pedicular, poliaxial; 07.02.05.038-5 - Parafuso de titânio associável à haste, tipo pedicular, monoaxial; 070205033-4 - Haste para associação com parafusos e/ou ganchos de titânio e 070205052-0 - Sistema para fixação transversal de titânio, no Hospital Evangélico de Londrina, no período compreendido entre 2012 e 2017.</w:t>
      </w:r>
    </w:p>
    <w:p>
      <w:pPr>
        <w:pStyle w:val="937"/>
      </w:pPr>
      <w:r>
        <w:rPr>
          <w:b/>
          <w:bCs/>
        </w:rPr>
        <w:t xml:space="preserve">Recomendação</w:t>
      </w:r>
      <w:r>
        <w:t xml:space="preserve">: Adotar os procedimentos a seu cargo ao acompanhamento da recomposição do recurso ao Fundo Nacional de Saúde, visando à elisão do dano e/ou impropriedade ocorrida com recursos de origem federal indicado no Capítulo Proposição de Devolução do presente Relatório, do valor de 145.395,80 (cento e quarenta e cinco mil e trezentos e noventa e cinco reais e oitenta centavos), com acréscimos legais, observados os princípios norteadores dos processos administrativos. Conforme Portaria GM/MS nº 885, de 4/5/2021, que prevê no art. 2º para fins de caracterização de aplicação irregular de recursos federais vinculados a ações e serviços públicos de saúde transferidos na modalidade fundo a fundo, a seguinte definição de dano ou prejuízo ao Erário no inciso III do art. 2º: utilização de recursos sem a devida comprovação da despesa, ocorrência de desfalque, alcance, desvio ou desaparecimento de dinheiro, bens ou de valores públicos e a prática de ato ilegal, ilegítimo ou antieconômico que resulte em dano ao Erário, nos termos do art. 8º da Instrução Normativa-TCU nº 71, de 28/11/2012. Por sua vez, no art. 3, estabelece que as Secretarias finalísticas do Ministério da Saúde, sempre que tomarem conhecimento de situação que configure ou que potencialmente possa configurar as hipóteses previstas no art. 2º, adotarão, imediatamente, as medidas cabíveis de apuração para a cobrança administrativa, sendo que, não obtendo êxito na recomposição ao erário, a Secretaria competente encaminhará o processo de cobrança administrativa à Diretoria-Executiva do Fundo Nacional de Saúde - DEFNS/SE/MS, para fins de instauração de tomada de contas especial e demais providências cabíveis, sendo que, caso a DEFNS/SE/MS constate deficiência ou ausência na instrução processual, deverá solicitar, fundamentadamente, a complementação das informações à Secretaria finalística responsável. (§ 1º e § 2º do art. 3º, Portaria GM/MS Nº 885, de 4/5/2021 a qual regulamenta o art. 23 do Decreto nº 7.827, de 16 de outubro de 2012).</w:t>
      </w:r>
    </w:p>
    <w:p>
      <w:pPr>
        <w:pStyle w:val="937"/>
      </w:pPr>
      <w:r>
        <w:rPr>
          <w:b/>
          <w:bCs/>
        </w:rPr>
        <w:t xml:space="preserve">Etiqueta Antiga</w:t>
      </w:r>
      <w:r>
        <w:t xml:space="preserve">: Prejuízo e restituição</w:t>
      </w:r>
    </w:p>
    <w:bookmarkEnd w:id="383"/>
    <w:bookmarkStart w:id="384" w:name="auditoria-19392-constatação-nº-664768-1"/>
    <w:p>
      <w:pPr>
        <w:pStyle w:val="907"/>
      </w:pPr>
      <w:r>
        <w:t xml:space="preserve">14.0.4.6 Auditoria 19392, Constatação Nº 664768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Faturamento de OPME diferente da utilizada na AIH.</w:t>
      </w:r>
    </w:p>
    <w:p>
      <w:pPr>
        <w:pStyle w:val="937"/>
      </w:pPr>
      <w:r>
        <w:rPr>
          <w:b/>
          <w:bCs/>
        </w:rPr>
        <w:t xml:space="preserve">Recomendação</w:t>
      </w:r>
      <w:r>
        <w:t xml:space="preserve">: Adotar procedimentos a seu cargo visando a devolução dos recursos no valor de R$ 11.074,50, com acréscimos legais, ao fundo Nacional de Saúde, visando à elisão do dano ocorrida com o recurso de origem federal indicado no capítulo proposição de devolução do relatório da entidade auditada, observando os princípios norteadores dos processos administrativos, o art. 3º da Portaria GM/MS nº 885, de 4 de maio de 2021, e o inciso VIII do art. 2º do Decreto nº 3.964, de 10 de outubro de 2001.</w:t>
      </w:r>
    </w:p>
    <w:p>
      <w:pPr>
        <w:pStyle w:val="937"/>
      </w:pPr>
      <w:r>
        <w:rPr>
          <w:b/>
          <w:bCs/>
        </w:rPr>
        <w:t xml:space="preserve">Etiqueta Antiga</w:t>
      </w:r>
      <w:r>
        <w:t xml:space="preserve">: Prejuízo e restituição</w:t>
      </w:r>
    </w:p>
    <w:bookmarkEnd w:id="384"/>
    <w:bookmarkStart w:id="385" w:name="auditoria-19425-constatação-nº-665840-2"/>
    <w:p>
      <w:pPr>
        <w:pStyle w:val="907"/>
      </w:pPr>
      <w:r>
        <w:t xml:space="preserve">14.0.4.7 Auditoria 19425, Constatação Nº 665840 (#2)</w:t>
      </w:r>
    </w:p>
    <w:p>
      <w:pPr>
        <w:pStyle w:val="937"/>
      </w:pPr>
      <w:r>
        <w:rPr>
          <w:b/>
          <w:bCs/>
        </w:rPr>
        <w:t xml:space="preserve">Grupo</w:t>
      </w:r>
      <w:r>
        <w:t xml:space="preserve">: Recursos Financeiros</w:t>
      </w:r>
    </w:p>
    <w:p>
      <w:pPr>
        <w:pStyle w:val="937"/>
      </w:pPr>
      <w:r>
        <w:rPr>
          <w:b/>
          <w:bCs/>
        </w:rPr>
        <w:t xml:space="preserve">Subgrupo</w:t>
      </w:r>
      <w:r>
        <w:t xml:space="preserve">: Execução Orçamentária</w:t>
      </w:r>
    </w:p>
    <w:p>
      <w:pPr>
        <w:pStyle w:val="937"/>
      </w:pPr>
      <w:r>
        <w:rPr>
          <w:b/>
          <w:bCs/>
        </w:rPr>
        <w:t xml:space="preserve">Item</w:t>
      </w:r>
      <w:r>
        <w:t xml:space="preserve">: Pagamentos a terceiros</w:t>
      </w:r>
    </w:p>
    <w:p>
      <w:pPr>
        <w:pStyle w:val="937"/>
      </w:pPr>
      <w:r>
        <w:rPr>
          <w:b/>
          <w:bCs/>
        </w:rPr>
        <w:t xml:space="preserve">Constatação</w:t>
      </w:r>
      <w:r>
        <w:t xml:space="preserve">: A Secretaria Municipal de Saúde efetuou pagamentos a maior do que a previsão contratual a uma pessoa que afirmava ser o profissional médico A. M. B..</w:t>
      </w:r>
    </w:p>
    <w:p>
      <w:pPr>
        <w:pStyle w:val="937"/>
      </w:pPr>
      <w:r>
        <w:rPr>
          <w:b/>
          <w:bCs/>
        </w:rPr>
        <w:t xml:space="preserve">Recomendação</w:t>
      </w:r>
      <w:r>
        <w:t xml:space="preserve">: À Secretaria de Atenção Especializada à Saúde (SAES/MS) para conhecimento da presente Constatação nº 665840 e acompanhamento da efetiva devolução dos recursos de origem federal, no montante de R$ 124.005,96 (cento e vinte e quatro mil, cinco reais e noventa e seis centavos), ao Fundo Nacional de Saúde (FNS/SE/MS, em atendimento ao Inciso V do Art. 25 do Decreto nº 11.358, de 01 de janeiro de 2023, e a Portaria GM/MS nº 885, de 04 de maio de 2021, que regulamenta</w:t>
      </w:r>
      <w:r>
        <w:t xml:space="preserve"> </w:t>
      </w:r>
      <w:r>
        <w:t xml:space="preserve">“os procedimentos de cobrança administrativa e de instauração de tomada de contas especial para recomposição ao erário de valores transferidos na modalidade fundo a fundo, no âmbito do Ministério da Saúde”</w:t>
      </w:r>
      <w:r>
        <w:t xml:space="preserve">.</w:t>
      </w:r>
    </w:p>
    <w:p>
      <w:pPr>
        <w:pStyle w:val="937"/>
      </w:pPr>
      <w:r>
        <w:rPr>
          <w:b/>
          <w:bCs/>
        </w:rPr>
        <w:t xml:space="preserve">Etiqueta Antiga</w:t>
      </w:r>
      <w:r>
        <w:t xml:space="preserve">: Prejuízo e restituição</w:t>
      </w:r>
    </w:p>
    <w:bookmarkEnd w:id="385"/>
    <w:bookmarkStart w:id="386" w:name="auditoria-19480-constatação-nº-673164-1"/>
    <w:p>
      <w:pPr>
        <w:pStyle w:val="907"/>
      </w:pPr>
      <w:r>
        <w:t xml:space="preserve">14.0.4.8 Auditoria 19480, Constatação Nº 673164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Contrapartidas</w:t>
      </w:r>
    </w:p>
    <w:p>
      <w:pPr>
        <w:pStyle w:val="937"/>
      </w:pPr>
      <w:r>
        <w:rPr>
          <w:b/>
          <w:bCs/>
        </w:rPr>
        <w:t xml:space="preserve">Constatação</w:t>
      </w:r>
      <w:r>
        <w:t xml:space="preserve">: O Estado do Amazonas não está cumprindo com a contrapartida pactuada com o município de Manaus sobre o programa do SAMU 192.</w:t>
      </w:r>
    </w:p>
    <w:p>
      <w:pPr>
        <w:pStyle w:val="937"/>
      </w:pPr>
      <w:r>
        <w:rPr>
          <w:b/>
          <w:bCs/>
        </w:rPr>
        <w:t xml:space="preserve">Recomendação</w:t>
      </w:r>
      <w:r>
        <w:t xml:space="preserve">: Monitorar a judicialização realizada pela SEMSA - Manaus referente a ação de cobrança ao Estado do Amazonas pelos valores devidos ao programa SAMU - 192 não repassados, bem como inclusão/judicialização dos novos valores que porventura o Estado do Amazonas não realize a contra-partida.</w:t>
      </w:r>
    </w:p>
    <w:p>
      <w:pPr>
        <w:pStyle w:val="937"/>
      </w:pPr>
      <w:r>
        <w:rPr>
          <w:b/>
          <w:bCs/>
        </w:rPr>
        <w:t xml:space="preserve">Etiqueta Antiga</w:t>
      </w:r>
      <w:r>
        <w:t xml:space="preserve">: Gestão de contratos</w:t>
      </w:r>
    </w:p>
    <w:bookmarkEnd w:id="386"/>
    <w:bookmarkStart w:id="387" w:name="auditoria-19484-constatação-nº-682909-2"/>
    <w:p>
      <w:pPr>
        <w:pStyle w:val="907"/>
      </w:pPr>
      <w:r>
        <w:t xml:space="preserve">14.0.4.9 Auditoria 19484, Constatação Nº 682909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Faturamento/Produção/Cobranças SUS</w:t>
      </w:r>
    </w:p>
    <w:p>
      <w:pPr>
        <w:pStyle w:val="937"/>
      </w:pPr>
      <w:r>
        <w:rPr>
          <w:b/>
          <w:bCs/>
        </w:rPr>
        <w:t xml:space="preserve">Constatação</w:t>
      </w:r>
      <w:r>
        <w:t xml:space="preserve">: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pPr>
        <w:pStyle w:val="937"/>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“CAPÍTULO V DA CONTRATUALIZAÇÃO”</w:t>
      </w:r>
      <w:r>
        <w:t xml:space="preserve">, Seção III, art. 28</w:t>
      </w:r>
      <w:r>
        <w:t xml:space="preserve"> </w:t>
      </w:r>
      <w:r>
        <w:t xml:space="preserve">“O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w:t>
      </w:r>
      <w:r>
        <w:t xml:space="preserve">.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“Dispõe sobre o rito de aplicação de penalidades…das infrações praticadas por fornecedores…”</w:t>
      </w:r>
      <w:r>
        <w:t xml:space="preserve">.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pPr>
        <w:pStyle w:val="937"/>
      </w:pPr>
      <w:r>
        <w:rPr>
          <w:b/>
          <w:bCs/>
        </w:rPr>
        <w:t xml:space="preserve">Etiqueta Antiga</w:t>
      </w:r>
      <w:r>
        <w:t xml:space="preserve">: Prejuízo e restituição</w:t>
      </w:r>
    </w:p>
    <w:bookmarkEnd w:id="387"/>
    <w:bookmarkStart w:id="388" w:name="auditoria-19496-constatação-nº-670139-2"/>
    <w:p>
      <w:pPr>
        <w:pStyle w:val="907"/>
      </w:pPr>
      <w:r>
        <w:t xml:space="preserve">14.0.4.10 Auditoria 19496, Constatação Nº 670139 (#2)</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Irregularidades nos cupons e receitas médicas disponibilizadas pela empresa.</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Etiqueta Antiga</w:t>
      </w:r>
      <w:r>
        <w:t xml:space="preserve">: Prejuízo e restituição</w:t>
      </w:r>
    </w:p>
    <w:bookmarkEnd w:id="388"/>
    <w:bookmarkStart w:id="389" w:name="auditoria-19497-constatação-nº-669568-1"/>
    <w:p>
      <w:pPr>
        <w:pStyle w:val="907"/>
      </w:pPr>
      <w:r>
        <w:t xml:space="preserve">14.0.4.11 Auditoria 19497, Constatação Nº 669568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Houve irregularidades nos cupons fiscais, vinculados e/ou prescrições médicas apresentadas pela empresa auditada.</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Etiqueta Antiga</w:t>
      </w:r>
      <w:r>
        <w:t xml:space="preserve">: Prejuízo e restituição</w:t>
      </w:r>
    </w:p>
    <w:bookmarkEnd w:id="389"/>
    <w:bookmarkStart w:id="390" w:name="auditoria-19517-constatação-nº-671388-2"/>
    <w:p>
      <w:pPr>
        <w:pStyle w:val="907"/>
      </w:pPr>
      <w:r>
        <w:t xml:space="preserve">14.0.4.12 Auditoria 19517, Constatação Nº 671388 (#2)</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Pesquisa com Profissionais</w:t>
      </w:r>
    </w:p>
    <w:p>
      <w:pPr>
        <w:pStyle w:val="937"/>
      </w:pPr>
      <w:r>
        <w:rPr>
          <w:b/>
          <w:bCs/>
        </w:rPr>
        <w:t xml:space="preserve">Constatação</w:t>
      </w:r>
      <w:r>
        <w:t xml:space="preserve">: O profissional médico C.C.P declarou não ter prescrito os medicamentos, que totalizam 53,25% das dispensações.</w:t>
      </w:r>
    </w:p>
    <w:p>
      <w:pPr>
        <w:pStyle w:val="937"/>
      </w:pPr>
      <w:r>
        <w:rPr>
          <w:b/>
          <w:bCs/>
        </w:rPr>
        <w:t xml:space="preserve">Recomendação</w:t>
      </w:r>
      <w:r>
        <w:t xml:space="preserve">: Ao Departamento de Assistência Farmacêutica e Insumos Estratégicos (DAF/SECTICS/MS) para conhecimento da presente constatação e adoção dos procedimentos a seu cargo, conforme estabelece o Inciso IV do artigo 17 do Decreto nº 9.795 de 21/05/2019, combinado com o Inciso VIII do artigo 2º do Decreto nº 3.964, de 11/10/2001, visando a elisão do dano e/ou impropriedade ocorrida com recursos de origem federal, observados os princípios norteadores dos processos administrativos.</w:t>
      </w:r>
    </w:p>
    <w:p>
      <w:pPr>
        <w:pStyle w:val="937"/>
      </w:pPr>
      <w:r>
        <w:rPr>
          <w:b/>
          <w:bCs/>
        </w:rPr>
        <w:t xml:space="preserve">Etiqueta Antiga</w:t>
      </w:r>
      <w:r>
        <w:t xml:space="preserve">: Prejuízo e restituição</w:t>
      </w:r>
    </w:p>
    <w:bookmarkEnd w:id="390"/>
    <w:bookmarkStart w:id="391" w:name="auditoria-19534-constatação-nº-672859-2"/>
    <w:p>
      <w:pPr>
        <w:pStyle w:val="907"/>
      </w:pPr>
      <w:r>
        <w:t xml:space="preserve">14.0.4.13 Auditoria 19534, Constatação Nº 672859 (#2)</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Registro de dispensações de medicamentos em nome de pessoas falecidas, pelo estabelecimento auditado, com data posterior ao registro do óbito.</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 17 do Decreto nº 9.795 de 21/05/2019, combinado com o Inciso VIII do Art. 2º do Decreto nº 3.964, de 11/10/2001, visando à elisão do dano e/ou impropriedade ocorrida com recursos de origem federal, indicado no Capítulo Proposição de Devolução, do presente relatório, com os devidos acréscimos legais, observados os princípios norteadores dos processos administrativos.</w:t>
      </w:r>
    </w:p>
    <w:p>
      <w:pPr>
        <w:pStyle w:val="937"/>
      </w:pPr>
      <w:r>
        <w:rPr>
          <w:b/>
          <w:bCs/>
        </w:rPr>
        <w:t xml:space="preserve">Etiqueta Antiga</w:t>
      </w:r>
      <w:r>
        <w:t xml:space="preserve">: Prejuízo e restituição</w:t>
      </w:r>
    </w:p>
    <w:bookmarkEnd w:id="391"/>
    <w:bookmarkStart w:id="392" w:name="auditoria-19545-constatação-nº-680059-1"/>
    <w:p>
      <w:pPr>
        <w:pStyle w:val="907"/>
      </w:pPr>
      <w:r>
        <w:t xml:space="preserve">14.0.4.14 Auditoria 19545, Constatação Nº 680059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Recursos financeiros</w:t>
      </w:r>
    </w:p>
    <w:p>
      <w:pPr>
        <w:pStyle w:val="937"/>
      </w:pPr>
      <w:r>
        <w:rPr>
          <w:b/>
          <w:bCs/>
        </w:rPr>
        <w:t xml:space="preserve">Constatação</w:t>
      </w:r>
      <w:r>
        <w:t xml:space="preserve">: Pagamento de despesas em ações e serviços de saúde em objeto diverso do componente SAMU.</w:t>
      </w:r>
    </w:p>
    <w:p>
      <w:pPr>
        <w:pStyle w:val="937"/>
      </w:pPr>
      <w:r>
        <w:rPr>
          <w:b/>
          <w:bCs/>
        </w:rPr>
        <w:t xml:space="preserve">Recomendação</w:t>
      </w:r>
      <w:r>
        <w:t xml:space="preserve">: Acompanhar e monitorar a presente constatação para adoção dos procedimentos a ser cargo, visando à recomposição ao Fundo Estadual de Saúde-FES/AP dos valores aplicados em objeto diverso do SAMU 192, adotando as medidas para o ressarcimento desses valores, na forma e nos prazos estabelecidos na Portaria GM/MS n.º 885, de 4/5/2021, que regulamenta o art. 23 do Decreto n.º 7.827 de 16/10/2012.</w:t>
      </w:r>
    </w:p>
    <w:p>
      <w:pPr>
        <w:pStyle w:val="937"/>
      </w:pPr>
      <w:r>
        <w:rPr>
          <w:b/>
          <w:bCs/>
        </w:rPr>
        <w:t xml:space="preserve">Etiqueta Antiga</w:t>
      </w:r>
      <w:r>
        <w:t xml:space="preserve">: Prejuízo e restituição</w:t>
      </w:r>
    </w:p>
    <w:bookmarkEnd w:id="392"/>
    <w:bookmarkStart w:id="393" w:name="auditoria-19571-constatação-nº-695872-1"/>
    <w:p>
      <w:pPr>
        <w:pStyle w:val="907"/>
      </w:pPr>
      <w:r>
        <w:t xml:space="preserve">14.0.4.15 Auditoria 19571, Constatação Nº 695872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A Secretaria de Estado da Saúde do Tocantins (SES/TO) aprovou uma Autorização de Procedimento Ambulatorial (Apac) do Instituto de Doenças Renais do Tocantins (IDRT), em que os procedimentos não foram realizados em sua totalidade.</w:t>
      </w:r>
    </w:p>
    <w:p>
      <w:pPr>
        <w:pStyle w:val="937"/>
      </w:pPr>
      <w:r>
        <w:rPr>
          <w:b/>
          <w:bCs/>
        </w:rPr>
        <w:t xml:space="preserve">Recomendação</w:t>
      </w:r>
      <w:r>
        <w:t xml:space="preserve">: Fiscalizar e monitorar as Apac autorizadas, com objetivo de garantir que os serviços de TRS liquidados sejam efetivamente prestados como determina o inciso III do parágrafo 2º do Art. 63 Lei 4.320/1964. Estabelecer o controle da frequência de pacientes em tratamento dialítico, preferencialmente por meio de sistema eletrônico, para fins de cobrança dos procedimentos da Tabela de Procedimentos, Medicamentos, Órteses/Próteses e Materiais Especiais do SUS da assistência prestada pelos serviços de TRS contratados, conforme preconiza o inciso IV, Art. 87, Seção VII, Capítulo III, Anexo IV da Portaria de Consolidação GM/MS n.º 3/2017. Restituir o valor de R$ 240,97 (duzentos e quarenta reais e noventa e sete centavos) ao Fundo Nacional de Saúde, conforme apontamentos registrados neste item, atualizado monetariamente segundo o Sistema Débito do Tribunal de Contas da União, em cumprimento aos incisos VII e VIII do art. 2º do Decreto n.º 3.964/2001 e ao item 9.3.4 do Acórdão/TCU n.º 1.072/2017-Plenário.</w:t>
      </w:r>
    </w:p>
    <w:p>
      <w:pPr>
        <w:pStyle w:val="937"/>
      </w:pPr>
      <w:r>
        <w:rPr>
          <w:b/>
          <w:bCs/>
        </w:rPr>
        <w:t xml:space="preserve">Etiqueta Antiga</w:t>
      </w:r>
      <w:r>
        <w:t xml:space="preserve">: Prejuízo e restituição</w:t>
      </w:r>
    </w:p>
    <w:bookmarkEnd w:id="393"/>
    <w:bookmarkStart w:id="394" w:name="auditoria-19611-constatação-nº-674402-1"/>
    <w:p>
      <w:pPr>
        <w:pStyle w:val="907"/>
      </w:pPr>
      <w:r>
        <w:t xml:space="preserve">14.0.4.16 Auditoria 19611, Constatação Nº 674402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Funcionário contratado pela convenente assinou contrato de locação de imóvel para a sede do Instituto Ovídio Machado, em São Luís/MA.</w:t>
      </w:r>
    </w:p>
    <w:p>
      <w:pPr>
        <w:pStyle w:val="937"/>
      </w:pPr>
      <w:r>
        <w:rPr>
          <w:b/>
          <w:bCs/>
        </w:rPr>
        <w:t xml:space="preserve">Recomendação</w:t>
      </w:r>
      <w:r>
        <w:t xml:space="preserve">: Notificar a convenente para apuração dos fatos e envio de justificativas quanto ao constatado, tendo em vista o disposto no Parágrafo único, art. 2º, da Lei nº 8.429, de 2 de junho de 1992.</w:t>
      </w:r>
    </w:p>
    <w:p>
      <w:pPr>
        <w:pStyle w:val="937"/>
      </w:pPr>
      <w:r>
        <w:rPr>
          <w:b/>
          <w:bCs/>
        </w:rPr>
        <w:t xml:space="preserve">Etiqueta Antiga</w:t>
      </w:r>
      <w:r>
        <w:t xml:space="preserve">: Gestão de contratos</w:t>
      </w:r>
    </w:p>
    <w:bookmarkEnd w:id="394"/>
    <w:bookmarkStart w:id="395" w:name="auditoria-19612-constatação-nº-674784-1"/>
    <w:p>
      <w:pPr>
        <w:pStyle w:val="907"/>
      </w:pPr>
      <w:r>
        <w:t xml:space="preserve">14.0.4.17 Auditoria 19612, Constatação Nº 674784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Empresas participantes de processo licitatório possuem o mesmo Sócio Administrador.</w:t>
      </w:r>
    </w:p>
    <w:p>
      <w:pPr>
        <w:pStyle w:val="937"/>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937"/>
      </w:pPr>
      <w:r>
        <w:rPr>
          <w:b/>
          <w:bCs/>
        </w:rPr>
        <w:t xml:space="preserve">Etiqueta Antiga</w:t>
      </w:r>
      <w:r>
        <w:t xml:space="preserve">: Articulação institucional</w:t>
      </w:r>
    </w:p>
    <w:bookmarkEnd w:id="395"/>
    <w:bookmarkStart w:id="396" w:name="auditoria-19620-constatação-nº-685970-2"/>
    <w:p>
      <w:pPr>
        <w:pStyle w:val="907"/>
      </w:pPr>
      <w:r>
        <w:t xml:space="preserve">14.0.4.18 Auditoria 19620, Constatação Nº 685970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Normas/rotinas/protocolos/comissões internas</w:t>
      </w:r>
    </w:p>
    <w:p>
      <w:pPr>
        <w:pStyle w:val="937"/>
      </w:pPr>
      <w:r>
        <w:rPr>
          <w:b/>
          <w:bCs/>
        </w:rPr>
        <w:t xml:space="preserve">Constatação</w:t>
      </w:r>
      <w:r>
        <w:t xml:space="preserve">: O Hospital Federal dos Servidores do Estado (HFSE) não comprovou a destinação de 53 (cinquenta e três) OPME.</w:t>
      </w:r>
    </w:p>
    <w:p>
      <w:pPr>
        <w:pStyle w:val="937"/>
      </w:pPr>
      <w:r>
        <w:rPr>
          <w:b/>
          <w:bCs/>
        </w:rPr>
        <w:t xml:space="preserve">Recomendação</w:t>
      </w:r>
      <w:r>
        <w:t xml:space="preserve">: Dar ciência aos responsáveis pela irregularidade registrada nesta constatação para ressarcimento a ser feito junto ao Fundo Nacional de Saúde (FNS) no valor de R$ R$ 780.248,28 (setecentos e oitenta mil, duzentos e quarenta e oito reais e vinte e oito centavos), atualizado monetariamente, conforme indicativo na Proposição de Devolução parte integrante deste Relatório, em cumprimento ao exposto no item 9.3.4 do Acórdão/TCU nº 1.072/2017-Plenário.</w:t>
      </w:r>
    </w:p>
    <w:p>
      <w:pPr>
        <w:pStyle w:val="937"/>
      </w:pPr>
      <w:r>
        <w:rPr>
          <w:b/>
          <w:bCs/>
        </w:rPr>
        <w:t xml:space="preserve">Etiqueta Antiga</w:t>
      </w:r>
      <w:r>
        <w:t xml:space="preserve">: Prejuízo e restituição</w:t>
      </w:r>
    </w:p>
    <w:bookmarkEnd w:id="396"/>
    <w:bookmarkStart w:id="397" w:name="auditoria-19641-constatação-nº-682686-1"/>
    <w:p>
      <w:pPr>
        <w:pStyle w:val="907"/>
      </w:pPr>
      <w:r>
        <w:t xml:space="preserve">14.0.4.19 Auditoria 19641, Constatação Nº 682686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A empresa auditada realizou dispensações de medicamentos para CPF de beneficiários que foram a óbito em data anterior aos registros no sistema de autorização de vendas.</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Etiqueta Antiga</w:t>
      </w:r>
      <w:r>
        <w:t xml:space="preserve">: Prejuízo e restituição</w:t>
      </w:r>
    </w:p>
    <w:bookmarkEnd w:id="397"/>
    <w:bookmarkStart w:id="398" w:name="auditoria-19689-constatação-nº-685359-2"/>
    <w:p>
      <w:pPr>
        <w:pStyle w:val="907"/>
      </w:pPr>
      <w:r>
        <w:t xml:space="preserve">14.0.4.20 Auditoria 19689, Constatação Nº 685359 (#2)</w:t>
      </w:r>
    </w:p>
    <w:p>
      <w:pPr>
        <w:pStyle w:val="937"/>
      </w:pPr>
      <w:r>
        <w:rPr>
          <w:b/>
          <w:bCs/>
        </w:rPr>
        <w:t xml:space="preserve">Grupo</w:t>
      </w:r>
      <w:r>
        <w:t xml:space="preserve">: Recursos Financeiros</w:t>
      </w:r>
    </w:p>
    <w:p>
      <w:pPr>
        <w:pStyle w:val="937"/>
      </w:pPr>
      <w:r>
        <w:rPr>
          <w:b/>
          <w:bCs/>
        </w:rPr>
        <w:t xml:space="preserve">Subgrupo</w:t>
      </w:r>
      <w:r>
        <w:t xml:space="preserve">: Contrato</w:t>
      </w:r>
    </w:p>
    <w:p>
      <w:pPr>
        <w:pStyle w:val="937"/>
      </w:pPr>
      <w:r>
        <w:rPr>
          <w:b/>
          <w:bCs/>
        </w:rPr>
        <w:t xml:space="preserve">Item</w:t>
      </w:r>
      <w:r>
        <w:t xml:space="preserve">: Contrato de Empresa</w:t>
      </w:r>
    </w:p>
    <w:p>
      <w:pPr>
        <w:pStyle w:val="937"/>
      </w:pPr>
      <w:r>
        <w:rPr>
          <w:b/>
          <w:bCs/>
        </w:rPr>
        <w:t xml:space="preserve">Constatação</w:t>
      </w:r>
      <w:r>
        <w:t xml:space="preserve">: Houve superfaturamento durante a execução do Contrato nº 01/2018, celebrado entre o HFCF e a empresa Plano Construções e Instalações Ltda.</w:t>
      </w:r>
    </w:p>
    <w:p>
      <w:pPr>
        <w:pStyle w:val="937"/>
      </w:pPr>
      <w:r>
        <w:rPr>
          <w:b/>
          <w:bCs/>
        </w:rPr>
        <w:t xml:space="preserve">Recomendação</w:t>
      </w:r>
      <w:r>
        <w:t xml:space="preserve">: Realizar o acompanhamento, bem como adotar medidas administrativas para efetiva devolução do valor de R$ 312.935,82 (trezentos e doze mil, novecentos e trinta e cinco reais e oitenta e dois centavos), ao Fundo Nacional de Saúde, atualizado monetariamente, conforme determina o art. 3° da Portaria GM/MS nº 885/2021.</w:t>
      </w:r>
    </w:p>
    <w:p>
      <w:pPr>
        <w:pStyle w:val="937"/>
      </w:pPr>
      <w:r>
        <w:rPr>
          <w:b/>
          <w:bCs/>
        </w:rPr>
        <w:t xml:space="preserve">Etiqueta Antiga</w:t>
      </w:r>
      <w:r>
        <w:t xml:space="preserve">: Prejuízo e restituição</w:t>
      </w:r>
    </w:p>
    <w:bookmarkEnd w:id="398"/>
    <w:bookmarkStart w:id="399" w:name="auditoria-19692-constatação-nº-686544-2"/>
    <w:p>
      <w:pPr>
        <w:pStyle w:val="907"/>
      </w:pPr>
      <w:r>
        <w:t xml:space="preserve">14.0.4.21 Auditoria 19692, Constatação Nº 686544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O Departamento Municipal de Saúde de São Lourenço da Serra não apresentou documentos que comprovem a execução dos procedimentos atendimento médico em unidade de pronto atendimento (código SIGTAP 03.01.06.009- 6) no Pronto atendimento de São Lourenço da Serra e consulta médica em atenção especializada (código SIGTAP 03.01.01.007-2) no Centro de Especialidades João da Luz no ano de 2021.</w:t>
      </w:r>
    </w:p>
    <w:p>
      <w:pPr>
        <w:pStyle w:val="937"/>
      </w:pPr>
      <w:r>
        <w:rPr>
          <w:b/>
          <w:bCs/>
        </w:rPr>
        <w:t xml:space="preserve">Recomendação</w:t>
      </w:r>
      <w:r>
        <w:t xml:space="preserve">: 1-Exercer a competência de planejar, organizar, controlar e avaliar as ações, gerir e executar os serviços públicos de saúde, conforme estabelece o Inciso I do art. 18 da Lei n. 8.080/1990. 2-Prestar, quando exigida, ao pessoal em exercício no SNA toda informação necessária ao desempenho das atividades de controle, avaliação e auditoria, facilitando o acesso a documentos conforme estabelece o art. 11 do Decreto nº 1651/95. 3- Restituir ao FNS, o valor total de R$ R$ 497.550,00, conforme o contido no item 9.3.4, do ACÓRDÃO Nº 1072/2017 do TCU,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p>
    <w:p>
      <w:pPr>
        <w:pStyle w:val="937"/>
      </w:pPr>
      <w:r>
        <w:rPr>
          <w:b/>
          <w:bCs/>
        </w:rPr>
        <w:t xml:space="preserve">Etiqueta Antiga</w:t>
      </w:r>
      <w:r>
        <w:t xml:space="preserve">: Prejuízo e restituição</w:t>
      </w:r>
    </w:p>
    <w:bookmarkEnd w:id="399"/>
    <w:bookmarkStart w:id="400" w:name="auditoria-19822-constatação-nº-693597-2"/>
    <w:p>
      <w:pPr>
        <w:pStyle w:val="907"/>
      </w:pPr>
      <w:r>
        <w:t xml:space="preserve">14.0.4.22 Auditoria 19822, Constatação Nº 693597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Documentação/Prontuários</w:t>
      </w:r>
    </w:p>
    <w:p>
      <w:pPr>
        <w:pStyle w:val="937"/>
      </w:pPr>
      <w:r>
        <w:rPr>
          <w:b/>
          <w:bCs/>
        </w:rPr>
        <w:t xml:space="preserve">Constatação</w:t>
      </w:r>
      <w:r>
        <w:t xml:space="preserve">: Continuação da Constatação nº. 692389</w:t>
      </w:r>
    </w:p>
    <w:p>
      <w:pPr>
        <w:pStyle w:val="937"/>
      </w:pPr>
      <w:r>
        <w:rPr>
          <w:b/>
          <w:bCs/>
        </w:rPr>
        <w:t xml:space="preserve">Recomendação</w:t>
      </w:r>
      <w:r>
        <w:t xml:space="preserve">: Restituir ao Fundo Nacional de Saúde (FNS) o valor referente ao recurso de incremento temporário ao custeio dos serviços de Atenção Especializada à Saúde, recebido por meio de emenda parlamentar no ano de 2023, no valor total de R$474.819,00 (quatrocentos e setenta e quatro mil, oitocentos e dezenove reais), em razão da produção aprovada e não executada de procedimentos ambulatoriais no SIA-SUS no ano de 2022, conforme demonstrado no Capítulo IX deste relatório, conforme entendimento firmado pelo Tribunal de Contas da União (TCU) no item 9.3.4 do Acórdão n.º 1.072/2017 - Plenário, de 24/5/2017,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ao FNS, uma vez que não fazia jus ao repasse.</w:t>
      </w:r>
    </w:p>
    <w:p>
      <w:pPr>
        <w:pStyle w:val="937"/>
      </w:pPr>
      <w:r>
        <w:rPr>
          <w:b/>
          <w:bCs/>
        </w:rPr>
        <w:t xml:space="preserve">Etiqueta Antiga</w:t>
      </w:r>
      <w:r>
        <w:t xml:space="preserve">: Prejuízo e restituição</w:t>
      </w:r>
    </w:p>
    <w:bookmarkEnd w:id="400"/>
    <w:bookmarkStart w:id="401" w:name="auditoria-19845-constatação-nº-702214-3"/>
    <w:p>
      <w:pPr>
        <w:pStyle w:val="907"/>
      </w:pPr>
      <w:r>
        <w:t xml:space="preserve">14.0.4.23 Auditoria 19845, Constatação Nº 702214 (#3)</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A Secretaria Municipal de Saúde de Porto Rico do Maranhão não apresentou a documentação comprobatória das despesas dos procedimentos</w:t>
      </w:r>
      <w:r>
        <w:t xml:space="preserve"> </w:t>
      </w:r>
      <w:r>
        <w:t xml:space="preserve">“Unidade de Remuneração para Deslocamento de Paciente por Transporte Terrestre (cada 50 km) - TFD”</w:t>
      </w:r>
      <w:r>
        <w:t xml:space="preserve"> </w:t>
      </w:r>
      <w:r>
        <w:t xml:space="preserve">(Código Sigtap 08.03.01.012-5), e Unidade de Remuneração para Deslocamento de Acompanhante por Transporte Terrestre (cada 50 km) - TFD” (Código Sigtap 08.03.01.010-9).</w:t>
      </w:r>
    </w:p>
    <w:p>
      <w:pPr>
        <w:pStyle w:val="937"/>
      </w:pPr>
      <w:r>
        <w:rPr>
          <w:b/>
          <w:bCs/>
        </w:rPr>
        <w:t xml:space="preserve">Recomendação</w:t>
      </w:r>
      <w:r>
        <w:t xml:space="preserve">: Adotar procedimentos a seu cargo ao acompanhamento da recomposição do recurso ao Fundo Nacional de Saúde (FNS) do valor total de R$ 1.288.237,50 (Um milhão duzentos e oitenta e oito mil, duzentos e trinta e sete reais e cinquenta centavos), indicado no capítulo proposição de devolução do presente relatório, com acréscimos legais, visando à elisão do dano ocorrido com recursos de origem federal, observados os princípios norteadores dos processos administrativos, conforme estabelece o art. 3º da Portaria GM/MS nº 885, de 4 de maio de 2021, combinado com o Inciso VIII, do art. 2º, do Decreto nº 3.964, de 10/10/2001.</w:t>
      </w:r>
    </w:p>
    <w:p>
      <w:pPr>
        <w:pStyle w:val="937"/>
      </w:pPr>
      <w:r>
        <w:rPr>
          <w:b/>
          <w:bCs/>
        </w:rPr>
        <w:t xml:space="preserve">Etiqueta Antiga</w:t>
      </w:r>
      <w:r>
        <w:t xml:space="preserve">: Prejuízo e restituição</w:t>
      </w:r>
    </w:p>
    <w:bookmarkEnd w:id="401"/>
    <w:bookmarkStart w:id="402" w:name="auditoria-19871-constatação-nº-703500-1"/>
    <w:p>
      <w:pPr>
        <w:pStyle w:val="907"/>
      </w:pPr>
      <w:r>
        <w:t xml:space="preserve">14.0.4.24 Auditoria 19871, Constatação Nº 703500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O Centro de Oncologia Cascavel (CEONC) utilizou indevidamente de APACs autorizadas para quimioterapia prévia (código 03.04.04.002-9) para faturar ciclos realizados após a cirurgia oncológica.</w:t>
      </w:r>
    </w:p>
    <w:p>
      <w:pPr>
        <w:pStyle w:val="937"/>
      </w:pPr>
      <w:r>
        <w:rPr>
          <w:b/>
          <w:bCs/>
        </w:rPr>
        <w:t xml:space="preserve">Recomendação</w:t>
      </w:r>
      <w:r>
        <w:t xml:space="preserve">: Dar ciência aos responsáveis pela irregularidade mencionada neste item e tomar providências para garantir a restituição ao Fundo Nacional de Saúde (FNS) do montante de R$ 2.400 (dois mil e quatrocentos reais), em conformidade com o item 9.3.3 do Acórdão/TCU n.º 1.072/2017-Plenário, com o objetivo de evitar prejuízos ao erário. Acompanhar, fiscalizar, supervisionar e auditar as ações descritas no contrato firmado com o prestador, principalmente no que se refere à adequada codificação dos procedimentos no SIGTAP, conforme as orientações no Manual de Operação do Sistema do SIA, que, em seu item 3.3, dispõe que: ” Compete ao gestor municipal e estadual o controle e avaliação da produção ambulatorial processada e enviada para o gestor federal.”, bem como o disposto nos incisos I e II, do Art. 295, Seção II da PRC GM/MS nº 1, de 28/9/2017, que define a sistemática de alimentação dos Bancos de Dados Nacionais dos Sistemas de Informação em Saúde SIA, SIH e SCNES.</w:t>
      </w:r>
    </w:p>
    <w:p>
      <w:pPr>
        <w:pStyle w:val="937"/>
      </w:pPr>
      <w:r>
        <w:rPr>
          <w:b/>
          <w:bCs/>
        </w:rPr>
        <w:t xml:space="preserve">Etiqueta Antiga</w:t>
      </w:r>
      <w:r>
        <w:t xml:space="preserve">: Prejuízo e restituição</w:t>
      </w:r>
    </w:p>
    <w:bookmarkEnd w:id="402"/>
    <w:bookmarkStart w:id="403" w:name="X5c30920ee23f34f296c39630be9989d9cb0d7e6"/>
    <w:p>
      <w:pPr>
        <w:pStyle w:val="907"/>
      </w:pPr>
      <w:r>
        <w:t xml:space="preserve">14.0.4.25 Auditoria 19879, Constatação Nº 703730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O Hospital de Câncer de Cascavel (UOPECCAN) não comprovou documentalmente, em 01 caso, a realização da cirurgia oncológica no máximo 60 dias antes da quimioterapia adjuvante - profilática.</w:t>
      </w:r>
    </w:p>
    <w:p>
      <w:pPr>
        <w:pStyle w:val="937"/>
      </w:pPr>
      <w:r>
        <w:rPr>
          <w:b/>
          <w:bCs/>
        </w:rPr>
        <w:t xml:space="preserve">Recomendação</w:t>
      </w:r>
      <w:r>
        <w:t xml:space="preserve">: Acompanhar, fiscalizar, supervisionar e auditar as ações descritas no contrato firmado com o prestador, principalmente no que se refere à adequada codificação dos procedimentos no SIGTAP, conforme as orientações no Manual de Operação do Sistema do SIA, que, em seu item 3.3, dispõe que: ” Compete ao gestor municipal e estadual o controle e avaliação da produção ambulatorial processada e enviada para o gestor federal.”, bem como o disposto nos incisos I e II, do Art. 295, Seção II da PRC GM/MS nº 1, de 28/9/2017, que define a sistemática de alimentação dos Bancos de Dados Nacionais dos Sistemas de Informação em Saúde SIA, SIH e SCNES. Dar ciência aos responsáveis pela irregularidade mencionada neste item e tomar providências para garantir a restituição ao Fundo Nacional de Saúde (FNS) do montante de R$ 1.100,00 (hum mil e cem reais), em conformidade com o item 9.3.3 do Acórdão/TCU n.° 1.072/2017-Plenário, com o objetivo de evitar prejuízos ao erário.</w:t>
      </w:r>
    </w:p>
    <w:p>
      <w:pPr>
        <w:pStyle w:val="937"/>
      </w:pPr>
      <w:r>
        <w:rPr>
          <w:b/>
          <w:bCs/>
        </w:rPr>
        <w:t xml:space="preserve">Etiqueta Antiga</w:t>
      </w:r>
      <w:r>
        <w:t xml:space="preserve">: Prejuízo e restituição</w:t>
      </w:r>
    </w:p>
    <w:bookmarkEnd w:id="403"/>
    <w:bookmarkStart w:id="404" w:name="auditoria-19892-constatação-nº-704050-3"/>
    <w:p>
      <w:pPr>
        <w:pStyle w:val="907"/>
      </w:pPr>
      <w:r>
        <w:t xml:space="preserve">14.0.4.26 Auditoria 19892, Constatação Nº 704050 (#3)</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Faturamento/Produção/Cobranças SUS</w:t>
      </w:r>
    </w:p>
    <w:p>
      <w:pPr>
        <w:pStyle w:val="937"/>
      </w:pPr>
      <w:r>
        <w:rPr>
          <w:b/>
          <w:bCs/>
        </w:rPr>
        <w:t xml:space="preserve">Constatação</w:t>
      </w:r>
      <w:r>
        <w:t xml:space="preserve">: Inconsistências na realização de cirurgias oncológicas, em até 30 dias após o término do tratamento, nos pacientes submetidos à quimioterapia prévia (neoadjuvante/citorredutora).</w:t>
      </w:r>
    </w:p>
    <w:p>
      <w:pPr>
        <w:pStyle w:val="937"/>
      </w:pPr>
      <w:r>
        <w:rPr>
          <w:b/>
          <w:bCs/>
        </w:rPr>
        <w:t xml:space="preserve">Recomendação</w:t>
      </w:r>
      <w:r>
        <w:t xml:space="preserve">: Adotar procedimentos a seu cargo visando o acompanhamento da recomposição do recurso ao Fundo Nacional de Saúde (FNS) do valor de R$ 7.417,50 (Sete mil, quatrocentos e dezessete reais e cinquenta centavos) , indicado no capítulo proposição de devolução do presente relatório, com acréscimos legais, visando à elisão do dano ocorrido com recursos de origem federal, observados os princípios norteadores dos processos administrativos, conforme estabelece o art. 3º da Portaria GM/MS nº 885, de 4 de maio de 2021, combinado com o Inciso VIII, do art. 2º, do Decreto nº 3.964, de 10/10/2001.</w:t>
      </w:r>
    </w:p>
    <w:p>
      <w:pPr>
        <w:pStyle w:val="937"/>
      </w:pPr>
      <w:r>
        <w:rPr>
          <w:b/>
          <w:bCs/>
        </w:rPr>
        <w:t xml:space="preserve">Etiqueta Antiga</w:t>
      </w:r>
      <w:r>
        <w:t xml:space="preserve">: Prejuízo e restituição</w:t>
      </w:r>
    </w:p>
    <w:bookmarkEnd w:id="404"/>
    <w:bookmarkEnd w:id="405"/>
    <w:bookmarkStart w:id="408" w:name="gestão-orçamentária-e-financeira"/>
    <w:p>
      <w:pPr>
        <w:pStyle w:val="906"/>
      </w:pPr>
      <w:r>
        <w:t xml:space="preserve">14.0.5 Gestão orçamentária e financeira</w:t>
      </w:r>
    </w:p>
    <w:bookmarkStart w:id="406" w:name="auditoria-18714-constatação-nº-671371-1"/>
    <w:p>
      <w:pPr>
        <w:pStyle w:val="907"/>
      </w:pPr>
      <w:r>
        <w:t xml:space="preserve">14.0.5.1 Auditoria 18714, Constatação Nº 671371 (#1)</w:t>
      </w:r>
    </w:p>
    <w:p>
      <w:pPr>
        <w:pStyle w:val="937"/>
      </w:pPr>
      <w:r>
        <w:rPr>
          <w:b/>
          <w:bCs/>
        </w:rPr>
        <w:t xml:space="preserve">Grupo</w:t>
      </w:r>
      <w:r>
        <w:t xml:space="preserve">: Recursos Financeiros</w:t>
      </w:r>
    </w:p>
    <w:p>
      <w:pPr>
        <w:pStyle w:val="937"/>
      </w:pPr>
      <w:r>
        <w:rPr>
          <w:b/>
          <w:bCs/>
        </w:rPr>
        <w:t xml:space="preserve">Subgrupo</w:t>
      </w:r>
      <w:r>
        <w:t xml:space="preserve">: Execução Orçamentária</w:t>
      </w:r>
    </w:p>
    <w:p>
      <w:pPr>
        <w:pStyle w:val="937"/>
      </w:pPr>
      <w:r>
        <w:rPr>
          <w:b/>
          <w:bCs/>
        </w:rPr>
        <w:t xml:space="preserve">Item</w:t>
      </w:r>
      <w:r>
        <w:t xml:space="preserve">: Movimentação financeira</w:t>
      </w:r>
    </w:p>
    <w:p>
      <w:pPr>
        <w:pStyle w:val="937"/>
      </w:pPr>
      <w:r>
        <w:rPr>
          <w:b/>
          <w:bCs/>
        </w:rPr>
        <w:t xml:space="preserve">Constatação</w:t>
      </w:r>
      <w:r>
        <w:t xml:space="preserve">: Os recursos transferidos pelo Fundo Nacional de Saúde - FNS/MS referente às Emendas Parlamentares nº 27920010, 3724007 e 3815005, foram aplicados intempestivamente no mercado financeiro.</w:t>
      </w:r>
    </w:p>
    <w:p>
      <w:pPr>
        <w:pStyle w:val="937"/>
      </w:pPr>
      <w:r>
        <w:rPr>
          <w:b/>
          <w:bCs/>
        </w:rPr>
        <w:t xml:space="preserve">Recomendação</w:t>
      </w:r>
      <w:r>
        <w:t xml:space="preserve">: Adotar medidas que assegurem que os repasses de recursos federais oriundos de emendas parlamentares sejam aplicados tempestivamente, de acordo com os instrumentos que lhe derem origem e demais normas vigentes.</w:t>
      </w:r>
    </w:p>
    <w:p>
      <w:pPr>
        <w:pStyle w:val="937"/>
      </w:pPr>
      <w:r>
        <w:rPr>
          <w:b/>
          <w:bCs/>
        </w:rPr>
        <w:t xml:space="preserve">Etiqueta Antiga</w:t>
      </w:r>
      <w:r>
        <w:t xml:space="preserve">: Gestão orçamentária e financeira</w:t>
      </w:r>
    </w:p>
    <w:bookmarkEnd w:id="406"/>
    <w:bookmarkStart w:id="407" w:name="auditoria-19718-constatação-nº-696627-1"/>
    <w:p>
      <w:pPr>
        <w:pStyle w:val="907"/>
      </w:pPr>
      <w:r>
        <w:t xml:space="preserve">14.0.5.2 Auditoria 19718, Constatação Nº 696627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 Secretaria Municipal de Saúde de Franca - SP não possui Cadastro Nacional de Pessoa Jurírica (CNPJ) próprio.</w:t>
      </w:r>
    </w:p>
    <w:p>
      <w:pPr>
        <w:pStyle w:val="937"/>
      </w:pPr>
      <w:r>
        <w:rPr>
          <w:b/>
          <w:bCs/>
        </w:rPr>
        <w:t xml:space="preserve">Recomendação</w:t>
      </w:r>
      <w:r>
        <w:t xml:space="preserve">: Organizar e padronizar contabilmente (segregar as contas) dos recursos federais recebidos pelo Município de Franca do Ministério da Saúde, para garantir o acompanhamento e transparência do recebimento e aplicação, conforme parágrafo 2º, do artigo 13 da Lei Complementar nº 141/2012, que cita: § 2o Os recursos da União previstos nesta Lei Complementar serão transferidos aos demais entes da Federação e movimentados, até a sua destinação final, em contas específicas mantidas em instituição financeira oficial federal, observados os critérios e procedimentos definidos em ato próprio do Chefe do Poder Executivo da União combinado com o artigo 2º do Decreto nº 7507/2011, que cita: Os recursos de que trata este Decreto serão depositados e mantidos em conta específica aberta para este fim em instituições financeiras oficiais federais.</w:t>
      </w:r>
    </w:p>
    <w:p>
      <w:pPr>
        <w:pStyle w:val="937"/>
      </w:pPr>
      <w:r>
        <w:rPr>
          <w:b/>
          <w:bCs/>
        </w:rPr>
        <w:t xml:space="preserve">Etiqueta Antiga</w:t>
      </w:r>
      <w:r>
        <w:t xml:space="preserve">: Gestão orçamentária e financeira</w:t>
      </w:r>
    </w:p>
    <w:bookmarkEnd w:id="407"/>
    <w:bookmarkEnd w:id="408"/>
    <w:bookmarkStart w:id="412" w:name="gestão-de-recursos-materiais"/>
    <w:p>
      <w:pPr>
        <w:pStyle w:val="906"/>
      </w:pPr>
      <w:r>
        <w:t xml:space="preserve">14.0.6 Gestão de recursos materiais</w:t>
      </w:r>
    </w:p>
    <w:bookmarkStart w:id="409" w:name="auditoria-18722-constatação-nº-652254-1"/>
    <w:p>
      <w:pPr>
        <w:pStyle w:val="907"/>
      </w:pPr>
      <w:r>
        <w:t xml:space="preserve">14.0.6.1 Auditoria 18722, Constatação Nº 652254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Controle de estoques/Validade</w:t>
      </w:r>
    </w:p>
    <w:p>
      <w:pPr>
        <w:pStyle w:val="937"/>
      </w:pPr>
      <w:r>
        <w:rPr>
          <w:b/>
          <w:bCs/>
        </w:rPr>
        <w:t xml:space="preserve">Constatação</w:t>
      </w:r>
      <w:r>
        <w:t xml:space="preserve">: A Central de Abastecimento Farmacêutico - CAF, apresenta controles de estoques ineficientes.</w:t>
      </w:r>
    </w:p>
    <w:p>
      <w:pPr>
        <w:pStyle w:val="937"/>
      </w:pPr>
      <w:r>
        <w:rPr>
          <w:b/>
          <w:bCs/>
        </w:rPr>
        <w:t xml:space="preserve">Recomendação</w:t>
      </w:r>
      <w:r>
        <w:t xml:space="preserve">: Deverá adotar um sistema de controle de medicamentos eficiente, conforme determina o artigo 39 da Portaria de Consolidação GM/MS nº 2, de 28/09/2017, Título III, Capítulo II, com os itens</w:t>
      </w:r>
      <w:r>
        <w:t xml:space="preserve"> </w:t>
      </w:r>
      <w:r>
        <w:t xml:space="preserve">“5.5.7 Controle de estoque”</w:t>
      </w:r>
      <w:r>
        <w:t xml:space="preserve">,</w:t>
      </w:r>
      <w:r>
        <w:t xml:space="preserve"> </w:t>
      </w:r>
      <w:r>
        <w:t xml:space="preserve">“5.5.8 Sistema de Controle”</w:t>
      </w:r>
      <w:r>
        <w:t xml:space="preserve">, “5.5.9 Inventário’’ do Manual de Assistência Farmacêutica na Atenção Básica - Instruções Técnicas para sua Organização, 2006, e com o princípio da eficiência disposto no artigo 37 da Constituição da República Federativa do Brasil de 1988.</w:t>
      </w:r>
    </w:p>
    <w:p>
      <w:pPr>
        <w:pStyle w:val="937"/>
      </w:pPr>
      <w:r>
        <w:rPr>
          <w:b/>
          <w:bCs/>
        </w:rPr>
        <w:t xml:space="preserve">Etiqueta Antiga</w:t>
      </w:r>
      <w:r>
        <w:t xml:space="preserve">: Gestão de operações</w:t>
      </w:r>
    </w:p>
    <w:bookmarkEnd w:id="409"/>
    <w:bookmarkStart w:id="410" w:name="auditoria-19480-constatação-nº-672897-1"/>
    <w:p>
      <w:pPr>
        <w:pStyle w:val="907"/>
      </w:pPr>
      <w:r>
        <w:t xml:space="preserve">14.0.6.2 Auditoria 19480, Constatação Nº 672897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Recursos humanos</w:t>
      </w:r>
    </w:p>
    <w:p>
      <w:pPr>
        <w:pStyle w:val="937"/>
      </w:pPr>
      <w:r>
        <w:rPr>
          <w:b/>
          <w:bCs/>
        </w:rPr>
        <w:t xml:space="preserve">Constatação</w:t>
      </w:r>
      <w:r>
        <w:t xml:space="preserve">: Não há disponibilização adequada de uniformes aos profissionais atuantes no SAMU 192 Manaus.</w:t>
      </w:r>
    </w:p>
    <w:p>
      <w:pPr>
        <w:pStyle w:val="937"/>
      </w:pPr>
      <w:r>
        <w:rPr>
          <w:b/>
          <w:bCs/>
        </w:rPr>
        <w:t xml:space="preserve">Recomendação</w:t>
      </w:r>
      <w:r>
        <w:t xml:space="preserve">: A SEMSA Manaus deverá providenciar uniformes completos a todos os profissionais que compõe a equipe do SAMU 192, conforme preconiza o Manual de Identidade Visual SAMU 192 Versão 1.2/2012 e com o Art. 927, Seção IV, Capítulo II, Título VIII da Portaria de Consolidação nº 6, de 28/09/2017, que dispõem sobre a padronização visual dos uniformes das equipes e que o macacão é a principal peça do uniforme dos membros da equipe SAMU 192 Manaus.</w:t>
      </w:r>
    </w:p>
    <w:p>
      <w:pPr>
        <w:pStyle w:val="937"/>
      </w:pPr>
      <w:r>
        <w:rPr>
          <w:b/>
          <w:bCs/>
        </w:rPr>
        <w:t xml:space="preserve">Etiqueta Antiga</w:t>
      </w:r>
      <w:r>
        <w:t xml:space="preserve">: Gestão de pessoal e capacitação</w:t>
      </w:r>
    </w:p>
    <w:bookmarkEnd w:id="410"/>
    <w:bookmarkStart w:id="411" w:name="auditoria-19628-constatação-nº-685446-1"/>
    <w:p>
      <w:pPr>
        <w:pStyle w:val="907"/>
      </w:pPr>
      <w:r>
        <w:t xml:space="preserve">14.0.6.3 Auditoria 19628, Constatação Nº 685446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Controle de estoques/Validade</w:t>
      </w:r>
    </w:p>
    <w:p>
      <w:pPr>
        <w:pStyle w:val="937"/>
      </w:pPr>
      <w:r>
        <w:rPr>
          <w:b/>
          <w:bCs/>
        </w:rPr>
        <w:t xml:space="preserve">Constatação</w:t>
      </w:r>
      <w:r>
        <w:t xml:space="preserve">: O Hospital Federal de Bonsucesso (HFB) não possui controle efetivo de entrada e dispensação de OPME.</w:t>
      </w:r>
    </w:p>
    <w:p>
      <w:pPr>
        <w:pStyle w:val="937"/>
      </w:pPr>
      <w:r>
        <w:rPr>
          <w:b/>
          <w:bCs/>
        </w:rPr>
        <w:t xml:space="preserve">Recomendação</w:t>
      </w:r>
      <w:r>
        <w:t xml:space="preserve">: Estabelecer medidas que assegurem o controle efetivo de entrada e dispensação de OPME, conforme disposto no item 5.1, do Capítulo 5, do Manual de Boas Práticas de Gestão das Órteses, Próteses e Materiais Especiais (OPME) do Ministério da Saúde - 2016 e no item 3.7, da Instrução Normativa n.º 205, de 8/4/1988.</w:t>
      </w:r>
    </w:p>
    <w:p>
      <w:pPr>
        <w:pStyle w:val="937"/>
      </w:pPr>
      <w:r>
        <w:rPr>
          <w:b/>
          <w:bCs/>
        </w:rPr>
        <w:t xml:space="preserve">Etiqueta Antiga</w:t>
      </w:r>
      <w:r>
        <w:t xml:space="preserve">: Gestão de operações</w:t>
      </w:r>
    </w:p>
    <w:bookmarkEnd w:id="411"/>
    <w:bookmarkEnd w:id="412"/>
    <w:bookmarkStart w:id="439" w:name="X258ca3872b6e27b706b66e138b3e639c88dda94"/>
    <w:p>
      <w:pPr>
        <w:pStyle w:val="906"/>
      </w:pPr>
      <w:r>
        <w:t xml:space="preserve">14.0.7 Gestão de contratos, convênios e parceiras</w:t>
      </w:r>
    </w:p>
    <w:bookmarkStart w:id="413" w:name="auditoria-18885-constatação-nº-664800-1"/>
    <w:p>
      <w:pPr>
        <w:pStyle w:val="907"/>
      </w:pPr>
      <w:r>
        <w:t xml:space="preserve">14.0.7.1 Auditoria 18885, Constatação Nº 664800 (#1)</w:t>
      </w:r>
    </w:p>
    <w:p>
      <w:pPr>
        <w:pStyle w:val="937"/>
      </w:pPr>
      <w:r>
        <w:rPr>
          <w:b/>
          <w:bCs/>
        </w:rPr>
        <w:t xml:space="preserve">Grupo</w:t>
      </w:r>
      <w:r>
        <w:t xml:space="preserve">: Recursos Financeiros</w:t>
      </w:r>
    </w:p>
    <w:p>
      <w:pPr>
        <w:pStyle w:val="937"/>
      </w:pPr>
      <w:r>
        <w:rPr>
          <w:b/>
          <w:bCs/>
        </w:rPr>
        <w:t xml:space="preserve">Subgrupo</w:t>
      </w:r>
      <w:r>
        <w:t xml:space="preserve">: Contrato</w:t>
      </w:r>
    </w:p>
    <w:p>
      <w:pPr>
        <w:pStyle w:val="937"/>
      </w:pPr>
      <w:r>
        <w:rPr>
          <w:b/>
          <w:bCs/>
        </w:rPr>
        <w:t xml:space="preserve">Item</w:t>
      </w:r>
      <w:r>
        <w:t xml:space="preserve">: Prestação de Contas</w:t>
      </w:r>
    </w:p>
    <w:p>
      <w:pPr>
        <w:pStyle w:val="937"/>
      </w:pPr>
      <w:r>
        <w:rPr>
          <w:b/>
          <w:bCs/>
        </w:rPr>
        <w:t xml:space="preserve">Constatação</w:t>
      </w:r>
      <w:r>
        <w:t xml:space="preserve">: Foram realizados pagamentos para serviços de assessoria e consultoria decorrentes do Contrato de Gestão nº 01/2015, sem a comprovação da prestação dos serviços, em desconformidade com a legislação.</w:t>
      </w:r>
    </w:p>
    <w:p>
      <w:pPr>
        <w:pStyle w:val="937"/>
      </w:pPr>
      <w:r>
        <w:rPr>
          <w:b/>
          <w:bCs/>
        </w:rPr>
        <w:t xml:space="preserve">Recomendação</w:t>
      </w:r>
      <w:r>
        <w:t xml:space="preserve">: Executar o contrato fielmente de acordo com as cláusulas avençadas de acordo com os incisos II e I do Parágrafo único do artigo 39 da Portaria Interministerial MP/MF/CGU nº 127 de 29 de maio de 2008, que regulamenta o Decreto Federal nº 6.170 de 25 de julho de 2007, que estabelece que os convênios ou contratos de repasse celebrados com entidades privadas sem fins lucrativos, poderão acolher despesas administrativas, desde que estejam expressamente previstas no plano de trabalho e que estejam diretamente relacionadas ao objeto do convênio ou contrato de repasse, e também com o art. 76, combinado com o artigo 116 da Lei Federal 8.666 de 21 de junho de 1993 que estabelece que a Administração rejeitará, no todo ou em parte, obra, serviço ou fornecimento executado em desacordo com o contrato. Não foi encontrado, nos documentos apresentados pela Secretaria Municipal de Saúde, documentos que expressamente autorizem tais despesas, o que também contraria o Parágrafo único do artigo 39 da Portaria Interministerial MP/MF/CGU nº 127 de 29 de maio de 2008, que regulamenta o Decreto Federal nº 6.170 de 25/07/2007.</w:t>
      </w:r>
    </w:p>
    <w:p>
      <w:pPr>
        <w:pStyle w:val="937"/>
      </w:pPr>
      <w:r>
        <w:rPr>
          <w:b/>
          <w:bCs/>
        </w:rPr>
        <w:t xml:space="preserve">Etiqueta Antiga</w:t>
      </w:r>
      <w:r>
        <w:t xml:space="preserve">: Gestão de contratos</w:t>
      </w:r>
    </w:p>
    <w:bookmarkEnd w:id="413"/>
    <w:bookmarkStart w:id="414" w:name="auditoria-19060-constatação-nº-663749-1"/>
    <w:p>
      <w:pPr>
        <w:pStyle w:val="907"/>
      </w:pPr>
      <w:r>
        <w:t xml:space="preserve">14.0.7.2 Auditoria 19060, Constatação Nº 663749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Prestação de Contas</w:t>
      </w:r>
    </w:p>
    <w:p>
      <w:pPr>
        <w:pStyle w:val="937"/>
      </w:pPr>
      <w:r>
        <w:rPr>
          <w:b/>
          <w:bCs/>
        </w:rPr>
        <w:t xml:space="preserve">Constatação</w:t>
      </w:r>
      <w:r>
        <w:t xml:space="preserve">: A Secretaria Municipal de Saúde de Marília não designou representante da administração para acompanhar a execução do Convênio nº 1093/2016.</w:t>
      </w:r>
    </w:p>
    <w:p>
      <w:pPr>
        <w:pStyle w:val="937"/>
      </w:pPr>
      <w:r>
        <w:rPr>
          <w:b/>
          <w:bCs/>
        </w:rPr>
        <w:t xml:space="preserve">Recomendação</w:t>
      </w:r>
      <w:r>
        <w:t xml:space="preserve">: Instituir representante da administração para acompanhar a execução do futuros convênios, em conformidade com o § 1º do artigo nº 67 da Lei Federal nº 8.666 de 21/06/1993, que diz que a execução do contrato deverá ser acompanhada e fiscalizada por um representante da Administração especialmente designado, permitida a contratação de terceiros para assisti-lo e subsidiá-lo de informações pertinentes a essa atribuição e que o representante da Administração anotará em registro próprio todas as ocorrências relacionadas com a execução do contrato, determinando o que for necessário à regularização das faltas ou defeitos observados.</w:t>
      </w:r>
    </w:p>
    <w:p>
      <w:pPr>
        <w:pStyle w:val="937"/>
      </w:pPr>
      <w:r>
        <w:rPr>
          <w:b/>
          <w:bCs/>
        </w:rPr>
        <w:t xml:space="preserve">Etiqueta Antiga</w:t>
      </w:r>
      <w:r>
        <w:t xml:space="preserve">: Gestão de contratos</w:t>
      </w:r>
    </w:p>
    <w:bookmarkEnd w:id="414"/>
    <w:bookmarkStart w:id="415" w:name="auditoria-19197-constatação-nº-654780-2"/>
    <w:p>
      <w:pPr>
        <w:pStyle w:val="907"/>
      </w:pPr>
      <w:r>
        <w:t xml:space="preserve">14.0.7.3 Auditoria 19197, Constatação Nº 654780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Recursos Materiais/equipamentos</w:t>
      </w:r>
    </w:p>
    <w:p>
      <w:pPr>
        <w:pStyle w:val="937"/>
      </w:pPr>
      <w:r>
        <w:rPr>
          <w:b/>
          <w:bCs/>
        </w:rPr>
        <w:t xml:space="preserve">Constatação</w:t>
      </w:r>
      <w:r>
        <w:t xml:space="preserve">: As etiquetas das OPME fixadas nos prontuários não seguem plenamente as exigências constantes nas normativas vigentes.</w:t>
      </w:r>
    </w:p>
    <w:p>
      <w:pPr>
        <w:pStyle w:val="937"/>
      </w:pPr>
      <w:r>
        <w:rPr>
          <w:b/>
          <w:bCs/>
        </w:rPr>
        <w:t xml:space="preserve">Recomendação</w:t>
      </w:r>
      <w:r>
        <w:t xml:space="preserve">: Incluir em todos os Termos de Referência produzidos pela unidade cláusula que exige que as etiquetas das OPMEs entregues pelas empresas fornecedoras tenham todas as informações exigidas pela RDC n°14 Anvisa, de 5 de abril de 2011.</w:t>
      </w:r>
    </w:p>
    <w:p>
      <w:pPr>
        <w:pStyle w:val="937"/>
      </w:pPr>
      <w:r>
        <w:rPr>
          <w:b/>
          <w:bCs/>
        </w:rPr>
        <w:t xml:space="preserve">Etiqueta Antiga</w:t>
      </w:r>
      <w:r>
        <w:t xml:space="preserve">: Gestão de contratos</w:t>
      </w:r>
    </w:p>
    <w:bookmarkEnd w:id="415"/>
    <w:bookmarkStart w:id="416" w:name="auditoria-19199-constatação-nº-658862-1"/>
    <w:p>
      <w:pPr>
        <w:pStyle w:val="907"/>
      </w:pPr>
      <w:r>
        <w:t xml:space="preserve">14.0.7.4 Auditoria 19199, Constatação Nº 658862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Contrato</w:t>
      </w:r>
    </w:p>
    <w:p>
      <w:pPr>
        <w:pStyle w:val="937"/>
      </w:pPr>
      <w:r>
        <w:rPr>
          <w:b/>
          <w:bCs/>
        </w:rPr>
        <w:t xml:space="preserve">Constatação</w:t>
      </w:r>
      <w:r>
        <w:t xml:space="preserve">: Impropriedades em cláusulas do Contrato nº13/2016 e termos aditivos, cujo objeto é a contratação dos serviços de aluguel dos imóveis e bens móveis do Instituto de Traumatologia e Ortopedia do Rio Grande do Norte (ITORN).</w:t>
      </w:r>
    </w:p>
    <w:p>
      <w:pPr>
        <w:pStyle w:val="937"/>
      </w:pPr>
      <w:r>
        <w:rPr>
          <w:b/>
          <w:bCs/>
        </w:rPr>
        <w:t xml:space="preserve">Recomendação</w:t>
      </w:r>
      <w:r>
        <w:t xml:space="preserve">: Cumprir os art. 54 e 55 da Lei Federal n° 8.666, de 21 de junho de 1993 que estabelecem as regras para os contratos da Administração Pública oriundos de processos de licitação, dispensa ou inexigibilidade. Cumprir as novas regras de licitações e contratos administrativos contidos na Lei Federal n° 14.133, de 1º de abril de 2021 (Lei de Licitações e Contratos Administrativos.</w:t>
      </w:r>
    </w:p>
    <w:p>
      <w:pPr>
        <w:pStyle w:val="937"/>
      </w:pPr>
      <w:r>
        <w:rPr>
          <w:b/>
          <w:bCs/>
        </w:rPr>
        <w:t xml:space="preserve">Etiqueta Antiga</w:t>
      </w:r>
      <w:r>
        <w:t xml:space="preserve">: Gestão de contratos</w:t>
      </w:r>
    </w:p>
    <w:bookmarkEnd w:id="416"/>
    <w:bookmarkStart w:id="417" w:name="auditoria-19199-constatação-nº-659539-1"/>
    <w:p>
      <w:pPr>
        <w:pStyle w:val="907"/>
      </w:pPr>
      <w:r>
        <w:t xml:space="preserve">14.0.7.5 Auditoria 19199, Constatação Nº 659539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Contrato</w:t>
      </w:r>
    </w:p>
    <w:p>
      <w:pPr>
        <w:pStyle w:val="937"/>
      </w:pPr>
      <w:r>
        <w:rPr>
          <w:b/>
          <w:bCs/>
        </w:rPr>
        <w:t xml:space="preserve">Constatação</w:t>
      </w:r>
      <w:r>
        <w:t xml:space="preserve">: Não realização do laudo de vistoria contendo a situação de recebimento do imóvel e dos bens móveis, na celebração do contrato nº 13/16 entre a SESAP/RN e o ITORN.</w:t>
      </w:r>
    </w:p>
    <w:p>
      <w:pPr>
        <w:pStyle w:val="937"/>
      </w:pPr>
      <w:r>
        <w:rPr>
          <w:b/>
          <w:bCs/>
        </w:rPr>
        <w:t xml:space="preserve">Recomendação</w:t>
      </w:r>
      <w:r>
        <w:t xml:space="preserve">: Observar, na realização de contratos para locação de imóveis, o disposto no Art. 24, Inciso X da Lei 8.666, de 21 de junho de 1993 o qual prevê como permissiva legal apenas a locação de bem imóvel, desde que condizentes com os preços de mercado; Observar o disposto no Art. 51 da Lei nº 14.133, de 1º de abril de 2021 o qual registra que a locação de imóveis deverá ser precedida de licitação e avaliação prévia do bem, do seu estado de conservação, dos custos de adaptações e do prazo de amortização dos investimentos necessários.</w:t>
      </w:r>
    </w:p>
    <w:p>
      <w:pPr>
        <w:pStyle w:val="937"/>
      </w:pPr>
      <w:r>
        <w:rPr>
          <w:b/>
          <w:bCs/>
        </w:rPr>
        <w:t xml:space="preserve">Etiqueta Antiga</w:t>
      </w:r>
      <w:r>
        <w:t xml:space="preserve">: Gestão de contratos</w:t>
      </w:r>
    </w:p>
    <w:bookmarkEnd w:id="417"/>
    <w:bookmarkStart w:id="418" w:name="auditoria-19533-constatação-nº-674464-1"/>
    <w:p>
      <w:pPr>
        <w:pStyle w:val="907"/>
      </w:pPr>
      <w:r>
        <w:t xml:space="preserve">14.0.7.6 Auditoria 19533, Constatação Nº 674464 (#1)</w:t>
      </w:r>
    </w:p>
    <w:p>
      <w:pPr>
        <w:pStyle w:val="937"/>
      </w:pPr>
      <w:r>
        <w:rPr>
          <w:b/>
          <w:bCs/>
        </w:rPr>
        <w:t xml:space="preserve">Grupo</w:t>
      </w:r>
      <w:r>
        <w:t xml:space="preserve">: Recursos Financeiros</w:t>
      </w:r>
    </w:p>
    <w:p>
      <w:pPr>
        <w:pStyle w:val="937"/>
      </w:pPr>
      <w:r>
        <w:rPr>
          <w:b/>
          <w:bCs/>
        </w:rPr>
        <w:t xml:space="preserve">Subgrupo</w:t>
      </w:r>
      <w:r>
        <w:t xml:space="preserve">: Contrato</w:t>
      </w:r>
    </w:p>
    <w:p>
      <w:pPr>
        <w:pStyle w:val="937"/>
      </w:pPr>
      <w:r>
        <w:rPr>
          <w:b/>
          <w:bCs/>
        </w:rPr>
        <w:t xml:space="preserve">Item</w:t>
      </w:r>
      <w:r>
        <w:t xml:space="preserve">: Aquisição de Materiais e equipamentos (licitação)</w:t>
      </w:r>
    </w:p>
    <w:p>
      <w:pPr>
        <w:pStyle w:val="937"/>
      </w:pPr>
      <w:r>
        <w:rPr>
          <w:b/>
          <w:bCs/>
        </w:rPr>
        <w:t xml:space="preserve">Constatação</w:t>
      </w:r>
      <w:r>
        <w:t xml:space="preserve">: Nas prestações de contas do Contrato nº 53/2018 não consta a totalidade das requisições de compras dos medicamentos e insumos correlatos adquiridos.</w:t>
      </w:r>
    </w:p>
    <w:p>
      <w:pPr>
        <w:pStyle w:val="937"/>
      </w:pPr>
      <w:r>
        <w:rPr>
          <w:b/>
          <w:bCs/>
        </w:rPr>
        <w:t xml:space="preserve">Recomendação</w:t>
      </w:r>
      <w:r>
        <w:t xml:space="preserve">: Fornecer por requisição todas as aquisições de acordo com a legislação de acordo com a Instrução Normativa da Presidência da República nº 205/1988, item 2 e item 5.1.3 a qual estabelece que o fornecimento por Requisição é o processo mais comum, pelo qual se entrega o material ao usuário mediante apresentação de uma requisição (pedido de material) de uso interno no órgão ou entidade.</w:t>
      </w:r>
    </w:p>
    <w:p>
      <w:pPr>
        <w:pStyle w:val="937"/>
      </w:pPr>
      <w:r>
        <w:rPr>
          <w:b/>
          <w:bCs/>
        </w:rPr>
        <w:t xml:space="preserve">Etiqueta Antiga</w:t>
      </w:r>
      <w:r>
        <w:t xml:space="preserve">: Gestão de contratos</w:t>
      </w:r>
    </w:p>
    <w:bookmarkEnd w:id="418"/>
    <w:bookmarkStart w:id="419" w:name="auditoria-19610-constatação-nº-674188-1"/>
    <w:p>
      <w:pPr>
        <w:pStyle w:val="907"/>
      </w:pPr>
      <w:r>
        <w:t xml:space="preserve">14.0.7.7 Auditoria 19610, Constatação Nº 674188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Impropriedades no processo de cotação de preço para contratação de serviços técnicos profissionais de Recursos Humanos e Departamento Pessoal, em caráter complementar, nas ações de assistência à saúde aos povos indígenas.</w:t>
      </w:r>
    </w:p>
    <w:p>
      <w:pPr>
        <w:pStyle w:val="937"/>
      </w:pPr>
      <w:r>
        <w:rPr>
          <w:b/>
          <w:bCs/>
        </w:rPr>
        <w:t xml:space="preserve">Recomendação</w:t>
      </w:r>
      <w:r>
        <w:t xml:space="preserve">: Solicitar manifestação da convenente sobre a contratação da empresa VCR Produções Empresariais LTDA tendo em vista a sua não atuação no objeto da cotação e bem como a sua abertura às vésperas da celebração do referido convênio.</w:t>
      </w:r>
    </w:p>
    <w:p>
      <w:pPr>
        <w:pStyle w:val="937"/>
      </w:pPr>
      <w:r>
        <w:rPr>
          <w:b/>
          <w:bCs/>
        </w:rPr>
        <w:t xml:space="preserve">Etiqueta Antiga</w:t>
      </w:r>
      <w:r>
        <w:t xml:space="preserve">: Gestão de contratos</w:t>
      </w:r>
    </w:p>
    <w:bookmarkEnd w:id="419"/>
    <w:bookmarkStart w:id="420" w:name="auditoria-19611-constatação-nº-674411-2"/>
    <w:p>
      <w:pPr>
        <w:pStyle w:val="907"/>
      </w:pPr>
      <w:r>
        <w:t xml:space="preserve">14.0.7.8 Auditoria 19611, Constatação Nº 674411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Ausência de cotação prévia de preços e de justificativa para a contratação de empresa para prestação de serviços em curso especializado.</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937"/>
      </w:pPr>
      <w:r>
        <w:rPr>
          <w:b/>
          <w:bCs/>
        </w:rPr>
        <w:t xml:space="preserve">Etiqueta Antiga</w:t>
      </w:r>
      <w:r>
        <w:t xml:space="preserve">: Gestão de contratos</w:t>
      </w:r>
    </w:p>
    <w:bookmarkEnd w:id="420"/>
    <w:bookmarkStart w:id="421" w:name="auditoria-19612-constatação-nº-674762-1"/>
    <w:p>
      <w:pPr>
        <w:pStyle w:val="907"/>
      </w:pPr>
      <w:r>
        <w:t xml:space="preserve">14.0.7.9 Auditoria 19612, Constatação Nº 674762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Formalização</w:t>
      </w:r>
    </w:p>
    <w:p>
      <w:pPr>
        <w:pStyle w:val="937"/>
      </w:pPr>
      <w:r>
        <w:rPr>
          <w:b/>
          <w:bCs/>
        </w:rPr>
        <w:t xml:space="preserve">Constatação</w:t>
      </w:r>
      <w:r>
        <w:t xml:space="preserve">: Ausência de comprovação da capacidade técnica e operacional da Missão Evangélica Caiuá para realização do objeto e das atividades previstas no Convênio nº 882482/2019 - DSEI Médio Rio Solimões e Afluentes.</w:t>
      </w:r>
    </w:p>
    <w:p>
      <w:pPr>
        <w:pStyle w:val="937"/>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chamamentos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 em conformidade ao estabelecido no art. 116, caput, no art. 27, inciso II, e art. 55, inciso XIII, da Lei 8.666/1993, expressa no § 2º do art. 1º e no V do art. 16 da Portaria Interministerial MP/MF/CGU nº 424 de 2016. Aprimorar também os instrumentos de análise como pareceres técnicos de mérito e técnicos-econômico, no sentido de atender ao preconizado no inciso II, art. 8º, da Portaria Interministerial MP/MF/CGU nº 424 de 2016.</w:t>
      </w:r>
    </w:p>
    <w:p>
      <w:pPr>
        <w:pStyle w:val="937"/>
      </w:pPr>
      <w:r>
        <w:rPr>
          <w:b/>
          <w:bCs/>
        </w:rPr>
        <w:t xml:space="preserve">Etiqueta Antiga</w:t>
      </w:r>
      <w:r>
        <w:t xml:space="preserve">: Gestão de contratos</w:t>
      </w:r>
    </w:p>
    <w:bookmarkEnd w:id="421"/>
    <w:bookmarkStart w:id="422" w:name="Xfe629d200e38fce33f07e55a4c69ad14aa34c02"/>
    <w:p>
      <w:pPr>
        <w:pStyle w:val="907"/>
      </w:pPr>
      <w:r>
        <w:t xml:space="preserve">14.0.7.10 Auditoria 19612, Constatação Nº 674988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aos relatórios mensais de acompanhamento do Eixo Controle Social no Transferegov.</w:t>
      </w:r>
    </w:p>
    <w:p>
      <w:pPr>
        <w:pStyle w:val="937"/>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37"/>
      </w:pPr>
      <w:r>
        <w:rPr>
          <w:b/>
          <w:bCs/>
        </w:rPr>
        <w:t xml:space="preserve">Etiqueta Antiga</w:t>
      </w:r>
      <w:r>
        <w:t xml:space="preserve">: Gestão de operações</w:t>
      </w:r>
    </w:p>
    <w:bookmarkEnd w:id="422"/>
    <w:bookmarkStart w:id="423" w:name="auditoria-19613-constatação-nº-677708-1"/>
    <w:p>
      <w:pPr>
        <w:pStyle w:val="907"/>
      </w:pPr>
      <w:r>
        <w:t xml:space="preserve">14.0.7.11 Auditoria 19613, Constatação Nº 677708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Formalização</w:t>
      </w:r>
    </w:p>
    <w:p>
      <w:pPr>
        <w:pStyle w:val="937"/>
      </w:pPr>
      <w:r>
        <w:rPr>
          <w:b/>
          <w:bCs/>
        </w:rPr>
        <w:t xml:space="preserve">Constatação</w:t>
      </w:r>
      <w:r>
        <w:t xml:space="preserve">: Ausência de demonstração de definição de preço de referência para as despesas estabelecidas no Plano de Trabalho de 2022.</w:t>
      </w:r>
    </w:p>
    <w:p>
      <w:pPr>
        <w:pStyle w:val="937"/>
      </w:pPr>
      <w:r>
        <w:rPr>
          <w:b/>
          <w:bCs/>
        </w:rPr>
        <w:t xml:space="preserve">Recomendação</w:t>
      </w:r>
      <w:r>
        <w:t xml:space="preserve">: Adotar as providências no sentido de solicitar das proponentes, para os próximos convênios a serem celebrados, que os Planos de Trabalho apresentados detenham demonstrativo das pesquisas de preço no mercado para definição dos valores de referência das despesas estabelecidas, em conformidade ao que dispõe os arts. 3º e 5º da IN SEGES /ME nº 65, de 07/07/2021, bem como o inciso XXXIV, do §1º, do art. 1º, e inciso V, art. 19 da Portaria InterministerialMP/MF/CGU nº 424/2016.</w:t>
      </w:r>
    </w:p>
    <w:p>
      <w:pPr>
        <w:pStyle w:val="937"/>
      </w:pPr>
      <w:r>
        <w:rPr>
          <w:b/>
          <w:bCs/>
        </w:rPr>
        <w:t xml:space="preserve">Etiqueta Antiga</w:t>
      </w:r>
      <w:r>
        <w:t xml:space="preserve">: Gestão de contratos</w:t>
      </w:r>
    </w:p>
    <w:bookmarkEnd w:id="423"/>
    <w:bookmarkStart w:id="424" w:name="auditoria-19615-constatação-nº-675097-1"/>
    <w:p>
      <w:pPr>
        <w:pStyle w:val="907"/>
      </w:pPr>
      <w:r>
        <w:t xml:space="preserve">14.0.7.12 Auditoria 19615, Constatação Nº 675097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aos documentos de suporte aos relatórios mensais de acompanhamento dos Eixos de Saneamento Ambiental e Edificações de Saúde Indígena.</w:t>
      </w:r>
    </w:p>
    <w:p>
      <w:pPr>
        <w:pStyle w:val="937"/>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37"/>
      </w:pPr>
      <w:r>
        <w:rPr>
          <w:b/>
          <w:bCs/>
        </w:rPr>
        <w:t xml:space="preserve">Etiqueta Antiga</w:t>
      </w:r>
      <w:r>
        <w:t xml:space="preserve">: Gestão de operações</w:t>
      </w:r>
    </w:p>
    <w:bookmarkEnd w:id="424"/>
    <w:bookmarkStart w:id="425" w:name="auditoria-19616-constatação-nº-676182-2"/>
    <w:p>
      <w:pPr>
        <w:pStyle w:val="907"/>
      </w:pPr>
      <w:r>
        <w:t xml:space="preserve">14.0.7.13 Auditoria 19616, Constatação Nº 676182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Registro de afastamento do trabalho na folha de frequência sem que esteja acompanhado da comprovação da realização dos descontos na remuneração dos profissionais.</w:t>
      </w:r>
    </w:p>
    <w:p>
      <w:pPr>
        <w:pStyle w:val="937"/>
      </w:pPr>
      <w:r>
        <w:rPr>
          <w:b/>
          <w:bCs/>
        </w:rPr>
        <w:t xml:space="preserve">Recomendação</w:t>
      </w:r>
      <w:r>
        <w:t xml:space="preserve">: Fiscalizar o cumprimento pela entidade convenente do dispostona Lei 13.874 de 2019, que altera o art. 74 do Decreto- Lei 5.452, de 1º de maio de 1943 (CLT), acompanhando e monitorando os registros de horário de trabalho referentes à execução das ações de saúde indígena.</w:t>
      </w:r>
    </w:p>
    <w:p>
      <w:pPr>
        <w:pStyle w:val="937"/>
      </w:pPr>
      <w:r>
        <w:rPr>
          <w:b/>
          <w:bCs/>
        </w:rPr>
        <w:t xml:space="preserve">Etiqueta Antiga</w:t>
      </w:r>
      <w:r>
        <w:t xml:space="preserve">: Gestão de contratos</w:t>
      </w:r>
    </w:p>
    <w:bookmarkEnd w:id="425"/>
    <w:bookmarkStart w:id="426" w:name="auditoria-19617-constatação-nº-675247-2"/>
    <w:p>
      <w:pPr>
        <w:pStyle w:val="907"/>
      </w:pPr>
      <w:r>
        <w:t xml:space="preserve">14.0.7.14 Auditoria 19617, Constatação Nº 675247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Ausência de contrato de Serviço de Controladoria, incluindo contas a pagar, Gestão orçamentaria e Prestação de contas.</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937"/>
      </w:pPr>
      <w:r>
        <w:rPr>
          <w:b/>
          <w:bCs/>
        </w:rPr>
        <w:t xml:space="preserve">Etiqueta Antiga</w:t>
      </w:r>
      <w:r>
        <w:t xml:space="preserve">: Gestão de contratos</w:t>
      </w:r>
    </w:p>
    <w:bookmarkEnd w:id="426"/>
    <w:bookmarkStart w:id="427" w:name="auditoria-19617-constatação-nº-675257-1"/>
    <w:p>
      <w:pPr>
        <w:pStyle w:val="907"/>
      </w:pPr>
      <w:r>
        <w:t xml:space="preserve">14.0.7.15 Auditoria 19617, Constatação Nº 675257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Impropriedade em propostas do processo de cotação de preço nº 002/2019.</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937"/>
      </w:pPr>
      <w:r>
        <w:rPr>
          <w:b/>
          <w:bCs/>
        </w:rPr>
        <w:t xml:space="preserve">Etiqueta Antiga</w:t>
      </w:r>
      <w:r>
        <w:t xml:space="preserve">: Gestão de contratos</w:t>
      </w:r>
    </w:p>
    <w:bookmarkEnd w:id="427"/>
    <w:bookmarkStart w:id="428" w:name="auditoria-19617-constatação-nº-675258-1"/>
    <w:p>
      <w:pPr>
        <w:pStyle w:val="907"/>
      </w:pPr>
      <w:r>
        <w:t xml:space="preserve">14.0.7.16 Auditoria 19617, Constatação Nº 675258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Documentação de cotação de preço anexada em local incorreto no Transferegov.</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937"/>
      </w:pPr>
      <w:r>
        <w:rPr>
          <w:b/>
          <w:bCs/>
        </w:rPr>
        <w:t xml:space="preserve">Etiqueta Antiga</w:t>
      </w:r>
      <w:r>
        <w:t xml:space="preserve">: Gestão de contratos</w:t>
      </w:r>
    </w:p>
    <w:bookmarkEnd w:id="428"/>
    <w:bookmarkStart w:id="429" w:name="auditoria-19617-constatação-nº-675277-1"/>
    <w:p>
      <w:pPr>
        <w:pStyle w:val="907"/>
      </w:pPr>
      <w:r>
        <w:t xml:space="preserve">14.0.7.17 Auditoria 19617, Constatação Nº 675277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Ausência da avaliação de desempenho semestral da convenente pelo DSEI Tapajós no Transferegov.</w:t>
      </w:r>
    </w:p>
    <w:p>
      <w:pPr>
        <w:pStyle w:val="937"/>
      </w:pPr>
      <w:r>
        <w:rPr>
          <w:b/>
          <w:bCs/>
        </w:rPr>
        <w:t xml:space="preserve">Recomendação</w:t>
      </w:r>
      <w:r>
        <w:t xml:space="preserve">: Determinar ao DSEI que insira a avaliação de desempenho da convenente no Transferegov, em conformidade ao previsto no § 7º, art. 16, da Portaria de Consolidação nº 1 SESAI/MS, de 17/12/2020.</w:t>
      </w:r>
    </w:p>
    <w:p>
      <w:pPr>
        <w:pStyle w:val="937"/>
      </w:pPr>
      <w:r>
        <w:rPr>
          <w:b/>
          <w:bCs/>
        </w:rPr>
        <w:t xml:space="preserve">Etiqueta Antiga</w:t>
      </w:r>
      <w:r>
        <w:t xml:space="preserve">: Gestão de contratos</w:t>
      </w:r>
    </w:p>
    <w:bookmarkEnd w:id="429"/>
    <w:bookmarkStart w:id="430" w:name="auditoria-19627-constatação-nº-685076-1"/>
    <w:p>
      <w:pPr>
        <w:pStyle w:val="907"/>
      </w:pPr>
      <w:r>
        <w:t xml:space="preserve">14.0.7.18 Auditoria 19627, Constatação Nº 685076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Formalização</w:t>
      </w:r>
    </w:p>
    <w:p>
      <w:pPr>
        <w:pStyle w:val="937"/>
      </w:pPr>
      <w:r>
        <w:rPr>
          <w:b/>
          <w:bCs/>
        </w:rPr>
        <w:t xml:space="preserve">Constatação</w:t>
      </w:r>
      <w:r>
        <w:t xml:space="preserve">: Ausência de discriminação das despesas administrativas estabelecidas no Plano de Trabalho de 2018, relacionadas ao cumprimento do objeto do convênio com memória de cálculo.</w:t>
      </w:r>
    </w:p>
    <w:p>
      <w:pPr>
        <w:pStyle w:val="937"/>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‘Quadro de Detalhamento da Despesa’</w:t>
      </w:r>
      <w:r>
        <w:t xml:space="preserve">, identificando os valores, o quantitativo e a descrição de itens, os parâmetros e as justificativas para o custeio dessas despesas pelo convênio, bem 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pPr>
        <w:pStyle w:val="937"/>
      </w:pPr>
      <w:r>
        <w:rPr>
          <w:b/>
          <w:bCs/>
        </w:rPr>
        <w:t xml:space="preserve">Etiqueta Antiga</w:t>
      </w:r>
      <w:r>
        <w:t xml:space="preserve">: Gestão de contratos</w:t>
      </w:r>
    </w:p>
    <w:bookmarkEnd w:id="430"/>
    <w:bookmarkStart w:id="431" w:name="auditoria-19676-constatação-nº-686901-1"/>
    <w:p>
      <w:pPr>
        <w:pStyle w:val="907"/>
      </w:pPr>
      <w:r>
        <w:t xml:space="preserve">14.0.7.19 Auditoria 19676, Constatação Nº 686901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Formalização</w:t>
      </w:r>
    </w:p>
    <w:p>
      <w:pPr>
        <w:pStyle w:val="937"/>
      </w:pPr>
      <w:r>
        <w:rPr>
          <w:b/>
          <w:bCs/>
        </w:rPr>
        <w:t xml:space="preserve">Constatação</w:t>
      </w:r>
      <w:r>
        <w:t xml:space="preserve">: Ausência de documentação comprobatória sobre atendimento de critérios mínimos de capacidade gerencial, operacional e técnica da Convenente Hospital e Maternidade Therezinha de Jesus para execução do objeto do Convênio nº 878.445/2018 DSEI Alto Rio Juruá-AC.</w:t>
      </w:r>
    </w:p>
    <w:p>
      <w:pPr>
        <w:pStyle w:val="937"/>
      </w:pPr>
      <w:r>
        <w:rPr>
          <w:b/>
          <w:bCs/>
        </w:rPr>
        <w:t xml:space="preserve">Recomendação</w:t>
      </w:r>
      <w:r>
        <w:t xml:space="preserve">: Estabelecer critérios objetivos para avaliação da capacidade técnica e operacional das proponentes no chamamento público para os próximos convênios a serem celebrados; quanto ao atendimento d o s requisitos necessários das entidades contratadas para o desenvolvimento de atividades relacionadas à gestão d a saúde indígena e quanto à capacidade técnica e operacional para a prestação dos serviços descritos no convênio e no Plano de Trabalho, nos termos do §2º do art. 1º e no inciso V do art. 16 e art. 20, da Portaria Interministerial MP/MF/CGU nº 424 de 2016. Com o objetivo de mitigar o risco de contratar entidade que não possui condições técnicas mínimas para a prestação dos serviços descritos nos instrumentos referentes às atividades de saúde indígena, bem como o risco de execução e prestação de serviços da saúde indígena de forma a não atender as cláusulas contratuais avençadas.</w:t>
      </w:r>
    </w:p>
    <w:p>
      <w:pPr>
        <w:pStyle w:val="937"/>
      </w:pPr>
      <w:r>
        <w:rPr>
          <w:b/>
          <w:bCs/>
        </w:rPr>
        <w:t xml:space="preserve">Etiqueta Antiga</w:t>
      </w:r>
      <w:r>
        <w:t xml:space="preserve">: Gestão de contratos</w:t>
      </w:r>
    </w:p>
    <w:bookmarkEnd w:id="431"/>
    <w:bookmarkStart w:id="432" w:name="auditoria-19676-constatação-nº-687558-1"/>
    <w:p>
      <w:pPr>
        <w:pStyle w:val="907"/>
      </w:pPr>
      <w:r>
        <w:t xml:space="preserve">14.0.7.20 Auditoria 19676, Constatação Nº 687558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Movimentação financeira</w:t>
      </w:r>
    </w:p>
    <w:p>
      <w:pPr>
        <w:pStyle w:val="937"/>
      </w:pPr>
      <w:r>
        <w:rPr>
          <w:b/>
          <w:bCs/>
        </w:rPr>
        <w:t xml:space="preserve">Constatação</w:t>
      </w:r>
      <w:r>
        <w:t xml:space="preserve">: Ausência de Fiscal Financeiro para acompanhamento da execução financeira e liberação dos recursos financeiros.</w:t>
      </w:r>
    </w:p>
    <w:p>
      <w:pPr>
        <w:pStyle w:val="937"/>
      </w:pPr>
      <w:r>
        <w:rPr>
          <w:b/>
          <w:bCs/>
        </w:rPr>
        <w:t xml:space="preserve">Recomendação</w:t>
      </w:r>
      <w:r>
        <w:t xml:space="preserve">: Adotar providências para que haja o efetivo acompanhamento financeiro do Convênio e a inserção dos relatórios no Transferegov em atendimento ao item a do Inciso I do Art. 6º da Portaria Interministerial nº 424/2016.</w:t>
      </w:r>
    </w:p>
    <w:p>
      <w:pPr>
        <w:pStyle w:val="937"/>
      </w:pPr>
      <w:r>
        <w:rPr>
          <w:b/>
          <w:bCs/>
        </w:rPr>
        <w:t xml:space="preserve">Etiqueta Antiga</w:t>
      </w:r>
      <w:r>
        <w:t xml:space="preserve">: Gestão de contratos</w:t>
      </w:r>
    </w:p>
    <w:bookmarkEnd w:id="432"/>
    <w:bookmarkStart w:id="433" w:name="auditoria-19682-constatação-nº-694202-3"/>
    <w:p>
      <w:pPr>
        <w:pStyle w:val="907"/>
      </w:pPr>
      <w:r>
        <w:t xml:space="preserve">14.0.7.21 Auditoria 19682, Constatação Nº 694202 (#3)</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Contratação de empresa de contabilidade por inexigibilidade sem observância aos critérios do art. 25 da Lei nº 8.666/1993.</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no sentido de evitar o dano ao erário, conforme previsto no art. 12 da Portaria de Consolidação Sesai/MS nº 1/2020; §2º do art. 54, art. 56 e art. 77 da Portaria MP/MF/CGU nº 424/2016.</w:t>
      </w:r>
    </w:p>
    <w:p>
      <w:pPr>
        <w:pStyle w:val="937"/>
      </w:pPr>
      <w:r>
        <w:rPr>
          <w:b/>
          <w:bCs/>
        </w:rPr>
        <w:t xml:space="preserve">Etiqueta Antiga</w:t>
      </w:r>
      <w:r>
        <w:t xml:space="preserve">: Gestão de contratos</w:t>
      </w:r>
    </w:p>
    <w:bookmarkEnd w:id="433"/>
    <w:bookmarkStart w:id="434" w:name="auditoria-19683-constatação-nº-699659-1"/>
    <w:p>
      <w:pPr>
        <w:pStyle w:val="907"/>
      </w:pPr>
      <w:r>
        <w:t xml:space="preserve">14.0.7.22 Auditoria 19683, Constatação Nº 699659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Ausência de contrato de serviço de locação de imóvel para atendimento ao convênio 878444/2018 (DSEI Altamira).</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937"/>
      </w:pPr>
      <w:r>
        <w:rPr>
          <w:b/>
          <w:bCs/>
        </w:rPr>
        <w:t xml:space="preserve">Etiqueta Antiga</w:t>
      </w:r>
      <w:r>
        <w:t xml:space="preserve">: Gestão de contratos</w:t>
      </w:r>
    </w:p>
    <w:bookmarkEnd w:id="434"/>
    <w:bookmarkStart w:id="435" w:name="auditoria-19683-constatação-nº-698101-2"/>
    <w:p>
      <w:pPr>
        <w:pStyle w:val="907"/>
      </w:pPr>
      <w:r>
        <w:t xml:space="preserve">14.0.7.23 Auditoria 19683, Constatação Nº 698101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Formalização de Contratos e Termos Aditivos sem informações detalhadas do objeto, atividades ou serviços a serem prestados.</w:t>
      </w:r>
    </w:p>
    <w:p>
      <w:pPr>
        <w:pStyle w:val="937"/>
      </w:pPr>
      <w:r>
        <w:rPr>
          <w:b/>
          <w:bCs/>
        </w:rPr>
        <w:t xml:space="preserve">Recomendação</w:t>
      </w:r>
      <w:r>
        <w:t xml:space="preserve">: Notificar a convenente para a apresentação de justificativas quanto ao evidenciado na contatação e sobre a não realização de, no mínimo, cotação de preços, o que contraria o art. 45, da Portaria MP/MF/CGU nº 424/2016.</w:t>
      </w:r>
    </w:p>
    <w:p>
      <w:pPr>
        <w:pStyle w:val="937"/>
      </w:pPr>
      <w:r>
        <w:rPr>
          <w:b/>
          <w:bCs/>
        </w:rPr>
        <w:t xml:space="preserve">Etiqueta Antiga</w:t>
      </w:r>
      <w:r>
        <w:t xml:space="preserve">: Gestão de contratos</w:t>
      </w:r>
    </w:p>
    <w:bookmarkEnd w:id="435"/>
    <w:bookmarkStart w:id="436" w:name="auditoria-19716-constatação-nº-689006-2"/>
    <w:p>
      <w:pPr>
        <w:pStyle w:val="907"/>
      </w:pPr>
      <w:r>
        <w:t xml:space="preserve">14.0.7.24 Auditoria 19716, Constatação Nº 689006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Documentação/Prontuários</w:t>
      </w:r>
    </w:p>
    <w:p>
      <w:pPr>
        <w:pStyle w:val="937"/>
      </w:pPr>
      <w:r>
        <w:rPr>
          <w:b/>
          <w:bCs/>
        </w:rPr>
        <w:t xml:space="preserve">Constatação</w:t>
      </w:r>
      <w:r>
        <w:t xml:space="preserve">: A Clínica Davita Vila Izabel apresentou de maneira parcial a comprovação de realização dos exames laboratoriais e dos exames de imagem conforme a periodicidade preconizada pela Diretrizes Clínicas para o Cuidado ao paciente com Doença Renal Crônica.</w:t>
      </w:r>
    </w:p>
    <w:p>
      <w:pPr>
        <w:pStyle w:val="937"/>
      </w:pPr>
      <w:r>
        <w:rPr>
          <w:b/>
          <w:bCs/>
        </w:rPr>
        <w:t xml:space="preserve">Recomendação</w:t>
      </w:r>
      <w:r>
        <w:t xml:space="preserve">: Acompanhar, fiscalizar, supervisionar e auditar as ações desenvolvidas pela contratada conforme disposto inciso I da Cláusula Quinta do Contrato nº 519 de 5/12/2018, vigente por prorrogação excepcional até 4/12/2024, para garantir que a clínica contratada realize o quantitativo dos exames periódicos preconizados pelas diretrizes clínicas do SUS conforme dispõem o item 2.1.2 do Documento Descritivo do Contrato e os incisos IV e V do art. 67, Seção III, Capítulo III, Anexo IV Rede de Atenção à Saúde das Pessoas com Doenças Crônicas dos Anexos da Portaria de Consolidação GM/MS nº 3, de 28/9/2017, redação dada pela Portaria GM/MS nº 1.675, de 7/6/2018.</w:t>
      </w:r>
    </w:p>
    <w:p>
      <w:pPr>
        <w:pStyle w:val="937"/>
      </w:pPr>
      <w:r>
        <w:rPr>
          <w:b/>
          <w:bCs/>
        </w:rPr>
        <w:t xml:space="preserve">Etiqueta Antiga</w:t>
      </w:r>
      <w:r>
        <w:t xml:space="preserve">: Gestão de contratos</w:t>
      </w:r>
    </w:p>
    <w:bookmarkEnd w:id="436"/>
    <w:bookmarkStart w:id="437" w:name="auditoria-19786-constatação-nº-694512-1"/>
    <w:p>
      <w:pPr>
        <w:pStyle w:val="907"/>
      </w:pPr>
      <w:r>
        <w:t xml:space="preserve">14.0.7.25 Auditoria 19786, Constatação Nº 694512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Estrutura física</w:t>
      </w:r>
    </w:p>
    <w:p>
      <w:pPr>
        <w:pStyle w:val="937"/>
      </w:pPr>
      <w:r>
        <w:rPr>
          <w:b/>
          <w:bCs/>
        </w:rPr>
        <w:t xml:space="preserve">Constatação</w:t>
      </w:r>
      <w:r>
        <w:t xml:space="preserve">: A Central Municipal não realiza qualificação térmica e calibração dos equipamentos.</w:t>
      </w:r>
    </w:p>
    <w:p>
      <w:pPr>
        <w:pStyle w:val="937"/>
      </w:pPr>
      <w:r>
        <w:rPr>
          <w:b/>
          <w:bCs/>
        </w:rPr>
        <w:t xml:space="preserve">Recomendação</w:t>
      </w:r>
      <w:r>
        <w:t xml:space="preserve">: Contratar empresa para realizar a calibração térmica dos termômetros de momento, máxima e mínima e o termômetro digital interno localizados no refrigerador Gelopar e a qualificação térmica da sala de armazenamento de imunobiológicos, conforme Art. 43, § 4º e §1 Seção IV da RDC n.º 430.</w:t>
      </w:r>
    </w:p>
    <w:p>
      <w:pPr>
        <w:pStyle w:val="937"/>
      </w:pPr>
      <w:r>
        <w:rPr>
          <w:b/>
          <w:bCs/>
        </w:rPr>
        <w:t xml:space="preserve">Etiqueta Antiga</w:t>
      </w:r>
      <w:r>
        <w:t xml:space="preserve">: Gestão de contratos</w:t>
      </w:r>
    </w:p>
    <w:bookmarkEnd w:id="437"/>
    <w:bookmarkStart w:id="438" w:name="auditoria-19792-constatação-nº-695084-1"/>
    <w:p>
      <w:pPr>
        <w:pStyle w:val="907"/>
      </w:pPr>
      <w:r>
        <w:t xml:space="preserve">14.0.7.26 Auditoria 19792, Constatação Nº 695084 (#1)</w:t>
      </w:r>
    </w:p>
    <w:p>
      <w:pPr>
        <w:pStyle w:val="937"/>
      </w:pPr>
      <w:r>
        <w:rPr>
          <w:b/>
          <w:bCs/>
        </w:rPr>
        <w:t xml:space="preserve">Grupo</w:t>
      </w:r>
      <w:r>
        <w:t xml:space="preserve">: Engenharia/Arquitetura</w:t>
      </w:r>
    </w:p>
    <w:p>
      <w:pPr>
        <w:pStyle w:val="937"/>
      </w:pPr>
      <w:r>
        <w:rPr>
          <w:b/>
          <w:bCs/>
        </w:rPr>
        <w:t xml:space="preserve">Subgrupo</w:t>
      </w:r>
      <w:r>
        <w:t xml:space="preserve">: Equipamentos</w:t>
      </w:r>
    </w:p>
    <w:p>
      <w:pPr>
        <w:pStyle w:val="937"/>
      </w:pPr>
      <w:r>
        <w:rPr>
          <w:b/>
          <w:bCs/>
        </w:rPr>
        <w:t xml:space="preserve">Item</w:t>
      </w:r>
      <w:r>
        <w:t xml:space="preserve">: Manutenção</w:t>
      </w:r>
    </w:p>
    <w:p>
      <w:pPr>
        <w:pStyle w:val="937"/>
      </w:pPr>
      <w:r>
        <w:rPr>
          <w:b/>
          <w:bCs/>
        </w:rPr>
        <w:t xml:space="preserve">Constatação</w:t>
      </w:r>
      <w:r>
        <w:t xml:space="preserve">: A CMRF de Arapongas/PR não realiza manutenções nos equipamentos e não estabelece cronograma que indica a periodicidade das manutenções.</w:t>
      </w:r>
    </w:p>
    <w:p>
      <w:pPr>
        <w:pStyle w:val="937"/>
      </w:pPr>
      <w:r>
        <w:rPr>
          <w:b/>
          <w:bCs/>
        </w:rPr>
        <w:t xml:space="preserve">Recomendação</w:t>
      </w:r>
      <w:r>
        <w:t xml:space="preserve">: - Formalizar contrato para realização de manutenções preventivas e corretivas de todos os equipamentos da CMRF de Arapongas/PR. - Estabelecer cronograma de verificação do perfeito funcionamento de todos os equipamentos. - Capacitar e sensibilizar a equipe responsável pela fiscalização de contratos, abordando legislações pertinentes, boas práticas de gestão e atualizações sobre normas e procedimentos. - Garantir que toda a documentação referente à manutenção dos equipamentos, incluindo registros das manutenções realizadas, esteja devidamente arquivada e acessível. Um sistema de gerenciamento de documentos pode facilitar essa tarefa. As recomendações apresentadas visam atender ao art. 3º, inc. XXII, art. 18, inc. XI, e art. 43, §4º, da RDC ANVISA n.º 430, de 8/10/2020; ao inciso IX do art. 23 da RDC Anvisa nº 63/201; e aos itens subitens 5.5 e 5.6, e subitens 6.1 e 6.13 e 6.42 do Manual de Rede Frio do PNI, 5ª edição/2017. Além disso, elas têm como objetivo mitigar riscos que possam prejudicar o atingimento dos objetivos do SUS e garantir um atendimento de qualidade à população usuária do sistema.</w:t>
      </w:r>
    </w:p>
    <w:p>
      <w:pPr>
        <w:pStyle w:val="937"/>
      </w:pPr>
      <w:r>
        <w:rPr>
          <w:b/>
          <w:bCs/>
        </w:rPr>
        <w:t xml:space="preserve">Etiqueta Antiga</w:t>
      </w:r>
      <w:r>
        <w:t xml:space="preserve">: Gestão de contratos</w:t>
      </w:r>
    </w:p>
    <w:bookmarkEnd w:id="438"/>
    <w:bookmarkEnd w:id="439"/>
    <w:bookmarkStart w:id="454" w:name="atendimento-de-solicitação-da-auditoria"/>
    <w:p>
      <w:pPr>
        <w:pStyle w:val="906"/>
      </w:pPr>
      <w:r>
        <w:t xml:space="preserve">14.0.8 Atendimento de solicitação da auditoria</w:t>
      </w:r>
    </w:p>
    <w:bookmarkStart w:id="440" w:name="auditoria-19197-constatação-nº-654791-1"/>
    <w:p>
      <w:pPr>
        <w:pStyle w:val="907"/>
      </w:pPr>
      <w:r>
        <w:t xml:space="preserve">14.0.8.1 Auditoria 19197, Constatação Nº 654791 (#1)</w:t>
      </w:r>
    </w:p>
    <w:p>
      <w:pPr>
        <w:pStyle w:val="937"/>
      </w:pPr>
      <w:r>
        <w:rPr>
          <w:b/>
          <w:bCs/>
        </w:rPr>
        <w:t xml:space="preserve">Grupo</w:t>
      </w:r>
      <w:r>
        <w:t xml:space="preserve">: Recursos Financeiros</w:t>
      </w:r>
    </w:p>
    <w:p>
      <w:pPr>
        <w:pStyle w:val="937"/>
      </w:pPr>
      <w:r>
        <w:rPr>
          <w:b/>
          <w:bCs/>
        </w:rPr>
        <w:t xml:space="preserve">Subgrupo</w:t>
      </w:r>
      <w:r>
        <w:t xml:space="preserve">: Licitação</w:t>
      </w:r>
    </w:p>
    <w:p>
      <w:pPr>
        <w:pStyle w:val="937"/>
      </w:pPr>
      <w:r>
        <w:rPr>
          <w:b/>
          <w:bCs/>
        </w:rPr>
        <w:t xml:space="preserve">Item</w:t>
      </w:r>
      <w:r>
        <w:t xml:space="preserve">: Procedimento</w:t>
      </w:r>
    </w:p>
    <w:p>
      <w:pPr>
        <w:pStyle w:val="937"/>
      </w:pPr>
      <w:r>
        <w:rPr>
          <w:b/>
          <w:bCs/>
        </w:rPr>
        <w:t xml:space="preserve">Constatação</w:t>
      </w:r>
      <w:r>
        <w:t xml:space="preserve">: Disponibilização de processos financeiros de forma incompleta.</w:t>
      </w:r>
    </w:p>
    <w:p>
      <w:pPr>
        <w:pStyle w:val="937"/>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p>
    <w:p>
      <w:pPr>
        <w:pStyle w:val="937"/>
      </w:pPr>
      <w:r>
        <w:rPr>
          <w:b/>
          <w:bCs/>
        </w:rPr>
        <w:t xml:space="preserve">Etiqueta Antiga</w:t>
      </w:r>
      <w:r>
        <w:t xml:space="preserve">: Gestão de dados e informações</w:t>
      </w:r>
    </w:p>
    <w:bookmarkEnd w:id="440"/>
    <w:bookmarkStart w:id="441" w:name="auditoria-19399-constatação-nº-663963-1"/>
    <w:p>
      <w:pPr>
        <w:pStyle w:val="907"/>
      </w:pPr>
      <w:r>
        <w:t xml:space="preserve">14.0.8.2 Auditoria 19399, Constatação Nº 663963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Registro de dispensação de medicamentos pelo PFPB em nome de funcionários e sócios da empresa sem a devida comprovação da regularidade das dispensações.</w:t>
      </w:r>
    </w:p>
    <w:p>
      <w:pPr>
        <w:pStyle w:val="937"/>
      </w:pPr>
      <w:r>
        <w:rPr>
          <w:b/>
          <w:bCs/>
        </w:rPr>
        <w:t xml:space="preserve">Recomendação</w:t>
      </w:r>
      <w:r>
        <w:t xml:space="preserve">: 1- Apresentar a documentação solicitada pelos órgãos de controle do SUS e as entidades privadas, que dele participarem de forma complementar ao pessoal em exercício no SNA toda informação necessária ao desempenho da atividade de auditoria, em observância a determinação contida no artigo 11 do Decreto Federal nº 1.651 de 28/09/1995. 2- Manter por 10 (dez) anos as vias assinadas dos cupons vinculados, do documento fiscal, da prescrição, laudo ou atestado médico e do documento(s) de identidade oficial(s) apresentado no ato da compra, em ordem cronológica de emissão, com arquivamento de 2 (duas) cópias, uma em meio físico e outra em arquivo digitalizado, em observância ao disposto no artigo 22 do Anexo LXXVII da Portaria de Consolidação GM/MS nº 5 de 28/09/2017, alterado pelo artigo 1º da Portaria GM/MS nº 2898 de 03/11/2021. 3- Comercializar e dispensar medicamentos no âmbito do PFPB observando as regras de execução do Programa de acordo com o estabelecido no inciso I do artigo 37 do Anexo LXXVII da Portaria de Consolidação GM/MS nº 5 de 28/09/2017, alterado pelo artigo 1º da Portaria GM/MS nº 2898 de 03/11/2021.</w:t>
      </w:r>
    </w:p>
    <w:p>
      <w:pPr>
        <w:pStyle w:val="937"/>
      </w:pPr>
      <w:r>
        <w:rPr>
          <w:b/>
          <w:bCs/>
        </w:rPr>
        <w:t xml:space="preserve">Etiqueta Antiga</w:t>
      </w:r>
      <w:r>
        <w:t xml:space="preserve">: Gestão de operações</w:t>
      </w:r>
    </w:p>
    <w:bookmarkEnd w:id="441"/>
    <w:bookmarkStart w:id="442" w:name="auditoria-19461-constatação-nº-666897-3"/>
    <w:p>
      <w:pPr>
        <w:pStyle w:val="907"/>
      </w:pPr>
      <w:r>
        <w:t xml:space="preserve">14.0.8.3 Auditoria 19461, Constatação Nº 666897 (#3)</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Referência/Contra-referência</w:t>
      </w:r>
    </w:p>
    <w:p>
      <w:pPr>
        <w:pStyle w:val="937"/>
      </w:pPr>
      <w:r>
        <w:rPr>
          <w:b/>
          <w:bCs/>
        </w:rPr>
        <w:t xml:space="preserve">Constatação</w:t>
      </w:r>
      <w:r>
        <w:t xml:space="preserve">: Não foi apresentada documentação referente aos protocolos de fluxo da regulação de acesso à assistência dos usuários SUS ao serviço de oncologia do HSVP, no período auditado.</w:t>
      </w:r>
    </w:p>
    <w:p>
      <w:pPr>
        <w:pStyle w:val="937"/>
      </w:pPr>
      <w:r>
        <w:rPr>
          <w:b/>
          <w:bCs/>
        </w:rPr>
        <w:t xml:space="preserve">Recomendação</w:t>
      </w:r>
      <w:r>
        <w:t xml:space="preserve">: Fornecer documentação e/ou as informações solicitadas pelas equipes de auditoria, em cumprimento ao disposto no art. 11, Decreto nº 1.651, de 28/09/1995, onde se lê:”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 lhes o acesso a documentos, pessoas e instalações.”</w:t>
      </w:r>
    </w:p>
    <w:p>
      <w:pPr>
        <w:pStyle w:val="937"/>
      </w:pPr>
      <w:r>
        <w:rPr>
          <w:b/>
          <w:bCs/>
        </w:rPr>
        <w:t xml:space="preserve">Etiqueta Antiga</w:t>
      </w:r>
      <w:r>
        <w:t xml:space="preserve">: Gestão de dados e informações</w:t>
      </w:r>
    </w:p>
    <w:bookmarkEnd w:id="442"/>
    <w:bookmarkStart w:id="443" w:name="auditoria-19500-constatação-nº-671066-2"/>
    <w:p>
      <w:pPr>
        <w:pStyle w:val="907"/>
      </w:pPr>
      <w:r>
        <w:t xml:space="preserve">14.0.8.4 Auditoria 19500, Constatação Nº 671066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Os laudos físicos e/ou eletrônicos, assinados pelos profissionais, para Solicitação/Autorização de Procedimentos Especiais (OPME) e Mudança de Procedimento solicitados ao HSJ não foram apresentados.</w:t>
      </w:r>
    </w:p>
    <w:p>
      <w:pPr>
        <w:pStyle w:val="937"/>
      </w:pPr>
      <w:r>
        <w:rPr>
          <w:b/>
          <w:bCs/>
        </w:rPr>
        <w:t xml:space="preserve">Recomendação</w:t>
      </w:r>
      <w:r>
        <w:t xml:space="preserve">: Solicitar ao Hospital São José que apresente os documentos solicitados pelos órgãos de controle do SUS em observância a determinação contida no Art. 11 do Decreto nº 1.651, de 28/09/1995, que estabelece que os órgãos do SUS e as entidades privadas, que dele participarem de forma complementar, ficam obrigados a prestar, quando exigida, ao pessoal em exercício no SNA/SUS, toda informação necessária ao desempenho das atividades de controle, avaliação e auditoria, facilitando-lhes o acesso a documentos, pessoas e instalações.</w:t>
      </w:r>
    </w:p>
    <w:p>
      <w:pPr>
        <w:pStyle w:val="937"/>
      </w:pPr>
      <w:r>
        <w:rPr>
          <w:b/>
          <w:bCs/>
        </w:rPr>
        <w:t xml:space="preserve">Etiqueta Antiga</w:t>
      </w:r>
      <w:r>
        <w:t xml:space="preserve">: Articulação institucional</w:t>
      </w:r>
    </w:p>
    <w:bookmarkEnd w:id="443"/>
    <w:bookmarkStart w:id="444" w:name="auditoria-19517-constatação-nº-671290-1"/>
    <w:p>
      <w:pPr>
        <w:pStyle w:val="907"/>
      </w:pPr>
      <w:r>
        <w:t xml:space="preserve">14.0.8.5 Auditoria 19517, Constatação Nº 671290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Arquivo de Documentos</w:t>
      </w:r>
    </w:p>
    <w:p>
      <w:pPr>
        <w:pStyle w:val="937"/>
      </w:pPr>
      <w:r>
        <w:rPr>
          <w:b/>
          <w:bCs/>
        </w:rPr>
        <w:t xml:space="preserve">Constatação</w:t>
      </w:r>
      <w:r>
        <w:t xml:space="preserve">: O estabelecimento não apresentou as cópias dos cupons vinculados e respectivas prescrições médicas solicitadas nos Comunicados de Auditoria SEAUD/RS nºs 01,02 e 03/19.517/2023</w:t>
      </w:r>
    </w:p>
    <w:p>
      <w:pPr>
        <w:pStyle w:val="937"/>
      </w:pPr>
      <w:r>
        <w:rPr>
          <w:b/>
          <w:bCs/>
        </w:rPr>
        <w:t xml:space="preserve">Recomendação</w:t>
      </w:r>
      <w:r>
        <w:t xml:space="preserve">: Ao Departamento de Assistência Farmacêutica e Insumos Estratégicos (DAF/SECTICS/MS) para conhecimento da presente constatação e adoção dos procedimentos a seu cargo, conforme estabelece o Inciso IV do artigo 17 do Decreto nº 9.795 de 21/05/2019, combinado com o Inciso VIII do artigo 2º do Decreto nº 3.964, de 11/10/2001, visando a elisão do dano e/ou impropriedade ocorrida com recursos de origem federal, indicados no Capítulo Proposição de Devolução, do presente Relatório, efetuando os acréscimos legais, observados os princípios norteadores dos processos administrativos.</w:t>
      </w:r>
    </w:p>
    <w:p>
      <w:pPr>
        <w:pStyle w:val="937"/>
      </w:pPr>
      <w:r>
        <w:rPr>
          <w:b/>
          <w:bCs/>
        </w:rPr>
        <w:t xml:space="preserve">Etiqueta Antiga</w:t>
      </w:r>
      <w:r>
        <w:t xml:space="preserve">: Prejuízo e restituição</w:t>
      </w:r>
    </w:p>
    <w:bookmarkEnd w:id="444"/>
    <w:bookmarkStart w:id="445" w:name="auditoria-19612-constatação-nº-674768-1"/>
    <w:p>
      <w:pPr>
        <w:pStyle w:val="907"/>
      </w:pPr>
      <w:r>
        <w:t xml:space="preserve">14.0.8.6 Auditoria 19612, Constatação Nº 674768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Registro de Teletrabalho na folha de frequência de profissionais de saúde.</w:t>
      </w:r>
    </w:p>
    <w:p>
      <w:pPr>
        <w:pStyle w:val="937"/>
      </w:pPr>
      <w:r>
        <w:rPr>
          <w:b/>
          <w:bCs/>
        </w:rPr>
        <w:t xml:space="preserve">Recomendação</w:t>
      </w:r>
      <w:r>
        <w:t xml:space="preserve">: Notificar o DSEI para apresentação de justificativas quanto ao constatado, em conformidade ao disposto na Lei 13.874 de 2019, que altera o art. 74 do Decreto-Lei 5.452, de 1º de maio de 1943 (CLT).</w:t>
      </w:r>
    </w:p>
    <w:p>
      <w:pPr>
        <w:pStyle w:val="937"/>
      </w:pPr>
      <w:r>
        <w:rPr>
          <w:b/>
          <w:bCs/>
        </w:rPr>
        <w:t xml:space="preserve">Etiqueta Antiga</w:t>
      </w:r>
      <w:r>
        <w:t xml:space="preserve">: Gestão de pessoal e capacitação</w:t>
      </w:r>
    </w:p>
    <w:bookmarkEnd w:id="445"/>
    <w:bookmarkStart w:id="446" w:name="auditoria-19613-constatação-nº-677727-2"/>
    <w:p>
      <w:pPr>
        <w:pStyle w:val="907"/>
      </w:pPr>
      <w:r>
        <w:t xml:space="preserve">14.0.8.7 Auditoria 19613, Constatação Nº 677727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Afronta ao princípio da competitividade em processos de cotação de preços para fornecimento de gêneros alimentícios.</w:t>
      </w:r>
    </w:p>
    <w:p>
      <w:pPr>
        <w:pStyle w:val="937"/>
      </w:pPr>
      <w:r>
        <w:rPr>
          <w:b/>
          <w:bCs/>
        </w:rPr>
        <w:t xml:space="preserve">Recomendação</w:t>
      </w:r>
      <w:r>
        <w:t xml:space="preserve">: Notificar a convenente para que apresente as justificativas quanto ao favorecimento das empresas Andson Souza dos Santos, Vagno Souza dos Santos, Cristiane Valente Marques e G. Nascimento Carvalho conforme evidenciado e se manifestar a respeito do que for alegado.</w:t>
      </w:r>
    </w:p>
    <w:p>
      <w:pPr>
        <w:pStyle w:val="937"/>
      </w:pPr>
      <w:r>
        <w:rPr>
          <w:b/>
          <w:bCs/>
        </w:rPr>
        <w:t xml:space="preserve">Etiqueta Antiga</w:t>
      </w:r>
      <w:r>
        <w:t xml:space="preserve">: Gestão de contratos</w:t>
      </w:r>
    </w:p>
    <w:bookmarkEnd w:id="446"/>
    <w:bookmarkStart w:id="447" w:name="auditoria-19624-constatação-nº-685196-1"/>
    <w:p>
      <w:pPr>
        <w:pStyle w:val="907"/>
      </w:pPr>
      <w:r>
        <w:t xml:space="preserve">14.0.8.8 Auditoria 19624, Constatação Nº 685196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Prestação de Contas</w:t>
      </w:r>
    </w:p>
    <w:p>
      <w:pPr>
        <w:pStyle w:val="937"/>
      </w:pPr>
      <w:r>
        <w:rPr>
          <w:b/>
          <w:bCs/>
        </w:rPr>
        <w:t xml:space="preserve">Constatação</w:t>
      </w:r>
      <w:r>
        <w:t xml:space="preserve">: Não foram apresentadas todas as providências para implementação das recomendações em virtude da Auditoria n° 202018886, realizada pela COADE e SEAUD/DENASUS-SC.</w:t>
      </w:r>
    </w:p>
    <w:p>
      <w:pPr>
        <w:pStyle w:val="937"/>
      </w:pPr>
      <w:r>
        <w:rPr>
          <w:b/>
          <w:bCs/>
        </w:rPr>
        <w:t xml:space="preserve">Recomendação</w:t>
      </w:r>
      <w:r>
        <w:t xml:space="preserve">: 1 - Adotar providências a seu cargo, visando acompanhar e fiscalizar de forma a garantir a regularidade dos atos praticados e a plena execução do objeto conforme dispõe o artigo 53 da Portaria Interministerial MP/MF/CGU nº 424/2016, buscando atender as recomendações pendentes de implementação contidas no Relatório de Auditoria 202018886 2 - Fornecer aos órgãos do Sistema Nacional de Auditoria - SNA, quando solicitadas, todas as informações necessárias ao desempenho das atividades de controle, avaliação e auditoria, conforme determina o art. 11 do Decreto nº 1.651/1995.</w:t>
      </w:r>
    </w:p>
    <w:p>
      <w:pPr>
        <w:pStyle w:val="937"/>
      </w:pPr>
      <w:r>
        <w:rPr>
          <w:b/>
          <w:bCs/>
        </w:rPr>
        <w:t xml:space="preserve">Etiqueta Antiga</w:t>
      </w:r>
      <w:r>
        <w:t xml:space="preserve">: Articulação institucional</w:t>
      </w:r>
    </w:p>
    <w:bookmarkEnd w:id="447"/>
    <w:bookmarkStart w:id="448" w:name="auditoria-19679-constatação-nº-685273-1"/>
    <w:p>
      <w:pPr>
        <w:pStyle w:val="907"/>
      </w:pPr>
      <w:r>
        <w:t xml:space="preserve">14.0.8.9 Auditoria 19679, Constatação Nº 685273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Falta de apresentação da memória de cálculo do rateio com folha de pagamento de pessoal administrativo.</w:t>
      </w:r>
    </w:p>
    <w:p>
      <w:pPr>
        <w:pStyle w:val="937"/>
      </w:pPr>
      <w:r>
        <w:rPr>
          <w:b/>
          <w:bCs/>
        </w:rPr>
        <w:t xml:space="preserve">Recomendação</w:t>
      </w:r>
      <w:r>
        <w:t xml:space="preserve">: Adotar providências no sentido de solicitar a convenente a memória de cálculo de rateio da folha de pessoal da sede administrativa, condicionado a autorização de pagamento conforme previsto na Subcláusula Segunda, Cláusula Oitava - Da Execução Das Despesas do Convênio nº 882492/2019 e §6º, inciso V, art. 39, da Portaria Interministerial nº 424/2016.</w:t>
      </w:r>
    </w:p>
    <w:p>
      <w:pPr>
        <w:pStyle w:val="937"/>
      </w:pPr>
      <w:r>
        <w:rPr>
          <w:b/>
          <w:bCs/>
        </w:rPr>
        <w:t xml:space="preserve">Etiqueta Antiga</w:t>
      </w:r>
      <w:r>
        <w:t xml:space="preserve">: Gestão de contratos</w:t>
      </w:r>
    </w:p>
    <w:bookmarkEnd w:id="448"/>
    <w:bookmarkStart w:id="449" w:name="auditoria-19683-constatação-nº-697509-2"/>
    <w:p>
      <w:pPr>
        <w:pStyle w:val="907"/>
      </w:pPr>
      <w:r>
        <w:t xml:space="preserve">14.0.8.10 Auditoria 19683, Constatação Nº 697509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Falhas no controle de comprovação da carga horária, respectivas remunerações e prestação dos serviços pelos profissionais contratados pelo convenio nº 878444/2018 (DSEI Altamira).</w:t>
      </w:r>
    </w:p>
    <w:p>
      <w:pPr>
        <w:pStyle w:val="937"/>
      </w:pPr>
      <w:r>
        <w:rPr>
          <w:b/>
          <w:bCs/>
        </w:rPr>
        <w:t xml:space="preserve">Recomendação</w:t>
      </w:r>
      <w:r>
        <w:t xml:space="preserve">: Notificar a convenente para que insira toda a documentação comprobatória e correta no Transferegov com vistas a sanear todas as 24 impropriedades evidenciadas, para fins de prestação de contas pelo convênio, conforme o disposto no art. 27, inciso X e Capítulo IV, da Portaria Interministerial MP/MF/CGU nº 424/2016, bem como no § 2º, art. 63, da 4.320/64, que dispõe que a liquidação da despesa por fornecimentos feitos ou serviços prestados terá por base a sua prestação efetiva.</w:t>
      </w:r>
    </w:p>
    <w:p>
      <w:pPr>
        <w:pStyle w:val="937"/>
      </w:pPr>
      <w:r>
        <w:rPr>
          <w:b/>
          <w:bCs/>
        </w:rPr>
        <w:t xml:space="preserve">Etiqueta Antiga</w:t>
      </w:r>
      <w:r>
        <w:t xml:space="preserve">: Gestão de contratos</w:t>
      </w:r>
    </w:p>
    <w:bookmarkEnd w:id="449"/>
    <w:bookmarkStart w:id="450" w:name="auditoria-19715-constatação-nº-687253-1"/>
    <w:p>
      <w:pPr>
        <w:pStyle w:val="907"/>
      </w:pPr>
      <w:r>
        <w:t xml:space="preserve">14.0.8.11 Auditoria 19715, Constatação Nº 687253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Acesso/Atendimento à Demanda</w:t>
      </w:r>
    </w:p>
    <w:p>
      <w:pPr>
        <w:pStyle w:val="937"/>
      </w:pPr>
      <w:r>
        <w:rPr>
          <w:b/>
          <w:bCs/>
        </w:rPr>
        <w:t xml:space="preserve">Constatação</w:t>
      </w:r>
      <w:r>
        <w:t xml:space="preserve">: Deficiência nas definições/ações de controle, avaliação, regulação e fiscalização dos serviços de saúde, e formalização dos instrumentos de planejamento e monitoramento financeiro/orçamentário dos contratos da área de saúde de Conselheiro Lafaiete/MG.</w:t>
      </w:r>
    </w:p>
    <w:p>
      <w:pPr>
        <w:pStyle w:val="937"/>
      </w:pPr>
      <w:r>
        <w:rPr>
          <w:b/>
          <w:bCs/>
        </w:rPr>
        <w:t xml:space="preserve">Recomendação</w:t>
      </w:r>
      <w:r>
        <w:t xml:space="preserve">: Cumprir o que determina o art. 11 do Decreto nº 1.651/1995, que obriga os órgãos do SUS e as entidades privadas participantes do Sistema Único de Saúde (SUS) a disponibilizarem todas as informações relacionadas à gestão dos recursos públicos, além de garantir o acesso aos documentos necessários para a realização de auditorias. Cumprir também na sua integralidade o art. 11 do Decreto nº 1.651/1995 e do art. 6º do Anexo A do Anexo 2 do Anexo XXIV da Programação Orçamentária da Portaria de Consolidação nº 2, de 28 de setembro de 2017. Essas normativas determinam que órgãos da administração pública da saúde e das entidades privadas participantes do SUS forneça informações e documentos necessários para ações de controle, garantindo transparência na gestão de recursos públicos. É primordial o gestor assegurar a efetividade dos serviços, promovendo a racionalização do uso dos recursos, respeitando as especificidades regionais e agindo com eficiência. Deve-se ainda realizar o monitoramento e a avaliação contínua dos processos de trabalho para garantir a adequada aplicação dos recursos públicos na gestão da saúde do município em tela.</w:t>
      </w:r>
    </w:p>
    <w:p>
      <w:pPr>
        <w:pStyle w:val="937"/>
      </w:pPr>
      <w:r>
        <w:rPr>
          <w:b/>
          <w:bCs/>
        </w:rPr>
        <w:t xml:space="preserve">Etiqueta Antiga</w:t>
      </w:r>
      <w:r>
        <w:t xml:space="preserve">: Gestão de dados e informações</w:t>
      </w:r>
    </w:p>
    <w:bookmarkEnd w:id="450"/>
    <w:bookmarkStart w:id="451" w:name="auditoria-19721-constatação-nº-692937-1"/>
    <w:p>
      <w:pPr>
        <w:pStyle w:val="907"/>
      </w:pPr>
      <w:r>
        <w:t xml:space="preserve">14.0.8.12 Auditoria 19721, Constatação Nº 692937 (#1)</w:t>
      </w:r>
    </w:p>
    <w:p>
      <w:pPr>
        <w:pStyle w:val="937"/>
      </w:pPr>
      <w:r>
        <w:rPr>
          <w:b/>
          <w:bCs/>
        </w:rPr>
        <w:t xml:space="preserve">Grupo</w:t>
      </w:r>
      <w:r>
        <w:t xml:space="preserve">: Recursos Financeiros</w:t>
      </w:r>
    </w:p>
    <w:p>
      <w:pPr>
        <w:pStyle w:val="937"/>
      </w:pPr>
      <w:r>
        <w:rPr>
          <w:b/>
          <w:bCs/>
        </w:rPr>
        <w:t xml:space="preserve">Subgrupo</w:t>
      </w:r>
      <w:r>
        <w:t xml:space="preserve">: Contrato</w:t>
      </w:r>
    </w:p>
    <w:p>
      <w:pPr>
        <w:pStyle w:val="937"/>
      </w:pPr>
      <w:r>
        <w:rPr>
          <w:b/>
          <w:bCs/>
        </w:rPr>
        <w:t xml:space="preserve">Item</w:t>
      </w:r>
      <w:r>
        <w:t xml:space="preserve">: Recebimento de Recurso Financeiro</w:t>
      </w:r>
    </w:p>
    <w:p>
      <w:pPr>
        <w:pStyle w:val="937"/>
      </w:pPr>
      <w:r>
        <w:rPr>
          <w:b/>
          <w:bCs/>
        </w:rPr>
        <w:t xml:space="preserve">Constatação</w:t>
      </w:r>
      <w:r>
        <w:t xml:space="preserve">: Falta de comprovação da regular execução dos objetos constantes nos Termos Aditivos - TA ao Convênio Assistencial nº 03/2019, referente ao período de abrangência da Auditoria, conforme estabelece a legislação.</w:t>
      </w:r>
    </w:p>
    <w:p>
      <w:pPr>
        <w:pStyle w:val="937"/>
      </w:pPr>
      <w:r>
        <w:rPr>
          <w:b/>
          <w:bCs/>
        </w:rPr>
        <w:t xml:space="preserve">Recomendação</w:t>
      </w:r>
      <w:r>
        <w:t xml:space="preserve">: Disponibilizar toda a documentação solicitada conforme o disposto no parágrafo único do artigo 70 da Constituição Federal/88 e artigo 11 do Decreto Federal n° 1.651/95. Acompanhar o atingimento das metas estabelecidas por meio dos Termos Aditivos de incremento de recursos originados de Emendas Parlamentares, como previsto na Cláusula Oitava - Da Fiscalização e Controle dos Termos Aditivos 10º, 11º, 12º, 13º, 15º e 16º.</w:t>
      </w:r>
    </w:p>
    <w:p>
      <w:pPr>
        <w:pStyle w:val="937"/>
      </w:pPr>
      <w:r>
        <w:rPr>
          <w:b/>
          <w:bCs/>
        </w:rPr>
        <w:t xml:space="preserve">Etiqueta Antiga</w:t>
      </w:r>
      <w:r>
        <w:t xml:space="preserve">: Gestão de contratos</w:t>
      </w:r>
    </w:p>
    <w:bookmarkEnd w:id="451"/>
    <w:bookmarkStart w:id="452" w:name="auditoria-19770-constatação-nº-693848-1"/>
    <w:p>
      <w:pPr>
        <w:pStyle w:val="907"/>
      </w:pPr>
      <w:r>
        <w:t xml:space="preserve">14.0.8.13 Auditoria 19770, Constatação Nº 693848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937"/>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937"/>
      </w:pPr>
      <w:r>
        <w:rPr>
          <w:b/>
          <w:bCs/>
        </w:rPr>
        <w:t xml:space="preserve">Etiqueta Antiga</w:t>
      </w:r>
      <w:r>
        <w:t xml:space="preserve">: Articulação institucional</w:t>
      </w:r>
    </w:p>
    <w:bookmarkEnd w:id="452"/>
    <w:bookmarkStart w:id="453" w:name="auditoria-19863-constatação-nº-703410-1"/>
    <w:p>
      <w:pPr>
        <w:pStyle w:val="907"/>
      </w:pPr>
      <w:r>
        <w:t xml:space="preserve">14.0.8.14 Auditoria 19863, Constatação Nº 703410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Normas/rotinas/protocolos/comissões internas</w:t>
      </w:r>
    </w:p>
    <w:p>
      <w:pPr>
        <w:pStyle w:val="937"/>
      </w:pPr>
      <w:r>
        <w:rPr>
          <w:b/>
          <w:bCs/>
        </w:rPr>
        <w:t xml:space="preserve">Constatação</w:t>
      </w:r>
      <w:r>
        <w:t xml:space="preserve">: Não foi localizada documentação que comprove a realização de visita técnica in loco aos setores das unidades hospitalares, com o objetivo de verificar a implementação dos protocolos de normas e rotinas.</w:t>
      </w:r>
    </w:p>
    <w:p>
      <w:pPr>
        <w:pStyle w:val="937"/>
      </w:pPr>
      <w:r>
        <w:rPr>
          <w:b/>
          <w:bCs/>
        </w:rPr>
        <w:t xml:space="preserve">Recomendação</w:t>
      </w:r>
      <w:r>
        <w:t xml:space="preserve">: Comprovar a realização de visita técnica, in loco, aos setores das unidades hospitalares para verificar a implementação dos protocolos de normas e rotinas. Caso ainda não tenha sido realizada, deve-se providenciar as visitas técnicas, conforme acordado no item 5.1 do Plano de Ação SES/TO 2022 (Auditoria 1).</w:t>
      </w:r>
    </w:p>
    <w:p>
      <w:pPr>
        <w:pStyle w:val="937"/>
      </w:pPr>
      <w:r>
        <w:rPr>
          <w:b/>
          <w:bCs/>
        </w:rPr>
        <w:t xml:space="preserve">Etiqueta Antiga</w:t>
      </w:r>
      <w:r>
        <w:t xml:space="preserve">: Gestão de operações</w:t>
      </w:r>
    </w:p>
    <w:bookmarkEnd w:id="453"/>
    <w:bookmarkEnd w:id="454"/>
    <w:bookmarkStart w:id="497" w:name="gestão-de-dados-e-informações"/>
    <w:p>
      <w:pPr>
        <w:pStyle w:val="906"/>
      </w:pPr>
      <w:r>
        <w:t xml:space="preserve">14.0.9 Gestão de dados e informações</w:t>
      </w:r>
    </w:p>
    <w:bookmarkStart w:id="455" w:name="auditoria-19238-constatação-nº-654962-1"/>
    <w:p>
      <w:pPr>
        <w:pStyle w:val="907"/>
      </w:pPr>
      <w:r>
        <w:t xml:space="preserve">14.0.9.1 Auditoria 19238, Constatação Nº 654962 (#1)</w:t>
      </w:r>
    </w:p>
    <w:p>
      <w:pPr>
        <w:pStyle w:val="937"/>
      </w:pPr>
      <w:r>
        <w:rPr>
          <w:b/>
          <w:bCs/>
        </w:rPr>
        <w:t xml:space="preserve">Grupo</w:t>
      </w:r>
      <w:r>
        <w:t xml:space="preserve">: Regionalização, Planejamento e Programação</w:t>
      </w:r>
    </w:p>
    <w:p>
      <w:pPr>
        <w:pStyle w:val="937"/>
      </w:pPr>
      <w:r>
        <w:rPr>
          <w:b/>
          <w:bCs/>
        </w:rPr>
        <w:t xml:space="preserve">Subgrupo</w:t>
      </w:r>
      <w:r>
        <w:t xml:space="preserve">: Instrumentos de Planejamento RAG</w:t>
      </w:r>
    </w:p>
    <w:p>
      <w:pPr>
        <w:pStyle w:val="937"/>
      </w:pPr>
      <w:r>
        <w:rPr>
          <w:b/>
          <w:bCs/>
        </w:rPr>
        <w:t xml:space="preserve">Item</w:t>
      </w:r>
      <w:r>
        <w:t xml:space="preserve">: Sistemática de Elaboração/Conteúdo</w:t>
      </w:r>
    </w:p>
    <w:p>
      <w:pPr>
        <w:pStyle w:val="937"/>
      </w:pPr>
      <w:r>
        <w:rPr>
          <w:b/>
          <w:bCs/>
        </w:rPr>
        <w:t xml:space="preserve">Constatação</w:t>
      </w:r>
      <w:r>
        <w:t xml:space="preserve">: Nos RAG de 2020 e 2021 estão registradas as ações relativas à execução da PNAISP, enquanto o RAG de 2019 não contempla a execução de nenhuma ação voltada à essa política.</w:t>
      </w:r>
    </w:p>
    <w:p>
      <w:pPr>
        <w:pStyle w:val="937"/>
      </w:pPr>
      <w:r>
        <w:rPr>
          <w:b/>
          <w:bCs/>
        </w:rPr>
        <w:t xml:space="preserve">Recomendação</w:t>
      </w:r>
      <w:r>
        <w:t xml:space="preserve">: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pPr>
        <w:pStyle w:val="937"/>
      </w:pPr>
      <w:r>
        <w:rPr>
          <w:b/>
          <w:bCs/>
        </w:rPr>
        <w:t xml:space="preserve">Etiqueta Antiga</w:t>
      </w:r>
      <w:r>
        <w:t xml:space="preserve">: Gestão de dados e informações</w:t>
      </w:r>
    </w:p>
    <w:bookmarkEnd w:id="455"/>
    <w:bookmarkStart w:id="456" w:name="auditoria-19248-constatação-nº-692560-1"/>
    <w:p>
      <w:pPr>
        <w:pStyle w:val="907"/>
      </w:pPr>
      <w:r>
        <w:t xml:space="preserve">14.0.9.2 Auditoria 19248, Constatação Nº 692560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Comprovação das Aquisições</w:t>
      </w:r>
    </w:p>
    <w:p>
      <w:pPr>
        <w:pStyle w:val="937"/>
      </w:pPr>
      <w:r>
        <w:rPr>
          <w:b/>
          <w:bCs/>
        </w:rPr>
        <w:t xml:space="preserve">Constatação</w:t>
      </w:r>
      <w:r>
        <w:t xml:space="preserve">: O estabelecimento auditado não apresentou as cópias dos Cupons Vinculados/Fiscais e Receitas Médicas solicitadas no Comunicado de Auditoria.</w:t>
      </w:r>
    </w:p>
    <w:p>
      <w:pPr>
        <w:pStyle w:val="937"/>
      </w:pPr>
      <w:r>
        <w:rPr>
          <w:b/>
          <w:bCs/>
        </w:rPr>
        <w:t xml:space="preserve">Recomendação</w:t>
      </w:r>
      <w:r>
        <w:t xml:space="preserve">: Em caso de restabelecimento da conexão ao Sistema de Vendas do PFPB, atender o preconizado no art. 22 do Anexo LXXVII da Portaria de Consolidação GM/MS nº 05, de 28 de setembro de 2017, alterado pela Portaria GM/MS Nº 2.898/2021, 03 de novembro de 2021, que estabelecem a obrigatoriedade do estabelecimento manter por 10 (dez) anos as vias assinadas dos cupons vinculados, do documento fiscal, da prescrição, laudo ou atestado médico e do documento(s) de identidade oficial(s) apresentado no ato da compra, em ordem cronológica de emissão, com arquivamento de 2 (duas) cópias, uma em meio físico e outra em arquivo digitalizado, em consonância com as regras para comercialização e dispensação de medicamentos e/ou correlatos no âmbito do PFPB.</w:t>
      </w:r>
    </w:p>
    <w:p>
      <w:pPr>
        <w:pStyle w:val="937"/>
      </w:pPr>
      <w:r>
        <w:rPr>
          <w:b/>
          <w:bCs/>
        </w:rPr>
        <w:t xml:space="preserve">Etiqueta Antiga</w:t>
      </w:r>
      <w:r>
        <w:t xml:space="preserve">: Gestão de operações</w:t>
      </w:r>
    </w:p>
    <w:bookmarkEnd w:id="456"/>
    <w:bookmarkStart w:id="457" w:name="auditoria-19304-constatação-nº-655309-2"/>
    <w:p>
      <w:pPr>
        <w:pStyle w:val="907"/>
      </w:pPr>
      <w:r>
        <w:t xml:space="preserve">14.0.9.3 Auditoria 19304, Constatação Nº 655309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Os Laudos para Solicitação/Autorização de Internação Hospitalar estavam anexados aos prontuários, entretanto estavam incompletos sem os dados de identificação do médico autorizador.</w:t>
      </w:r>
    </w:p>
    <w:p>
      <w:pPr>
        <w:pStyle w:val="937"/>
      </w:pPr>
      <w:r>
        <w:rPr>
          <w:b/>
          <w:bCs/>
        </w:rPr>
        <w:t xml:space="preserve">Recomendação</w:t>
      </w:r>
      <w:r>
        <w:t xml:space="preserve">: Observar o devido preenchimento dos laudos de Solicitação/Autorização de Internação Hospitalar, de acordo com o art. 2º da Portaria MS/SAS nº 1.011, de 03/10/2014, vigente a partir de outubro/2014, que estabelece que os laudos de solicitação/autorização ambulatorial e hospitalar em suporte físico devem ser legíveis, sem abreviaturas e com a assinatura do profissional solicitante e autorizador, com respectivo carimbo.</w:t>
      </w:r>
    </w:p>
    <w:p>
      <w:pPr>
        <w:pStyle w:val="937"/>
      </w:pPr>
      <w:r>
        <w:rPr>
          <w:b/>
          <w:bCs/>
        </w:rPr>
        <w:t xml:space="preserve">Etiqueta Antiga</w:t>
      </w:r>
      <w:r>
        <w:t xml:space="preserve">: Gestão de operações</w:t>
      </w:r>
    </w:p>
    <w:bookmarkEnd w:id="457"/>
    <w:bookmarkStart w:id="458" w:name="auditoria-19378-constatação-nº-662380-1"/>
    <w:p>
      <w:pPr>
        <w:pStyle w:val="907"/>
      </w:pPr>
      <w:r>
        <w:t xml:space="preserve">14.0.9.4 Auditoria 19378, Constatação Nº 662380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A Secretaria Municipal de Saúde não alimentou em sua totalidade as produções realizadas na Unidade Mista Carlos Macieira referente ao procedimento Consulta de profissionais de nível superior na Atenção Especializada (exceto médico) - Código 03.01.01.004-8, no exercício de 2021.</w:t>
      </w:r>
    </w:p>
    <w:p>
      <w:pPr>
        <w:pStyle w:val="937"/>
      </w:pPr>
      <w:r>
        <w:rPr>
          <w:b/>
          <w:bCs/>
        </w:rPr>
        <w:t xml:space="preserve">Recomendação</w:t>
      </w:r>
      <w:r>
        <w:t xml:space="preserve">: Cumprir com o §1º do Art. 294 da Seção II da Portaria de Consolidação GM/MS nº 01, de 28 de setembro de 2017, que define a sistemática de alimentação dos Bancos de Dados Nacionais dos Sistemas de Informação em Saúde SIA, SIH e SCNES, de forma que os bancos de dados retratem a produção fidedígna realizada nas unidades municipais.</w:t>
      </w:r>
    </w:p>
    <w:p>
      <w:pPr>
        <w:pStyle w:val="937"/>
      </w:pPr>
      <w:r>
        <w:rPr>
          <w:b/>
          <w:bCs/>
        </w:rPr>
        <w:t xml:space="preserve">Etiqueta Antiga</w:t>
      </w:r>
      <w:r>
        <w:t xml:space="preserve">: Gestão de dados e informações</w:t>
      </w:r>
    </w:p>
    <w:bookmarkEnd w:id="458"/>
    <w:bookmarkStart w:id="459" w:name="auditoria-19389-constatação-nº-663247-1"/>
    <w:p>
      <w:pPr>
        <w:pStyle w:val="907"/>
      </w:pPr>
      <w:r>
        <w:t xml:space="preserve">14.0.9.5 Auditoria 19389, Constatação Nº 663247 (#1)</w:t>
      </w:r>
    </w:p>
    <w:p>
      <w:pPr>
        <w:pStyle w:val="937"/>
      </w:pPr>
      <w:r>
        <w:rPr>
          <w:b/>
          <w:bCs/>
        </w:rPr>
        <w:t xml:space="preserve">Grupo</w:t>
      </w:r>
      <w:r>
        <w:t xml:space="preserve">: Regionalização, Planejamento e Programação</w:t>
      </w:r>
    </w:p>
    <w:p>
      <w:pPr>
        <w:pStyle w:val="937"/>
      </w:pPr>
      <w:r>
        <w:rPr>
          <w:b/>
          <w:bCs/>
        </w:rPr>
        <w:t xml:space="preserve">Subgrupo</w:t>
      </w:r>
      <w:r>
        <w:t xml:space="preserve">: Instrumentos de Planejamento PS</w:t>
      </w:r>
    </w:p>
    <w:p>
      <w:pPr>
        <w:pStyle w:val="937"/>
      </w:pPr>
      <w:r>
        <w:rPr>
          <w:b/>
          <w:bCs/>
        </w:rPr>
        <w:t xml:space="preserve">Item</w:t>
      </w:r>
      <w:r>
        <w:t xml:space="preserve">: Sistemática de Elaboração/Conteúdo</w:t>
      </w:r>
    </w:p>
    <w:p>
      <w:pPr>
        <w:pStyle w:val="937"/>
      </w:pPr>
      <w:r>
        <w:rPr>
          <w:b/>
          <w:bCs/>
        </w:rPr>
        <w:t xml:space="preserve">Constatação</w:t>
      </w:r>
      <w:r>
        <w:t xml:space="preserve">: Os instrumentos de gestão do SUS em Pedreiras - MA não mencionam a previsão do quantitativo de procedimentos de reabilitação pós-COVID-19 a ser realizado, considerando os dados de saúde da população para o exercício de 2022.</w:t>
      </w:r>
    </w:p>
    <w:p>
      <w:pPr>
        <w:pStyle w:val="937"/>
      </w:pPr>
      <w:r>
        <w:rPr>
          <w:b/>
          <w:bCs/>
        </w:rPr>
        <w:t xml:space="preserve">Recomendação</w:t>
      </w:r>
      <w:r>
        <w:t xml:space="preserve">: Cumprir com os Arts. 95, 96, 97 e 99, da Portaria de Consolidação GM/MS nº 1, de 28 de setembro de 2017, combinado com o §1º, Art. 30 da Lei Complementar nº 141, de 13 de janeiro de 2012, quanto ao processo de planejamento ser elaborado a partir das necessidades de saúde da população, não inserindo informações fictícias nos Instrumentos de Gestão do Município de Pedreiras.</w:t>
      </w:r>
    </w:p>
    <w:p>
      <w:pPr>
        <w:pStyle w:val="937"/>
      </w:pPr>
      <w:r>
        <w:rPr>
          <w:b/>
          <w:bCs/>
        </w:rPr>
        <w:t xml:space="preserve">Etiqueta Antiga</w:t>
      </w:r>
      <w:r>
        <w:t xml:space="preserve">: Gestão de operações</w:t>
      </w:r>
    </w:p>
    <w:bookmarkEnd w:id="459"/>
    <w:bookmarkStart w:id="460" w:name="auditoria-19398-constatação-nº-663044-1"/>
    <w:p>
      <w:pPr>
        <w:pStyle w:val="907"/>
      </w:pPr>
      <w:r>
        <w:t xml:space="preserve">14.0.9.6 Auditoria 19398, Constatação Nº 663044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Dispensação</w:t>
      </w:r>
    </w:p>
    <w:p>
      <w:pPr>
        <w:pStyle w:val="937"/>
      </w:pPr>
      <w:r>
        <w:rPr>
          <w:b/>
          <w:bCs/>
        </w:rPr>
        <w:t xml:space="preserve">Constatação</w:t>
      </w:r>
      <w:r>
        <w:t xml:space="preserve">: O estabelecimento auditado não apresentou as cópias dos cupons vinculados e receitas médicas solicitadas.</w:t>
      </w:r>
    </w:p>
    <w:p>
      <w:pPr>
        <w:pStyle w:val="937"/>
      </w:pPr>
      <w:r>
        <w:rPr>
          <w:b/>
          <w:bCs/>
        </w:rPr>
        <w:t xml:space="preserve">Recomendação</w:t>
      </w:r>
      <w:r>
        <w:t xml:space="preserve">: Manter pelo prazo de 10 anos os cupons vinculados assinados e laudos ou atestados médicos, em ordem cronológica de emissão, com arquivamento de 2 cópias mantidas em locais distintos, uma em meio físico e outra em arquivo digitalizado, conforme inciso I do artigo 22 do Anexo LXXVII da Portaria de Consolidação 5, de 3 de outubro de 2017, alterada pela Portaria GM/MS nº 2.898, de 3 de novembro de 2021.</w:t>
      </w:r>
    </w:p>
    <w:p>
      <w:pPr>
        <w:pStyle w:val="937"/>
      </w:pPr>
      <w:r>
        <w:rPr>
          <w:b/>
          <w:bCs/>
        </w:rPr>
        <w:t xml:space="preserve">Etiqueta Antiga</w:t>
      </w:r>
      <w:r>
        <w:t xml:space="preserve">: Gestão de dados e informações</w:t>
      </w:r>
    </w:p>
    <w:bookmarkEnd w:id="460"/>
    <w:bookmarkStart w:id="461" w:name="auditoria-19515-constatação-nº-673133-1"/>
    <w:p>
      <w:pPr>
        <w:pStyle w:val="907"/>
      </w:pPr>
      <w:r>
        <w:t xml:space="preserve">14.0.9.7 Auditoria 19515, Constatação Nº 673133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Os dados inseridos no Sistema de Informações Ambulatoriais - SIA/SUS do procedimento de Consulta de Profissionais de Nível Superior na Atenção Especializada (Exceto Médico), Código 03.01.01.004-8, para o Centro de Saúde Pedro Paulo Cortez, CNES 2307227, não foram comprovados nos exercícios de 2020 e 2021.</w:t>
      </w:r>
    </w:p>
    <w:p>
      <w:pPr>
        <w:pStyle w:val="937"/>
      </w:pPr>
      <w:r>
        <w:rPr>
          <w:b/>
          <w:bCs/>
        </w:rPr>
        <w:t xml:space="preserve">Recomendação</w:t>
      </w:r>
      <w:r>
        <w:t xml:space="preserve">: Efetuar o registro fidedigno da produção ambulatorial do município no Sistema de Informação Ambulatorial (SIA/SUS), conforme o descrito no Manual de Operação do Sistema SIA - Sistema de Informação Ambulatorial do SUS/2016, que preconiza ao gestor municipal e estadual, o controle e avaliação da produção ambulatorial processada e enviada para o gestor federal, assim como §1º, artigo 294, Seção II, Capítulo III, Título VII da Portaria de Consolidação n.º 1, de 28/9/2017, que determina que é de responsabilidade dos municípios a alimentação do Bancos de Dados do Sistema de Informação Ambulatorial (SIA/SUS), de forma que os bancos de dados retratem a produção fidedigna realizada no Centro de Saúde Pedro Paulo Cortez, CNES 2307227, para o procedimento Consulta de Profissionais de Nível Superior na Atenção Especializada (Exceto Médico) - Código 03.01.01.004-8.</w:t>
      </w:r>
    </w:p>
    <w:p>
      <w:pPr>
        <w:pStyle w:val="937"/>
      </w:pPr>
      <w:r>
        <w:rPr>
          <w:b/>
          <w:bCs/>
        </w:rPr>
        <w:t xml:space="preserve">Etiqueta Antiga</w:t>
      </w:r>
      <w:r>
        <w:t xml:space="preserve">: Gestão de dados e informações</w:t>
      </w:r>
    </w:p>
    <w:bookmarkEnd w:id="461"/>
    <w:bookmarkStart w:id="462" w:name="auditoria-19518-constatação-nº-677833-1"/>
    <w:p>
      <w:pPr>
        <w:pStyle w:val="907"/>
      </w:pPr>
      <w:r>
        <w:t xml:space="preserve">14.0.9.8 Auditoria 19518, Constatação Nº 677833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Os dados consolidados no SISAB por indicador de desempenho do Município de Itaituba/PA não são suportados pelas informações constantes dos prontuários dos pacientes.</w:t>
      </w:r>
    </w:p>
    <w:p>
      <w:pPr>
        <w:pStyle w:val="937"/>
      </w:pPr>
      <w:r>
        <w:rPr>
          <w:b/>
          <w:bCs/>
        </w:rPr>
        <w:t xml:space="preserve">Recomendação</w:t>
      </w:r>
      <w:r>
        <w:t xml:space="preserve">: Garantir o envio de dados para o SISAB, tendo estas informações devidamente registradas nos prontuários físicos e/ou Prontuário Eletrônico do paciente, para a devida qualificação dos indicadores, conforme preconizado nos Guia de qualificação CDS (Coleta de Dados Simplificada), 1ª edição, 2020, combinado com o item 2.2.2.1- Registro das Informações - Manual Instrutivo do Financiamento da atenção Primária à Saúde Previne Brasil, 1ª edição, 2021.</w:t>
      </w:r>
    </w:p>
    <w:p>
      <w:pPr>
        <w:pStyle w:val="937"/>
      </w:pPr>
      <w:r>
        <w:rPr>
          <w:b/>
          <w:bCs/>
        </w:rPr>
        <w:t xml:space="preserve">Etiqueta Antiga</w:t>
      </w:r>
      <w:r>
        <w:t xml:space="preserve">: Gestão de dados e informações</w:t>
      </w:r>
    </w:p>
    <w:bookmarkEnd w:id="462"/>
    <w:bookmarkStart w:id="463" w:name="auditoria-19561-constatação-nº-674941-1"/>
    <w:p>
      <w:pPr>
        <w:pStyle w:val="907"/>
      </w:pPr>
      <w:r>
        <w:t xml:space="preserve">14.0.9.9 Auditoria 19561, Constatação Nº 674941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Os dados apresentados no SISAB referentes ao exame de Sífilis e HIV em gestantes do indicador 2 apresentados no SISAB não são equivalentes aos registrados nos demais sistemas de registro dos procedimentos.</w:t>
      </w:r>
    </w:p>
    <w:p>
      <w:pPr>
        <w:pStyle w:val="937"/>
      </w:pPr>
      <w:r>
        <w:rPr>
          <w:b/>
          <w:bCs/>
        </w:rPr>
        <w:t xml:space="preserve">Recomendação</w:t>
      </w:r>
      <w:r>
        <w:t xml:space="preserve">: Adotar medidas para garantir a alimentação, análise e verificação da qualidade e a consistência dos dados inseridos nos sistemas nacionais de informação, em conformidade com os itens 2.2.2 - Monitoramento e avaliação dos indicadores do Manual Instrutivo do Previne Brasil, 1ª ed., p. 31., 2021, 2.2.2.1 - Registro das Informações do Manual Instrutivo do Previne Brasil, 1ª ed., p.37., 2021, concomitante com o item 4- sobre Atribuições dos profissionais da Atenção Básica, incisos X- Utilizar o sistema de Informação da Atenção Básica vigente para o registro das ações de saúde na AB e XV- Alimentar e garantir a qualidade do registro das atividades nos sistemas de informação da AB, da Portaria GM/MS de Consolidação nº2, de 28/09/2017 e com as Recomendações para o registro das informações de Saúde, p.4, da Nota técnica 14/2022-SAPS/MS.</w:t>
      </w:r>
    </w:p>
    <w:p>
      <w:pPr>
        <w:pStyle w:val="937"/>
      </w:pPr>
      <w:r>
        <w:rPr>
          <w:b/>
          <w:bCs/>
        </w:rPr>
        <w:t xml:space="preserve">Etiqueta Antiga</w:t>
      </w:r>
      <w:r>
        <w:t xml:space="preserve">: Gestão de dados e informações</w:t>
      </w:r>
    </w:p>
    <w:bookmarkEnd w:id="463"/>
    <w:bookmarkStart w:id="464" w:name="auditoria-19589-constatação-nº-686879-1"/>
    <w:p>
      <w:pPr>
        <w:pStyle w:val="907"/>
      </w:pPr>
      <w:r>
        <w:t xml:space="preserve">14.0.9.10 Auditoria 19589, Constatação Nº 686879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Gestão</w:t>
      </w:r>
    </w:p>
    <w:p>
      <w:pPr>
        <w:pStyle w:val="937"/>
      </w:pPr>
      <w:r>
        <w:rPr>
          <w:b/>
          <w:bCs/>
        </w:rPr>
        <w:t xml:space="preserve">Constatação</w:t>
      </w:r>
      <w:r>
        <w:t xml:space="preserve">: A Secretaria Municipal de Saúde de Mossoró/RN não disponibilizou os indicadores recomendados pelo MS para avaliação do funcionamento do SAMU 192.</w:t>
      </w:r>
    </w:p>
    <w:p>
      <w:pPr>
        <w:pStyle w:val="937"/>
      </w:pPr>
      <w:r>
        <w:rPr>
          <w:b/>
          <w:bCs/>
        </w:rPr>
        <w:t xml:space="preserve">Recomendação</w:t>
      </w:r>
      <w:r>
        <w:t xml:space="preserve">: Garantir que as informações com base nos indicadores utilizados para avaliação do funcionamento do SAMU 192 Mossoró/RN estejam de acordo com o estabelecido no Parágrafo Único, Art.40, Seção I, Capítulo I, Título II, Livro II, Anexo III, da Portaria de Consolidação nº 3, de 28 de setembro de 2017, o qual determina que “Os indicadores do SAMU 192 são: I - número geral de ocorrências atendidas no período; II - tempo mínimo, médio e máximo de resposta; III - identificação dos motivos dos chamados; IV - quantitativo de chamados, orientações médicas, saídas de Unidade de Suporte Avançado (USA) e Unidade de Suporte Básico (USB); V - localização das ocorrências; VI - idade e sexo dos pacientes atendidos; VII - identificação dos dias da semana e horários de maior pico de atendimento; VIII - identificação dos dias da semana e horários de maior pico de atendimento; e IX - pacientes (número absoluto e percentual) referenciados aos demais componentes da rede, por tipo de estabelecimento.</w:t>
      </w:r>
    </w:p>
    <w:p>
      <w:pPr>
        <w:pStyle w:val="937"/>
      </w:pPr>
      <w:r>
        <w:rPr>
          <w:b/>
          <w:bCs/>
        </w:rPr>
        <w:t xml:space="preserve">Etiqueta Antiga</w:t>
      </w:r>
      <w:r>
        <w:t xml:space="preserve">: Gestão de dados e informações</w:t>
      </w:r>
    </w:p>
    <w:bookmarkEnd w:id="464"/>
    <w:bookmarkStart w:id="465" w:name="auditoria-19590-constatação-nº-684820-1"/>
    <w:p>
      <w:pPr>
        <w:pStyle w:val="907"/>
      </w:pPr>
      <w:r>
        <w:t xml:space="preserve">14.0.9.11 Auditoria 19590, Constatação Nº 684820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Capacidade Instalada/cadastro</w:t>
      </w:r>
    </w:p>
    <w:p>
      <w:pPr>
        <w:pStyle w:val="937"/>
      </w:pPr>
      <w:r>
        <w:rPr>
          <w:b/>
          <w:bCs/>
        </w:rPr>
        <w:t xml:space="preserve">Constatação</w:t>
      </w:r>
      <w:r>
        <w:t xml:space="preserve">: O número de equipamentos de hemodiálise registradas no Sistema de Cadastro Nacional de Estabelecimentos de Saúde (SCNES) diverge do número de máquinas existentes no serviço de hemodiálise.</w:t>
      </w:r>
    </w:p>
    <w:p>
      <w:pPr>
        <w:pStyle w:val="937"/>
      </w:pPr>
      <w:r>
        <w:rPr>
          <w:b/>
          <w:bCs/>
        </w:rPr>
        <w:t xml:space="preserve">Recomendação</w:t>
      </w:r>
      <w:r>
        <w:t xml:space="preserve">: Efetuar a correta inserção, manutenção e atualização sistemática do número de equipamentos de hemodiálise no SCNES, no mínimo mensalmente ou imediatamente após qualquer modificação, conforme as disposições estabelecidas pelo art. 361 da Seção I; o art. 364 e o inciso III do art. 368 da Seção II e o art. 370 da Seção III do Capítulo IV da Portaria de Consolidação GM/MS n.° 1/2017. Essa prática é essencial para fornecer informações fidedignas aos outros sistemas de informação, garantindo que a capacidade instalada de equipamentos de hemodiálise do SAS seja refletida com precisão. Essa transparência é fundamental para o conhecimento dos pesquisadores, trabalhadores e sociedade em geral, além de subsidiar o planejamento, a programação e a tomada de decisão dos gestores.</w:t>
      </w:r>
    </w:p>
    <w:p>
      <w:pPr>
        <w:pStyle w:val="937"/>
      </w:pPr>
      <w:r>
        <w:rPr>
          <w:b/>
          <w:bCs/>
        </w:rPr>
        <w:t xml:space="preserve">Etiqueta Antiga</w:t>
      </w:r>
      <w:r>
        <w:t xml:space="preserve">: Gestão de dados e informações</w:t>
      </w:r>
    </w:p>
    <w:bookmarkEnd w:id="465"/>
    <w:bookmarkStart w:id="466" w:name="auditoria-19594-constatação-nº-673926-1"/>
    <w:p>
      <w:pPr>
        <w:pStyle w:val="907"/>
      </w:pPr>
      <w:r>
        <w:t xml:space="preserve">14.0.9.12 Auditoria 19594, Constatação Nº 673926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Os dados referentes à coleta de material para exame citopatológico do indicador 4 apresentados no SISAB não são equivalentes aos registrados nos demais sistemas relacionados ao câncer de colo de útero, no exercício de 2022.</w:t>
      </w:r>
    </w:p>
    <w:p>
      <w:pPr>
        <w:pStyle w:val="937"/>
      </w:pPr>
      <w:r>
        <w:rPr>
          <w:b/>
          <w:bCs/>
        </w:rPr>
        <w:t xml:space="preserve">Recomendação</w:t>
      </w:r>
      <w:r>
        <w:t xml:space="preserve">: 1. Instituir intervenções educativas permanentes para melhoria da qualidade do registro das informações de saúde, tanto no que se refere as variáveis válidas para os indicadores, quanto para todo registro clínico do atendimento ao cidadão (Nota Técnica nº 16/2022-SAPS/MS, pág. 3); 2. Registrar no SISAB os dados relacionados ao indicador nº 4, referentes à realização de exames citoplatológicos, até o 10º dia útil subsequente a cada competência, de acordo com o preconizado na Nota Técnica nº 16/2022-SAPS/MS (item, 6.3, pág. 3).</w:t>
      </w:r>
    </w:p>
    <w:p>
      <w:pPr>
        <w:pStyle w:val="937"/>
      </w:pPr>
      <w:r>
        <w:rPr>
          <w:b/>
          <w:bCs/>
        </w:rPr>
        <w:t xml:space="preserve">Etiqueta Antiga</w:t>
      </w:r>
      <w:r>
        <w:t xml:space="preserve">: Gestão de dados e informações</w:t>
      </w:r>
    </w:p>
    <w:bookmarkEnd w:id="466"/>
    <w:bookmarkStart w:id="467" w:name="auditoria-19610-constatação-nº-674211-1"/>
    <w:p>
      <w:pPr>
        <w:pStyle w:val="907"/>
      </w:pPr>
      <w:r>
        <w:t xml:space="preserve">14.0.9.13 Auditoria 19610, Constatação Nº 674211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Ausência dos relatórios mensais de acompanhamento do Subeixo de Educação Permanente no Transferegov, bem como impropriedades relacionadas ao acompanhamento.</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Etiqueta Antiga</w:t>
      </w:r>
      <w:r>
        <w:t xml:space="preserve">: Gestão de dados e informações</w:t>
      </w:r>
    </w:p>
    <w:bookmarkEnd w:id="467"/>
    <w:bookmarkStart w:id="468" w:name="auditoria-19611-constatação-nº-674432-1"/>
    <w:p>
      <w:pPr>
        <w:pStyle w:val="907"/>
      </w:pPr>
      <w:r>
        <w:t xml:space="preserve">14.0.9.14 Auditoria 19611, Constatação Nº 674432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Intempestividade na inserção dos relatórios mensais de acompanhamento do Eixo de Atenção à Saúde Indígena no Transferegov.</w:t>
      </w:r>
    </w:p>
    <w:p>
      <w:pPr>
        <w:pStyle w:val="937"/>
      </w:pPr>
      <w:r>
        <w:rPr>
          <w:b/>
          <w:bCs/>
        </w:rPr>
        <w:t xml:space="preserve">Recomendação</w:t>
      </w:r>
      <w:r>
        <w:t xml:space="preserve">: Inserir no Transferegov os relatórios mensais de acompanhamento do Eixo de Atenção à Saúde Indígena, referente ao ano de 2022, em atendimento ao inciso V, art. 12, da Portaria de Consolidação nº 1 SESAI/MS, de 17 de dezembro de 2020.</w:t>
      </w:r>
    </w:p>
    <w:p>
      <w:pPr>
        <w:pStyle w:val="937"/>
      </w:pPr>
      <w:r>
        <w:rPr>
          <w:b/>
          <w:bCs/>
        </w:rPr>
        <w:t xml:space="preserve">Etiqueta Antiga</w:t>
      </w:r>
      <w:r>
        <w:t xml:space="preserve">: Gestão de operações</w:t>
      </w:r>
    </w:p>
    <w:bookmarkEnd w:id="468"/>
    <w:bookmarkStart w:id="469" w:name="auditoria-19613-constatação-nº-677735-3"/>
    <w:p>
      <w:pPr>
        <w:pStyle w:val="907"/>
      </w:pPr>
      <w:r>
        <w:t xml:space="preserve">14.0.9.15 Auditoria 19613, Constatação Nº 677735 (#3)</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aos relatórios mensais de acompanhamento do Eixo de Atenção à Saúde Indígena.</w:t>
      </w:r>
    </w:p>
    <w:p>
      <w:pPr>
        <w:pStyle w:val="937"/>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937"/>
      </w:pPr>
      <w:r>
        <w:rPr>
          <w:b/>
          <w:bCs/>
        </w:rPr>
        <w:t xml:space="preserve">Etiqueta Antiga</w:t>
      </w:r>
      <w:r>
        <w:t xml:space="preserve">: Gestão de dados e informações</w:t>
      </w:r>
    </w:p>
    <w:bookmarkEnd w:id="469"/>
    <w:bookmarkStart w:id="470" w:name="auditoria-19613-constatação-nº-677735-5"/>
    <w:p>
      <w:pPr>
        <w:pStyle w:val="907"/>
      </w:pPr>
      <w:r>
        <w:t xml:space="preserve">14.0.9.16 Auditoria 19613, Constatação Nº 677735 (#5)</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aos relatórios mensais de acompanhamento do Eixo de Atenção à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Etiqueta Antiga</w:t>
      </w:r>
      <w:r>
        <w:t xml:space="preserve">: Gestão de dados e informações</w:t>
      </w:r>
    </w:p>
    <w:bookmarkEnd w:id="470"/>
    <w:bookmarkStart w:id="471" w:name="auditoria-19614-constatação-nº-676613-1"/>
    <w:p>
      <w:pPr>
        <w:pStyle w:val="907"/>
      </w:pPr>
      <w:r>
        <w:t xml:space="preserve">14.0.9.17 Auditoria 19614, Constatação Nº 676613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Os relatórios mensais de acompanhamento do Subeixo de Educação Permanente não estão disponibilizados no Transferegov.</w:t>
      </w:r>
    </w:p>
    <w:p>
      <w:pPr>
        <w:pStyle w:val="937"/>
      </w:pPr>
      <w:r>
        <w:rPr>
          <w:b/>
          <w:bCs/>
        </w:rPr>
        <w:t xml:space="preserve">Recomendação</w:t>
      </w:r>
      <w:r>
        <w:t xml:space="preserve">: Notificar a DIASI para que insira os relatórios de acompanhamento das ações, devidamente preenchidos, conforme estabelecido no art. 12, inciso V, da Portaria de Consolidação nº 1 SESAI/MS, de 17/12/2020.</w:t>
      </w:r>
    </w:p>
    <w:p>
      <w:pPr>
        <w:pStyle w:val="937"/>
      </w:pPr>
      <w:r>
        <w:rPr>
          <w:b/>
          <w:bCs/>
        </w:rPr>
        <w:t xml:space="preserve">Etiqueta Antiga</w:t>
      </w:r>
      <w:r>
        <w:t xml:space="preserve">: Gestão de dados e informações</w:t>
      </w:r>
    </w:p>
    <w:bookmarkEnd w:id="471"/>
    <w:bookmarkStart w:id="472" w:name="auditoria-19620-constatação-nº-685970-1"/>
    <w:p>
      <w:pPr>
        <w:pStyle w:val="907"/>
      </w:pPr>
      <w:r>
        <w:t xml:space="preserve">14.0.9.18 Auditoria 19620, Constatação Nº 685970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Normas/rotinas/protocolos/comissões internas</w:t>
      </w:r>
    </w:p>
    <w:p>
      <w:pPr>
        <w:pStyle w:val="937"/>
      </w:pPr>
      <w:r>
        <w:rPr>
          <w:b/>
          <w:bCs/>
        </w:rPr>
        <w:t xml:space="preserve">Constatação</w:t>
      </w:r>
      <w:r>
        <w:t xml:space="preserve">: O Hospital Federal dos Servidores do Estado (HFSE) não comprovou a destinação de 53 (cinquenta e três) OPME.</w:t>
      </w:r>
    </w:p>
    <w:p>
      <w:pPr>
        <w:pStyle w:val="937"/>
      </w:pPr>
      <w:r>
        <w:rPr>
          <w:b/>
          <w:bCs/>
        </w:rPr>
        <w:t xml:space="preserve">Recomendação</w:t>
      </w:r>
      <w:r>
        <w:t xml:space="preserve">: Cumprir o art. 15, da Seção III, do CAPÍTULO I, da RESOLUÇÃO- RDC ANVISA Nº 509, de 27 de maio de 2021 a fim de dispor de mecanismos que permitam a rastreabilidade das tecnologias em saúde, como as OPME. Cumprir o que determina o item 6.4 - Rastreabilidade do Manual de Boas Práticas em Órtese, Próteses e Materiais Especiais do Ministério da Saúde. Realizar o recebimento dos materiais adquiridos com os documentos hábeis previstos na legislação, assim como proceder com sua aceitação e registro no sistema de estoque conforme preconiza o item 3, da Instrução Normativa n.º 205, de 8 de abril de 1988 e art. 140, da Lei n.º 14.133, de 1º de abril de 2021. Estabelecer medidas que assegurem a implementação dos controles internos e da política de governança da administração conforme dispõem a Instrução Normativa Conjunta MP/CGU nº 01/2016 e o Decreto nº 9203/2017. Estabelecer medidas que assegurem a direção, o controle e a supervisão de planos, programas, projetos e atividades, relacionados à prevenção, ao diagnóstico e ao tratamento das diversas patologias atendidas pelo Hospital, e ainda supervisionar, avaliar e controlar a execução de atividades referentes à documentação e arquivo; e à aquisição e armazenagem de insumos conforme estabelecido pela Portaria nº 1419/2017. Prestar toda informação necessária ao desempenho das atividades de controle, avaliação e auditoria, quando exigida, pelo Sistema Nacional de Auditoria do SUS, facilitando-lhes o acesso a documentos, conforme o art. 11, do Decreto n.º 1.651, de 28 de setembro de 1995.</w:t>
      </w:r>
    </w:p>
    <w:p>
      <w:pPr>
        <w:pStyle w:val="937"/>
      </w:pPr>
      <w:r>
        <w:rPr>
          <w:b/>
          <w:bCs/>
        </w:rPr>
        <w:t xml:space="preserve">Etiqueta Antiga</w:t>
      </w:r>
      <w:r>
        <w:t xml:space="preserve">: Gestão de operações</w:t>
      </w:r>
    </w:p>
    <w:bookmarkEnd w:id="472"/>
    <w:bookmarkStart w:id="473" w:name="auditoria-19628-constatação-nº-685454-1"/>
    <w:p>
      <w:pPr>
        <w:pStyle w:val="907"/>
      </w:pPr>
      <w:r>
        <w:t xml:space="preserve">14.0.9.19 Auditoria 19628, Constatação Nº 685454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Ausência de registro das OPME cardiovasculares utilizadas nos pacientes submetidos a procedimentos cirúrgicos no Hospital Federal de Bonsucesso (HFB) no Sistema de Informação Hospitalar do SUS (SIH/SUS).</w:t>
      </w:r>
    </w:p>
    <w:p>
      <w:pPr>
        <w:pStyle w:val="937"/>
      </w:pPr>
      <w:r>
        <w:rPr>
          <w:b/>
          <w:bCs/>
        </w:rPr>
        <w:t xml:space="preserve">Recomendação</w:t>
      </w:r>
      <w:r>
        <w:t xml:space="preserve">: Estabelecer medidas que assegurem que as OPME utilizadas nos pacientes submetidos a procedimentos cirúrgicos sejam adequadamente registradas no Sistema de Informação Hospitalar do SUS (SIH/SUS), conforme disposto no inciso III, do item 6.3 (Controle da OPME), do Manual de Boas Práticas de Gestão das Órteses, Próteses e Materiais Especiais (OPME) - Ministério da Saúde, 2016; no item 23 - ÓRTESES, PRÓTESES E MATERIAIS ESPECIAIS (OPM) do Manual Técnico Operacional do Sistema de Informação Hospitalar (versão 2017); e no art. 1º da Portaria MS/SAS n.º 635, de 31/05/2016.</w:t>
      </w:r>
    </w:p>
    <w:p>
      <w:pPr>
        <w:pStyle w:val="937"/>
      </w:pPr>
      <w:r>
        <w:rPr>
          <w:b/>
          <w:bCs/>
        </w:rPr>
        <w:t xml:space="preserve">Etiqueta Antiga</w:t>
      </w:r>
      <w:r>
        <w:t xml:space="preserve">: Gestão de dados e informações</w:t>
      </w:r>
    </w:p>
    <w:bookmarkEnd w:id="473"/>
    <w:bookmarkStart w:id="474" w:name="auditoria-19658-constatação-nº-684756-1"/>
    <w:p>
      <w:pPr>
        <w:pStyle w:val="907"/>
      </w:pPr>
      <w:r>
        <w:t xml:space="preserve">14.0.9.20 Auditoria 19658, Constatação Nº 684756 (#1)</w:t>
      </w:r>
    </w:p>
    <w:p>
      <w:pPr>
        <w:pStyle w:val="937"/>
      </w:pPr>
      <w:r>
        <w:rPr>
          <w:b/>
          <w:bCs/>
        </w:rPr>
        <w:t xml:space="preserve">Grupo</w:t>
      </w:r>
      <w:r>
        <w:t xml:space="preserve">: Atenção Básica</w:t>
      </w:r>
    </w:p>
    <w:p>
      <w:pPr>
        <w:pStyle w:val="937"/>
      </w:pPr>
      <w:r>
        <w:rPr>
          <w:b/>
          <w:bCs/>
        </w:rPr>
        <w:t xml:space="preserve">Subgrupo</w:t>
      </w:r>
      <w:r>
        <w:t xml:space="preserve">: Processo de Trabalho</w:t>
      </w:r>
    </w:p>
    <w:p>
      <w:pPr>
        <w:pStyle w:val="937"/>
      </w:pPr>
      <w:r>
        <w:rPr>
          <w:b/>
          <w:bCs/>
        </w:rPr>
        <w:t xml:space="preserve">Item</w:t>
      </w:r>
      <w:r>
        <w:t xml:space="preserve">: Registros/Cadastro</w:t>
      </w:r>
    </w:p>
    <w:p>
      <w:pPr>
        <w:pStyle w:val="937"/>
      </w:pPr>
      <w:r>
        <w:rPr>
          <w:b/>
          <w:bCs/>
        </w:rPr>
        <w:t xml:space="preserve">Constatação</w:t>
      </w:r>
      <w:r>
        <w:t xml:space="preserve">: O município não realizou, de forma integral, o adequado preenchimento do prontuário de acordo com as orientações dos Guias de Preenchimentos CDS (Coleta de Dados Simplificada) e PEC (Prontuário Eletrônico do Cidadão), como meio de suporte para os dados consolidados no SISAB, por indicador de desempenho.</w:t>
      </w:r>
    </w:p>
    <w:p>
      <w:pPr>
        <w:pStyle w:val="937"/>
      </w:pPr>
      <w:r>
        <w:rPr>
          <w:b/>
          <w:bCs/>
        </w:rPr>
        <w:t xml:space="preserve">Recomendação</w:t>
      </w:r>
      <w:r>
        <w:t xml:space="preserve">: Alimentar, analisar e verificar a qualidade e a consistência dos dados inseridos nos sistemas nacionais de informação, conforme estabelecido no art. 10, inciso XVII, do Anexo XXII, Política Nacional da Atenção Básica, da Portaria de Consolidação nº 2/2017.</w:t>
      </w:r>
    </w:p>
    <w:p>
      <w:pPr>
        <w:pStyle w:val="937"/>
      </w:pPr>
      <w:r>
        <w:rPr>
          <w:b/>
          <w:bCs/>
        </w:rPr>
        <w:t xml:space="preserve">Etiqueta Antiga</w:t>
      </w:r>
      <w:r>
        <w:t xml:space="preserve">: Gestão de dados e informações</w:t>
      </w:r>
    </w:p>
    <w:bookmarkEnd w:id="474"/>
    <w:bookmarkStart w:id="475" w:name="auditoria-19663-constatação-nº-684180-1"/>
    <w:p>
      <w:pPr>
        <w:pStyle w:val="907"/>
      </w:pPr>
      <w:r>
        <w:t xml:space="preserve">14.0.9.21 Auditoria 19663, Constatação Nº 684180 (#1)</w:t>
      </w:r>
    </w:p>
    <w:p>
      <w:pPr>
        <w:pStyle w:val="937"/>
      </w:pPr>
      <w:r>
        <w:rPr>
          <w:b/>
          <w:bCs/>
        </w:rPr>
        <w:t xml:space="preserve">Grupo</w:t>
      </w:r>
      <w:r>
        <w:t xml:space="preserve">: Regionalização, Planejamento e Programação</w:t>
      </w:r>
    </w:p>
    <w:p>
      <w:pPr>
        <w:pStyle w:val="937"/>
      </w:pPr>
      <w:r>
        <w:rPr>
          <w:b/>
          <w:bCs/>
        </w:rPr>
        <w:t xml:space="preserve">Subgrupo</w:t>
      </w:r>
      <w:r>
        <w:t xml:space="preserve">: Relatório de Gestão</w:t>
      </w:r>
    </w:p>
    <w:p>
      <w:pPr>
        <w:pStyle w:val="937"/>
      </w:pPr>
      <w:r>
        <w:rPr>
          <w:b/>
          <w:bCs/>
        </w:rPr>
        <w:t xml:space="preserve">Item</w:t>
      </w:r>
      <w:r>
        <w:t xml:space="preserve">: Sistemática de Elaboração/Conteúdo</w:t>
      </w:r>
    </w:p>
    <w:p>
      <w:pPr>
        <w:pStyle w:val="937"/>
      </w:pPr>
      <w:r>
        <w:rPr>
          <w:b/>
          <w:bCs/>
        </w:rPr>
        <w:t xml:space="preserve">Constatação</w:t>
      </w:r>
      <w:r>
        <w:t xml:space="preserve">: Os Instrumentos de Gestão da Secretaria Municipal de Saúde de Ivolândia/GO referente ao exercício de 2022, não contém informações quantitativas e qualitativas referentes aos sete indicadores do Programa Previne Brasil.</w:t>
      </w:r>
    </w:p>
    <w:p>
      <w:pPr>
        <w:pStyle w:val="937"/>
      </w:pPr>
      <w:r>
        <w:rPr>
          <w:b/>
          <w:bCs/>
        </w:rPr>
        <w:t xml:space="preserve">Recomendação</w:t>
      </w:r>
      <w:r>
        <w:t xml:space="preserve">: 1. Prestar contas sobre a aplicação dos recursos da União, dos Estados, do Distrito Federal e dos Municípios referente às ações e serviços públicos de saúde da APS, por meio do Relatório de Gestão da respectiva unidade da federação, de acordo com o estabelecido no § Único do artigo 12-N da Portaria de Consolidação nº 6, de 28/9/2017. 2. Dar ampla divulgação, inclusive em meios eletrônicos de acesso público, das prestações de contas periódicas da área da saúde, para consulta e apreciação dos cidadãos e de instituições da sociedade, com ênfase no que se refere ao Relatório de Gestão do SUS, conforme determina o inciso II do artigo 31 da Lei Complementar nº 141, de 13/1/2012.</w:t>
      </w:r>
    </w:p>
    <w:p>
      <w:pPr>
        <w:pStyle w:val="937"/>
      </w:pPr>
      <w:r>
        <w:rPr>
          <w:b/>
          <w:bCs/>
        </w:rPr>
        <w:t xml:space="preserve">Etiqueta Antiga</w:t>
      </w:r>
      <w:r>
        <w:t xml:space="preserve">: Gestão de dados e informações</w:t>
      </w:r>
    </w:p>
    <w:bookmarkEnd w:id="475"/>
    <w:bookmarkStart w:id="476" w:name="auditoria-19671-constatação-nº-696241-1"/>
    <w:p>
      <w:pPr>
        <w:pStyle w:val="907"/>
      </w:pPr>
      <w:r>
        <w:t xml:space="preserve">14.0.9.22 Auditoria 19671, Constatação Nº 696241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Estrutura física instalações/conservação</w:t>
      </w:r>
    </w:p>
    <w:p>
      <w:pPr>
        <w:pStyle w:val="937"/>
      </w:pPr>
      <w:r>
        <w:rPr>
          <w:b/>
          <w:bCs/>
        </w:rPr>
        <w:t xml:space="preserve">Constatação</w:t>
      </w:r>
      <w:r>
        <w:t xml:space="preserve">: O Sistema de Tratamento e Distribuição de Água para Hemodiálise (STDAH) utilizado pelo Centro de Nefrologia LTDA não está cadastrado no CNES.</w:t>
      </w:r>
    </w:p>
    <w:p>
      <w:pPr>
        <w:pStyle w:val="937"/>
      </w:pPr>
      <w:r>
        <w:rPr>
          <w:b/>
          <w:bCs/>
        </w:rPr>
        <w:t xml:space="preserve">Recomendação</w:t>
      </w:r>
      <w:r>
        <w:t xml:space="preserve">: Manter os dados cadastrados e atualizados no sistema de Cadastro Nacional de Estabelecimentos de Saúde (CNES) conforme o Art. 359, Inciso I, Título VII (Dos Sistemas de Informação), Capítulo IV do Cadastro Nacional de Estabelecimentos de Saúde (CNES), da Portaria de Consolidação GM/MS nº1 de 28/09/2017.</w:t>
      </w:r>
    </w:p>
    <w:p>
      <w:pPr>
        <w:pStyle w:val="937"/>
      </w:pPr>
      <w:r>
        <w:rPr>
          <w:b/>
          <w:bCs/>
        </w:rPr>
        <w:t xml:space="preserve">Etiqueta Antiga</w:t>
      </w:r>
      <w:r>
        <w:t xml:space="preserve">: Gestão de dados e informações</w:t>
      </w:r>
    </w:p>
    <w:bookmarkEnd w:id="476"/>
    <w:bookmarkStart w:id="477" w:name="auditoria-19679-constatação-nº-685313-1"/>
    <w:p>
      <w:pPr>
        <w:pStyle w:val="907"/>
      </w:pPr>
      <w:r>
        <w:t xml:space="preserve">14.0.9.23 Auditoria 19679, Constatação Nº 685313 (#1)</w:t>
      </w:r>
    </w:p>
    <w:p>
      <w:pPr>
        <w:pStyle w:val="937"/>
      </w:pPr>
      <w:r>
        <w:rPr>
          <w:b/>
          <w:bCs/>
        </w:rPr>
        <w:t xml:space="preserve">Grupo</w:t>
      </w:r>
      <w:r>
        <w:t xml:space="preserve">: Recursos Humanos</w:t>
      </w:r>
    </w:p>
    <w:p>
      <w:pPr>
        <w:pStyle w:val="937"/>
      </w:pPr>
      <w:r>
        <w:rPr>
          <w:b/>
          <w:bCs/>
        </w:rPr>
        <w:t xml:space="preserve">Subgrupo</w:t>
      </w:r>
      <w:r>
        <w:t xml:space="preserve">: Gestão</w:t>
      </w:r>
    </w:p>
    <w:p>
      <w:pPr>
        <w:pStyle w:val="937"/>
      </w:pPr>
      <w:r>
        <w:rPr>
          <w:b/>
          <w:bCs/>
        </w:rPr>
        <w:t xml:space="preserve">Item</w:t>
      </w:r>
      <w:r>
        <w:t xml:space="preserve">: Administração</w:t>
      </w:r>
    </w:p>
    <w:p>
      <w:pPr>
        <w:pStyle w:val="937"/>
      </w:pPr>
      <w:r>
        <w:rPr>
          <w:b/>
          <w:bCs/>
        </w:rPr>
        <w:t xml:space="preserve">Constatação</w:t>
      </w:r>
      <w:r>
        <w:t xml:space="preserve">: A empresa contratada não mantém atualizado o registro dos profissionais no sistema Cnes - Cadastro Nacional de Estabelecimentos de Saúde.</w:t>
      </w:r>
    </w:p>
    <w:p>
      <w:pPr>
        <w:pStyle w:val="937"/>
      </w:pPr>
      <w:r>
        <w:rPr>
          <w:b/>
          <w:bCs/>
        </w:rPr>
        <w:t xml:space="preserve">Recomendação</w:t>
      </w:r>
      <w:r>
        <w:t xml:space="preserve">: Adotar providências no sentido de que o Dsei solicite à convenente atualização mensal do registro dos profissionais no site do Cnes, conforme determinam os art. 294, 361 e Art. 364, Capítulo IV, Seção I, Portaria de Consolidação GM/MS nº 01, de 28 de setembro de 2017 c/c art. 13, Resolução RDC Anvisa nº 63, 25/11/2011.</w:t>
      </w:r>
    </w:p>
    <w:p>
      <w:pPr>
        <w:pStyle w:val="937"/>
      </w:pPr>
      <w:r>
        <w:rPr>
          <w:b/>
          <w:bCs/>
        </w:rPr>
        <w:t xml:space="preserve">Etiqueta Antiga</w:t>
      </w:r>
      <w:r>
        <w:t xml:space="preserve">: Gestão de operações</w:t>
      </w:r>
    </w:p>
    <w:bookmarkEnd w:id="477"/>
    <w:bookmarkStart w:id="478" w:name="auditoria-19682-constatação-nº-694219-2"/>
    <w:p>
      <w:pPr>
        <w:pStyle w:val="907"/>
      </w:pPr>
      <w:r>
        <w:t xml:space="preserve">14.0.9.24 Auditoria 19682, Constatação Nº 694219 (#2)</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 acompanhamento dos Eixos de Saneamento Ambiental e Edificações de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Etiqueta Antiga</w:t>
      </w:r>
      <w:r>
        <w:t xml:space="preserve">: Gestão de dados e informações</w:t>
      </w:r>
    </w:p>
    <w:bookmarkEnd w:id="478"/>
    <w:bookmarkStart w:id="479" w:name="auditoria-19683-constatação-nº-696727-2"/>
    <w:p>
      <w:pPr>
        <w:pStyle w:val="907"/>
      </w:pPr>
      <w:r>
        <w:t xml:space="preserve">14.0.9.25 Auditoria 19683, Constatação Nº 696727 (#2)</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 acompanhamento dos Eixos de Saneamento Ambiental e Edificações de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Etiqueta Antiga</w:t>
      </w:r>
      <w:r>
        <w:t xml:space="preserve">: Gestão de dados e informações</w:t>
      </w:r>
    </w:p>
    <w:bookmarkEnd w:id="479"/>
    <w:bookmarkStart w:id="480" w:name="auditoria-19683-constatação-nº-696741-3"/>
    <w:p>
      <w:pPr>
        <w:pStyle w:val="907"/>
      </w:pPr>
      <w:r>
        <w:t xml:space="preserve">14.0.9.26 Auditoria 19683, Constatação Nº 696741 (#3)</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 acompanhamento e ao monitoramento das ações do Subeixo Educação Permanente.</w:t>
      </w:r>
    </w:p>
    <w:p>
      <w:pPr>
        <w:pStyle w:val="937"/>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937"/>
      </w:pPr>
      <w:r>
        <w:rPr>
          <w:b/>
          <w:bCs/>
        </w:rPr>
        <w:t xml:space="preserve">Etiqueta Antiga</w:t>
      </w:r>
      <w:r>
        <w:t xml:space="preserve">: Gestão de dados e informações</w:t>
      </w:r>
    </w:p>
    <w:bookmarkEnd w:id="480"/>
    <w:bookmarkStart w:id="481" w:name="auditoria-19683-constatação-nº-696745-3"/>
    <w:p>
      <w:pPr>
        <w:pStyle w:val="907"/>
      </w:pPr>
      <w:r>
        <w:t xml:space="preserve">14.0.9.27 Auditoria 19683, Constatação Nº 696745 (#3)</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Impropriedades relacionadas ao acompanhamento e ao monitoramento das ações do Eixo de Atenção à Saúde.</w:t>
      </w:r>
    </w:p>
    <w:p>
      <w:pPr>
        <w:pStyle w:val="937"/>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937"/>
      </w:pPr>
      <w:r>
        <w:rPr>
          <w:b/>
          <w:bCs/>
        </w:rPr>
        <w:t xml:space="preserve">Etiqueta Antiga</w:t>
      </w:r>
      <w:r>
        <w:t xml:space="preserve">: Gestão de dados e informações</w:t>
      </w:r>
    </w:p>
    <w:bookmarkEnd w:id="481"/>
    <w:bookmarkStart w:id="482" w:name="auditoria-19721-constatação-nº-692948-1"/>
    <w:p>
      <w:pPr>
        <w:pStyle w:val="907"/>
      </w:pPr>
      <w:r>
        <w:t xml:space="preserve">14.0.9.28 Auditoria 19721, Constatação Nº 692948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Capacidade Instalada/cadastro</w:t>
      </w:r>
    </w:p>
    <w:p>
      <w:pPr>
        <w:pStyle w:val="937"/>
      </w:pPr>
      <w:r>
        <w:rPr>
          <w:b/>
          <w:bCs/>
        </w:rPr>
        <w:t xml:space="preserve">Constatação</w:t>
      </w:r>
      <w:r>
        <w:t xml:space="preserve">: O quantitativo de leitos existentes no HGB não é compatível com o número de leitos cadastrados no Sistema de Cadastro dos Estabelecimentos de Saúde - SCNES.</w:t>
      </w:r>
    </w:p>
    <w:p>
      <w:pPr>
        <w:pStyle w:val="937"/>
      </w:pPr>
      <w:r>
        <w:rPr>
          <w:b/>
          <w:bCs/>
        </w:rPr>
        <w:t xml:space="preserve">Recomendação</w:t>
      </w:r>
      <w:r>
        <w:t xml:space="preserve">: Promover a atualização e a manutenção contínua dos dados cadastrais do hospital no SCNES e no Sistema de Gestão do NIR, para melhoria do planejamento assistencial, em atendimento ao preconizado no Art. 359, Seção I, e Art. 364, Seção II, Capítulo IV; Alínea</w:t>
      </w:r>
      <w:r>
        <w:t xml:space="preserve"> </w:t>
      </w:r>
      <w:r>
        <w:t xml:space="preserve">‘’c’</w:t>
      </w:r>
      <w:r>
        <w:t xml:space="preserve">’, item 1, Inciso III, Anexo I, da Portaria de Consolidação GM/MS n° 01, de 28/09/2017.</w:t>
      </w:r>
    </w:p>
    <w:p>
      <w:pPr>
        <w:pStyle w:val="937"/>
      </w:pPr>
      <w:r>
        <w:rPr>
          <w:b/>
          <w:bCs/>
        </w:rPr>
        <w:t xml:space="preserve">Etiqueta Antiga</w:t>
      </w:r>
      <w:r>
        <w:t xml:space="preserve">: Gestão de dados e informações</w:t>
      </w:r>
    </w:p>
    <w:bookmarkEnd w:id="482"/>
    <w:bookmarkStart w:id="483" w:name="auditoria-19767-constatação-nº-694247-1"/>
    <w:p>
      <w:pPr>
        <w:pStyle w:val="907"/>
      </w:pPr>
      <w:r>
        <w:t xml:space="preserve">14.0.9.29 Auditoria 19767, Constatação Nº 694247 (#1)</w:t>
      </w:r>
    </w:p>
    <w:p>
      <w:pPr>
        <w:pStyle w:val="937"/>
      </w:pPr>
      <w:r>
        <w:rPr>
          <w:b/>
          <w:bCs/>
        </w:rPr>
        <w:t xml:space="preserve">Grupo</w:t>
      </w:r>
      <w:r>
        <w:t xml:space="preserve">: Saúde do Trabalhador</w:t>
      </w:r>
    </w:p>
    <w:p>
      <w:pPr>
        <w:pStyle w:val="937"/>
      </w:pPr>
      <w:r>
        <w:rPr>
          <w:b/>
          <w:bCs/>
        </w:rPr>
        <w:t xml:space="preserve">Subgrupo</w:t>
      </w:r>
      <w:r>
        <w:t xml:space="preserve">: Produção de Informação</w:t>
      </w:r>
    </w:p>
    <w:p>
      <w:pPr>
        <w:pStyle w:val="937"/>
      </w:pPr>
      <w:r>
        <w:rPr>
          <w:b/>
          <w:bCs/>
        </w:rPr>
        <w:t xml:space="preserve">Item</w:t>
      </w:r>
      <w:r>
        <w:t xml:space="preserve">: Base de dados</w:t>
      </w:r>
    </w:p>
    <w:p>
      <w:pPr>
        <w:pStyle w:val="937"/>
      </w:pPr>
      <w:r>
        <w:rPr>
          <w:b/>
          <w:bCs/>
        </w:rPr>
        <w:t xml:space="preserve">Constatação</w:t>
      </w:r>
      <w:r>
        <w:t xml:space="preserve">: As ações de atenção integral à saúde do trabalhador estão sendo planejadas, mas carecem de mecanismos de monitoramento e avaliação.</w:t>
      </w:r>
    </w:p>
    <w:p>
      <w:pPr>
        <w:pStyle w:val="937"/>
      </w:pPr>
      <w:r>
        <w:rPr>
          <w:b/>
          <w:bCs/>
        </w:rPr>
        <w:t xml:space="preserve">Recomendação</w:t>
      </w:r>
      <w:r>
        <w:t xml:space="preserve">: Desenvolver e implementar sistema de monitoramento e avaliação das metas e ações estabelecidas, utilizando ferramentas tecnológicas apropriadas para consolidar dados e gerar relatórios periódicos sobre o progresso, visando monitorar a Programação Anual de Saúde e atender ao inciso I, do paragráfo único, do art 19, Capítulo II, Anexo X, da Portaria de Consolidação MS/GM 03, de 28/09/2017.</w:t>
      </w:r>
    </w:p>
    <w:p>
      <w:pPr>
        <w:pStyle w:val="937"/>
      </w:pPr>
      <w:r>
        <w:rPr>
          <w:b/>
          <w:bCs/>
        </w:rPr>
        <w:t xml:space="preserve">Etiqueta Antiga</w:t>
      </w:r>
      <w:r>
        <w:t xml:space="preserve">: Gestão de dados e informações</w:t>
      </w:r>
    </w:p>
    <w:bookmarkEnd w:id="483"/>
    <w:bookmarkStart w:id="484" w:name="auditoria-19814-constatação-nº-695264-1"/>
    <w:p>
      <w:pPr>
        <w:pStyle w:val="907"/>
      </w:pPr>
      <w:r>
        <w:t xml:space="preserve">14.0.9.30 Auditoria 19814, Constatação Nº 695264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Ausência de continuidade do cuidado ou ações de redução de danos a grupos específicos de pacientes nas UBS visitadas no período auditado.</w:t>
      </w:r>
    </w:p>
    <w:p>
      <w:pPr>
        <w:pStyle w:val="937"/>
      </w:pPr>
      <w:r>
        <w:rPr>
          <w:b/>
          <w:bCs/>
        </w:rPr>
        <w:t xml:space="preserve">Recomendação</w:t>
      </w:r>
      <w:r>
        <w:t xml:space="preserve">: Assegurar que os prontuários possuam todos os registros referentes a continuidade do cuidado ou ações de redução de danos a grupos específicos de pacientes sejam gestantes, idosos, adolescentes, crianças e pessoas em situação de rua, conforme o preconizado na Portaria de Consolidação nº 3, de 28 de setembro de 2017, Anexo V, Art. 4º, Inciso I, que preconiza a promoção de cuidados em saúde especialmente para grupos mais vulneráveis.</w:t>
      </w:r>
    </w:p>
    <w:p>
      <w:pPr>
        <w:pStyle w:val="937"/>
      </w:pPr>
      <w:r>
        <w:rPr>
          <w:b/>
          <w:bCs/>
        </w:rPr>
        <w:t xml:space="preserve">Etiqueta Antiga</w:t>
      </w:r>
      <w:r>
        <w:t xml:space="preserve">: Gestão de dados e informações</w:t>
      </w:r>
    </w:p>
    <w:bookmarkEnd w:id="484"/>
    <w:bookmarkStart w:id="485" w:name="auditoria-19821-constatação-nº-692743-1"/>
    <w:p>
      <w:pPr>
        <w:pStyle w:val="907"/>
      </w:pPr>
      <w:r>
        <w:t xml:space="preserve">14.0.9.31 Auditoria 19821, Constatação Nº 692743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Informação</w:t>
      </w:r>
    </w:p>
    <w:p>
      <w:pPr>
        <w:pStyle w:val="937"/>
      </w:pPr>
      <w:r>
        <w:rPr>
          <w:b/>
          <w:bCs/>
        </w:rPr>
        <w:t xml:space="preserve">Constatação</w:t>
      </w:r>
      <w:r>
        <w:t xml:space="preserve">: A SMS não divulga à comunidade as ações voltadas à saúde mental na atenção básica.</w:t>
      </w:r>
    </w:p>
    <w:p>
      <w:pPr>
        <w:pStyle w:val="937"/>
      </w:pPr>
      <w:r>
        <w:rPr>
          <w:b/>
          <w:bCs/>
        </w:rPr>
        <w:t xml:space="preserve">Recomendação</w:t>
      </w:r>
      <w:r>
        <w:t xml:space="preserve">: 1 - Dar transparência e visisibilidade da gestão da saúde conforme determina o Art. 31 da Lei Complementar n° 141, 13 de janeiro de 2012, que eatbelece que: Os órgãos gestores de saúde da União, dos Estados, do Distrito Federal e dos Municípios darão ampla divulgação, inclusive em meios eletrônicos de acesso público, das prestações de contas periódicas da área da saúde, para consulta e apreciação dos cidadãos e de instituições da sociedade. 2 - Cumprir o que determina o art. 11 do Decreto Presidencial nº 1651 de 28 de setembro de 1995 que estabelece que os órgãos do SUS e as entidades privadas, que dele participarem de forma complementar, ficam obrigados a prestar, quando exigida, ao pessoal em exercício no SNA, toda informação necessária ao desempenho das atividades de controle, avaliação e auditoria.</w:t>
      </w:r>
    </w:p>
    <w:p>
      <w:pPr>
        <w:pStyle w:val="937"/>
      </w:pPr>
      <w:r>
        <w:rPr>
          <w:b/>
          <w:bCs/>
        </w:rPr>
        <w:t xml:space="preserve">Etiqueta Antiga</w:t>
      </w:r>
      <w:r>
        <w:t xml:space="preserve">: Gestão de dados e informações</w:t>
      </w:r>
    </w:p>
    <w:bookmarkEnd w:id="485"/>
    <w:bookmarkStart w:id="486" w:name="auditoria-19826-constatação-nº-694650-1"/>
    <w:p>
      <w:pPr>
        <w:pStyle w:val="907"/>
      </w:pPr>
      <w:r>
        <w:t xml:space="preserve">14.0.9.32 Auditoria 19826, Constatação Nº 694650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Capacidade Instalada/cadastro</w:t>
      </w:r>
    </w:p>
    <w:p>
      <w:pPr>
        <w:pStyle w:val="937"/>
      </w:pPr>
      <w:r>
        <w:rPr>
          <w:b/>
          <w:bCs/>
        </w:rPr>
        <w:t xml:space="preserve">Constatação</w:t>
      </w:r>
      <w:r>
        <w:t xml:space="preserve">: Os dados da Santa Casa de Auriflama não estavam atualizados, no Cadastro Nacional de Estabelecimentos de Saúde (Cnes), em relação aos profissionais que realizaram o procedimento de Atendimento Médico em Unidade de Pronto Atendimento (Código Sigtap 03.01.06.009-6), no período de janeiro a dezembro de 2022.</w:t>
      </w:r>
    </w:p>
    <w:p>
      <w:pPr>
        <w:pStyle w:val="937"/>
      </w:pPr>
      <w:r>
        <w:rPr>
          <w:b/>
          <w:bCs/>
        </w:rPr>
        <w:t xml:space="preserve">Recomendação</w:t>
      </w:r>
      <w:r>
        <w:t xml:space="preserve">: Realizar a manutenção dos dados cadastrais, conforme orientação do artigo 364 e de acordo com o inciso III do artigo 369, ambos da Portaria de Consolidação GM/MS/01 de 28 de setembro de 2017 que estabelece que compete às direções estaduais do SUS, em relação ao CNES fiscalizar, auditar, validar ou alterar, quando necessário, o cadastro dos estabelecimentos de saúde integrantes do SUS que estejam sob seu comando ou cujo comando esteja compartilhado com a esfera estadual.</w:t>
      </w:r>
    </w:p>
    <w:p>
      <w:pPr>
        <w:pStyle w:val="937"/>
      </w:pPr>
      <w:r>
        <w:rPr>
          <w:b/>
          <w:bCs/>
        </w:rPr>
        <w:t xml:space="preserve">Etiqueta Antiga</w:t>
      </w:r>
      <w:r>
        <w:t xml:space="preserve">: Gestão de dados e informações</w:t>
      </w:r>
    </w:p>
    <w:bookmarkEnd w:id="486"/>
    <w:bookmarkStart w:id="487" w:name="auditoria-19826-constatação-nº-694693-1"/>
    <w:p>
      <w:pPr>
        <w:pStyle w:val="907"/>
      </w:pPr>
      <w:r>
        <w:t xml:space="preserve">14.0.9.33 Auditoria 19826, Constatação Nº 694693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Os dados de produção inseridos no Sistema de Informações Ambulatoriais (SIA-SUS) referentes ao procedimento Atendimento Médico em Unidade de Pronto Atendimento (código Sigtap 03.01.06.009-6), no período de janeiro a dezembro de 2022, não correspondem à verdadeira produção e esta não foi devidamente comprovada.</w:t>
      </w:r>
    </w:p>
    <w:p>
      <w:pPr>
        <w:pStyle w:val="937"/>
      </w:pPr>
      <w:r>
        <w:rPr>
          <w:b/>
          <w:bCs/>
        </w:rPr>
        <w:t xml:space="preserve">Recomendação</w:t>
      </w:r>
      <w:r>
        <w:t xml:space="preserve">: Exercer a competência de planejar, organizar, controlar e avaliar as ações e os serviços de saúde e gerir e executar os serviços públicos de saúde de acordo com o inciso I do art. 18 da Lei n. 8.080/1990. Obedecer à sistemática de alimentação dos Bancos de Dados Nacionais dos Sistemas de Informação em Saúde SIA, SIH e SCNES conforme os incisos I, II,III , IV e V do art. 295 da Portaria de Consolidação GM/MS n. 01/2017 e controlar e avaliar a produção ambulatorial processada e enviada para o gestor federal como determina o item 2.3 do Manual de Operação do Sistema SIA/SUS (2016).</w:t>
      </w:r>
    </w:p>
    <w:p>
      <w:pPr>
        <w:pStyle w:val="937"/>
      </w:pPr>
      <w:r>
        <w:rPr>
          <w:b/>
          <w:bCs/>
        </w:rPr>
        <w:t xml:space="preserve">Etiqueta Antiga</w:t>
      </w:r>
      <w:r>
        <w:t xml:space="preserve">: Gestão de dados e informações</w:t>
      </w:r>
    </w:p>
    <w:bookmarkEnd w:id="487"/>
    <w:bookmarkStart w:id="488" w:name="auditoria-19833-constatação-nº-695015-1"/>
    <w:p>
      <w:pPr>
        <w:pStyle w:val="907"/>
      </w:pPr>
      <w:r>
        <w:t xml:space="preserve">14.0.9.34 Auditoria 19833, Constatação Nº 695015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 CMRF de Corumbá não disponibilizou os relatórios sobre o processo logístico da CMRF de Corumbá (recebimento, armazenamento e distribuição) e inventário dos imunobiológicos armazenados no ano de 2022 e 2023.</w:t>
      </w:r>
    </w:p>
    <w:p>
      <w:pPr>
        <w:pStyle w:val="937"/>
      </w:pPr>
      <w:r>
        <w:rPr>
          <w:b/>
          <w:bCs/>
        </w:rPr>
        <w:t xml:space="preserve">Recomendação</w:t>
      </w:r>
      <w:r>
        <w:t xml:space="preserve">: Manter atualizado controle referente à movimentação dos imunobiológicos (recebidos e distribuídos) e manter acessível o inventário dos imunobiológicos armazenados na CMRF, conforme art. 55, Seção VI, Resolução de Diretoria Colegiada - RDC nº 430, de 8/10/2020.</w:t>
      </w:r>
    </w:p>
    <w:p>
      <w:pPr>
        <w:pStyle w:val="937"/>
      </w:pPr>
      <w:r>
        <w:rPr>
          <w:b/>
          <w:bCs/>
        </w:rPr>
        <w:t xml:space="preserve">Etiqueta Antiga</w:t>
      </w:r>
      <w:r>
        <w:t xml:space="preserve">: Gestão de dados e informações</w:t>
      </w:r>
    </w:p>
    <w:bookmarkEnd w:id="488"/>
    <w:bookmarkStart w:id="489" w:name="auditoria-19840-constatação-nº-701369-1"/>
    <w:p>
      <w:pPr>
        <w:pStyle w:val="907"/>
      </w:pPr>
      <w:r>
        <w:t xml:space="preserve">14.0.9.35 Auditoria 19840, Constatação Nº 701369 (#1)</w:t>
      </w:r>
    </w:p>
    <w:p>
      <w:pPr>
        <w:pStyle w:val="937"/>
      </w:pPr>
      <w:r>
        <w:rPr>
          <w:b/>
          <w:bCs/>
        </w:rPr>
        <w:t xml:space="preserve">Grupo</w:t>
      </w:r>
      <w:r>
        <w:t xml:space="preserve">: Regionalização, Planejamento e Programação</w:t>
      </w:r>
    </w:p>
    <w:p>
      <w:pPr>
        <w:pStyle w:val="937"/>
      </w:pPr>
      <w:r>
        <w:rPr>
          <w:b/>
          <w:bCs/>
        </w:rPr>
        <w:t xml:space="preserve">Subgrupo</w:t>
      </w:r>
      <w:r>
        <w:t xml:space="preserve">: Instrumentos de Planejamento PS</w:t>
      </w:r>
    </w:p>
    <w:p>
      <w:pPr>
        <w:pStyle w:val="937"/>
      </w:pPr>
      <w:r>
        <w:rPr>
          <w:b/>
          <w:bCs/>
        </w:rPr>
        <w:t xml:space="preserve">Item</w:t>
      </w:r>
      <w:r>
        <w:t xml:space="preserve">: Sistemática de Elaboração/Conteúdo</w:t>
      </w:r>
    </w:p>
    <w:p>
      <w:pPr>
        <w:pStyle w:val="937"/>
      </w:pPr>
      <w:r>
        <w:rPr>
          <w:b/>
          <w:bCs/>
        </w:rPr>
        <w:t xml:space="preserve">Constatação</w:t>
      </w:r>
      <w:r>
        <w:t xml:space="preserve">: A Semsam não comprovou a inserção de informações sobre a Atenção Especializada ofertada no município em todos os instrumentos de gestão de 2021.</w:t>
      </w:r>
    </w:p>
    <w:p>
      <w:pPr>
        <w:pStyle w:val="937"/>
      </w:pPr>
      <w:r>
        <w:rPr>
          <w:b/>
          <w:bCs/>
        </w:rPr>
        <w:t xml:space="preserve">Recomendação</w:t>
      </w:r>
      <w:r>
        <w:t xml:space="preserve">: Revisar e fortalecer os processos internos de planejamento, execução e monitoramento. Isso implica em elaborar o PMS e a PAS a partir de uma análise situacional detalhada das necessidades da população e peculiaridades do município, garantindo a alocação transparente dos recursos orçamentários para a Atenção Especializada, e, subsequentemente, utilizar o RAG para apresentar os resultados alcançados com a execução da PAS e orientar eventuais redirecionamentos necessários no Plano de Saúde, assegurando assim uma gestão mais eficiente e responsável. Dessa forma garantir que a Atenção Especializada seja adequadamente contemplada nos instrumentos de gestão em conformidade com os artigos 95, 96, 97 e 99 da Portaria de Consolidação GM/MS nº 1/2017.</w:t>
      </w:r>
    </w:p>
    <w:p>
      <w:pPr>
        <w:pStyle w:val="937"/>
      </w:pPr>
      <w:r>
        <w:rPr>
          <w:b/>
          <w:bCs/>
        </w:rPr>
        <w:t xml:space="preserve">Etiqueta Antiga</w:t>
      </w:r>
      <w:r>
        <w:t xml:space="preserve">: Governança e estrutura organizacional</w:t>
      </w:r>
    </w:p>
    <w:bookmarkEnd w:id="489"/>
    <w:bookmarkStart w:id="490" w:name="auditoria-19848-constatação-nº-701958-1"/>
    <w:p>
      <w:pPr>
        <w:pStyle w:val="907"/>
      </w:pPr>
      <w:r>
        <w:t xml:space="preserve">14.0.9.36 Auditoria 19848, Constatação Nº 701958 (#1)</w:t>
      </w:r>
    </w:p>
    <w:p>
      <w:pPr>
        <w:pStyle w:val="937"/>
      </w:pPr>
      <w:r>
        <w:rPr>
          <w:b/>
          <w:bCs/>
        </w:rPr>
        <w:t xml:space="preserve">Grupo</w:t>
      </w:r>
      <w:r>
        <w:t xml:space="preserve">: Saúde do Trabalhador</w:t>
      </w:r>
    </w:p>
    <w:p>
      <w:pPr>
        <w:pStyle w:val="937"/>
      </w:pPr>
      <w:r>
        <w:rPr>
          <w:b/>
          <w:bCs/>
        </w:rPr>
        <w:t xml:space="preserve">Subgrupo</w:t>
      </w:r>
      <w:r>
        <w:t xml:space="preserve">: Produção de Informação</w:t>
      </w:r>
    </w:p>
    <w:p>
      <w:pPr>
        <w:pStyle w:val="937"/>
      </w:pPr>
      <w:r>
        <w:rPr>
          <w:b/>
          <w:bCs/>
        </w:rPr>
        <w:t xml:space="preserve">Item</w:t>
      </w:r>
      <w:r>
        <w:t xml:space="preserve">: Base de dados</w:t>
      </w:r>
    </w:p>
    <w:p>
      <w:pPr>
        <w:pStyle w:val="937"/>
      </w:pPr>
      <w:r>
        <w:rPr>
          <w:b/>
          <w:bCs/>
        </w:rPr>
        <w:t xml:space="preserve">Constatação</w:t>
      </w:r>
      <w:r>
        <w:t xml:space="preserve">: O CEREST Regional de Aracati/CE, sob gestão da Secretaria Municipal de Saúde-SMS de Aracati/CE, apresentou documentação relativa ao atendimento prestado aos cidadãos contendo informações divergentes aos respectivos registros no Sistema de Informação Ambulatorial-SIA/SUS.</w:t>
      </w:r>
    </w:p>
    <w:p>
      <w:pPr>
        <w:pStyle w:val="937"/>
      </w:pPr>
      <w:r>
        <w:rPr>
          <w:b/>
          <w:bCs/>
        </w:rPr>
        <w:t xml:space="preserve">Recomendação</w:t>
      </w:r>
      <w:r>
        <w:t xml:space="preserve">: Registrar adequadamente no Sistema de Informação Ambulatorial-SIA/SUS, de acordo com a produção comprovada dos profissionais lotados no CEREST Regional de Aracati/CE, as informações contidas na documentação relativa aos atendimentos prestados aos cidadãos de cada um dos procedimentos, em conformidade com o item 4, alínea</w:t>
      </w:r>
      <w:r>
        <w:t xml:space="preserve"> </w:t>
      </w:r>
      <w:r>
        <w:rPr>
          <w:rStyle w:val="949"/>
        </w:rPr>
        <w:t xml:space="preserve">h</w:t>
      </w:r>
      <w:r>
        <w:t xml:space="preserve">, inciso II, art. 9º, Capítulo III, do Anexo XV, da Portaria de Consolidação GM/MS n.º 02, de 28 de setembro 2017.</w:t>
      </w:r>
    </w:p>
    <w:p>
      <w:pPr>
        <w:pStyle w:val="937"/>
      </w:pPr>
      <w:r>
        <w:rPr>
          <w:b/>
          <w:bCs/>
        </w:rPr>
        <w:t xml:space="preserve">Etiqueta Antiga</w:t>
      </w:r>
      <w:r>
        <w:t xml:space="preserve">: Gestão de dados e informações</w:t>
      </w:r>
    </w:p>
    <w:bookmarkEnd w:id="490"/>
    <w:bookmarkStart w:id="491" w:name="auditoria-19855-constatação-nº-701787-1"/>
    <w:p>
      <w:pPr>
        <w:pStyle w:val="907"/>
      </w:pPr>
      <w:r>
        <w:t xml:space="preserve">14.0.9.37 Auditoria 19855, Constatação Nº 701787 (#1)</w:t>
      </w:r>
    </w:p>
    <w:p>
      <w:pPr>
        <w:pStyle w:val="937"/>
      </w:pPr>
      <w:r>
        <w:rPr>
          <w:b/>
          <w:bCs/>
        </w:rPr>
        <w:t xml:space="preserve">Grupo</w:t>
      </w:r>
      <w:r>
        <w:t xml:space="preserve">: Saúde do Trabalhador</w:t>
      </w:r>
    </w:p>
    <w:p>
      <w:pPr>
        <w:pStyle w:val="937"/>
      </w:pPr>
      <w:r>
        <w:rPr>
          <w:b/>
          <w:bCs/>
        </w:rPr>
        <w:t xml:space="preserve">Subgrupo</w:t>
      </w:r>
      <w:r>
        <w:t xml:space="preserve">: Ações</w:t>
      </w:r>
    </w:p>
    <w:p>
      <w:pPr>
        <w:pStyle w:val="937"/>
      </w:pPr>
      <w:r>
        <w:rPr>
          <w:b/>
          <w:bCs/>
        </w:rPr>
        <w:t xml:space="preserve">Item</w:t>
      </w:r>
      <w:r>
        <w:t xml:space="preserve">: Utilização dos Protocolos</w:t>
      </w:r>
    </w:p>
    <w:p>
      <w:pPr>
        <w:pStyle w:val="937"/>
      </w:pPr>
      <w:r>
        <w:rPr>
          <w:b/>
          <w:bCs/>
        </w:rPr>
        <w:t xml:space="preserve">Constatação</w:t>
      </w:r>
      <w:r>
        <w:t xml:space="preserve">: O CEREST Regional Maricá/RJ não comprovou utilização dos protocolos de Atenção à Saúde do Trabalhador como parte integrante de suas práticas clínicas e operacionais.</w:t>
      </w:r>
    </w:p>
    <w:p>
      <w:pPr>
        <w:pStyle w:val="937"/>
      </w:pPr>
      <w:r>
        <w:rPr>
          <w:b/>
          <w:bCs/>
        </w:rPr>
        <w:t xml:space="preserve">Recomendação</w:t>
      </w:r>
      <w:r>
        <w:t xml:space="preserve">: Manter um registro formal dos protocolos de Atenção à Saúde do Trabalhador, demonstrando sua adoção e aplicação nas práticas clínicas e operacionais, conforme previsto nos: Inciso I, Art. 8º, Capítulo II, do Anexo XV da Portaria de Consolidação GM/MS nº 2, de 28/9/2017; Inciso I, Art. 9º, Capítulo III, do Anexo XV da Portaria de Consolidação GM/MS nº 2, de 28/9/2017; e, Inciso VI, do Anexo 7, do Anexo X, Portaria de Consolidação GM/MS nº 3, de 28/9/2017.</w:t>
      </w:r>
    </w:p>
    <w:p>
      <w:pPr>
        <w:pStyle w:val="937"/>
      </w:pPr>
      <w:r>
        <w:rPr>
          <w:b/>
          <w:bCs/>
        </w:rPr>
        <w:t xml:space="preserve">Etiqueta Antiga</w:t>
      </w:r>
      <w:r>
        <w:t xml:space="preserve">: Gestão de operações</w:t>
      </w:r>
    </w:p>
    <w:bookmarkEnd w:id="491"/>
    <w:bookmarkStart w:id="492" w:name="auditoria-19857-constatação-nº-702628-1"/>
    <w:p>
      <w:pPr>
        <w:pStyle w:val="907"/>
      </w:pPr>
      <w:r>
        <w:t xml:space="preserve">14.0.9.38 Auditoria 19857, Constatação Nº 702628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Normas/rotinas/protocolos/comissões internas</w:t>
      </w:r>
    </w:p>
    <w:p>
      <w:pPr>
        <w:pStyle w:val="937"/>
      </w:pPr>
      <w:r>
        <w:rPr>
          <w:b/>
          <w:bCs/>
        </w:rPr>
        <w:t xml:space="preserve">Constatação</w:t>
      </w:r>
      <w:r>
        <w:t xml:space="preserve">: As informações publicadas nos sítios da SESDF encontram-se desatualizadas e não estão disponíveis na página</w:t>
      </w:r>
      <w:r>
        <w:t xml:space="preserve"> </w:t>
      </w:r>
      <w:r>
        <w:t xml:space="preserve">‘’Parcerias GDF MROSC’</w:t>
      </w:r>
      <w:r>
        <w:t xml:space="preserve">’.</w:t>
      </w:r>
    </w:p>
    <w:p>
      <w:pPr>
        <w:pStyle w:val="937"/>
      </w:pPr>
      <w:r>
        <w:rPr>
          <w:b/>
          <w:bCs/>
        </w:rPr>
        <w:t xml:space="preserve">Recomendação</w:t>
      </w:r>
      <w:r>
        <w:t xml:space="preserve">: 1. Instituir rotina de atualização periódica das informações das parcerias nos canais oficiais da SESDF, com prazos e responsabilidades definidos. 2. Seguir a periodicidade estabelecida no Plano de Atividade de Monitoramento e Avaliação do MROSC para a verificação do cumprimento da Transparência. 3. Cadastrar e divulgar integralmente os dados do Termo de Fomento nº 07/2024 na Plataforma Parcerias GDF MROSC, em conformidade com Art. 2º, §1º e Art. 4º do Decreto n.º 45.755/2024; Lei nº 13.019/2014, art. 11; e Portaria SEEC/DF nº 449/2024.</w:t>
      </w:r>
    </w:p>
    <w:p>
      <w:pPr>
        <w:pStyle w:val="937"/>
      </w:pPr>
      <w:r>
        <w:rPr>
          <w:b/>
          <w:bCs/>
        </w:rPr>
        <w:t xml:space="preserve">Etiqueta Antiga</w:t>
      </w:r>
      <w:r>
        <w:t xml:space="preserve">: Gestão de dados e informações</w:t>
      </w:r>
    </w:p>
    <w:bookmarkEnd w:id="492"/>
    <w:bookmarkStart w:id="493" w:name="auditoria-19876-constatação-nº-703741-3"/>
    <w:p>
      <w:pPr>
        <w:pStyle w:val="907"/>
      </w:pPr>
      <w:r>
        <w:t xml:space="preserve">14.0.9.39 Auditoria 19876, Constatação Nº 703741 (#3)</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O HEG registrou o CID principal das AIHs de forma incompatível com o procedimento 04.16.09.013-3 (Ressecção de Tumor de Partes Moles em Oncologia), em desacordo com os atributos definidos no SIGTAP.</w:t>
      </w:r>
    </w:p>
    <w:p>
      <w:pPr>
        <w:pStyle w:val="937"/>
      </w:pPr>
      <w:r>
        <w:rPr>
          <w:b/>
          <w:bCs/>
        </w:rPr>
        <w:t xml:space="preserve">Recomendação</w:t>
      </w:r>
      <w:r>
        <w:t xml:space="preserve">: Aprimorar o controle dos registros de CIDs no SIH, conforme o Manual Técnico Operacional SIH, versão 2017, pág. 68</w:t>
      </w:r>
      <w:r>
        <w:t xml:space="preserve"> </w:t>
      </w:r>
      <w:r>
        <w:t xml:space="preserve">“que estabelece que o CID terá que ser compatível com a principal patologia referente ao procedimento informado na primeira linha de realizados”</w:t>
      </w:r>
      <w:r>
        <w:t xml:space="preserve">.</w:t>
      </w:r>
    </w:p>
    <w:p>
      <w:pPr>
        <w:pStyle w:val="937"/>
      </w:pPr>
      <w:r>
        <w:rPr>
          <w:b/>
          <w:bCs/>
        </w:rPr>
        <w:t xml:space="preserve">Etiqueta Antiga</w:t>
      </w:r>
      <w:r>
        <w:t xml:space="preserve">: Gestão de dados e informações</w:t>
      </w:r>
    </w:p>
    <w:bookmarkEnd w:id="493"/>
    <w:bookmarkStart w:id="494" w:name="auditoria-19877-constatação-nº-703124-1"/>
    <w:p>
      <w:pPr>
        <w:pStyle w:val="907"/>
      </w:pPr>
      <w:r>
        <w:t xml:space="preserve">14.0.9.40 Auditoria 19877, Constatação Nº 703124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Houve cobrança irregular do procedimento 04.16.08.008-1 (Reconstrução com Retalho Miocutâneo (Qualquer Parte) em Oncologia) no HSJ durante o período auditado.</w:t>
      </w:r>
    </w:p>
    <w:p>
      <w:pPr>
        <w:pStyle w:val="937"/>
      </w:pPr>
      <w:r>
        <w:rPr>
          <w:b/>
          <w:bCs/>
        </w:rPr>
        <w:t xml:space="preserve">Recomendação</w:t>
      </w:r>
      <w:r>
        <w:t xml:space="preserve">: Implementar medidas para adequações dos códigos dos procedimentos inseridos nos sistemas de informações de saúde, conforme os critérios estabelecidos no Sigtap e em conformidade com o Manual de Bases Técnicas da Oncologia (2022), como também assegurar a veracidade das informações prestadas ao SUS, conforme Inciso VI, Art. 131 da Portaria de Consolidação GM/MS nº 1/2017 e do §2º do art. 26 da Lei nº 8.080/1990.</w:t>
      </w:r>
    </w:p>
    <w:p>
      <w:pPr>
        <w:pStyle w:val="937"/>
      </w:pPr>
      <w:r>
        <w:rPr>
          <w:b/>
          <w:bCs/>
        </w:rPr>
        <w:t xml:space="preserve">Etiqueta Antiga</w:t>
      </w:r>
      <w:r>
        <w:t xml:space="preserve">: Gestão de operações</w:t>
      </w:r>
    </w:p>
    <w:bookmarkEnd w:id="494"/>
    <w:bookmarkStart w:id="495" w:name="auditoria-19882-constatação-nº-703445-1"/>
    <w:p>
      <w:pPr>
        <w:pStyle w:val="907"/>
      </w:pPr>
      <w:r>
        <w:t xml:space="preserve">14.0.9.41 Auditoria 19882, Constatação Nº 703445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A Santa Casa de Misericórdia de Maceió não comprovou, em sua totalidade, a realização do procedimento 04.16.08.008-1 - Reconstrução com Retalho Miocutâneo (Qualquer Parte) em Oncologia.</w:t>
      </w:r>
    </w:p>
    <w:p>
      <w:pPr>
        <w:pStyle w:val="937"/>
      </w:pPr>
      <w:r>
        <w:rPr>
          <w:b/>
          <w:bCs/>
        </w:rPr>
        <w:t xml:space="preserve">Recomendação</w:t>
      </w:r>
      <w:r>
        <w:t xml:space="preserve">: A Gestão da Secretaria de Atenção Especializada do Ministério da Saúde (SAES/MS) deve aprimorar os sistemas de monitoramento e o controle dos pagamentos relativos a produção hospitalar dos procedimentos oncológicos, especialmente os com códigos 04.16.08.008-1 - Reconstrução com Retalho Miocutâneo (Qualquer Parte) em Oncologia; avaliar a possibilidade da inclusão de críticas e rejeição das AIHs geradas pelo Sistema de Informações Hospitalares Descentralizado (SHD2) a partir da compatibilização dos códigos principais com os definidos no SIGTAP/SUS; monitorar a devolução dos valores indicados na Planilha de Devolução deste relatório de auditoria aos cofres da União no valor de R$ 49.927,91 (quarenta e nove mil, novecentos e vinte e sete reais e noventa e um centavos), devidamente corrigido por índices oficiais, definidos pelo Tribunal de Contas da União (TCU), pelo descumprimento: PT Consolidação GM/MS nº 1 de 28/09/2017, inciso VI do art. 131; item 3, pág. 27 a 36 do Manual de Bases Técnicas da Oncologia, aprovado pela PT GM/MS nº 396/2.000, versão 10/2016; e art. 63 da Lei 4.320, de 17/03/1964; e monitorar o cumprimento das recomendações desta constatação sobre as providências e pagamentos realizados pelos responsáveis.</w:t>
      </w:r>
    </w:p>
    <w:p>
      <w:pPr>
        <w:pStyle w:val="937"/>
      </w:pPr>
      <w:r>
        <w:rPr>
          <w:b/>
          <w:bCs/>
        </w:rPr>
        <w:t xml:space="preserve">Etiqueta Antiga</w:t>
      </w:r>
      <w:r>
        <w:t xml:space="preserve">: Gestão de operações</w:t>
      </w:r>
    </w:p>
    <w:bookmarkEnd w:id="495"/>
    <w:bookmarkStart w:id="496" w:name="auditoria-19890-constatação-nº-702548-2"/>
    <w:p>
      <w:pPr>
        <w:pStyle w:val="907"/>
      </w:pPr>
      <w:r>
        <w:t xml:space="preserve">14.0.9.42 Auditoria 19890, Constatação Nº 702548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Ausência da disponibilidade de AIHs com seus respectivos prontuários solicitados, para comprovação da realização dos procedimentos cirúrgicos cobrados em AIH com código 04.15.02.005-0 (Procedimentos Sequenciais em Oncologia) e reconstrução mamária após procedimento cirúrgico de mastectomia total ou simples.</w:t>
      </w:r>
    </w:p>
    <w:p>
      <w:pPr>
        <w:pStyle w:val="937"/>
      </w:pPr>
      <w:r>
        <w:rPr>
          <w:b/>
          <w:bCs/>
        </w:rPr>
        <w:t xml:space="preserve">Recomendação</w:t>
      </w:r>
      <w:r>
        <w:t xml:space="preserve">: Providenciar a correção dos processos e fluxo de apresentação das documentações solicitadas desenvolvidos pelo DAME (departamento de arquivo médico e estatístico), a fim de garantir a existência de documentos que evidenciem a efetiva prestação dos serviços de forma organizada quando solicitadas, conforme preconizado no Art. 11°, do Decreto Federal nº 1.651, de 28/09/1995, quanto à disponibilização de documentos solicitados, bem como realizar a orientação e treinamento da equipe técnica da unidade auditada, para atender as disposições contidas nos parágrafo 1º e 2º, do Art. 87, do Código de Ética Médica, aprovado pela Resolução CFM nº 2.217/2018.</w:t>
      </w:r>
    </w:p>
    <w:p>
      <w:pPr>
        <w:pStyle w:val="937"/>
      </w:pPr>
      <w:r>
        <w:rPr>
          <w:b/>
          <w:bCs/>
        </w:rPr>
        <w:t xml:space="preserve">Etiqueta Antiga</w:t>
      </w:r>
      <w:r>
        <w:t xml:space="preserve">: Gestão de dados e informações</w:t>
      </w:r>
    </w:p>
    <w:bookmarkEnd w:id="496"/>
    <w:bookmarkEnd w:id="497"/>
    <w:bookmarkStart w:id="510" w:name="gestão-de-pessoas-e-capacitação"/>
    <w:p>
      <w:pPr>
        <w:pStyle w:val="906"/>
      </w:pPr>
      <w:r>
        <w:t xml:space="preserve">14.0.10 Gestão de pessoas e capacitação</w:t>
      </w:r>
    </w:p>
    <w:bookmarkStart w:id="498" w:name="auditoria-19293-constatação-nº-683550-1"/>
    <w:p>
      <w:pPr>
        <w:pStyle w:val="907"/>
      </w:pPr>
      <w:r>
        <w:t xml:space="preserve">14.0.10.1 Auditoria 19293, Constatação Nº 683550 (#1)</w:t>
      </w:r>
    </w:p>
    <w:p>
      <w:pPr>
        <w:pStyle w:val="937"/>
      </w:pPr>
      <w:r>
        <w:rPr>
          <w:b/>
          <w:bCs/>
        </w:rPr>
        <w:t xml:space="preserve">Grupo</w:t>
      </w:r>
      <w:r>
        <w:t xml:space="preserve">: Controles Internos</w:t>
      </w:r>
    </w:p>
    <w:p>
      <w:pPr>
        <w:pStyle w:val="937"/>
      </w:pPr>
      <w:r>
        <w:rPr>
          <w:b/>
          <w:bCs/>
        </w:rPr>
        <w:t xml:space="preserve">Subgrupo</w:t>
      </w:r>
      <w:r>
        <w:t xml:space="preserve">: Estrutura</w:t>
      </w:r>
    </w:p>
    <w:p>
      <w:pPr>
        <w:pStyle w:val="937"/>
      </w:pPr>
      <w:r>
        <w:rPr>
          <w:b/>
          <w:bCs/>
        </w:rPr>
        <w:t xml:space="preserve">Item</w:t>
      </w:r>
      <w:r>
        <w:t xml:space="preserve">: Recursos Humanos/ Capacitação</w:t>
      </w:r>
    </w:p>
    <w:p>
      <w:pPr>
        <w:pStyle w:val="937"/>
      </w:pPr>
      <w:r>
        <w:rPr>
          <w:b/>
          <w:bCs/>
        </w:rPr>
        <w:t xml:space="preserve">Constatação</w:t>
      </w:r>
      <w:r>
        <w:t xml:space="preserve">: Não foi comprovado o cumprimento da carga horária das atividades de coordenação e direção dos hospitais (HGP, HMDR, HRA, HRAug e HRG) referente ao período de agosto a outubro de 2023.</w:t>
      </w:r>
    </w:p>
    <w:p>
      <w:pPr>
        <w:pStyle w:val="937"/>
      </w:pPr>
      <w:r>
        <w:rPr>
          <w:b/>
          <w:bCs/>
        </w:rPr>
        <w:t xml:space="preserve">Recomendação</w:t>
      </w:r>
      <w:r>
        <w:t xml:space="preserve">: Estabelecer mecanismos institucionais de registro do efetivo labor das atividades relacionadas à Coordenação e à Direção dos hospitais, de forma que viabilize o monitoramento, pela gestão central, do cumprimento da carga horária de coordenação e direção e da produção das atividades administrativas inerentes a esses cargos. Além disso, a implantação das escalas de plantão administrativo nas unidades que trabalham em regime de plantão, efetivando o planejado no item 3.4, Auditoria 2 do Plano de Ação da SES/TO, de 28/9/2022, facilitará o monitoramento do cumprimento da carga horária destinada às atividades de coordenação e direção, qualificando assim os controles internos.</w:t>
      </w:r>
    </w:p>
    <w:p>
      <w:pPr>
        <w:pStyle w:val="937"/>
      </w:pPr>
      <w:r>
        <w:rPr>
          <w:b/>
          <w:bCs/>
        </w:rPr>
        <w:t xml:space="preserve">Etiqueta Antiga</w:t>
      </w:r>
      <w:r>
        <w:t xml:space="preserve">: Gestão de pessoal e capacitação</w:t>
      </w:r>
    </w:p>
    <w:bookmarkEnd w:id="498"/>
    <w:bookmarkStart w:id="499" w:name="auditoria-19380-constatação-nº-659505-1"/>
    <w:p>
      <w:pPr>
        <w:pStyle w:val="907"/>
      </w:pPr>
      <w:r>
        <w:t xml:space="preserve">14.0.10.2 Auditoria 19380, Constatação Nº 659505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Falta de concurso público de provas ou de provas de títulos para os profissionais de saúde do Centro de Especialidades Odontológicas - CEO, UBS Frei Dionísio Guerra Centro e do Hospital das Clínicas do Município de Tuntum, bem como desatualização do Cadastro Nacional de Estabelecimentos de Saúde - CNES das unidades, quanto aos profissionais.</w:t>
      </w:r>
    </w:p>
    <w:p>
      <w:pPr>
        <w:pStyle w:val="937"/>
      </w:pPr>
      <w:r>
        <w:rPr>
          <w:b/>
          <w:bCs/>
        </w:rPr>
        <w:t xml:space="preserve">Recomendação</w:t>
      </w:r>
      <w:r>
        <w:t xml:space="preserve">: 1-Cumprir com o inciso III, do Art. 369, da Portaria de Consolidação GM/MS nº 01, de 28/09/2017,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2-Viabilizar a investidura de profissionais em cargo ou emprego público, mediante aprovação em concurso público de provas ou de provas e títulos, conforme estatuído no inciso II, do art. 37 da Constituição Federal, de 05/10/1988.</w:t>
      </w:r>
    </w:p>
    <w:p>
      <w:pPr>
        <w:pStyle w:val="937"/>
      </w:pPr>
      <w:r>
        <w:rPr>
          <w:b/>
          <w:bCs/>
        </w:rPr>
        <w:t xml:space="preserve">Etiqueta Antiga</w:t>
      </w:r>
      <w:r>
        <w:t xml:space="preserve">: Gestão de pessoal e capacitação</w:t>
      </w:r>
    </w:p>
    <w:bookmarkEnd w:id="499"/>
    <w:bookmarkStart w:id="500" w:name="auditoria-19594-constatação-nº-673928-1"/>
    <w:p>
      <w:pPr>
        <w:pStyle w:val="907"/>
      </w:pPr>
      <w:r>
        <w:t xml:space="preserve">14.0.10.3 Auditoria 19594, Constatação Nº 673928 (#1)</w:t>
      </w:r>
    </w:p>
    <w:p>
      <w:pPr>
        <w:pStyle w:val="937"/>
      </w:pPr>
      <w:r>
        <w:rPr>
          <w:b/>
          <w:bCs/>
        </w:rPr>
        <w:t xml:space="preserve">Grupo</w:t>
      </w:r>
      <w:r>
        <w:t xml:space="preserve">: Atenção Básica</w:t>
      </w:r>
    </w:p>
    <w:p>
      <w:pPr>
        <w:pStyle w:val="937"/>
      </w:pPr>
      <w:r>
        <w:rPr>
          <w:b/>
          <w:bCs/>
        </w:rPr>
        <w:t xml:space="preserve">Subgrupo</w:t>
      </w:r>
      <w:r>
        <w:t xml:space="preserve">: ESF - PACS/PSF</w:t>
      </w:r>
    </w:p>
    <w:p>
      <w:pPr>
        <w:pStyle w:val="937"/>
      </w:pPr>
      <w:r>
        <w:rPr>
          <w:b/>
          <w:bCs/>
        </w:rPr>
        <w:t xml:space="preserve">Item</w:t>
      </w:r>
      <w:r>
        <w:t xml:space="preserve">: Composição Equipes</w:t>
      </w:r>
    </w:p>
    <w:p>
      <w:pPr>
        <w:pStyle w:val="937"/>
      </w:pPr>
      <w:r>
        <w:rPr>
          <w:b/>
          <w:bCs/>
        </w:rPr>
        <w:t xml:space="preserve">Constatação</w:t>
      </w:r>
      <w:r>
        <w:t xml:space="preserve">: As equipes de Saúde da Família (eSF) existentes no território não atenderam ao critério da composição mínima, no exercício de 2022.</w:t>
      </w:r>
    </w:p>
    <w:p>
      <w:pPr>
        <w:pStyle w:val="937"/>
      </w:pPr>
      <w:r>
        <w:rPr>
          <w:b/>
          <w:bCs/>
        </w:rPr>
        <w:t xml:space="preserve">Recomendação</w:t>
      </w:r>
      <w:r>
        <w:t xml:space="preserve">: 1. Efetuar a composição das equipes de saúde da família com, no mínimo, médico, preferencialmente da especialidade medicina de família e comunidade, enfermeiro, preferencialmente especialista em saúde da família, auxiliar e/ou técnico de enfermagem e agente comunitário de saúde (ACS), conforme preconizado no item 3.4 do Anexo I do Anexo XXII da Portaria de Consolidação GM/MS nº 2, de 28/9/2017.</w:t>
      </w:r>
    </w:p>
    <w:p>
      <w:pPr>
        <w:pStyle w:val="937"/>
      </w:pPr>
      <w:r>
        <w:rPr>
          <w:b/>
          <w:bCs/>
        </w:rPr>
        <w:t xml:space="preserve">Etiqueta Antiga</w:t>
      </w:r>
      <w:r>
        <w:t xml:space="preserve">: Gestão de pessoal e capacitação</w:t>
      </w:r>
    </w:p>
    <w:bookmarkEnd w:id="500"/>
    <w:bookmarkStart w:id="501" w:name="auditoria-19595-constatação-nº-674275-1"/>
    <w:p>
      <w:pPr>
        <w:pStyle w:val="907"/>
      </w:pPr>
      <w:r>
        <w:t xml:space="preserve">14.0.10.4 Auditoria 19595, Constatação Nº 674275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1 - Proporção de gestantes com pelo menos 6 (seis) consultas pré-natal realizadas, sendo a primeira até a 12ª semana de gestação, no exercício de 2022.</w:t>
      </w:r>
    </w:p>
    <w:p>
      <w:pPr>
        <w:pStyle w:val="937"/>
      </w:pPr>
      <w:r>
        <w:rPr>
          <w:b/>
          <w:bCs/>
        </w:rPr>
        <w:t xml:space="preserve">Recomendação</w:t>
      </w:r>
      <w:r>
        <w:t xml:space="preserve">: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937"/>
      </w:pPr>
      <w:r>
        <w:rPr>
          <w:b/>
          <w:bCs/>
        </w:rPr>
        <w:t xml:space="preserve">Etiqueta Antiga</w:t>
      </w:r>
      <w:r>
        <w:t xml:space="preserve">: Gestão de pessoal e capacitação</w:t>
      </w:r>
    </w:p>
    <w:bookmarkEnd w:id="501"/>
    <w:bookmarkStart w:id="502" w:name="auditoria-19598-constatação-nº-676925-1"/>
    <w:p>
      <w:pPr>
        <w:pStyle w:val="907"/>
      </w:pPr>
      <w:r>
        <w:t xml:space="preserve">14.0.10.5 Auditoria 19598, Constatação Nº 676925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Recursos humanos</w:t>
      </w:r>
    </w:p>
    <w:p>
      <w:pPr>
        <w:pStyle w:val="937"/>
      </w:pPr>
      <w:r>
        <w:rPr>
          <w:b/>
          <w:bCs/>
        </w:rPr>
        <w:t xml:space="preserve">Constatação</w:t>
      </w:r>
      <w:r>
        <w:t xml:space="preserve">: A Central Estadual de Regulação das Urgências - SAMU 192 desenvolveu parcialmente atividades de capacitação para os profissionais reguladores.</w:t>
      </w:r>
    </w:p>
    <w:p>
      <w:pPr>
        <w:pStyle w:val="937"/>
      </w:pPr>
      <w:r>
        <w:rPr>
          <w:b/>
          <w:bCs/>
        </w:rPr>
        <w:t xml:space="preserve">Recomendação</w:t>
      </w:r>
      <w:r>
        <w:t xml:space="preserve">: Estabelecer e implantar plano de educação permanente na Central Estadual de Regulação das Urgências.</w:t>
      </w:r>
    </w:p>
    <w:p>
      <w:pPr>
        <w:pStyle w:val="937"/>
      </w:pPr>
      <w:r>
        <w:rPr>
          <w:b/>
          <w:bCs/>
        </w:rPr>
        <w:t xml:space="preserve">Etiqueta Antiga</w:t>
      </w:r>
      <w:r>
        <w:t xml:space="preserve">: Gestão de pessoal e capacitação</w:t>
      </w:r>
    </w:p>
    <w:bookmarkEnd w:id="502"/>
    <w:bookmarkStart w:id="503" w:name="auditoria-19610-constatação-nº-674175-2"/>
    <w:p>
      <w:pPr>
        <w:pStyle w:val="907"/>
      </w:pPr>
      <w:r>
        <w:t xml:space="preserve">14.0.10.6 Auditoria 19610, Constatação Nº 674175 (#2)</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Irregularidade na contratação de funcionário como Ouvidor pela convenente.</w:t>
      </w:r>
    </w:p>
    <w:p>
      <w:pPr>
        <w:pStyle w:val="937"/>
      </w:pPr>
      <w:r>
        <w:rPr>
          <w:b/>
          <w:bCs/>
        </w:rPr>
        <w:t xml:space="preserve">Recomendação</w:t>
      </w:r>
      <w:r>
        <w:t xml:space="preserve">: Capacitar as áreas competentes para a análise dos custos do plano de trabalho conferindo-lhes competência para identificar despesas sem relação com o objeto do convênio.</w:t>
      </w:r>
    </w:p>
    <w:p>
      <w:pPr>
        <w:pStyle w:val="937"/>
      </w:pPr>
      <w:r>
        <w:rPr>
          <w:b/>
          <w:bCs/>
        </w:rPr>
        <w:t xml:space="preserve">Etiqueta Antiga</w:t>
      </w:r>
      <w:r>
        <w:t xml:space="preserve">: Gestão de pessoal e capacitação</w:t>
      </w:r>
    </w:p>
    <w:bookmarkEnd w:id="503"/>
    <w:bookmarkStart w:id="504" w:name="auditoria-19617-constatação-nº-675241-1"/>
    <w:p>
      <w:pPr>
        <w:pStyle w:val="907"/>
      </w:pPr>
      <w:r>
        <w:t xml:space="preserve">14.0.10.7 Auditoria 19617, Constatação Nº 675241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Ausência de critérios para as contratações dos profissionais do Apoio à Gestão Administrativa do Convênio nº 878448/2018 (DSEI Rio Tapajós).</w:t>
      </w:r>
    </w:p>
    <w:p>
      <w:pPr>
        <w:pStyle w:val="937"/>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na Lei 13.874 de 2019, que altera o art. 74 do Decreto-Lei 5.452, de 1º de maio de 1943 (CLT), e no § 2º, art. 63, da 4.320/64, que dispõe que a liquidação da despesa por fornecimentos feitos ou serviços prestados terá por base a prestação efetiva do serviço.</w:t>
      </w:r>
    </w:p>
    <w:p>
      <w:pPr>
        <w:pStyle w:val="937"/>
      </w:pPr>
      <w:r>
        <w:rPr>
          <w:b/>
          <w:bCs/>
        </w:rPr>
        <w:t xml:space="preserve">Etiqueta Antiga</w:t>
      </w:r>
      <w:r>
        <w:t xml:space="preserve">: Gestão de contratos</w:t>
      </w:r>
    </w:p>
    <w:bookmarkEnd w:id="504"/>
    <w:bookmarkStart w:id="505" w:name="auditoria-19627-constatação-nº-685053-1"/>
    <w:p>
      <w:pPr>
        <w:pStyle w:val="907"/>
      </w:pPr>
      <w:r>
        <w:t xml:space="preserve">14.0.10.8 Auditoria 19627, Constatação Nº 685053 (#1)</w:t>
      </w:r>
    </w:p>
    <w:p>
      <w:pPr>
        <w:pStyle w:val="937"/>
      </w:pPr>
      <w:r>
        <w:rPr>
          <w:b/>
          <w:bCs/>
        </w:rPr>
        <w:t xml:space="preserve">Grupo</w:t>
      </w:r>
      <w:r>
        <w:t xml:space="preserve">: Atenção Básica</w:t>
      </w:r>
    </w:p>
    <w:p>
      <w:pPr>
        <w:pStyle w:val="937"/>
      </w:pPr>
      <w:r>
        <w:rPr>
          <w:b/>
          <w:bCs/>
        </w:rPr>
        <w:t xml:space="preserve">Subgrupo</w:t>
      </w:r>
      <w:r>
        <w:t xml:space="preserve">: Processo de Trabalho</w:t>
      </w:r>
    </w:p>
    <w:p>
      <w:pPr>
        <w:pStyle w:val="937"/>
      </w:pPr>
      <w:r>
        <w:rPr>
          <w:b/>
          <w:bCs/>
        </w:rPr>
        <w:t xml:space="preserve">Item</w:t>
      </w:r>
      <w:r>
        <w:t xml:space="preserve">: Monitoramento/Acompanhamento/Avaliação</w:t>
      </w:r>
    </w:p>
    <w:p>
      <w:pPr>
        <w:pStyle w:val="937"/>
      </w:pPr>
      <w:r>
        <w:rPr>
          <w:b/>
          <w:bCs/>
        </w:rPr>
        <w:t xml:space="preserve">Constatação</w:t>
      </w:r>
      <w:r>
        <w:t xml:space="preserve">: Não houve controle efetivo da frequência de profissionais no Dsei Litoral Sul durante o exercício de 2022.</w:t>
      </w:r>
    </w:p>
    <w:p>
      <w:pPr>
        <w:pStyle w:val="937"/>
      </w:pPr>
      <w:r>
        <w:rPr>
          <w:b/>
          <w:bCs/>
        </w:rPr>
        <w:t xml:space="preserve">Recomendação</w:t>
      </w:r>
      <w:r>
        <w:t xml:space="preserve">: Realizar o controle efetivo da jornada de trabalho de servidores e prestadores de serviços, de forma a registrar adequadamente as entradas e saídas, horários de almoço, férias, licenças e demais afastamentos, conforme o disposto no art. 74 e respectivos incisos da Lei nº 13.874/2019;</w:t>
      </w:r>
    </w:p>
    <w:p>
      <w:pPr>
        <w:pStyle w:val="937"/>
      </w:pPr>
      <w:r>
        <w:rPr>
          <w:b/>
          <w:bCs/>
        </w:rPr>
        <w:t xml:space="preserve">Etiqueta Antiga</w:t>
      </w:r>
      <w:r>
        <w:t xml:space="preserve">: Gestão de pessoal e capacitação</w:t>
      </w:r>
    </w:p>
    <w:bookmarkEnd w:id="505"/>
    <w:bookmarkStart w:id="506" w:name="auditoria-19655-constatação-nº-684688-1"/>
    <w:p>
      <w:pPr>
        <w:pStyle w:val="907"/>
      </w:pPr>
      <w:r>
        <w:t xml:space="preserve">14.0.10.9 Auditoria 19655, Constatação Nº 684688 (#1)</w:t>
      </w:r>
    </w:p>
    <w:p>
      <w:pPr>
        <w:pStyle w:val="937"/>
      </w:pPr>
      <w:r>
        <w:rPr>
          <w:b/>
          <w:bCs/>
        </w:rPr>
        <w:t xml:space="preserve">Grupo</w:t>
      </w:r>
      <w:r>
        <w:t xml:space="preserve">: Atenção Básica</w:t>
      </w:r>
    </w:p>
    <w:p>
      <w:pPr>
        <w:pStyle w:val="937"/>
      </w:pPr>
      <w:r>
        <w:rPr>
          <w:b/>
          <w:bCs/>
        </w:rPr>
        <w:t xml:space="preserve">Subgrupo</w:t>
      </w:r>
      <w:r>
        <w:t xml:space="preserve">: ESF - PACS/PSF</w:t>
      </w:r>
    </w:p>
    <w:p>
      <w:pPr>
        <w:pStyle w:val="937"/>
      </w:pPr>
      <w:r>
        <w:rPr>
          <w:b/>
          <w:bCs/>
        </w:rPr>
        <w:t xml:space="preserve">Item</w:t>
      </w:r>
      <w:r>
        <w:t xml:space="preserve">: Carga Horária</w:t>
      </w:r>
    </w:p>
    <w:p>
      <w:pPr>
        <w:pStyle w:val="937"/>
      </w:pPr>
      <w:r>
        <w:rPr>
          <w:b/>
          <w:bCs/>
        </w:rPr>
        <w:t xml:space="preserve">Constatação</w:t>
      </w:r>
      <w:r>
        <w:t xml:space="preserve">: A equipe de Saúde da Família - eSF não atende ao critério da composição mínima no que se refere a carga horária.</w:t>
      </w:r>
    </w:p>
    <w:p>
      <w:pPr>
        <w:pStyle w:val="937"/>
      </w:pPr>
      <w:r>
        <w:rPr>
          <w:b/>
          <w:bCs/>
        </w:rPr>
        <w:t xml:space="preserve">Recomendação</w:t>
      </w:r>
      <w:r>
        <w:t xml:space="preserve">: Estabelecer ações para o cumprimento de carga horária de 40 horas semanais por profissional da eSF conforme estabelcido no item 1, do item 3.4, do item 3 - Infraestrutura, Ambiência e funcionamento da Atenção, Anexo 1 do Anexo XXII da portaria de consolidação nº 2 de 28/09/2017.</w:t>
      </w:r>
    </w:p>
    <w:p>
      <w:pPr>
        <w:pStyle w:val="937"/>
      </w:pPr>
      <w:r>
        <w:rPr>
          <w:b/>
          <w:bCs/>
        </w:rPr>
        <w:t xml:space="preserve">Etiqueta Antiga</w:t>
      </w:r>
      <w:r>
        <w:t xml:space="preserve">: Gestão de pessoal e capacitação</w:t>
      </w:r>
    </w:p>
    <w:bookmarkEnd w:id="506"/>
    <w:bookmarkStart w:id="507" w:name="auditoria-19746-constatação-nº-692977-1"/>
    <w:p>
      <w:pPr>
        <w:pStyle w:val="907"/>
      </w:pPr>
      <w:r>
        <w:t xml:space="preserve">14.0.10.10 Auditoria 19746, Constatação Nº 692977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Recursos Humanos/Capacitação</w:t>
      </w:r>
    </w:p>
    <w:p>
      <w:pPr>
        <w:pStyle w:val="937"/>
      </w:pPr>
      <w:r>
        <w:rPr>
          <w:b/>
          <w:bCs/>
        </w:rPr>
        <w:t xml:space="preserve">Constatação</w:t>
      </w:r>
      <w:r>
        <w:t xml:space="preserve">: A CMRF não estabelece programas de treinamento regulares, especialmente para procedimentos, equipamentos e tecnologias relacionadas a Cadeia de Frio.</w:t>
      </w:r>
    </w:p>
    <w:p>
      <w:pPr>
        <w:pStyle w:val="937"/>
      </w:pPr>
      <w:r>
        <w:rPr>
          <w:b/>
          <w:bCs/>
        </w:rPr>
        <w:t xml:space="preserve">Recomendação</w:t>
      </w:r>
      <w:r>
        <w:t xml:space="preserve">: Elaborar e implementar um plano de capacitação contínua para todos os profissionais da CMRF, focado em procedimentos, equipamentos e tecnologias da Cadeia de Frio; Garantir o registro formal de todos os treinamentos realizados, com lista de participantes, carga horária e conteúdo ministrado; Certificar-se de que os treinamentos incluam temas específicos da Rede de Frio e promovam a atualização constante dos profissionais envolvidos; conforme exigido pelos art. 32 e art. 33, da seção V, capítulo II, da RDC n.º 63/2011.</w:t>
      </w:r>
    </w:p>
    <w:p>
      <w:pPr>
        <w:pStyle w:val="937"/>
      </w:pPr>
      <w:r>
        <w:rPr>
          <w:b/>
          <w:bCs/>
        </w:rPr>
        <w:t xml:space="preserve">Etiqueta Antiga</w:t>
      </w:r>
      <w:r>
        <w:t xml:space="preserve">: Gestão de pessoal e capacitação</w:t>
      </w:r>
    </w:p>
    <w:bookmarkEnd w:id="507"/>
    <w:bookmarkStart w:id="508" w:name="auditoria-19751-constatação-nº-691317-1"/>
    <w:p>
      <w:pPr>
        <w:pStyle w:val="907"/>
      </w:pPr>
      <w:r>
        <w:t xml:space="preserve">14.0.10.11 Auditoria 19751, Constatação Nº 691317 (#1)</w:t>
      </w:r>
    </w:p>
    <w:p>
      <w:pPr>
        <w:pStyle w:val="937"/>
      </w:pPr>
      <w:r>
        <w:rPr>
          <w:b/>
          <w:bCs/>
        </w:rPr>
        <w:t xml:space="preserve">Grupo</w:t>
      </w:r>
      <w:r>
        <w:t xml:space="preserve">: Controles Internos</w:t>
      </w:r>
    </w:p>
    <w:p>
      <w:pPr>
        <w:pStyle w:val="937"/>
      </w:pPr>
      <w:r>
        <w:rPr>
          <w:b/>
          <w:bCs/>
        </w:rPr>
        <w:t xml:space="preserve">Subgrupo</w:t>
      </w:r>
      <w:r>
        <w:t xml:space="preserve">: Estrutura</w:t>
      </w:r>
    </w:p>
    <w:p>
      <w:pPr>
        <w:pStyle w:val="937"/>
      </w:pPr>
      <w:r>
        <w:rPr>
          <w:b/>
          <w:bCs/>
        </w:rPr>
        <w:t xml:space="preserve">Item</w:t>
      </w:r>
      <w:r>
        <w:t xml:space="preserve">: Recursos Humanos/ Capacitação</w:t>
      </w:r>
    </w:p>
    <w:p>
      <w:pPr>
        <w:pStyle w:val="937"/>
      </w:pPr>
      <w:r>
        <w:rPr>
          <w:b/>
          <w:bCs/>
        </w:rPr>
        <w:t xml:space="preserve">Constatação</w:t>
      </w:r>
      <w:r>
        <w:t xml:space="preserve">: A Gerência de Imunização de Parnaíba não possui um programa de treinamento estruturado e regular.</w:t>
      </w:r>
    </w:p>
    <w:p>
      <w:pPr>
        <w:pStyle w:val="937"/>
      </w:pPr>
      <w:r>
        <w:rPr>
          <w:b/>
          <w:bCs/>
        </w:rPr>
        <w:t xml:space="preserve">Recomendação</w:t>
      </w:r>
      <w:r>
        <w:t xml:space="preserve">: a) Elaborar e implementar um plano anual de capacitação, bem como o relatório de execução do referido plano. O plano deve abranger todos os procedimentos da Rede de Frio, incluindo as Boas Práticas de Armazenamento, Distribuição e Transporte, conforme estipulado no Subitem 7.4, Item 7, páginas 78/79, do Manual de Rede Frio do PNI de 2017. b) Garantir que todos os treinamentos sejam devidamente documentados. Isso inclui o registro de data, carga horária, conteúdo ministrado, nome e formação dos instrutores, e a lista de participantes. Esses registros devem ser mantidos em arquivos organizados e acessíveis para futuras auditorias e verificações, conforme determina o parágrafo único do Art. 32 da Seção V, Capítulo II, da Resolução RDC n.º 63, de 25/11/2011. A implementação dessas recomendações é crucial para garantir a eficácia e a qualidade dos serviços prestados pela Rede de Frio no município de Parnaíba.</w:t>
      </w:r>
    </w:p>
    <w:p>
      <w:pPr>
        <w:pStyle w:val="937"/>
      </w:pPr>
      <w:r>
        <w:rPr>
          <w:b/>
          <w:bCs/>
        </w:rPr>
        <w:t xml:space="preserve">Etiqueta Antiga</w:t>
      </w:r>
      <w:r>
        <w:t xml:space="preserve">: Gestão de pessoal e capacitação</w:t>
      </w:r>
    </w:p>
    <w:bookmarkEnd w:id="508"/>
    <w:bookmarkStart w:id="509" w:name="auditoria-19752-constatação-nº-693844-1"/>
    <w:p>
      <w:pPr>
        <w:pStyle w:val="907"/>
      </w:pPr>
      <w:r>
        <w:t xml:space="preserve">14.0.10.12 Auditoria 19752, Constatação Nº 693844 (#1)</w:t>
      </w:r>
    </w:p>
    <w:p>
      <w:pPr>
        <w:pStyle w:val="937"/>
      </w:pPr>
      <w:r>
        <w:rPr>
          <w:b/>
          <w:bCs/>
        </w:rPr>
        <w:t xml:space="preserve">Grupo</w:t>
      </w:r>
      <w:r>
        <w:t xml:space="preserve">: Programas Estratégicos</w:t>
      </w:r>
    </w:p>
    <w:p>
      <w:pPr>
        <w:pStyle w:val="937"/>
      </w:pPr>
      <w:r>
        <w:rPr>
          <w:b/>
          <w:bCs/>
        </w:rPr>
        <w:t xml:space="preserve">Subgrupo</w:t>
      </w:r>
      <w:r>
        <w:t xml:space="preserve">: Estrutura</w:t>
      </w:r>
    </w:p>
    <w:p>
      <w:pPr>
        <w:pStyle w:val="937"/>
      </w:pPr>
      <w:r>
        <w:rPr>
          <w:b/>
          <w:bCs/>
        </w:rPr>
        <w:t xml:space="preserve">Item</w:t>
      </w:r>
      <w:r>
        <w:t xml:space="preserve">: Recursos Humanos</w:t>
      </w:r>
    </w:p>
    <w:p>
      <w:pPr>
        <w:pStyle w:val="937"/>
      </w:pPr>
      <w:r>
        <w:rPr>
          <w:b/>
          <w:bCs/>
        </w:rPr>
        <w:t xml:space="preserve">Constatação</w:t>
      </w:r>
      <w:r>
        <w:t xml:space="preserve">: A Central Municipal de Rede de Frio de Valparaiso não estabelece programas de treinamento regulares para toda a equipe sobre procedimentos, equipamentos e tecnologias relacionadas à Cadeia de Frio.</w:t>
      </w:r>
    </w:p>
    <w:p>
      <w:pPr>
        <w:pStyle w:val="937"/>
      </w:pPr>
      <w:r>
        <w:rPr>
          <w:b/>
          <w:bCs/>
        </w:rPr>
        <w:t xml:space="preserve">Recomendação</w:t>
      </w:r>
      <w:r>
        <w:t xml:space="preserve">: Realizar capacitações regulares para toda a equipe da CMRF, conforme estipulado no Art. 32 e seu parágrafo único e Art. 33 da RDC ANVISA nº 63, de 25/11/2011, que todos os profissionais envolvidos nas atividades do serviço de saúde sejam capacitados de forma permanente.</w:t>
      </w:r>
    </w:p>
    <w:p>
      <w:pPr>
        <w:pStyle w:val="937"/>
      </w:pPr>
      <w:r>
        <w:rPr>
          <w:b/>
          <w:bCs/>
        </w:rPr>
        <w:t xml:space="preserve">Etiqueta Antiga</w:t>
      </w:r>
      <w:r>
        <w:t xml:space="preserve">: Gestão de pessoal e capacitação</w:t>
      </w:r>
    </w:p>
    <w:bookmarkEnd w:id="509"/>
    <w:bookmarkEnd w:id="510"/>
    <w:bookmarkStart w:id="560" w:name="gestão-de-operações"/>
    <w:p>
      <w:pPr>
        <w:pStyle w:val="906"/>
      </w:pPr>
      <w:r>
        <w:t xml:space="preserve">14.0.11 Gestão de operações</w:t>
      </w:r>
    </w:p>
    <w:bookmarkStart w:id="511" w:name="auditoria-19304-constatação-nº-655317-1"/>
    <w:p>
      <w:pPr>
        <w:pStyle w:val="907"/>
      </w:pPr>
      <w:r>
        <w:t xml:space="preserve">14.0.11.1 Auditoria 19304, Constatação Nº 655317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Ausência de exames comprobatórios de imagenologia do pré-operatório.</w:t>
      </w:r>
    </w:p>
    <w:p>
      <w:pPr>
        <w:pStyle w:val="937"/>
      </w:pPr>
      <w:r>
        <w:rPr>
          <w:b/>
          <w:bCs/>
        </w:rPr>
        <w:t xml:space="preserve">Recomendação</w:t>
      </w:r>
      <w:r>
        <w:t xml:space="preserve">: Cumprir o determinado no Item 23.1 do Manual Técnico Operacional do Sistema de Informação Hospitalar (versões 2017), aprovado pela Portaria MS/GM nº 396/2000, no qual dispõe que em caso de implantes de produtos radiopacos, é importante o controle radiológico pré e pós-operatório, com a identificação do paciente.</w:t>
      </w:r>
    </w:p>
    <w:p>
      <w:pPr>
        <w:pStyle w:val="937"/>
      </w:pPr>
      <w:r>
        <w:rPr>
          <w:b/>
          <w:bCs/>
        </w:rPr>
        <w:t xml:space="preserve">Etiqueta Antiga</w:t>
      </w:r>
      <w:r>
        <w:t xml:space="preserve">: Gestão de operações</w:t>
      </w:r>
    </w:p>
    <w:bookmarkEnd w:id="511"/>
    <w:bookmarkStart w:id="512" w:name="auditoria-19380-constatação-nº-659513-1"/>
    <w:p>
      <w:pPr>
        <w:pStyle w:val="907"/>
      </w:pPr>
      <w:r>
        <w:t xml:space="preserve">14.0.11.2 Auditoria 19380, Constatação Nº 659513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Não existem processos administrativos formalizados pela Secretaria Municipal de Saúde de Tuntum para concessão de Tratamento Fora de Domicílio (TFD), dos procedimentos informados no Sistema de Informações Ambulatoriais no exercício de 2021.</w:t>
      </w:r>
    </w:p>
    <w:p>
      <w:pPr>
        <w:pStyle w:val="937"/>
      </w:pPr>
      <w:r>
        <w:rPr>
          <w:b/>
          <w:bCs/>
        </w:rPr>
        <w:t xml:space="preserve">Recomendação</w:t>
      </w:r>
      <w:r>
        <w:t xml:space="preserve">: 1 - Organizar o controle e a avaliação do Tratamento Fora do Domicílio - TFD, de modo a manter disponível a documentação comprobatória das despesas, de acordo com o manual estadual de TFD, em conformidade com o Art. 146 da Portaria de Consolidação nº 1, de 22 de fevereiro de 2022; 2 - Manter o controle e avaliação da produção das unidades integrantes do Sistema de Saúde do Município, de acordo com o Inciso X, Art. 3º, SEÇÃO III - DAS ATRIBUIÇÕES DO SECRETÁRIO MUNICIPAL DE SAÚDE, da Lei nº 775, de 20 de maio de 2011, que instituiu o Fundo Municipal de Saúde.</w:t>
      </w:r>
    </w:p>
    <w:p>
      <w:pPr>
        <w:pStyle w:val="937"/>
      </w:pPr>
      <w:r>
        <w:rPr>
          <w:b/>
          <w:bCs/>
        </w:rPr>
        <w:t xml:space="preserve">Etiqueta Antiga</w:t>
      </w:r>
      <w:r>
        <w:t xml:space="preserve">: Gestão de operações</w:t>
      </w:r>
    </w:p>
    <w:bookmarkEnd w:id="512"/>
    <w:bookmarkStart w:id="513" w:name="auditoria-19385-constatação-nº-664268-1"/>
    <w:p>
      <w:pPr>
        <w:pStyle w:val="907"/>
      </w:pPr>
      <w:r>
        <w:t xml:space="preserve">14.0.11.3 Auditoria 19385, Constatação Nº 664268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Emissão indevida de mais de uma AIH para o mesmo paciente.</w:t>
      </w:r>
    </w:p>
    <w:p>
      <w:pPr>
        <w:pStyle w:val="937"/>
      </w:pPr>
      <w:r>
        <w:rPr>
          <w:b/>
          <w:bCs/>
        </w:rPr>
        <w:t xml:space="preserve">Recomendação</w:t>
      </w:r>
      <w:r>
        <w:t xml:space="preserve">: Cumprir o que determina os Sub-itens 5.10; 5.11 e 63.8 do Manual Técnico Operacional do Sistema de Informação Hospitalar do SUS versão 01/2012 e Portaria SAS/MS nº 304 de 10 agosto de 2001.</w:t>
      </w:r>
    </w:p>
    <w:p>
      <w:pPr>
        <w:pStyle w:val="937"/>
      </w:pPr>
      <w:r>
        <w:rPr>
          <w:b/>
          <w:bCs/>
        </w:rPr>
        <w:t xml:space="preserve">Etiqueta Antiga</w:t>
      </w:r>
      <w:r>
        <w:t xml:space="preserve">: Gestão de operações</w:t>
      </w:r>
    </w:p>
    <w:bookmarkEnd w:id="513"/>
    <w:bookmarkStart w:id="514" w:name="auditoria-19388-constatação-nº-662592-1"/>
    <w:p>
      <w:pPr>
        <w:pStyle w:val="907"/>
      </w:pPr>
      <w:r>
        <w:t xml:space="preserve">14.0.11.4 Auditoria 19388, Constatação Nº 662592 (#1)</w:t>
      </w:r>
    </w:p>
    <w:p>
      <w:pPr>
        <w:pStyle w:val="937"/>
      </w:pPr>
      <w:r>
        <w:rPr>
          <w:b/>
          <w:bCs/>
        </w:rPr>
        <w:t xml:space="preserve">Grupo</w:t>
      </w:r>
      <w:r>
        <w:t xml:space="preserve">: Regulação</w:t>
      </w:r>
    </w:p>
    <w:p>
      <w:pPr>
        <w:pStyle w:val="937"/>
      </w:pPr>
      <w:r>
        <w:rPr>
          <w:b/>
          <w:bCs/>
        </w:rPr>
        <w:t xml:space="preserve">Subgrupo</w:t>
      </w:r>
      <w:r>
        <w:t xml:space="preserve">: Controle e Avaliação</w:t>
      </w:r>
    </w:p>
    <w:p>
      <w:pPr>
        <w:pStyle w:val="937"/>
      </w:pPr>
      <w:r>
        <w:rPr>
          <w:b/>
          <w:bCs/>
        </w:rPr>
        <w:t xml:space="preserve">Item</w:t>
      </w:r>
      <w:r>
        <w:t xml:space="preserve">: Alimentação de Sistemas Informatizados</w:t>
      </w:r>
    </w:p>
    <w:p>
      <w:pPr>
        <w:pStyle w:val="937"/>
      </w:pPr>
      <w:r>
        <w:rPr>
          <w:b/>
          <w:bCs/>
        </w:rPr>
        <w:t xml:space="preserve">Constatação</w:t>
      </w:r>
      <w:r>
        <w:t xml:space="preserve">: Falta de acompanhamento, controle e análise das produções ambulatoriais e hospitalares informadas nos Sistemas de Informação Ambulatorial e Hospitalar - SIA/SIH/SUS, pelo setor que funciona como Controle, Avaliação e Monitoramento e pela gestão municipal de saúde no município de Barra do Corda.</w:t>
      </w:r>
    </w:p>
    <w:p>
      <w:pPr>
        <w:pStyle w:val="937"/>
      </w:pPr>
      <w:r>
        <w:rPr>
          <w:b/>
          <w:bCs/>
        </w:rPr>
        <w:t xml:space="preserve">Recomendação</w:t>
      </w:r>
      <w:r>
        <w:t xml:space="preserve">: Cumprir com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os incisos I e II, do Art. 295, da Seção II da Portaria de Consolidação GM/MS nº 01, de 28/09/2017, que define a sistemática de alimentação dos Bancos de Dados Nacionais dos Sistemas de Informação em Saúde SIA, SIH e SCNES.</w:t>
      </w:r>
    </w:p>
    <w:p>
      <w:pPr>
        <w:pStyle w:val="937"/>
      </w:pPr>
      <w:r>
        <w:rPr>
          <w:b/>
          <w:bCs/>
        </w:rPr>
        <w:t xml:space="preserve">Etiqueta Antiga</w:t>
      </w:r>
      <w:r>
        <w:t xml:space="preserve">: Gestão de operações</w:t>
      </w:r>
    </w:p>
    <w:bookmarkEnd w:id="514"/>
    <w:bookmarkStart w:id="515" w:name="auditoria-19393-constatação-nº-662536-3"/>
    <w:p>
      <w:pPr>
        <w:pStyle w:val="907"/>
      </w:pPr>
      <w:r>
        <w:t xml:space="preserve">14.0.11.5 Auditoria 19393, Constatação Nº 662536 (#3)</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Os exames comprobatórios de imagenologia pós-operatório não foram apresentados na totalidade dos prontuários médicos analisados.</w:t>
      </w:r>
    </w:p>
    <w:p>
      <w:pPr>
        <w:pStyle w:val="937"/>
      </w:pPr>
      <w:r>
        <w:rPr>
          <w:b/>
          <w:bCs/>
        </w:rPr>
        <w:t xml:space="preserve">Recomendação</w:t>
      </w:r>
      <w:r>
        <w:t xml:space="preserve">: Cumprir com o disposto no subitem 23.1 do Manual Técnico Operacional do Sistema de Informação Hospitalar SUS (versão 2017), onde se lê</w:t>
      </w:r>
      <w:r>
        <w:t xml:space="preserve"> </w:t>
      </w:r>
      <w:r>
        <w:t xml:space="preserve">“Em caso de implantes de produtos radiopacos, é importante o controle radiológico pré e pós- operatório, com a identificação do paciente”</w:t>
      </w:r>
      <w:r>
        <w:t xml:space="preserve">; e no tópico I, do subitem 6.3 do Manual de Boas Práticas de Gestão das Órteses, Próteses e Materiais Especiais (OPME), do Ministério da Saúde, (versão 2016) aprovado pela Portaria MS/SAS nº 1.302, 01/08/2017, que estabelece</w:t>
      </w:r>
      <w:r>
        <w:t xml:space="preserve"> </w:t>
      </w:r>
      <w:r>
        <w:t xml:space="preserve">“Quando o procedimento tiver indicação de exame de imagem para controle, este deverá ser anexado ao prontuário do paciente, comprovando a efetiva utilização da OPME no ato cirúrgico”</w:t>
      </w:r>
      <w:r>
        <w:t xml:space="preserve">.</w:t>
      </w:r>
    </w:p>
    <w:p>
      <w:pPr>
        <w:pStyle w:val="937"/>
      </w:pPr>
      <w:r>
        <w:rPr>
          <w:b/>
          <w:bCs/>
        </w:rPr>
        <w:t xml:space="preserve">Etiqueta Antiga</w:t>
      </w:r>
      <w:r>
        <w:t xml:space="preserve">: Gestão de operações</w:t>
      </w:r>
    </w:p>
    <w:bookmarkEnd w:id="515"/>
    <w:bookmarkStart w:id="516" w:name="auditoria-19393-constatação-nº-662563-1"/>
    <w:p>
      <w:pPr>
        <w:pStyle w:val="907"/>
      </w:pPr>
      <w:r>
        <w:t xml:space="preserve">14.0.11.6 Auditoria 19393, Constatação Nº 662563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Houve cobrança ao SUS de Órteses, Próteses e Materiais Especiais (OPME) em quantidade superior à implantada, referente ao código 07.02.05.040-7 - Parafuso de Titânio Associável a Placa Cervical.</w:t>
      </w:r>
    </w:p>
    <w:p>
      <w:pPr>
        <w:pStyle w:val="937"/>
      </w:pPr>
      <w:r>
        <w:rPr>
          <w:b/>
          <w:bCs/>
        </w:rPr>
        <w:t xml:space="preserve">Recomendação</w:t>
      </w:r>
      <w:r>
        <w:t xml:space="preserve">: Cumprir com o disposto no subitem 23.1 do Manual Técnico Operacional do Sistema de Informação Hospitalar SUS (versão 2017), onde se lê</w:t>
      </w:r>
      <w:r>
        <w:t xml:space="preserve"> </w:t>
      </w:r>
      <w:r>
        <w:t xml:space="preserve">“Em caso de implantes de produtos radiopacos, é importante o controle radiológico pré e pós- operatório, com a identificação do paciente”</w:t>
      </w:r>
      <w:r>
        <w:t xml:space="preserve"> </w:t>
      </w:r>
      <w:r>
        <w:t xml:space="preserve">e o tópico I do subitem 6.3 do Manual de Boas Práticas de Gestão das Órteses, Próteses e Materiais Especiais (OPME), do Ministério da Saúde, (versão 2016) aprovado pela Portaria MS/SAS nº 1.302, 01/08/2017, que estabelece</w:t>
      </w:r>
      <w:r>
        <w:t xml:space="preserve"> </w:t>
      </w:r>
      <w:r>
        <w:t xml:space="preserve">“Quando o procedimento tiver indicação de exame de imagem para controle, este deverá ser anexado ao prontuário do paciente, comprovando a efetiva utilização da OPME no ato cirúrgico”</w:t>
      </w:r>
      <w:r>
        <w:t xml:space="preserve">.</w:t>
      </w:r>
    </w:p>
    <w:p>
      <w:pPr>
        <w:pStyle w:val="937"/>
      </w:pPr>
      <w:r>
        <w:rPr>
          <w:b/>
          <w:bCs/>
        </w:rPr>
        <w:t xml:space="preserve">Etiqueta Antiga</w:t>
      </w:r>
      <w:r>
        <w:t xml:space="preserve">: Gestão de operações</w:t>
      </w:r>
    </w:p>
    <w:bookmarkEnd w:id="516"/>
    <w:bookmarkStart w:id="517" w:name="auditoria-19431-constatação-nº-663754-1"/>
    <w:p>
      <w:pPr>
        <w:pStyle w:val="907"/>
      </w:pPr>
      <w:r>
        <w:t xml:space="preserve">14.0.11.7 Auditoria 19431, Constatação Nº 663754 (#1)</w:t>
      </w:r>
    </w:p>
    <w:p>
      <w:pPr>
        <w:pStyle w:val="937"/>
      </w:pPr>
      <w:r>
        <w:rPr>
          <w:b/>
          <w:bCs/>
        </w:rPr>
        <w:t xml:space="preserve">Grupo</w:t>
      </w:r>
      <w:r>
        <w:t xml:space="preserve">: Programa Farmácia Popular do Brasil</w:t>
      </w:r>
    </w:p>
    <w:p>
      <w:pPr>
        <w:pStyle w:val="937"/>
      </w:pPr>
      <w:r>
        <w:rPr>
          <w:b/>
          <w:bCs/>
        </w:rPr>
        <w:t xml:space="preserve">Subgrupo</w:t>
      </w:r>
      <w:r>
        <w:t xml:space="preserve">: Unidades Privadas-Aqui Tem Farmácia Popular</w:t>
      </w:r>
    </w:p>
    <w:p>
      <w:pPr>
        <w:pStyle w:val="937"/>
      </w:pPr>
      <w:r>
        <w:rPr>
          <w:b/>
          <w:bCs/>
        </w:rPr>
        <w:t xml:space="preserve">Item</w:t>
      </w:r>
      <w:r>
        <w:t xml:space="preserve">: Comprovação das Aquisições</w:t>
      </w:r>
    </w:p>
    <w:p>
      <w:pPr>
        <w:pStyle w:val="937"/>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p>
    <w:p>
      <w:pPr>
        <w:pStyle w:val="937"/>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“Manual de Orientações às Farmácias e Drogarias Credenciadas no Aqui Tem Farmácia Popular”</w:t>
      </w:r>
      <w:r>
        <w:t xml:space="preserve"> </w:t>
      </w:r>
      <w:r>
        <w:t xml:space="preserve">na página eletrônica do PFPB, conforme estabelece o § 2º do artigo 62 do Anexo LXXVII da Portaria de Consolidação GM/MS nº 5 de 28/09/2017.</w:t>
      </w:r>
    </w:p>
    <w:p>
      <w:pPr>
        <w:pStyle w:val="937"/>
      </w:pPr>
      <w:r>
        <w:rPr>
          <w:b/>
          <w:bCs/>
        </w:rPr>
        <w:t xml:space="preserve">Etiqueta Antiga</w:t>
      </w:r>
      <w:r>
        <w:t xml:space="preserve">: Gestão de operações</w:t>
      </w:r>
    </w:p>
    <w:bookmarkEnd w:id="517"/>
    <w:bookmarkStart w:id="518" w:name="auditoria-19469-constatação-nº-675575-1"/>
    <w:p>
      <w:pPr>
        <w:pStyle w:val="907"/>
      </w:pPr>
      <w:r>
        <w:t xml:space="preserve">14.0.11.8 Auditoria 19469, Constatação Nº 675575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Veículos</w:t>
      </w:r>
    </w:p>
    <w:p>
      <w:pPr>
        <w:pStyle w:val="937"/>
      </w:pPr>
      <w:r>
        <w:rPr>
          <w:b/>
          <w:bCs/>
        </w:rPr>
        <w:t xml:space="preserve">Constatação</w:t>
      </w:r>
      <w:r>
        <w:t xml:space="preserve">: A capacidade instalada, em termos de quantitativo de ambulâncias para cobertura populacional da área adscrita, inclusive as de difícil acesso, não atendem ao preconizado pela legislação.</w:t>
      </w:r>
    </w:p>
    <w:p>
      <w:pPr>
        <w:pStyle w:val="937"/>
      </w:pPr>
      <w:r>
        <w:rPr>
          <w:b/>
          <w:bCs/>
        </w:rPr>
        <w:t xml:space="preserve">Recomendação</w:t>
      </w:r>
      <w:r>
        <w:t xml:space="preserve">: Garantir como integrante da Rede de Urgência e Emergência a continuidade do Serviço de Atendimento Móvel de Urgência 192 e cumprir em obediência ao preconizado no § 1º Art. 57, Capítulo III, Título II, Livro II, PRC nº 3 de 28/09/17,§ 1º, o quantitativo de motocicletas a ser distribuído acompanhará o número de ambulâncias habilitadas em cada serviço, preferencialmente, à proporção de uma motocicleta para cada Unidade de Suporte Avançado (USA) e uma a cada duas Unidades de Suporte Básico (USB).</w:t>
      </w:r>
    </w:p>
    <w:p>
      <w:pPr>
        <w:pStyle w:val="937"/>
      </w:pPr>
      <w:r>
        <w:rPr>
          <w:b/>
          <w:bCs/>
        </w:rPr>
        <w:t xml:space="preserve">Etiqueta Antiga</w:t>
      </w:r>
      <w:r>
        <w:t xml:space="preserve">: Gestão de operações</w:t>
      </w:r>
    </w:p>
    <w:bookmarkEnd w:id="518"/>
    <w:bookmarkStart w:id="519" w:name="auditoria-19480-constatação-nº-672898-1"/>
    <w:p>
      <w:pPr>
        <w:pStyle w:val="907"/>
      </w:pPr>
      <w:r>
        <w:t xml:space="preserve">14.0.11.9 Auditoria 19480, Constatação Nº 672898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Protocolos e padronização operacional</w:t>
      </w:r>
    </w:p>
    <w:p>
      <w:pPr>
        <w:pStyle w:val="937"/>
      </w:pPr>
      <w:r>
        <w:rPr>
          <w:b/>
          <w:bCs/>
        </w:rPr>
        <w:t xml:space="preserve">Constatação</w:t>
      </w:r>
      <w:r>
        <w:t xml:space="preserve">: O processo decisório adotado pelo SAMU 192 de Manaus não contempla a perspectiva de resposta a catástrofes, desastres e atendimento adequado e tempestivo a múltiplas vítimas (AMV).</w:t>
      </w:r>
    </w:p>
    <w:p>
      <w:pPr>
        <w:pStyle w:val="937"/>
      </w:pPr>
      <w:r>
        <w:rPr>
          <w:b/>
          <w:bCs/>
        </w:rPr>
        <w:t xml:space="preserve">Recomendação</w:t>
      </w:r>
      <w:r>
        <w:t xml:space="preserve">: A SEMSA Manaus, deverá elaborar o Plano de Contingência de Catástrofes da cidade de Manaus, com dados atualizados e devidas formalizações, incluindo datas, assinaturas dos responsáveis tanto no Plano como nos Termos de compromisso das instituições parceiras, conforme previsto no inciso XII, do Item Atribuições da Regulação Médica das Urgências e alínea h, do item Operacionalização das Centrais SAMU - 192, Anexo 4, da Portaria de Consolidação nº 3, de 28/09/2017, que discorrem sobre a participação da Regulação Médica na formulação dos Planos de Saúde, de Atenção Integral às Urgências e de Atenção a Eventos com Múltiplas Vítimas e Desastres.</w:t>
      </w:r>
    </w:p>
    <w:p>
      <w:pPr>
        <w:pStyle w:val="937"/>
      </w:pPr>
      <w:r>
        <w:rPr>
          <w:b/>
          <w:bCs/>
        </w:rPr>
        <w:t xml:space="preserve">Etiqueta Antiga</w:t>
      </w:r>
      <w:r>
        <w:t xml:space="preserve">: Gestão de operações</w:t>
      </w:r>
    </w:p>
    <w:bookmarkEnd w:id="519"/>
    <w:bookmarkStart w:id="520" w:name="auditoria-19533-constatação-nº-674474-1"/>
    <w:p>
      <w:pPr>
        <w:pStyle w:val="907"/>
      </w:pPr>
      <w:r>
        <w:t xml:space="preserve">14.0.11.10 Auditoria 19533, Constatação Nº 674474 (#1)</w:t>
      </w:r>
    </w:p>
    <w:p>
      <w:pPr>
        <w:pStyle w:val="937"/>
      </w:pPr>
      <w:r>
        <w:rPr>
          <w:b/>
          <w:bCs/>
        </w:rPr>
        <w:t xml:space="preserve">Grupo</w:t>
      </w:r>
      <w:r>
        <w:t xml:space="preserve">: Recursos Financeiros</w:t>
      </w:r>
    </w:p>
    <w:p>
      <w:pPr>
        <w:pStyle w:val="937"/>
      </w:pPr>
      <w:r>
        <w:rPr>
          <w:b/>
          <w:bCs/>
        </w:rPr>
        <w:t xml:space="preserve">Subgrupo</w:t>
      </w:r>
      <w:r>
        <w:t xml:space="preserve">: Contrato</w:t>
      </w:r>
    </w:p>
    <w:p>
      <w:pPr>
        <w:pStyle w:val="937"/>
      </w:pPr>
      <w:r>
        <w:rPr>
          <w:b/>
          <w:bCs/>
        </w:rPr>
        <w:t xml:space="preserve">Item</w:t>
      </w:r>
      <w:r>
        <w:t xml:space="preserve">: Aquisição de Materiais e equipamentos (licitação)</w:t>
      </w:r>
    </w:p>
    <w:p>
      <w:pPr>
        <w:pStyle w:val="937"/>
      </w:pPr>
      <w:r>
        <w:rPr>
          <w:b/>
          <w:bCs/>
        </w:rPr>
        <w:t xml:space="preserve">Constatação</w:t>
      </w:r>
      <w:r>
        <w:t xml:space="preserve">: O recebimento e aceitação dos medicamentos e insumos correlatos adquiridos em decorrência do Contrato nº 53/2018 não foram realizados de acordo com a legislação.</w:t>
      </w:r>
    </w:p>
    <w:p>
      <w:pPr>
        <w:pStyle w:val="937"/>
      </w:pPr>
      <w:r>
        <w:rPr>
          <w:b/>
          <w:bCs/>
        </w:rPr>
        <w:t xml:space="preserve">Recomendação</w:t>
      </w:r>
      <w:r>
        <w:t xml:space="preserve">: Aceitar e receber medicamentos e insumos correlatos por servidor designado para este fim de acordo com o item 3.4 da Instrução Normativa da Presidência da República nº 205 de 08/04/1988 que estabelece que o material que apenas depender de conferência com os termos do pedido e do documento de entrega, será recebido e aceito pelo encarregado do almoxarifado ou por servidor designado para esse fim.</w:t>
      </w:r>
    </w:p>
    <w:p>
      <w:pPr>
        <w:pStyle w:val="937"/>
      </w:pPr>
      <w:r>
        <w:rPr>
          <w:b/>
          <w:bCs/>
        </w:rPr>
        <w:t xml:space="preserve">Etiqueta Antiga</w:t>
      </w:r>
      <w:r>
        <w:t xml:space="preserve">: Gestão de contratos</w:t>
      </w:r>
    </w:p>
    <w:bookmarkEnd w:id="520"/>
    <w:bookmarkStart w:id="521" w:name="auditoria-19538-constatação-nº-673107-1"/>
    <w:p>
      <w:pPr>
        <w:pStyle w:val="907"/>
      </w:pPr>
      <w:r>
        <w:t xml:space="preserve">14.0.11.11 Auditoria 19538, Constatação Nº 673107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Metas do Pacto AB</w:t>
      </w:r>
    </w:p>
    <w:p>
      <w:pPr>
        <w:pStyle w:val="937"/>
      </w:pPr>
      <w:r>
        <w:rPr>
          <w:b/>
          <w:bCs/>
        </w:rPr>
        <w:t xml:space="preserve">Constatação</w:t>
      </w:r>
      <w:r>
        <w:t xml:space="preserve">: O Município não adota as ações propostas no Documento Orientador, como forma de atingir a meta para o indicador 6 - Percentual de pessoas hipertensas com pressão arterial aferida em cada semestre.</w:t>
      </w:r>
    </w:p>
    <w:p>
      <w:pPr>
        <w:pStyle w:val="937"/>
      </w:pPr>
      <w:r>
        <w:rPr>
          <w:b/>
          <w:bCs/>
        </w:rPr>
        <w:t xml:space="preserve">Recomendação</w:t>
      </w:r>
      <w:r>
        <w:t xml:space="preserve">: Cumprir as estratégias/ações de saúde pública, visando a melhoria do indicador 6 do Programa Previne Brasil, propostas no Documento Orientador e no Manual Instrutivo do Previne Brasil (páginas 39 a 42)</w:t>
      </w:r>
    </w:p>
    <w:p>
      <w:pPr>
        <w:pStyle w:val="937"/>
      </w:pPr>
      <w:r>
        <w:rPr>
          <w:b/>
          <w:bCs/>
        </w:rPr>
        <w:t xml:space="preserve">Etiqueta Antiga</w:t>
      </w:r>
      <w:r>
        <w:t xml:space="preserve">: Gestão de operações</w:t>
      </w:r>
    </w:p>
    <w:bookmarkEnd w:id="521"/>
    <w:bookmarkStart w:id="522" w:name="auditoria-19538-constatação-nº-673108-1"/>
    <w:p>
      <w:pPr>
        <w:pStyle w:val="907"/>
      </w:pPr>
      <w:r>
        <w:t xml:space="preserve">14.0.11.12 Auditoria 19538, Constatação Nº 673108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Metas do Pacto AB</w:t>
      </w:r>
    </w:p>
    <w:p>
      <w:pPr>
        <w:pStyle w:val="937"/>
      </w:pPr>
      <w:r>
        <w:rPr>
          <w:b/>
          <w:bCs/>
        </w:rPr>
        <w:t xml:space="preserve">Constatação</w:t>
      </w:r>
      <w:r>
        <w:t xml:space="preserve">: O Município não adota as ações propostas no Documento Orientador, como forma de atingir a meta para o indicador 7 - Percentual de diabéticos com solicitação de hemoglobina glicada.</w:t>
      </w:r>
    </w:p>
    <w:p>
      <w:pPr>
        <w:pStyle w:val="937"/>
      </w:pPr>
      <w:r>
        <w:rPr>
          <w:b/>
          <w:bCs/>
        </w:rPr>
        <w:t xml:space="preserve">Recomendação</w:t>
      </w:r>
      <w:r>
        <w:t xml:space="preserve">: Cumprir as estratégias/ações de saúde pública, visando a melhoria do indicador 7 do Programa Previne Brasil, propostas no Documento Orientador e no Manual Instrutivo do Previne Brasil (páginas 39 a 42)</w:t>
      </w:r>
    </w:p>
    <w:p>
      <w:pPr>
        <w:pStyle w:val="937"/>
      </w:pPr>
      <w:r>
        <w:rPr>
          <w:b/>
          <w:bCs/>
        </w:rPr>
        <w:t xml:space="preserve">Etiqueta Antiga</w:t>
      </w:r>
      <w:r>
        <w:t xml:space="preserve">: Gestão de operações</w:t>
      </w:r>
    </w:p>
    <w:bookmarkEnd w:id="522"/>
    <w:bookmarkStart w:id="523" w:name="auditoria-19562-constatação-nº-672264-1"/>
    <w:p>
      <w:pPr>
        <w:pStyle w:val="907"/>
      </w:pPr>
      <w:r>
        <w:t xml:space="preserve">14.0.11.13 Auditoria 19562, Constatação Nº 672264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 Município não demonstrou adotar as ações propostas no Documento Orientador, como forma de atingir a meta para o indicador 1 - Proporção de gestantes com pelo menos 6 (seis) consultas pré-natal realizadas, sendo a primeira até a 12ª semana de gestação.</w:t>
      </w:r>
    </w:p>
    <w:p>
      <w:pPr>
        <w:pStyle w:val="937"/>
      </w:pPr>
      <w:r>
        <w:rPr>
          <w:b/>
          <w:bCs/>
        </w:rPr>
        <w:t xml:space="preserve">Recomendação</w:t>
      </w:r>
      <w:r>
        <w:t xml:space="preserve">: A gestão deve realizar o planejamento de ações estratégicas visando a melhoria do indicador 1 , conforme Documento Orientador Previne Brasil, de forma a proporcionar o acompanhamento adequado da gestante ao longo do pré-natal, com consultas em quantidade e qualidade mínimas estipuladas, sendo capaz de identificar problemas pré-existentes e aqueles desenvolvidos ao longo da gestação, propiciando diagnóstico precoce e tratamento apropriado.</w:t>
      </w:r>
    </w:p>
    <w:p>
      <w:pPr>
        <w:pStyle w:val="937"/>
      </w:pPr>
      <w:r>
        <w:rPr>
          <w:b/>
          <w:bCs/>
        </w:rPr>
        <w:t xml:space="preserve">Etiqueta Antiga</w:t>
      </w:r>
      <w:r>
        <w:t xml:space="preserve">: Gestão de operações</w:t>
      </w:r>
    </w:p>
    <w:bookmarkEnd w:id="523"/>
    <w:bookmarkStart w:id="524" w:name="auditoria-19571-constatação-nº-695434-1"/>
    <w:p>
      <w:pPr>
        <w:pStyle w:val="907"/>
      </w:pPr>
      <w:r>
        <w:t xml:space="preserve">14.0.11.14 Auditoria 19571, Constatação Nº 695434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Referência/Contra-referência</w:t>
      </w:r>
    </w:p>
    <w:p>
      <w:pPr>
        <w:pStyle w:val="937"/>
      </w:pPr>
      <w:r>
        <w:rPr>
          <w:b/>
          <w:bCs/>
        </w:rPr>
        <w:t xml:space="preserve">Constatação</w:t>
      </w:r>
      <w:r>
        <w:t xml:space="preserve">: A SES/TO não apresentou documentos que comprovem que os mecanismos de regulação dos serviços de atenção à saúde aos pacientes com Doença Renal Crônica (DRC) em Terapia Renal Substitutiva (TRS) garantem a integralidade do processo de regulação, incluindo o acesso à assistência, com referência e contrarreferência.</w:t>
      </w:r>
    </w:p>
    <w:p>
      <w:pPr>
        <w:pStyle w:val="937"/>
      </w:pPr>
      <w:r>
        <w:rPr>
          <w:b/>
          <w:bCs/>
        </w:rPr>
        <w:t xml:space="preserve">Recomendação</w:t>
      </w:r>
      <w:r>
        <w:t xml:space="preserve">: Organizar e monitorar a referência e a contrarreferência estadual por meio de regulação, com definição de critérios e fluxos dos usuários entre os pontos de atenção da rede, de acordo com as necessidades de saúde da população portadora de DRC com necessidade de Terapia Renal Substutiva, para que seja garantido o processo completo de regulação do acesso à assistência, como prevê o inciso V do Art. 8º da Portaria de Consolidação GM/MS n.º 2/2017.</w:t>
      </w:r>
    </w:p>
    <w:p>
      <w:pPr>
        <w:pStyle w:val="937"/>
      </w:pPr>
      <w:r>
        <w:rPr>
          <w:b/>
          <w:bCs/>
        </w:rPr>
        <w:t xml:space="preserve">Etiqueta Antiga</w:t>
      </w:r>
      <w:r>
        <w:t xml:space="preserve">: Gestão de operações</w:t>
      </w:r>
    </w:p>
    <w:bookmarkEnd w:id="524"/>
    <w:bookmarkStart w:id="525" w:name="auditoria-19590-constatação-nº-684582-1"/>
    <w:p>
      <w:pPr>
        <w:pStyle w:val="907"/>
      </w:pPr>
      <w:r>
        <w:t xml:space="preserve">14.0.11.15 Auditoria 19590, Constatação Nº 684582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O Sistema de Assistência Social e de Saúde (SAS) não mantém anexados aos prontuários os instrumentos previstos nas normas do SUS para o correto faturamento dos procedimentos.</w:t>
      </w:r>
    </w:p>
    <w:p>
      <w:pPr>
        <w:pStyle w:val="937"/>
      </w:pPr>
      <w:r>
        <w:rPr>
          <w:b/>
          <w:bCs/>
        </w:rPr>
        <w:t xml:space="preserve">Recomendação</w:t>
      </w:r>
      <w:r>
        <w:t xml:space="preserve">: Objetivando-se a adequação das lacunas identificadas pela equipe de auditoria, recomenda-se: -estabelecer uma rotina de assinatura dos pacientes após a submissão desses à sessão de hemodiálise; -treinar os funcionários que realizam atendimento aos pacientes com DRC sobre a imprescindibilidade das assinaturas dos pacientes após as sessões de hemodiálise para atendimento aos parâmetros legais; -registrar os atendimentos, os resultados dos exames realizados e os indicadores da efetividade dialítica nos prontuários dos pacientes, mantendo-os atualizados -garantir formulário em via única para o controle de frequência individual de tratamento dialítico e juntá-lo ao prontuário do paciente; -criar e manter arquivo físico e ou digital para a guarda adequada das fichas de controle de frequência individual de tratamento dialítico. Tais indicações encontram-se de acordo com o disposto nos arts. 422 e 424 da Portaria de consolidação SAES/MS n.° 1, de 22 de fevereiro de 2022, assim como previsto no inciso XI, art. 67, Seção III, Capítulo III, Anexo IV, da Portaria de Consolidação GM/MS n.° 3, de 28 de setembro de 2017.</w:t>
      </w:r>
    </w:p>
    <w:p>
      <w:pPr>
        <w:pStyle w:val="937"/>
      </w:pPr>
      <w:r>
        <w:rPr>
          <w:b/>
          <w:bCs/>
        </w:rPr>
        <w:t xml:space="preserve">Etiqueta Antiga</w:t>
      </w:r>
      <w:r>
        <w:t xml:space="preserve">: Gestão de operações</w:t>
      </w:r>
    </w:p>
    <w:bookmarkEnd w:id="525"/>
    <w:bookmarkStart w:id="526" w:name="auditoria-19595-constatação-nº-674281-1"/>
    <w:p>
      <w:pPr>
        <w:pStyle w:val="907"/>
      </w:pPr>
      <w:r>
        <w:t xml:space="preserve">14.0.11.16 Auditoria 19595, Constatação Nº 674281 (#1)</w:t>
      </w:r>
    </w:p>
    <w:p>
      <w:pPr>
        <w:pStyle w:val="937"/>
      </w:pPr>
      <w:r>
        <w:rPr>
          <w:b/>
          <w:bCs/>
        </w:rPr>
        <w:t xml:space="preserve">Grupo</w:t>
      </w:r>
      <w:r>
        <w:t xml:space="preserve">: Atenção Básica</w:t>
      </w:r>
    </w:p>
    <w:p>
      <w:pPr>
        <w:pStyle w:val="937"/>
      </w:pPr>
      <w:r>
        <w:rPr>
          <w:b/>
          <w:bCs/>
        </w:rPr>
        <w:t xml:space="preserve">Subgrupo</w:t>
      </w:r>
      <w:r>
        <w:t xml:space="preserve">: Resultado</w:t>
      </w:r>
    </w:p>
    <w:p>
      <w:pPr>
        <w:pStyle w:val="937"/>
      </w:pPr>
      <w:r>
        <w:rPr>
          <w:b/>
          <w:bCs/>
        </w:rPr>
        <w:t xml:space="preserve">Item</w:t>
      </w:r>
      <w:r>
        <w:t xml:space="preserve">: Indicadores AB</w:t>
      </w:r>
    </w:p>
    <w:p>
      <w:pPr>
        <w:pStyle w:val="937"/>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4 - Cobertura de exame citopatológico, no exercício de 2022.</w:t>
      </w:r>
    </w:p>
    <w:p>
      <w:pPr>
        <w:pStyle w:val="937"/>
      </w:pPr>
      <w:r>
        <w:rPr>
          <w:b/>
          <w:bCs/>
        </w:rPr>
        <w:t xml:space="preserve">Recomendação</w:t>
      </w:r>
      <w:r>
        <w:t xml:space="preserve">: 1. Promover ações para a melhoria do indicador nº 4, conforme preconiza o item 4 do</w:t>
      </w:r>
      <w:r>
        <w:t xml:space="preserve"> </w:t>
      </w:r>
      <w:r>
        <w:t xml:space="preserve">“Documento Orientador”</w:t>
      </w:r>
      <w:r>
        <w:t xml:space="preserve">, como: ter dados populacionais para mensuração da oferta necessária ao rastreamento adequado para toda a população feminina na faixa etária; ter controle individualizado dessa população, e não por quantitativo total, evitando realizar o exame sempre para as mesmas mulheres e deixando outras de fora do programa de rastreamento; ter método de controle do seguimento das mulheres com exame alterado (sistema eletrônico ou registro de papel, ambos verificados periodicamente); ofertar esse exame a todas as mulheres na idade preconizada que frequentam a unidade, independentemente do motivo. Assim como, seguir as recomendações propostas no item 5 da Nota Técnica nº 16/2022-SAPS/MS e na página 40 do Manual Instrutivo do Previne Brasil, com o objetivo de melhorar o acesso e a qualidade das ações de saúde ofertadas à população e consequentemente aumentar o valor do incentivo financeiro, do componente pagamento por desempenho, a ser transferido ao município, conforme política do Programa Previne Brasil; 2. Capacitar os profissionais de saúde que atuam na APS, destacando a importância da abordagem integral realizada pela equipe para melhorar o controle do câncer de colo de útero, e à necessidade de produzir respostas adequadas e oportunas com o objetivo de melhorar o acesso e a qualidade dos cuidados ofertados a essa população, de acordo com o item 5 da Nota Técnica nº 16/2022-SAPS/MS e com o Manual Instrutivo do Previne Brasil, página 40; 3.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937"/>
      </w:pPr>
      <w:r>
        <w:rPr>
          <w:b/>
          <w:bCs/>
        </w:rPr>
        <w:t xml:space="preserve">Etiqueta Antiga</w:t>
      </w:r>
      <w:r>
        <w:t xml:space="preserve">: Gestão de operações</w:t>
      </w:r>
    </w:p>
    <w:bookmarkEnd w:id="526"/>
    <w:bookmarkStart w:id="527" w:name="auditoria-19605-constatação-nº-681130-1"/>
    <w:p>
      <w:pPr>
        <w:pStyle w:val="907"/>
      </w:pPr>
      <w:r>
        <w:t xml:space="preserve">14.0.11.17 Auditoria 19605, Constatação Nº 681130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Normas/rotinas/protocolos/comissões internas</w:t>
      </w:r>
    </w:p>
    <w:p>
      <w:pPr>
        <w:pStyle w:val="937"/>
      </w:pPr>
      <w:r>
        <w:rPr>
          <w:b/>
          <w:bCs/>
        </w:rPr>
        <w:t xml:space="preserve">Constatação</w:t>
      </w:r>
      <w:r>
        <w:t xml:space="preserve">: A equipe de auditoria não recebeu elementos documentais do ente estadual que possam confirmar a efetiva existência de mecanismos de controle, avaliação e autorização dos procedimentos de serviços de atenção ao portador de DRC de acordo com as normas.</w:t>
      </w:r>
    </w:p>
    <w:p>
      <w:pPr>
        <w:pStyle w:val="937"/>
      </w:pPr>
      <w:r>
        <w:rPr>
          <w:b/>
          <w:bCs/>
        </w:rPr>
        <w:t xml:space="preserve">Recomendação</w:t>
      </w:r>
      <w:r>
        <w:t xml:space="preserve">: a) Realizar ações de controle e avaliação, que visem avaliar a estrutura, a equipe de profissionais e a qualidade dos serviços prestados pelos estabelecimentos de saúde contratados pela Sesapi, para a realização de procedimentos de atenção ao portador de Doença Renal Crônica, conforme previsto nos artigos I, II e III do art. 87 da Seção VII do Capítulo I do Anexo IV da Portaria de Consolidação n.º 3/2017; e b) Prestar sempre que exigida ao pessoal em exercício no SNA, toda informação necessária ao desempenho das atividades de controle, avaliação e auditoria, facilitando-lhes o acesso a documentos, pessoas e instalações, conforme o art. 11 do Decreto nº 1.651, de 28 de setembro 1995.</w:t>
      </w:r>
    </w:p>
    <w:p>
      <w:pPr>
        <w:pStyle w:val="937"/>
      </w:pPr>
      <w:r>
        <w:rPr>
          <w:b/>
          <w:bCs/>
        </w:rPr>
        <w:t xml:space="preserve">Etiqueta Antiga</w:t>
      </w:r>
      <w:r>
        <w:t xml:space="preserve">: Gestão de operações</w:t>
      </w:r>
    </w:p>
    <w:bookmarkEnd w:id="527"/>
    <w:bookmarkStart w:id="528" w:name="auditoria-19605-constatação-nº-681288-2"/>
    <w:p>
      <w:pPr>
        <w:pStyle w:val="907"/>
      </w:pPr>
      <w:r>
        <w:t xml:space="preserve">14.0.11.18 Auditoria 19605, Constatação Nº 681288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Acesso/Atendimento à Demanda</w:t>
      </w:r>
    </w:p>
    <w:p>
      <w:pPr>
        <w:pStyle w:val="937"/>
      </w:pPr>
      <w:r>
        <w:rPr>
          <w:b/>
          <w:bCs/>
        </w:rPr>
        <w:t xml:space="preserve">Constatação</w:t>
      </w:r>
      <w:r>
        <w:t xml:space="preserve">: A Sesapi não apresentou documentação que comprovasse se os pacientes em TRS aptos para transplantes são encaminhados pela CNCDO/PI para inscrição na lista de transplantes nos prazos estabelecidos na legislação.</w:t>
      </w:r>
    </w:p>
    <w:p>
      <w:pPr>
        <w:pStyle w:val="937"/>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937"/>
      </w:pPr>
      <w:r>
        <w:rPr>
          <w:b/>
          <w:bCs/>
        </w:rPr>
        <w:t xml:space="preserve">Etiqueta Antiga</w:t>
      </w:r>
      <w:r>
        <w:t xml:space="preserve">: Governança e estrutura organizacional</w:t>
      </w:r>
    </w:p>
    <w:bookmarkEnd w:id="528"/>
    <w:bookmarkStart w:id="529" w:name="auditoria-19648-constatação-nº-685741-1"/>
    <w:p>
      <w:pPr>
        <w:pStyle w:val="907"/>
      </w:pPr>
      <w:r>
        <w:t xml:space="preserve">14.0.11.19 Auditoria 19648, Constatação Nº 685741 (#1)</w:t>
      </w:r>
    </w:p>
    <w:p>
      <w:pPr>
        <w:pStyle w:val="937"/>
      </w:pPr>
      <w:r>
        <w:rPr>
          <w:b/>
          <w:bCs/>
        </w:rPr>
        <w:t xml:space="preserve">Grupo</w:t>
      </w:r>
      <w:r>
        <w:t xml:space="preserve">: Atenção Básica</w:t>
      </w:r>
    </w:p>
    <w:p>
      <w:pPr>
        <w:pStyle w:val="937"/>
      </w:pPr>
      <w:r>
        <w:rPr>
          <w:b/>
          <w:bCs/>
        </w:rPr>
        <w:t xml:space="preserve">Subgrupo</w:t>
      </w:r>
      <w:r>
        <w:t xml:space="preserve">: Unidades Básicas de Saúde</w:t>
      </w:r>
    </w:p>
    <w:p>
      <w:pPr>
        <w:pStyle w:val="937"/>
      </w:pPr>
      <w:r>
        <w:rPr>
          <w:b/>
          <w:bCs/>
        </w:rPr>
        <w:t xml:space="preserve">Item</w:t>
      </w:r>
      <w:r>
        <w:t xml:space="preserve">: Recursos Humanos</w:t>
      </w:r>
    </w:p>
    <w:p>
      <w:pPr>
        <w:pStyle w:val="937"/>
      </w:pPr>
      <w:r>
        <w:rPr>
          <w:b/>
          <w:bCs/>
        </w:rPr>
        <w:t xml:space="preserve">Constatação</w:t>
      </w:r>
      <w:r>
        <w:t xml:space="preserve">: A população adscrita por equipe no município de Lindoeste/PR não atendeu ao recomendado na PNAB, no exercício de 2022.</w:t>
      </w:r>
    </w:p>
    <w:p>
      <w:pPr>
        <w:pStyle w:val="937"/>
      </w:pPr>
      <w:r>
        <w:rPr>
          <w:b/>
          <w:bCs/>
        </w:rPr>
        <w:t xml:space="preserve">Recomendação</w:t>
      </w:r>
      <w:r>
        <w:t xml:space="preserve">: Organizar as equipes da Atenção Básica e de Saúde da Família de modo que a população adscrita por equipe seja de 2.000 a 3.500 pessoas localizadas dentro do seu território, garantindo os diretrizes da Atenção Básica, conforme recomendado no subitem i, item 3.3, Anexo 1 do Anexo XXII-Política Nacional de Atenção Básica (PNAB), da Portaria de Consolidação MG/MS nº 2, de 28/9/2017.</w:t>
      </w:r>
    </w:p>
    <w:p>
      <w:pPr>
        <w:pStyle w:val="937"/>
      </w:pPr>
      <w:r>
        <w:rPr>
          <w:b/>
          <w:bCs/>
        </w:rPr>
        <w:t xml:space="preserve">Etiqueta Antiga</w:t>
      </w:r>
      <w:r>
        <w:t xml:space="preserve">: Gestão de operações</w:t>
      </w:r>
    </w:p>
    <w:bookmarkEnd w:id="529"/>
    <w:bookmarkStart w:id="530" w:name="auditoria-19657-constatação-nº-686264-1"/>
    <w:p>
      <w:pPr>
        <w:pStyle w:val="907"/>
      </w:pPr>
      <w:r>
        <w:t xml:space="preserve">14.0.11.20 Auditoria 19657, Constatação Nº 686264 (#1)</w:t>
      </w:r>
    </w:p>
    <w:p>
      <w:pPr>
        <w:pStyle w:val="937"/>
      </w:pPr>
      <w:r>
        <w:rPr>
          <w:b/>
          <w:bCs/>
        </w:rPr>
        <w:t xml:space="preserve">Grupo</w:t>
      </w:r>
      <w:r>
        <w:t xml:space="preserve">: Atenção Básica</w:t>
      </w:r>
    </w:p>
    <w:p>
      <w:pPr>
        <w:pStyle w:val="937"/>
      </w:pPr>
      <w:r>
        <w:rPr>
          <w:b/>
          <w:bCs/>
        </w:rPr>
        <w:t xml:space="preserve">Subgrupo</w:t>
      </w:r>
      <w:r>
        <w:t xml:space="preserve">: ESF - PACS/PSF</w:t>
      </w:r>
    </w:p>
    <w:p>
      <w:pPr>
        <w:pStyle w:val="937"/>
      </w:pPr>
      <w:r>
        <w:rPr>
          <w:b/>
          <w:bCs/>
        </w:rPr>
        <w:t xml:space="preserve">Item</w:t>
      </w:r>
      <w:r>
        <w:t xml:space="preserve">: Cobertura Populacional</w:t>
      </w:r>
    </w:p>
    <w:p>
      <w:pPr>
        <w:pStyle w:val="937"/>
      </w:pPr>
      <w:r>
        <w:rPr>
          <w:b/>
          <w:bCs/>
        </w:rPr>
        <w:t xml:space="preserve">Constatação</w:t>
      </w:r>
      <w:r>
        <w:t xml:space="preserve">: A população adscrita por equipe não atendia, no período de abrangência da auditoria, o recomendado na PNAB.</w:t>
      </w:r>
    </w:p>
    <w:p>
      <w:pPr>
        <w:pStyle w:val="937"/>
      </w:pPr>
      <w:r>
        <w:rPr>
          <w:b/>
          <w:bCs/>
        </w:rPr>
        <w:t xml:space="preserve">Recomendação</w:t>
      </w:r>
      <w:r>
        <w:t xml:space="preserve">: Organizar a territorialização e população adscrita às equipes de saúde da família para atender o preconizado em relação ao quantitativo populacional que deve ser abrangido por cada equipe de saúde da família, ampliando o quantidade de equipes, se necessário. Garantir o atendimento da população adscrita do município para fins de atender a cobertura mínima quanto aos serviços de saúde, conforme preconizado na Portaria GM/MS nº 2.979/2019, art. 12-B, 12-C, 12-I e § único, 12-E; Portaria de Consolidação nº 2/GM/MS, de 28 de setembro de 2017 - Política Nacional da Atenção Básica (PNAB), Anexo XXII; Manual Instrutivo do Previne Brasil.</w:t>
      </w:r>
    </w:p>
    <w:p>
      <w:pPr>
        <w:pStyle w:val="937"/>
      </w:pPr>
      <w:r>
        <w:rPr>
          <w:b/>
          <w:bCs/>
        </w:rPr>
        <w:t xml:space="preserve">Etiqueta Antiga</w:t>
      </w:r>
      <w:r>
        <w:t xml:space="preserve">: Gestão de operações</w:t>
      </w:r>
    </w:p>
    <w:bookmarkEnd w:id="530"/>
    <w:bookmarkStart w:id="531" w:name="auditoria-19676-constatação-nº-686925-1"/>
    <w:p>
      <w:pPr>
        <w:pStyle w:val="907"/>
      </w:pPr>
      <w:r>
        <w:t xml:space="preserve">14.0.11.21 Auditoria 19676, Constatação Nº 686925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Não foram identificados relatórios no Transferegov que comprovem a realização das visitas técnicas de supervisão ao DSEI Alto Rio Juruá AC para monitoramento das ações de 2022.</w:t>
      </w:r>
    </w:p>
    <w:p>
      <w:pPr>
        <w:pStyle w:val="937"/>
      </w:pPr>
      <w:r>
        <w:rPr>
          <w:b/>
          <w:bCs/>
        </w:rPr>
        <w:t xml:space="preserve">Recomendação</w:t>
      </w:r>
      <w:r>
        <w:t xml:space="preserve">: Adotar as providências para que sejam realizadas, ordinariamente, visitas técnicas (pelo menos uma ao ano) de supervisão aos DSEI/Sesai/MS periodicamente, com base nas informações registradas no relatório de monitoramento, conforme previsto §§ 3º e 4º, do art. 6º e art. 12, nos incisos II e IV, da Portaria de Consolidação nº 01, de 17 de dezembro de 2020.</w:t>
      </w:r>
    </w:p>
    <w:p>
      <w:pPr>
        <w:pStyle w:val="937"/>
      </w:pPr>
      <w:r>
        <w:rPr>
          <w:b/>
          <w:bCs/>
        </w:rPr>
        <w:t xml:space="preserve">Etiqueta Antiga</w:t>
      </w:r>
      <w:r>
        <w:t xml:space="preserve">: Gestão de operações</w:t>
      </w:r>
    </w:p>
    <w:bookmarkEnd w:id="531"/>
    <w:bookmarkStart w:id="532" w:name="auditoria-19692-constatação-nº-686539-1"/>
    <w:p>
      <w:pPr>
        <w:pStyle w:val="907"/>
      </w:pPr>
      <w:r>
        <w:t xml:space="preserve">14.0.11.22 Auditoria 19692, Constatação Nº 686539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Normas/rotinas/protocolos/comissões internas</w:t>
      </w:r>
    </w:p>
    <w:p>
      <w:pPr>
        <w:pStyle w:val="937"/>
      </w:pPr>
      <w:r>
        <w:rPr>
          <w:b/>
          <w:bCs/>
        </w:rPr>
        <w:t xml:space="preserve">Constatação</w:t>
      </w:r>
      <w:r>
        <w:t xml:space="preserve">: O Departamento Municipal de Saúde de São Lourenço da Serra não apresentou documentos que comprovam a existência de controle, avaliação e de fiscalização das ações e serviços de saúde prestados pelo Pronto Atendimento de São Lourenço da Serra e pelo Centro de Especialidades João da Luz no ano de 2021.</w:t>
      </w:r>
    </w:p>
    <w:p>
      <w:pPr>
        <w:pStyle w:val="937"/>
      </w:pPr>
      <w:r>
        <w:rPr>
          <w:b/>
          <w:bCs/>
        </w:rPr>
        <w:t xml:space="preserve">Recomendação</w:t>
      </w:r>
      <w:r>
        <w:t xml:space="preserve">: 1-Exercer a competência de planejar, organizar, controlar e avaliar as ações e gerir e executar os serviços públicos de saúde, conforme estabelece o Inciso I do art. 18 da Lei n. 8.080/1990. 2-Buscar meios para exercer a competência de controle e avaliação da produção ambulatorial processada e enviada para o gestor federal, conforme estabelece o Item 2.3 do Manual de Operação do Sistema SIA - SIA/SUS (2016).</w:t>
      </w:r>
    </w:p>
    <w:p>
      <w:pPr>
        <w:pStyle w:val="937"/>
      </w:pPr>
      <w:r>
        <w:rPr>
          <w:b/>
          <w:bCs/>
        </w:rPr>
        <w:t xml:space="preserve">Etiqueta Antiga</w:t>
      </w:r>
      <w:r>
        <w:t xml:space="preserve">: Governança e estrutura organizacional</w:t>
      </w:r>
    </w:p>
    <w:bookmarkEnd w:id="532"/>
    <w:bookmarkStart w:id="533" w:name="auditoria-19727-constatação-nº-692082-1"/>
    <w:p>
      <w:pPr>
        <w:pStyle w:val="907"/>
      </w:pPr>
      <w:r>
        <w:t xml:space="preserve">14.0.11.23 Auditoria 19727, Constatação Nº 692082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Veículos</w:t>
      </w:r>
    </w:p>
    <w:p>
      <w:pPr>
        <w:pStyle w:val="937"/>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p>
    <w:p>
      <w:pPr>
        <w:pStyle w:val="937"/>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pPr>
        <w:pStyle w:val="937"/>
      </w:pPr>
      <w:r>
        <w:rPr>
          <w:b/>
          <w:bCs/>
        </w:rPr>
        <w:t xml:space="preserve">Etiqueta Antiga</w:t>
      </w:r>
      <w:r>
        <w:t xml:space="preserve">: Gestão de operações</w:t>
      </w:r>
    </w:p>
    <w:bookmarkEnd w:id="533"/>
    <w:bookmarkStart w:id="534" w:name="auditoria-19729-constatação-nº-691936-1"/>
    <w:p>
      <w:pPr>
        <w:pStyle w:val="907"/>
      </w:pPr>
      <w:r>
        <w:t xml:space="preserve">14.0.11.24 Auditoria 19729, Constatação Nº 691936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Veículos</w:t>
      </w:r>
    </w:p>
    <w:p>
      <w:pPr>
        <w:pStyle w:val="937"/>
      </w:pPr>
      <w:r>
        <w:rPr>
          <w:b/>
          <w:bCs/>
        </w:rPr>
        <w:t xml:space="preserve">Constatação</w:t>
      </w:r>
      <w:r>
        <w:t xml:space="preserve">: O gerenciamento da frota não contempla os seguintes aspectos: rastreamento e seguro contra sinistros.</w:t>
      </w:r>
    </w:p>
    <w:p>
      <w:pPr>
        <w:pStyle w:val="937"/>
      </w:pPr>
      <w:r>
        <w:rPr>
          <w:b/>
          <w:bCs/>
        </w:rPr>
        <w:t xml:space="preserve">Recomendação</w:t>
      </w:r>
      <w:r>
        <w:t xml:space="preserve">: Providenciar e garantir a regularidade da situação documental das unidades móveis do SAMU 192 Porto Velho/RO , assim como a cobertura contra sinistros dos veículos, conforme estabelecido na alínea</w:t>
      </w:r>
      <w:r>
        <w:t xml:space="preserve"> </w:t>
      </w:r>
      <w:r>
        <w:t xml:space="preserve">“a”</w:t>
      </w:r>
      <w:r>
        <w:t xml:space="preserve">, inciso II do art. 925, Seção IV, Capítulo II, Título VIII, da Portaria de Consolidação GM/MS n.º 6 de 28/09/2017.</w:t>
      </w:r>
    </w:p>
    <w:p>
      <w:pPr>
        <w:pStyle w:val="937"/>
      </w:pPr>
      <w:r>
        <w:rPr>
          <w:b/>
          <w:bCs/>
        </w:rPr>
        <w:t xml:space="preserve">Etiqueta Antiga</w:t>
      </w:r>
      <w:r>
        <w:t xml:space="preserve">: Gestão de operações</w:t>
      </w:r>
    </w:p>
    <w:bookmarkEnd w:id="534"/>
    <w:bookmarkStart w:id="535" w:name="auditoria-19735-constatação-nº-693723-1"/>
    <w:p>
      <w:pPr>
        <w:pStyle w:val="907"/>
      </w:pPr>
      <w:r>
        <w:t xml:space="preserve">14.0.11.25 Auditoria 19735, Constatação Nº 693723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Contratualização</w:t>
      </w:r>
    </w:p>
    <w:p>
      <w:pPr>
        <w:pStyle w:val="937"/>
      </w:pPr>
      <w:r>
        <w:rPr>
          <w:b/>
          <w:bCs/>
        </w:rPr>
        <w:t xml:space="preserve">Constatação</w:t>
      </w:r>
      <w:r>
        <w:t xml:space="preserve">: O contrato de gestão para gerenciamento, operacionalização e execução das ações e serviços do HSCC não está sendo executado dentro do pactuado para urgência e emergência para o efetivo pagamento.</w:t>
      </w:r>
    </w:p>
    <w:p>
      <w:pPr>
        <w:pStyle w:val="937"/>
      </w:pPr>
      <w:r>
        <w:rPr>
          <w:b/>
          <w:bCs/>
        </w:rPr>
        <w:t xml:space="preserve">Recomendação</w:t>
      </w:r>
      <w:r>
        <w:t xml:space="preserve">: A Secretaria Municipal de Saúde (SMS) e o Hospital Santa Cruz de Canoinhas (HSCC) devem corrigir imediatamente o fluxo de acionamento do sobreaviso conforme estabelecido no Contrato FMS 50/2023. O processo atual, que obriga o médico da UPA a contatar primeiro o clínico do hospital, impede o registro adequado do tempo de resposta dos médicos de sobreaviso, prejudicando a avaliação da qualidade e o controle do serviço de urgência e emergência. Para corrigir a situação, é necessário que o médico da UPA entre em contato diretamente com os médicos de sobreaviso das especialidades contratadas (Cirurgia Geral, Ortopedia, Urologia, Anestesiologia e Bucomaxilo), garantindo o registro formal do tempo de chegada e acionamento no prontuário do paciente. Além disso, a SMS e o HSCC devem monitorar e implementar de forma eficaz esse fluxo, treinando as equipes médicas e garantindo que todos os registros sejam cumpridos conforme o contrato, para assegurar a rastreabilidade e a conformidade com as obrigações contratuais. Garantindo que todos componentes da rede tenham acesso ao mesmo prontuário onde as informações foram registradas.</w:t>
      </w:r>
    </w:p>
    <w:p>
      <w:pPr>
        <w:pStyle w:val="937"/>
      </w:pPr>
      <w:r>
        <w:rPr>
          <w:b/>
          <w:bCs/>
        </w:rPr>
        <w:t xml:space="preserve">Etiqueta Antiga</w:t>
      </w:r>
      <w:r>
        <w:t xml:space="preserve">: Gestão de contratos</w:t>
      </w:r>
    </w:p>
    <w:bookmarkEnd w:id="535"/>
    <w:bookmarkStart w:id="536" w:name="auditoria-19746-constatação-nº-692981-1"/>
    <w:p>
      <w:pPr>
        <w:pStyle w:val="907"/>
      </w:pPr>
      <w:r>
        <w:t xml:space="preserve">14.0.11.26 Auditoria 19746, Constatação Nº 692981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Atividades desenvolvidas/Rotinas de Trabalho</w:t>
      </w:r>
    </w:p>
    <w:p>
      <w:pPr>
        <w:pStyle w:val="937"/>
      </w:pPr>
      <w:r>
        <w:rPr>
          <w:b/>
          <w:bCs/>
        </w:rPr>
        <w:t xml:space="preserve">Constatação</w:t>
      </w:r>
      <w:r>
        <w:t xml:space="preserve">: A CMRF não possui Plano de Gerenciamento de Resíduos de Serviços de Saúde, estabelecido para o manejo dos resíduos, conforme prevê a legislação.</w:t>
      </w:r>
    </w:p>
    <w:p>
      <w:pPr>
        <w:pStyle w:val="937"/>
      </w:pPr>
      <w:r>
        <w:rPr>
          <w:b/>
          <w:bCs/>
        </w:rPr>
        <w:t xml:space="preserve">Recomendação</w:t>
      </w:r>
      <w:r>
        <w:t xml:space="preserve">: Revisar e atualizar periodicamente o Plano de Gerenciamento de Resíduos de Serviços de Saúde (PGRSS), assegurando a inclusão de todos os documentos obrigatórios; Implementar um sistema de monitoramento regular para garantir a conformidade com a legislação vigente, conforme os artigos 4º ao 10º, seção III, capítulo II, da RDC n.º 222/2018.</w:t>
      </w:r>
    </w:p>
    <w:p>
      <w:pPr>
        <w:pStyle w:val="937"/>
      </w:pPr>
      <w:r>
        <w:rPr>
          <w:b/>
          <w:bCs/>
        </w:rPr>
        <w:t xml:space="preserve">Etiqueta Antiga</w:t>
      </w:r>
      <w:r>
        <w:t xml:space="preserve">: Cumprimento de requisito normativo</w:t>
      </w:r>
    </w:p>
    <w:bookmarkEnd w:id="536"/>
    <w:bookmarkStart w:id="537" w:name="auditoria-19755-constatação-nº-693230-1"/>
    <w:p>
      <w:pPr>
        <w:pStyle w:val="907"/>
      </w:pPr>
      <w:r>
        <w:t xml:space="preserve">14.0.11.27 Auditoria 19755, Constatação Nº 693230 (#1)</w:t>
      </w:r>
    </w:p>
    <w:p>
      <w:pPr>
        <w:pStyle w:val="937"/>
      </w:pPr>
      <w:r>
        <w:rPr>
          <w:b/>
          <w:bCs/>
        </w:rPr>
        <w:t xml:space="preserve">Grupo</w:t>
      </w:r>
      <w:r>
        <w:t xml:space="preserve">: Programas Estratégicos</w:t>
      </w:r>
    </w:p>
    <w:p>
      <w:pPr>
        <w:pStyle w:val="937"/>
      </w:pPr>
      <w:r>
        <w:rPr>
          <w:b/>
          <w:bCs/>
        </w:rPr>
        <w:t xml:space="preserve">Subgrupo</w:t>
      </w:r>
      <w:r>
        <w:t xml:space="preserve">: Processo</w:t>
      </w:r>
    </w:p>
    <w:p>
      <w:pPr>
        <w:pStyle w:val="937"/>
      </w:pPr>
      <w:r>
        <w:rPr>
          <w:b/>
          <w:bCs/>
        </w:rPr>
        <w:t xml:space="preserve">Item</w:t>
      </w:r>
      <w:r>
        <w:t xml:space="preserve">: Rotinas/Atividades</w:t>
      </w:r>
    </w:p>
    <w:p>
      <w:pPr>
        <w:pStyle w:val="937"/>
      </w:pPr>
      <w:r>
        <w:rPr>
          <w:b/>
          <w:bCs/>
        </w:rPr>
        <w:t xml:space="preserve">Constatação</w:t>
      </w:r>
      <w:r>
        <w:t xml:space="preserve">: A Central Municipal de Rede de Frio (CMRF) não possui um Plano de Gerenciamento de Resíduos de Serviços de Saúde (PGRSS) abrangente que contemple todos os tipos de resíduos gerados, especialmente os do Grupo A (vacinas).</w:t>
      </w:r>
    </w:p>
    <w:p>
      <w:pPr>
        <w:pStyle w:val="937"/>
      </w:pPr>
      <w:r>
        <w:rPr>
          <w:b/>
          <w:bCs/>
        </w:rPr>
        <w:t xml:space="preserve">Recomendação</w:t>
      </w:r>
      <w:r>
        <w:t xml:space="preserve">: Realizar o gerenciamento de resíduos de serviços de saúde em todas as etapas, incluindo o planejamento de recursos físicos, materiais e a capacitação dos profissionais envolvidos, e, dispor de um PGRSS de acordo com as regulamentações vigentes nas esferas federal, estadual e municipal, em conformidade com o subitem 7.5 do Manual de Rede Frio do PNI 2017, que trata do Gerenciamento de Resíduos, e com os artigos 4º e 5º da RDC nº 222, de 28/03/2018.</w:t>
      </w:r>
    </w:p>
    <w:p>
      <w:pPr>
        <w:pStyle w:val="937"/>
      </w:pPr>
      <w:r>
        <w:rPr>
          <w:b/>
          <w:bCs/>
        </w:rPr>
        <w:t xml:space="preserve">Etiqueta Antiga</w:t>
      </w:r>
      <w:r>
        <w:t xml:space="preserve">: Gestão de operações</w:t>
      </w:r>
    </w:p>
    <w:bookmarkEnd w:id="537"/>
    <w:bookmarkStart w:id="538" w:name="auditoria-19759-constatação-nº-692681-1"/>
    <w:p>
      <w:pPr>
        <w:pStyle w:val="907"/>
      </w:pPr>
      <w:r>
        <w:t xml:space="preserve">14.0.11.28 Auditoria 19759, Constatação Nº 692681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Documentação/Registros</w:t>
      </w:r>
    </w:p>
    <w:p>
      <w:pPr>
        <w:pStyle w:val="937"/>
      </w:pPr>
      <w:r>
        <w:rPr>
          <w:b/>
          <w:bCs/>
        </w:rPr>
        <w:t xml:space="preserve">Constatação</w:t>
      </w:r>
      <w:r>
        <w:t xml:space="preserve">: A Central Municipal não tem Procedimento Operacional Padrão (POP) ou documento similar para o desenvolvimento das etapas do processo logístico (Cadeia de Frio) da Rede de Frio.</w:t>
      </w:r>
    </w:p>
    <w:p>
      <w:pPr>
        <w:pStyle w:val="937"/>
      </w:pPr>
      <w:r>
        <w:rPr>
          <w:b/>
          <w:bCs/>
        </w:rPr>
        <w:t xml:space="preserve">Recomendação</w:t>
      </w:r>
      <w:r>
        <w:t xml:space="preserve">: Adotar medidas administrativas para elaboração dos POPs e disponibilização desses em local de fácil a acesso a toda a equipe. Assim como, revisá-los periodicamente, com vistas a garantir a efetividade das informações disponibilizadas, bem como, as ações a serem adotadas em todas as situações, nos termos do Inciso XVIII, do art. 23, da Seção III, Capítulo II, da RDC n.° 63, de 25/11/2011 e do art. 51, Seção VIII, Capítulo II, da citada resolução.</w:t>
      </w:r>
    </w:p>
    <w:p>
      <w:pPr>
        <w:pStyle w:val="937"/>
      </w:pPr>
      <w:r>
        <w:rPr>
          <w:b/>
          <w:bCs/>
        </w:rPr>
        <w:t xml:space="preserve">Etiqueta Antiga</w:t>
      </w:r>
      <w:r>
        <w:t xml:space="preserve">: Gestão de operações</w:t>
      </w:r>
    </w:p>
    <w:bookmarkEnd w:id="538"/>
    <w:bookmarkStart w:id="539" w:name="auditoria-19761-constatação-nº-691409-1"/>
    <w:p>
      <w:pPr>
        <w:pStyle w:val="907"/>
      </w:pPr>
      <w:r>
        <w:t xml:space="preserve">14.0.11.29 Auditoria 19761, Constatação Nº 691409 (#1)</w:t>
      </w:r>
    </w:p>
    <w:p>
      <w:pPr>
        <w:pStyle w:val="937"/>
      </w:pPr>
      <w:r>
        <w:rPr>
          <w:b/>
          <w:bCs/>
        </w:rPr>
        <w:t xml:space="preserve">Grupo</w:t>
      </w:r>
      <w:r>
        <w:t xml:space="preserve">: Controles Internos</w:t>
      </w:r>
    </w:p>
    <w:p>
      <w:pPr>
        <w:pStyle w:val="937"/>
      </w:pPr>
      <w:r>
        <w:rPr>
          <w:b/>
          <w:bCs/>
        </w:rPr>
        <w:t xml:space="preserve">Subgrupo</w:t>
      </w:r>
      <w:r>
        <w:t xml:space="preserve">: Processo</w:t>
      </w:r>
    </w:p>
    <w:p>
      <w:pPr>
        <w:pStyle w:val="937"/>
      </w:pPr>
      <w:r>
        <w:rPr>
          <w:b/>
          <w:bCs/>
        </w:rPr>
        <w:t xml:space="preserve">Item</w:t>
      </w:r>
      <w:r>
        <w:t xml:space="preserve">: Controle de estoques/Validade</w:t>
      </w:r>
    </w:p>
    <w:p>
      <w:pPr>
        <w:pStyle w:val="937"/>
      </w:pPr>
      <w:r>
        <w:rPr>
          <w:b/>
          <w:bCs/>
        </w:rPr>
        <w:t xml:space="preserve">Constatação</w:t>
      </w:r>
      <w:r>
        <w:t xml:space="preserve">: A CMRF de Gurupi/TO não possui registros de inspeção de entrada e saída dos imunobiológicos referentes à integridade física e às condições ideais de temperatura.</w:t>
      </w:r>
    </w:p>
    <w:p>
      <w:pPr>
        <w:pStyle w:val="937"/>
      </w:pPr>
      <w:r>
        <w:rPr>
          <w:b/>
          <w:bCs/>
        </w:rPr>
        <w:t xml:space="preserve">Recomendação</w:t>
      </w:r>
      <w:r>
        <w:t xml:space="preserve">: Utilizar instrumentos e documentos (Mapas de Temperatura, Relatórios sobre o comportamento da temperatura, Gráficos, Planilhas e Sistemas) para registrar e monitorar a integridade dos imunobiológicos durante a inspeção de entrada e saída. Realizar Treinamento contínuo à equipe. Conforme estabelece o subitem 7.1, Item 7, pág. 75 a 77, do Manual de Rede Frio do PNI, 2017.</w:t>
      </w:r>
      <w:r>
        <w:t xml:space="preserve"> </w:t>
      </w:r>
      <w:r>
        <w:t xml:space="preserve">“Boas Práticas de armazenamento e conservação”</w:t>
      </w:r>
      <w:r>
        <w:t xml:space="preserve">, bem como, o Incisos I, II e III, Art. 56, Seção VI, Resolução de Diretoria Colegiada - RDC Nº 430, de 08/10/2020.</w:t>
      </w:r>
    </w:p>
    <w:p>
      <w:pPr>
        <w:pStyle w:val="937"/>
      </w:pPr>
      <w:r>
        <w:rPr>
          <w:b/>
          <w:bCs/>
        </w:rPr>
        <w:t xml:space="preserve">Etiqueta Antiga</w:t>
      </w:r>
      <w:r>
        <w:t xml:space="preserve">: Gestão de operações</w:t>
      </w:r>
    </w:p>
    <w:bookmarkEnd w:id="539"/>
    <w:bookmarkStart w:id="540" w:name="auditoria-19770-constatação-nº-693913-2"/>
    <w:p>
      <w:pPr>
        <w:pStyle w:val="907"/>
      </w:pPr>
      <w:r>
        <w:t xml:space="preserve">14.0.11.30 Auditoria 19770, Constatação Nº 693913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Faturamento/Produção/cobranças SUS</w:t>
      </w:r>
    </w:p>
    <w:p>
      <w:pPr>
        <w:pStyle w:val="937"/>
      </w:pPr>
      <w:r>
        <w:rPr>
          <w:b/>
          <w:bCs/>
        </w:rPr>
        <w:t xml:space="preserve">Constatação</w:t>
      </w:r>
      <w:r>
        <w:t xml:space="preserve">: A Secretaria Municipal de Saúde (SMS) de Carapebus/RJ recebeu, indevidamente, recursos por meio do mecanismo de Incremento Temporário MAC no exercício de 2019.</w:t>
      </w:r>
    </w:p>
    <w:p>
      <w:pPr>
        <w:pStyle w:val="937"/>
      </w:pPr>
      <w:r>
        <w:rPr>
          <w:b/>
          <w:bCs/>
        </w:rPr>
        <w:t xml:space="preserve">Recomendação</w:t>
      </w:r>
      <w:r>
        <w:t xml:space="preserve">: Aperfeiçoar mecanismos de controle, monitoramento e de avaliação acerca das informações inseridas no sistema SIA/SUS, para o cumprimento do que preceitua o Inciso V do art. 26 do Decreto nº 11.798/23.</w:t>
      </w:r>
    </w:p>
    <w:p>
      <w:pPr>
        <w:pStyle w:val="937"/>
      </w:pPr>
      <w:r>
        <w:rPr>
          <w:b/>
          <w:bCs/>
        </w:rPr>
        <w:t xml:space="preserve">Etiqueta Antiga</w:t>
      </w:r>
      <w:r>
        <w:t xml:space="preserve">: Gestão de dados e informações</w:t>
      </w:r>
    </w:p>
    <w:bookmarkEnd w:id="540"/>
    <w:bookmarkStart w:id="541" w:name="auditoria-19778-constatação-nº-692820-1"/>
    <w:p>
      <w:pPr>
        <w:pStyle w:val="907"/>
      </w:pPr>
      <w:r>
        <w:t xml:space="preserve">14.0.11.31 Auditoria 19778, Constatação Nº 692820 (#1)</w:t>
      </w:r>
    </w:p>
    <w:p>
      <w:pPr>
        <w:pStyle w:val="937"/>
      </w:pPr>
      <w:r>
        <w:rPr>
          <w:b/>
          <w:bCs/>
        </w:rPr>
        <w:t xml:space="preserve">Grupo</w:t>
      </w:r>
      <w:r>
        <w:t xml:space="preserve">: Programas Estratégicos</w:t>
      </w:r>
    </w:p>
    <w:p>
      <w:pPr>
        <w:pStyle w:val="937"/>
      </w:pPr>
      <w:r>
        <w:rPr>
          <w:b/>
          <w:bCs/>
        </w:rPr>
        <w:t xml:space="preserve">Subgrupo</w:t>
      </w:r>
      <w:r>
        <w:t xml:space="preserve">: Processo</w:t>
      </w:r>
    </w:p>
    <w:p>
      <w:pPr>
        <w:pStyle w:val="937"/>
      </w:pPr>
      <w:r>
        <w:rPr>
          <w:b/>
          <w:bCs/>
        </w:rPr>
        <w:t xml:space="preserve">Item</w:t>
      </w:r>
      <w:r>
        <w:t xml:space="preserve">: Documentação/Prontuários/Registros</w:t>
      </w:r>
    </w:p>
    <w:p>
      <w:pPr>
        <w:pStyle w:val="937"/>
      </w:pPr>
      <w:r>
        <w:rPr>
          <w:b/>
          <w:bCs/>
        </w:rPr>
        <w:t xml:space="preserve">Constatação</w:t>
      </w:r>
      <w:r>
        <w:t xml:space="preserve">: A Central Municipal de Rede de Frio (CMRF) de Duque de Caxias/RJ não utiliza indicadores para o gerenciamento de riscos nos processos de trabalho, bem como para o monitoramento contínuo dos controles na Cadeia de Frio.</w:t>
      </w:r>
    </w:p>
    <w:p>
      <w:pPr>
        <w:pStyle w:val="937"/>
      </w:pPr>
      <w:r>
        <w:rPr>
          <w:b/>
          <w:bCs/>
        </w:rPr>
        <w:t xml:space="preserve">Recomendação</w:t>
      </w:r>
      <w:r>
        <w:t xml:space="preserve">: Realizar o gerenciamento de riscos com base em indicadores resultantes da análise dos processos de trabalho, conforme Subitem 6.2.7, Item 6, (pág. 46), do Manual de Rede de Frio do PNI, 5ª ed. (2017).</w:t>
      </w:r>
    </w:p>
    <w:p>
      <w:pPr>
        <w:pStyle w:val="937"/>
      </w:pPr>
      <w:r>
        <w:rPr>
          <w:b/>
          <w:bCs/>
        </w:rPr>
        <w:t xml:space="preserve">Etiqueta Antiga</w:t>
      </w:r>
      <w:r>
        <w:t xml:space="preserve">: Gestão de operações</w:t>
      </w:r>
    </w:p>
    <w:bookmarkEnd w:id="541"/>
    <w:bookmarkStart w:id="542" w:name="auditoria-19781-constatação-nº-692759-1"/>
    <w:p>
      <w:pPr>
        <w:pStyle w:val="907"/>
      </w:pPr>
      <w:r>
        <w:t xml:space="preserve">14.0.11.32 Auditoria 19781, Constatação Nº 692759 (#1)</w:t>
      </w:r>
    </w:p>
    <w:p>
      <w:pPr>
        <w:pStyle w:val="937"/>
      </w:pPr>
      <w:r>
        <w:rPr>
          <w:b/>
          <w:bCs/>
        </w:rPr>
        <w:t xml:space="preserve">Grupo</w:t>
      </w:r>
      <w:r>
        <w:t xml:space="preserve">: Programas Estratégicos</w:t>
      </w:r>
    </w:p>
    <w:p>
      <w:pPr>
        <w:pStyle w:val="937"/>
      </w:pPr>
      <w:r>
        <w:rPr>
          <w:b/>
          <w:bCs/>
        </w:rPr>
        <w:t xml:space="preserve">Subgrupo</w:t>
      </w:r>
      <w:r>
        <w:t xml:space="preserve">: Estrutura</w:t>
      </w:r>
    </w:p>
    <w:p>
      <w:pPr>
        <w:pStyle w:val="937"/>
      </w:pPr>
      <w:r>
        <w:rPr>
          <w:b/>
          <w:bCs/>
        </w:rPr>
        <w:t xml:space="preserve">Item</w:t>
      </w:r>
      <w:r>
        <w:t xml:space="preserve">: Recursos Materiais/Equipamentos</w:t>
      </w:r>
    </w:p>
    <w:p>
      <w:pPr>
        <w:pStyle w:val="937"/>
      </w:pPr>
      <w:r>
        <w:rPr>
          <w:b/>
          <w:bCs/>
        </w:rPr>
        <w:t xml:space="preserve">Constatação</w:t>
      </w:r>
      <w:r>
        <w:t xml:space="preserve">: A CMRF de Nossa Senhora do Socorro/SE não possui rotina estabelecida para verificação do perfeito funcionamento dos equipamentos.</w:t>
      </w:r>
    </w:p>
    <w:p>
      <w:pPr>
        <w:pStyle w:val="937"/>
      </w:pPr>
      <w:r>
        <w:rPr>
          <w:b/>
          <w:bCs/>
        </w:rPr>
        <w:t xml:space="preserve">Recomendação</w:t>
      </w:r>
      <w:r>
        <w:t xml:space="preserve">: Criar e implementar normas, procedimentos e rotinas técnicas escritas e atualizadas, que garantam a verificação diária do perfeito funcionamento dos equipamentos da Rede de Frio ao final do expediente. Essas normas devem incluir registros de desligamento para limpeza periódica, funcionamento dos alarmes e alimentação elétrica, com o objetivo de promover a qualidade e segurança logística da Cadeia de Frio. Essa medida visa atender ao disposto na RDC nº 63, de 25/11/2011, que no Inciso XVIII do art. 23, Seção III, Capítulo II, estabelece que</w:t>
      </w:r>
      <w:r>
        <w:t xml:space="preserve"> </w:t>
      </w:r>
      <w:r>
        <w:t xml:space="preserve">“O serviço de saúde deve manter disponível, segundo o seu tipo de atividade, documentação e registro referente à: (…) XVIII - normas, rotinas e procedimentos”</w:t>
      </w:r>
      <w:r>
        <w:t xml:space="preserve"> </w:t>
      </w:r>
      <w:r>
        <w:t xml:space="preserve">e no art. 51, que exige que</w:t>
      </w:r>
      <w:r>
        <w:t xml:space="preserve"> </w:t>
      </w:r>
      <w:r>
        <w:t xml:space="preserve">“O serviço de saúde deve dispor de normas, procedimentos e rotinas técnicas escritas e atualizadas, de todos os seus processos de trabalho em local de fácil acesso a toda a equipe”</w:t>
      </w:r>
      <w:r>
        <w:t xml:space="preserve">.</w:t>
      </w:r>
    </w:p>
    <w:p>
      <w:pPr>
        <w:pStyle w:val="937"/>
      </w:pPr>
      <w:r>
        <w:rPr>
          <w:b/>
          <w:bCs/>
        </w:rPr>
        <w:t xml:space="preserve">Etiqueta Antiga</w:t>
      </w:r>
      <w:r>
        <w:t xml:space="preserve">: Gestão de operações</w:t>
      </w:r>
    </w:p>
    <w:bookmarkEnd w:id="542"/>
    <w:bookmarkStart w:id="543" w:name="auditoria-19786-constatação-nº-694490-1"/>
    <w:p>
      <w:pPr>
        <w:pStyle w:val="907"/>
      </w:pPr>
      <w:r>
        <w:t xml:space="preserve">14.0.11.33 Auditoria 19786, Constatação Nº 694490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Documentação/Registros</w:t>
      </w:r>
    </w:p>
    <w:p>
      <w:pPr>
        <w:pStyle w:val="937"/>
      </w:pPr>
      <w:r>
        <w:rPr>
          <w:b/>
          <w:bCs/>
        </w:rPr>
        <w:t xml:space="preserve">Constatação</w:t>
      </w:r>
      <w:r>
        <w:t xml:space="preserve">: As informações do processo logístico da Central Municipal (recebimento, armazenamento e distribuição) não são registradas e atualizadas constantemente nos sistemas de informações do Programa Nacional de Imunização.</w:t>
      </w:r>
    </w:p>
    <w:p>
      <w:pPr>
        <w:pStyle w:val="937"/>
      </w:pPr>
      <w:r>
        <w:rPr>
          <w:b/>
          <w:bCs/>
        </w:rPr>
        <w:t xml:space="preserve">Recomendação</w:t>
      </w:r>
      <w:r>
        <w:t xml:space="preserve">: Estabelecer práticas para o gerenciamento do processo logístico da CMRF e utilizar constantemente os sistemas do PNI para registros e atualizações das informações da CMRF, conforme página 83 do Manual da Rede de Frio.</w:t>
      </w:r>
    </w:p>
    <w:p>
      <w:pPr>
        <w:pStyle w:val="937"/>
      </w:pPr>
      <w:r>
        <w:rPr>
          <w:b/>
          <w:bCs/>
        </w:rPr>
        <w:t xml:space="preserve">Etiqueta Antiga</w:t>
      </w:r>
      <w:r>
        <w:t xml:space="preserve">: Gestão de operações</w:t>
      </w:r>
    </w:p>
    <w:bookmarkEnd w:id="543"/>
    <w:bookmarkStart w:id="544" w:name="auditoria-19790-constatação-nº-694457-1"/>
    <w:p>
      <w:pPr>
        <w:pStyle w:val="907"/>
      </w:pPr>
      <w:r>
        <w:t xml:space="preserve">14.0.11.34 Auditoria 19790, Constatação Nº 694457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As UBSs/eSFs visitadas não possuem estratégias definidas para atendimento de pacientes após a notificação de casos de violência autoprovocada, doméstica, dentre outras.</w:t>
      </w:r>
    </w:p>
    <w:p>
      <w:pPr>
        <w:pStyle w:val="937"/>
      </w:pPr>
      <w:r>
        <w:rPr>
          <w:b/>
          <w:bCs/>
        </w:rPr>
        <w:t xml:space="preserve">Recomendação</w:t>
      </w:r>
      <w:r>
        <w:t xml:space="preserve">: Definir estratégias para atendimento de pacientes após a notificação de casos de violência autoprovocada, doméstica, o que se inicia na Atenção Básica tendo em vista ser esta a porta de entrada preferencial da rede de atenção, primeiro atendimento e acolhimento das demandas e necessidades da população, seguindo o que preconiza o Inciso III, Item 5, Capítulo I, Anexo 1 do Anexo XXII (Política Nacional de Atenção Básica - Operacionalização), da Portaria de Consolidação GM/MS n.° 2, de 28/9/2017, bem como Art. 4°, Anexo V da Portaria de Consolidação GM/MS n.° 4 de 28/9/2017, que dispõe sobre a notificação compulsória imediata a ser realizada pelo profissional de saúde ou responsável pelo serviço assistencial que prestar o primeiro atendimento ao paciente.</w:t>
      </w:r>
    </w:p>
    <w:p>
      <w:pPr>
        <w:pStyle w:val="937"/>
      </w:pPr>
      <w:r>
        <w:rPr>
          <w:b/>
          <w:bCs/>
        </w:rPr>
        <w:t xml:space="preserve">Etiqueta Antiga</w:t>
      </w:r>
      <w:r>
        <w:t xml:space="preserve">: Gestão de operações</w:t>
      </w:r>
    </w:p>
    <w:bookmarkEnd w:id="544"/>
    <w:bookmarkStart w:id="545" w:name="auditoria-19805-constatação-nº-694103-1"/>
    <w:p>
      <w:pPr>
        <w:pStyle w:val="907"/>
      </w:pPr>
      <w:r>
        <w:t xml:space="preserve">14.0.11.35 Auditoria 19805, Constatação Nº 694103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As equipes selecionadas não desenvolvem Projetos Terapêuticos Singulares (PTS) de casos de saúde mental com a participação do usuário.</w:t>
      </w:r>
    </w:p>
    <w:p>
      <w:pPr>
        <w:pStyle w:val="937"/>
      </w:pPr>
      <w:r>
        <w:rPr>
          <w:b/>
          <w:bCs/>
        </w:rPr>
        <w:t xml:space="preserve">Recomendação</w:t>
      </w:r>
      <w:r>
        <w:t xml:space="preserve">: À SMS, desenvolver e implementar protocolos claros que garantam a participação ativa de usuários e familiares na elaboração e pactuação dos PTSs, bem como promover o registro adequado e sistematizado em prontuário das informações relacionadas ao projeto, de acordo com a Portaria de Consolidação nº 3, de 28/09/2017, Anexo V, Art. 2º, incisos IX e XII; combinados com o Cadernos de Atenção Básica 34 - Saúde Mental (2013), item 4.1.</w:t>
      </w:r>
    </w:p>
    <w:p>
      <w:pPr>
        <w:pStyle w:val="937"/>
      </w:pPr>
      <w:r>
        <w:rPr>
          <w:b/>
          <w:bCs/>
        </w:rPr>
        <w:t xml:space="preserve">Etiqueta Antiga</w:t>
      </w:r>
      <w:r>
        <w:t xml:space="preserve">: Gestão de operações</w:t>
      </w:r>
    </w:p>
    <w:bookmarkEnd w:id="545"/>
    <w:bookmarkStart w:id="546" w:name="auditoria-19808-constatação-nº-695914-1"/>
    <w:p>
      <w:pPr>
        <w:pStyle w:val="907"/>
      </w:pPr>
      <w:r>
        <w:t xml:space="preserve">14.0.11.36 Auditoria 19808, Constatação Nº 695914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Gestão</w:t>
      </w:r>
    </w:p>
    <w:p>
      <w:pPr>
        <w:pStyle w:val="937"/>
      </w:pPr>
      <w:r>
        <w:rPr>
          <w:b/>
          <w:bCs/>
        </w:rPr>
        <w:t xml:space="preserve">Constatação</w:t>
      </w:r>
      <w:r>
        <w:t xml:space="preserve">: A SMS de Palmas/TO não forneceu documentos que comprovem atuação do grupo condutor municipal na Atenção Básica acerca do acompanhamento estabelecido para a Política de Saúde Mental e ações educativas em saúde mental na Rede Municipal de Saúde.</w:t>
      </w:r>
    </w:p>
    <w:p>
      <w:pPr>
        <w:pStyle w:val="937"/>
      </w:pPr>
      <w:r>
        <w:rPr>
          <w:b/>
          <w:bCs/>
        </w:rPr>
        <w:t xml:space="preserve">Recomendação</w:t>
      </w:r>
      <w:r>
        <w:t xml:space="preserve">: Implementar a efetiva operacionalização do grupo condutor municipal, conforme previsto no Art. 14, III,</w:t>
      </w:r>
      <w:r>
        <w:t xml:space="preserve"> </w:t>
      </w:r>
      <w:r>
        <w:t xml:space="preserve">“c”</w:t>
      </w:r>
      <w:r>
        <w:t xml:space="preserve"> </w:t>
      </w:r>
      <w:r>
        <w:t xml:space="preserve">e Art. 15, III do Título I, Anexo V da Portaria de Consolidação GM/MS n.º 3/2017 e na Portaria n.º 836/SEMUS/GAB, de 30 de agosto de 2023, documentando cada atividade realizada pela delegação através de informações completas e detalhadas sobre o acompanhamento, monitoramento e avaliação da condução da Política de Saúde Mental bem como de suas ações educativas alusivas à temática.</w:t>
      </w:r>
    </w:p>
    <w:p>
      <w:pPr>
        <w:pStyle w:val="937"/>
      </w:pPr>
      <w:r>
        <w:rPr>
          <w:b/>
          <w:bCs/>
        </w:rPr>
        <w:t xml:space="preserve">Etiqueta Antiga</w:t>
      </w:r>
      <w:r>
        <w:t xml:space="preserve">: Gestão de operações</w:t>
      </w:r>
    </w:p>
    <w:bookmarkEnd w:id="546"/>
    <w:bookmarkStart w:id="547" w:name="auditoria-19813-constatação-nº-694027-1"/>
    <w:p>
      <w:pPr>
        <w:pStyle w:val="907"/>
      </w:pPr>
      <w:r>
        <w:t xml:space="preserve">14.0.11.37 Auditoria 19813, Constatação Nº 694027 (#1)</w:t>
      </w:r>
    </w:p>
    <w:p>
      <w:pPr>
        <w:pStyle w:val="937"/>
      </w:pPr>
      <w:r>
        <w:rPr>
          <w:b/>
          <w:bCs/>
        </w:rPr>
        <w:t xml:space="preserve">Grupo</w:t>
      </w:r>
      <w:r>
        <w:t xml:space="preserve">: Atenção Básica</w:t>
      </w:r>
    </w:p>
    <w:p>
      <w:pPr>
        <w:pStyle w:val="937"/>
      </w:pPr>
      <w:r>
        <w:rPr>
          <w:b/>
          <w:bCs/>
        </w:rPr>
        <w:t xml:space="preserve">Subgrupo</w:t>
      </w:r>
      <w:r>
        <w:t xml:space="preserve">: Processo de Trabalho</w:t>
      </w:r>
    </w:p>
    <w:p>
      <w:pPr>
        <w:pStyle w:val="937"/>
      </w:pPr>
      <w:r>
        <w:rPr>
          <w:b/>
          <w:bCs/>
        </w:rPr>
        <w:t xml:space="preserve">Item</w:t>
      </w:r>
      <w:r>
        <w:t xml:space="preserve">: Outras Atividades (Visitas/Rotinas/ Acolhimento)</w:t>
      </w:r>
    </w:p>
    <w:p>
      <w:pPr>
        <w:pStyle w:val="937"/>
      </w:pPr>
      <w:r>
        <w:rPr>
          <w:b/>
          <w:bCs/>
        </w:rPr>
        <w:t xml:space="preserve">Constatação</w:t>
      </w:r>
      <w:r>
        <w:t xml:space="preserve">: As equipes avaliadas não desenvolvem Projetos Terapêuticos Singulares de casos de saúde mental com a participação do paciente.</w:t>
      </w:r>
    </w:p>
    <w:p>
      <w:pPr>
        <w:pStyle w:val="937"/>
      </w:pPr>
      <w:r>
        <w:rPr>
          <w:b/>
          <w:bCs/>
        </w:rPr>
        <w:t xml:space="preserve">Recomendação</w:t>
      </w:r>
      <w:r>
        <w:t xml:space="preserve">: À SMS para que adote o uso regular do PTS com a participação do paciente usuário da atenção básica com atendimento em saúde mental. Considerando que a adoção regular de Projetos Terapêuticos Singulares pela SMS, com a participação do paciente, é fundamental para personalizar o cuidado em saúde mental, promover autonomia, fortalecer vínculos com a equipe e garantir a integralidade e continuidade do atendimento na atenção básica, recomendar à SMS que cumpra a Portaria de Consolidação nº 2 de 28 de setembro de 2017, Anexo 1 do Anexo XXII, Capítulo I Item 4.1. e Cadernos de Atenção Básica 34 Saúde Mental. 2013, item 4.1 pág. 56-58.</w:t>
      </w:r>
    </w:p>
    <w:p>
      <w:pPr>
        <w:pStyle w:val="937"/>
      </w:pPr>
      <w:r>
        <w:rPr>
          <w:b/>
          <w:bCs/>
        </w:rPr>
        <w:t xml:space="preserve">Etiqueta Antiga</w:t>
      </w:r>
      <w:r>
        <w:t xml:space="preserve">: Gestão de operações</w:t>
      </w:r>
    </w:p>
    <w:bookmarkEnd w:id="547"/>
    <w:bookmarkStart w:id="548" w:name="auditoria-19814-constatação-nº-695267-1"/>
    <w:p>
      <w:pPr>
        <w:pStyle w:val="907"/>
      </w:pPr>
      <w:r>
        <w:t xml:space="preserve">14.0.11.38 Auditoria 19814, Constatação Nº 695267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As equipes avaliadas (INE) não realizaram acompanhamento dos familiares de usuários com transtorno mental e/ou uso abusivo de álcool e drogas no período auditado.</w:t>
      </w:r>
    </w:p>
    <w:p>
      <w:pPr>
        <w:pStyle w:val="937"/>
      </w:pPr>
      <w:r>
        <w:rPr>
          <w:b/>
          <w:bCs/>
        </w:rPr>
        <w:t xml:space="preserve">Recomendação</w:t>
      </w:r>
      <w:r>
        <w:t xml:space="preserve">: Assegurar que as equipes de Atenção Básica acompanhem e atendam os usuários com transtorno mental e/ou uso abusivo de álcool e drogas e seus familiares, discutindo e propondo intervenções que auxiliem nos processos saúde- doença em observância ao preconizado na Portaria de Consolidação nº 2 de 28 de setembro de 2017, Anexo 1 do Anexo XXII, Capítulo I, Item 4.1, Inciso VIII, que trata sobre a prática do cuidado individual, familiar e dirigido a pessoas, famílias e grupos sociais, propondo intervenções que possam influenciar os processos saúde-doença individual, das coletividades e da própria comunidade; e no Caderno de Atenção Básica, Saúde Mental nº 34, 2013, Item 5, pág. 63-71 que propõe a participação das equipes de atenção básica e saúde da família no acompanhamento e atendimento a pessoas em sofrimento psíquico intenso e usuárias de álcool e outras drogas que necessitam de atenção e seus familiares.</w:t>
      </w:r>
    </w:p>
    <w:p>
      <w:pPr>
        <w:pStyle w:val="937"/>
      </w:pPr>
      <w:r>
        <w:rPr>
          <w:b/>
          <w:bCs/>
        </w:rPr>
        <w:t xml:space="preserve">Etiqueta Antiga</w:t>
      </w:r>
      <w:r>
        <w:t xml:space="preserve">: Gestão de operações</w:t>
      </w:r>
    </w:p>
    <w:bookmarkEnd w:id="548"/>
    <w:bookmarkStart w:id="549" w:name="auditoria-19815-constatação-nº-692658-1"/>
    <w:p>
      <w:pPr>
        <w:pStyle w:val="907"/>
      </w:pPr>
      <w:r>
        <w:t xml:space="preserve">14.0.11.39 Auditoria 19815, Constatação Nº 692658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Atividades desenvolvidas/Rotinas de Trabalho</w:t>
      </w:r>
    </w:p>
    <w:p>
      <w:pPr>
        <w:pStyle w:val="937"/>
      </w:pPr>
      <w:r>
        <w:rPr>
          <w:b/>
          <w:bCs/>
        </w:rPr>
        <w:t xml:space="preserve">Constatação</w:t>
      </w:r>
      <w:r>
        <w:t xml:space="preserve">: A Central Municipal da Rede de Frio de Camaçari/BA não comprovou a existência de rotina estabelecida para verificação do perfeito funcionamento dos equipamentos.</w:t>
      </w:r>
    </w:p>
    <w:p>
      <w:pPr>
        <w:pStyle w:val="937"/>
      </w:pPr>
      <w:r>
        <w:rPr>
          <w:b/>
          <w:bCs/>
        </w:rPr>
        <w:t xml:space="preserve">Recomendação</w:t>
      </w:r>
      <w:r>
        <w:t xml:space="preserve">: Adotar medidas para assegurar a rotina diária de verificação do perfeito funcionamento dos equipamentos da CMRF conforme orientações contidas no Manual de Rede Frio do PNI, 2017: Subitem 6.13, Item 6, pág. 63-Estabelecer rotina diária para verificação do perfeito funcionamento dos equipamentos (funcionamento dos alarmes, mensagens, alimentação elétrica e hidráulica e de rede, realização dos ciclos, entre outros), ao final do expediente e 6.6.2 do Subitem 6.6, Item 6, pág. 57-Estabelecer rotina diária para verificação do perfeito funcionamento dos equipamentos de refrigeração (fechamento da porta, funcionamento dos alarmes, alimentação elétrica, entre outros), ao final do expediente, concomitante com o Inciso XVIII, do Art. 23, da Seção III, Capítulo II, da Resolução-RDC Nº 63, de 25/11/2011-O serviço de saúde deve manter disponível, segundo o seu tipo de atividade, documentação e registro referente à: (…) XVIII - normas, rotinas e procedimentos.</w:t>
      </w:r>
    </w:p>
    <w:p>
      <w:pPr>
        <w:pStyle w:val="937"/>
      </w:pPr>
      <w:r>
        <w:rPr>
          <w:b/>
          <w:bCs/>
        </w:rPr>
        <w:t xml:space="preserve">Etiqueta Antiga</w:t>
      </w:r>
      <w:r>
        <w:t xml:space="preserve">: Gestão de operações</w:t>
      </w:r>
    </w:p>
    <w:bookmarkEnd w:id="549"/>
    <w:bookmarkStart w:id="550" w:name="auditoria-19835-constatação-nº-701069-1"/>
    <w:p>
      <w:pPr>
        <w:pStyle w:val="907"/>
      </w:pPr>
      <w:r>
        <w:t xml:space="preserve">14.0.11.40 Auditoria 19835, Constatação Nº 701069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As UBSs visitadas não apresentaram registros das ações de prevenção e promoção relacionadas à temática da saúde mental.</w:t>
      </w:r>
    </w:p>
    <w:p>
      <w:pPr>
        <w:pStyle w:val="937"/>
      </w:pPr>
      <w:r>
        <w:rPr>
          <w:b/>
          <w:bCs/>
        </w:rPr>
        <w:t xml:space="preserve">Recomendação</w:t>
      </w:r>
      <w:r>
        <w:t xml:space="preserve">: A SMSA/BV deve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 1º, do Art. 6º, do Anexo V, da Portaria de Consolidação GM/MS nº 3, de 28 de setembro de 2017, o qual dispõe sobre os pontos de atenção da Rede de Atenção Psicossocial na Atenção Básica em saúde e especifica que a Rede de Atenção Psicossocial tem a responsabilidade de desenvolver ações de promoção de saúde mental, prevenção e cuidado dos transtornos mentais, ações de redução de danos e cuidado para pessoas com necessidades decorrentes do uso de crack, álcool e outras drogas, compartilhadas, sempre que necessário, com os demais pontos da rede.</w:t>
      </w:r>
    </w:p>
    <w:p>
      <w:pPr>
        <w:pStyle w:val="937"/>
      </w:pPr>
      <w:r>
        <w:rPr>
          <w:b/>
          <w:bCs/>
        </w:rPr>
        <w:t xml:space="preserve">Etiqueta Antiga</w:t>
      </w:r>
      <w:r>
        <w:t xml:space="preserve">: Gestão de operações</w:t>
      </w:r>
    </w:p>
    <w:bookmarkEnd w:id="550"/>
    <w:bookmarkStart w:id="551" w:name="auditoria-19835-constatação-nº-701073-1"/>
    <w:p>
      <w:pPr>
        <w:pStyle w:val="907"/>
      </w:pPr>
      <w:r>
        <w:t xml:space="preserve">14.0.11.41 Auditoria 19835, Constatação Nº 701073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Atendimento e Continuidade do Cuidado</w:t>
      </w:r>
    </w:p>
    <w:p>
      <w:pPr>
        <w:pStyle w:val="937"/>
      </w:pPr>
      <w:r>
        <w:rPr>
          <w:b/>
          <w:bCs/>
        </w:rPr>
        <w:t xml:space="preserve">Constatação</w:t>
      </w:r>
      <w:r>
        <w:t xml:space="preserve">: As UBSs visitadas não demonstraram a realização da continuidade do cuidado ou ações de redução de danos a grupos específicos de pacientes.</w:t>
      </w:r>
    </w:p>
    <w:p>
      <w:pPr>
        <w:pStyle w:val="937"/>
      </w:pPr>
      <w:r>
        <w:rPr>
          <w:b/>
          <w:bCs/>
        </w:rPr>
        <w:t xml:space="preserve">Recomendação</w:t>
      </w:r>
      <w:r>
        <w:t xml:space="preserve">: A SMSA/BV deve estabelecer, nos processos de trabalho das UBSs, ações que efetivem a continuidade do cuidado e ações de redução de danos específicas, voltadas para pacientes que apresentem alguma condição de saúde mental e populações vulneráveis, como gestantes, idosos, crianças, adolescentes e pessoas em situação de rua, propiciando um atendimento de maneira coordenada e sem interrupções, em especial a grupos específicos de pacientes, em atendimento ao Inciso I, do Art. 4º, do Anexo V, da Portaria de Consolidação GM/MS nº 3, de 28 setembro 2017, o qual dispõe sobre os objetivos específicos da Rede de Atenção Psicossocial: promover cuidados em saúde especialmente para grupos mais vulneráveis crianças, adolescentes, jovens, pessoas em situação de rua e populações indígenas.</w:t>
      </w:r>
    </w:p>
    <w:p>
      <w:pPr>
        <w:pStyle w:val="937"/>
      </w:pPr>
      <w:r>
        <w:rPr>
          <w:b/>
          <w:bCs/>
        </w:rPr>
        <w:t xml:space="preserve">Etiqueta Antiga</w:t>
      </w:r>
      <w:r>
        <w:t xml:space="preserve">: Gestão de operações</w:t>
      </w:r>
    </w:p>
    <w:bookmarkEnd w:id="551"/>
    <w:bookmarkStart w:id="552" w:name="auditoria-19848-constatação-nº-701953-1"/>
    <w:p>
      <w:pPr>
        <w:pStyle w:val="907"/>
      </w:pPr>
      <w:r>
        <w:t xml:space="preserve">14.0.11.42 Auditoria 19848, Constatação Nº 701953 (#1)</w:t>
      </w:r>
    </w:p>
    <w:p>
      <w:pPr>
        <w:pStyle w:val="937"/>
      </w:pPr>
      <w:r>
        <w:rPr>
          <w:b/>
          <w:bCs/>
        </w:rPr>
        <w:t xml:space="preserve">Grupo</w:t>
      </w:r>
      <w:r>
        <w:t xml:space="preserve">: Saúde do Trabalhador</w:t>
      </w:r>
    </w:p>
    <w:p>
      <w:pPr>
        <w:pStyle w:val="937"/>
      </w:pPr>
      <w:r>
        <w:rPr>
          <w:b/>
          <w:bCs/>
        </w:rPr>
        <w:t xml:space="preserve">Subgrupo</w:t>
      </w:r>
      <w:r>
        <w:t xml:space="preserve">: Ações</w:t>
      </w:r>
    </w:p>
    <w:p>
      <w:pPr>
        <w:pStyle w:val="937"/>
      </w:pPr>
      <w:r>
        <w:rPr>
          <w:b/>
          <w:bCs/>
        </w:rPr>
        <w:t xml:space="preserve">Item</w:t>
      </w:r>
      <w:r>
        <w:t xml:space="preserve">: Vigilância em saúde</w:t>
      </w:r>
    </w:p>
    <w:p>
      <w:pPr>
        <w:pStyle w:val="937"/>
      </w:pPr>
      <w:r>
        <w:rPr>
          <w:b/>
          <w:bCs/>
        </w:rPr>
        <w:t xml:space="preserve">Constatação</w:t>
      </w:r>
      <w:r>
        <w:t xml:space="preserve">: A Secretaria Municipal de Saúde-SMS de Aracati/CE não comprovou a análise periódica da situação de saúde dos trabalhadores no território de atuação do CEREST Regional.</w:t>
      </w:r>
    </w:p>
    <w:p>
      <w:pPr>
        <w:pStyle w:val="937"/>
      </w:pPr>
      <w:r>
        <w:rPr>
          <w:b/>
          <w:bCs/>
        </w:rPr>
        <w:t xml:space="preserve">Recomendação</w:t>
      </w:r>
      <w:r>
        <w:t xml:space="preserve">: Realizar, por meio do CEREST Regional de Aracati/CE, a análise periódica da situação de saúde dos trabalhadores no território de atuação concernente, elaborando estudos e análises que identifiquem e possibilitem a compreensão dos problemas de saúde dos trabalhadores e o comportamento dos principais indicadores de saúde, como estabelece a letra</w:t>
      </w:r>
      <w:r>
        <w:t xml:space="preserve"> </w:t>
      </w:r>
      <w:r>
        <w:rPr>
          <w:rStyle w:val="949"/>
        </w:rPr>
        <w:t xml:space="preserve">f</w:t>
      </w:r>
      <w:r>
        <w:t xml:space="preserve">, inciso II, art. 9º, Capítulo III, Anexo XV, da Portaria de Consolidação GM/MS 02, de 28 de setembro de 2017.</w:t>
      </w:r>
    </w:p>
    <w:p>
      <w:pPr>
        <w:pStyle w:val="937"/>
      </w:pPr>
      <w:r>
        <w:rPr>
          <w:b/>
          <w:bCs/>
        </w:rPr>
        <w:t xml:space="preserve">Etiqueta Antiga</w:t>
      </w:r>
      <w:r>
        <w:t xml:space="preserve">: Gestão de operações</w:t>
      </w:r>
    </w:p>
    <w:bookmarkEnd w:id="552"/>
    <w:bookmarkStart w:id="553" w:name="auditoria-19849-constatação-nº-701398-1"/>
    <w:p>
      <w:pPr>
        <w:pStyle w:val="907"/>
      </w:pPr>
      <w:r>
        <w:t xml:space="preserve">14.0.11.43 Auditoria 19849, Constatação Nº 701398 (#1)</w:t>
      </w:r>
    </w:p>
    <w:p>
      <w:pPr>
        <w:pStyle w:val="937"/>
      </w:pPr>
      <w:r>
        <w:rPr>
          <w:b/>
          <w:bCs/>
        </w:rPr>
        <w:t xml:space="preserve">Grupo</w:t>
      </w:r>
      <w:r>
        <w:t xml:space="preserve">: Saúde do Trabalhador</w:t>
      </w:r>
    </w:p>
    <w:p>
      <w:pPr>
        <w:pStyle w:val="937"/>
      </w:pPr>
      <w:r>
        <w:rPr>
          <w:b/>
          <w:bCs/>
        </w:rPr>
        <w:t xml:space="preserve">Subgrupo</w:t>
      </w:r>
      <w:r>
        <w:t xml:space="preserve">: Estrutura Física</w:t>
      </w:r>
    </w:p>
    <w:p>
      <w:pPr>
        <w:pStyle w:val="937"/>
      </w:pPr>
      <w:r>
        <w:rPr>
          <w:b/>
          <w:bCs/>
        </w:rPr>
        <w:t xml:space="preserve">Item</w:t>
      </w:r>
      <w:r>
        <w:t xml:space="preserve">: Instalações</w:t>
      </w:r>
    </w:p>
    <w:p>
      <w:pPr>
        <w:pStyle w:val="937"/>
      </w:pPr>
      <w:r>
        <w:rPr>
          <w:b/>
          <w:bCs/>
        </w:rPr>
        <w:t xml:space="preserve">Constatação</w:t>
      </w:r>
      <w:r>
        <w:t xml:space="preserve">: O Cerest Centro não dispunha de contrato com empresa de serviço de internet e suporte técnico necessário para a execução das suas atividades nos anos de 2023 e 2024.</w:t>
      </w:r>
    </w:p>
    <w:p>
      <w:pPr>
        <w:pStyle w:val="937"/>
      </w:pPr>
      <w:r>
        <w:rPr>
          <w:b/>
          <w:bCs/>
        </w:rPr>
        <w:t xml:space="preserve">Recomendação</w:t>
      </w:r>
      <w:r>
        <w:t xml:space="preserve">: Providenciar a formalização do contrato de serviço contínuo de provimento de internet para o adequado desempenho das atividades do Cerest Centro, em atendimento ao disposto na Cláusula Nona do Contrato de Gestão (CG) n.º 006/2022 da SPDM, item XXVIII e Art. 17 da RDC n.º 63, de 25/11/2011.</w:t>
      </w:r>
    </w:p>
    <w:p>
      <w:pPr>
        <w:pStyle w:val="937"/>
      </w:pPr>
      <w:r>
        <w:rPr>
          <w:b/>
          <w:bCs/>
        </w:rPr>
        <w:t xml:space="preserve">Etiqueta Antiga</w:t>
      </w:r>
      <w:r>
        <w:t xml:space="preserve">: Gestão de contratos</w:t>
      </w:r>
    </w:p>
    <w:bookmarkEnd w:id="553"/>
    <w:bookmarkStart w:id="554" w:name="auditoria-19852-constatação-nº-703421-1"/>
    <w:p>
      <w:pPr>
        <w:pStyle w:val="907"/>
      </w:pPr>
      <w:r>
        <w:t xml:space="preserve">14.0.11.44 Auditoria 19852, Constatação Nº 703421 (#1)</w:t>
      </w:r>
    </w:p>
    <w:p>
      <w:pPr>
        <w:pStyle w:val="937"/>
      </w:pPr>
      <w:r>
        <w:rPr>
          <w:b/>
          <w:bCs/>
        </w:rPr>
        <w:t xml:space="preserve">Grupo</w:t>
      </w:r>
      <w:r>
        <w:t xml:space="preserve">: Saúde do Trabalhador</w:t>
      </w:r>
    </w:p>
    <w:p>
      <w:pPr>
        <w:pStyle w:val="937"/>
      </w:pPr>
      <w:r>
        <w:rPr>
          <w:b/>
          <w:bCs/>
        </w:rPr>
        <w:t xml:space="preserve">Subgrupo</w:t>
      </w:r>
      <w:r>
        <w:t xml:space="preserve">: Produção de Informação</w:t>
      </w:r>
    </w:p>
    <w:p>
      <w:pPr>
        <w:pStyle w:val="937"/>
      </w:pPr>
      <w:r>
        <w:rPr>
          <w:b/>
          <w:bCs/>
        </w:rPr>
        <w:t xml:space="preserve">Item</w:t>
      </w:r>
      <w:r>
        <w:t xml:space="preserve">: Base de dados</w:t>
      </w:r>
    </w:p>
    <w:p>
      <w:pPr>
        <w:pStyle w:val="937"/>
      </w:pPr>
      <w:r>
        <w:rPr>
          <w:b/>
          <w:bCs/>
        </w:rPr>
        <w:t xml:space="preserve">Constatação</w:t>
      </w:r>
      <w:r>
        <w:t xml:space="preserve">: O CEST/PR não atuou no acompanhamento, no monitoramento e não avaliou os resultados obtidos, por meio do controle dos indicadores estabelecidos no planejamento para a organização abrangente de atividades de atenção integral à saúde do trabalhador, englobando áreas como promoção, vigilância, atenção básica e serviços de média e alta complexidade, nos exercícios de 2023 e 2024.</w:t>
      </w:r>
    </w:p>
    <w:p>
      <w:pPr>
        <w:pStyle w:val="937"/>
      </w:pPr>
      <w:r>
        <w:rPr>
          <w:b/>
          <w:bCs/>
        </w:rPr>
        <w:t xml:space="preserve">Recomendação</w:t>
      </w:r>
      <w:r>
        <w:t xml:space="preserve">: 1. Implementar e monitorar as notificações dos agravos à saúde, na rede de atenção do SUS, e os riscos relacionados com o trabalho, conforme previsto no inciso IV (Ações de Responsabilidade dos Estados) do Anexo 1 do Anexo X da Portaria de Consolidação MS/GM nº 3, de 28/9/2017.</w:t>
      </w:r>
    </w:p>
    <w:p>
      <w:pPr>
        <w:pStyle w:val="937"/>
      </w:pPr>
      <w:r>
        <w:rPr>
          <w:b/>
          <w:bCs/>
        </w:rPr>
        <w:t xml:space="preserve">Etiqueta Antiga</w:t>
      </w:r>
      <w:r>
        <w:t xml:space="preserve">: Gestão de operações</w:t>
      </w:r>
    </w:p>
    <w:bookmarkEnd w:id="554"/>
    <w:bookmarkStart w:id="555" w:name="auditoria-19863-constatação-nº-704252-1"/>
    <w:p>
      <w:pPr>
        <w:pStyle w:val="907"/>
      </w:pPr>
      <w:r>
        <w:t xml:space="preserve">14.0.11.45 Auditoria 19863, Constatação Nº 704252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Normas/Rotinas/Protocolos/Comissões Internas</w:t>
      </w:r>
    </w:p>
    <w:p>
      <w:pPr>
        <w:pStyle w:val="937"/>
      </w:pPr>
      <w:r>
        <w:rPr>
          <w:b/>
          <w:bCs/>
        </w:rPr>
        <w:t xml:space="preserve">Constatação</w:t>
      </w:r>
      <w:r>
        <w:t xml:space="preserve">: A SES/TO não comprovou a elaboração do Plano de Segurança do Paciente do Hospital Regional de Arapoema.</w:t>
      </w:r>
    </w:p>
    <w:p>
      <w:pPr>
        <w:pStyle w:val="937"/>
      </w:pPr>
      <w:r>
        <w:rPr>
          <w:b/>
          <w:bCs/>
        </w:rPr>
        <w:t xml:space="preserve">Recomendação</w:t>
      </w:r>
      <w:r>
        <w:t xml:space="preserve">: Cumprir o acordado no item 8.2</w:t>
      </w:r>
      <w:r>
        <w:t xml:space="preserve"> </w:t>
      </w:r>
      <w:r>
        <w:t xml:space="preserve">“Elaborar Plano de Segurança do Paciente em Serviços de Saúde em cumprimento à Portaria MS nº. 529/2013”</w:t>
      </w:r>
      <w:r>
        <w:t xml:space="preserve">- Plano de Ação SES/TO 2022, do Hospital Regional de Arapoema.</w:t>
      </w:r>
    </w:p>
    <w:p>
      <w:pPr>
        <w:pStyle w:val="937"/>
      </w:pPr>
      <w:r>
        <w:rPr>
          <w:b/>
          <w:bCs/>
        </w:rPr>
        <w:t xml:space="preserve">Etiqueta Antiga</w:t>
      </w:r>
      <w:r>
        <w:t xml:space="preserve">: Gestão de operações</w:t>
      </w:r>
    </w:p>
    <w:bookmarkEnd w:id="555"/>
    <w:bookmarkStart w:id="556" w:name="auditoria-19879-constatação-nº-703723-1"/>
    <w:p>
      <w:pPr>
        <w:pStyle w:val="907"/>
      </w:pPr>
      <w:r>
        <w:t xml:space="preserve">14.0.11.46 Auditoria 19879, Constatação Nº 703723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O Hospital de Câncer de Cascavel (Uopeccan) não realizou a reconstrução mamária, no mesmo ato anestésico, em mulheres submetidas à mastectomia radical, em internações pelo procedimento 04.15.02.005-0.</w:t>
      </w:r>
    </w:p>
    <w:p>
      <w:pPr>
        <w:pStyle w:val="937"/>
      </w:pPr>
      <w:r>
        <w:rPr>
          <w:b/>
          <w:bCs/>
        </w:rPr>
        <w:t xml:space="preserve">Recomendação</w:t>
      </w:r>
      <w:r>
        <w:t xml:space="preserve">: Assegurar a efetiva aplicação da Lei nº 9.797/1999, garantindo às mulheres submetidas à mastectomia em decorrência de tratamento de câncer o direito à cirurgia plástica reconstrutiva da mama. Conforme disposto no art. 1º, é dever da unidade de saúde viabilizar esse procedimento sempre que houver mutilação total ou parcial da mama. Nos termos do art. 2º, § 1º, a reconstrução deve ocorrer no mesmo tempo cirúrgico da mastectomia, desde que existam condições clínicas e técnicas adequadas. Caso a reconstrução imediata não seja possível, conforme previsto no § 2º do mesmo artigo, é imprescindível que haja registro formal da justificativa técnica no prontuário da paciente, bem como a garantia de seu encaminhamento para acompanhamento e posterior realização do procedimento, assim que forem atendidos os critérios clínicos necessários.</w:t>
      </w:r>
    </w:p>
    <w:p>
      <w:pPr>
        <w:pStyle w:val="937"/>
      </w:pPr>
      <w:r>
        <w:rPr>
          <w:b/>
          <w:bCs/>
        </w:rPr>
        <w:t xml:space="preserve">Etiqueta Antiga</w:t>
      </w:r>
      <w:r>
        <w:t xml:space="preserve">: Cumprimento de requisito normativo</w:t>
      </w:r>
    </w:p>
    <w:bookmarkEnd w:id="556"/>
    <w:bookmarkStart w:id="557" w:name="auditoria-19882-constatação-nº-703684-1"/>
    <w:p>
      <w:pPr>
        <w:pStyle w:val="907"/>
      </w:pPr>
      <w:r>
        <w:t xml:space="preserve">14.0.11.47 Auditoria 19882, Constatação Nº 703684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Faturamento/Produção/cobranças SUS</w:t>
      </w:r>
    </w:p>
    <w:p>
      <w:pPr>
        <w:pStyle w:val="937"/>
      </w:pPr>
      <w:r>
        <w:rPr>
          <w:b/>
          <w:bCs/>
        </w:rPr>
        <w:t xml:space="preserve">Constatação</w:t>
      </w:r>
      <w:r>
        <w:t xml:space="preserve">: As internações (AIHs) para quimioterapia de administração contínua (03.04.08.002-0) com tempo de permanência superior a 6 dias não possuem outra AIH emitida para outro procedimento compatível com tratamento de intercorrência clinica.</w:t>
      </w:r>
    </w:p>
    <w:p>
      <w:pPr>
        <w:pStyle w:val="937"/>
      </w:pPr>
      <w:r>
        <w:rPr>
          <w:b/>
          <w:bCs/>
        </w:rPr>
        <w:t xml:space="preserve">Recomendação</w:t>
      </w:r>
      <w:r>
        <w:t xml:space="preserve">: A Gestão da SMS de Maceió deve aprimorar o monitoramento e o controle das análises e aprovações das AIHs com procedimentos oncológicos, especialmente quanto as internações (AIHs) para quimioterapia de administração contínua (03.04.08.002-0) com tempo de permanência superior a 6 dias, que deve ser emitida outra AIH com outro procedimento compatível com tratamento de intercorrência clinica; avaliar a necessidade de reforçar a equipe técnica do setor de controle e avaliação, tanto com novos profissionais como agendas continuadas de cursos de capacitação, com vistas a dá condições para o acompanhamento e controle tempestivos dos contratados de serviços oncológicos; notificar a Santa Casa de Misericórida de Maceió para a emissão de nova AIH para outro procedimento compatível com tratamento de intercorrência clinica nas internações (AIHs) para quimioterapia de administração contínua (03.04.08.002-0), com tempo de permanência superior a 6 dias em cumprimento ao art. 2º da Lei nº 14.758, de 19/12/2023; o disposto no Manual de Bases Técnicas da Oncologia - SIA/SUS - Sistema de Informações Ambulatoriais, 30º edição, Brasil: Ministério da Saúde/ SAES, 2022 e o contido no Sistema de Informações Ambulatoriais, 30º edição, Brasil: Ministério da Saúde/SAES, 2022, pág. 56.e monitorar o cumprimento das recomendações desta constatação pela Santa Casa de Maceió e manter a equipe técnica da Secretaria de Atenção Especializada do Ministério da Saúde (SAES/MS) atualizada, sobre as providências realizadas pelos responsáveis.</w:t>
      </w:r>
    </w:p>
    <w:p>
      <w:pPr>
        <w:pStyle w:val="937"/>
      </w:pPr>
      <w:r>
        <w:rPr>
          <w:b/>
          <w:bCs/>
        </w:rPr>
        <w:t xml:space="preserve">Etiqueta Antiga</w:t>
      </w:r>
      <w:r>
        <w:t xml:space="preserve">: Gestão de operações</w:t>
      </w:r>
    </w:p>
    <w:bookmarkEnd w:id="557"/>
    <w:bookmarkStart w:id="558" w:name="auditoria-19883-constatação-nº-703016-1"/>
    <w:p>
      <w:pPr>
        <w:pStyle w:val="907"/>
      </w:pPr>
      <w:r>
        <w:t xml:space="preserve">14.0.11.48 Auditoria 19883, Constatação Nº 703016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Documentação/Prontuários</w:t>
      </w:r>
    </w:p>
    <w:p>
      <w:pPr>
        <w:pStyle w:val="937"/>
      </w:pPr>
      <w:r>
        <w:rPr>
          <w:b/>
          <w:bCs/>
        </w:rPr>
        <w:t xml:space="preserve">Constatação</w:t>
      </w:r>
      <w:r>
        <w:t xml:space="preserve">: O Hospital Geral de Palmas Dr. Francisco Ayres iniciou o tratamento clínico em oncologia antes da autorização da APAC, emitida pela Secretaria de Saúde do Estado do Tocantins (SES-TO).</w:t>
      </w:r>
    </w:p>
    <w:p>
      <w:pPr>
        <w:pStyle w:val="937"/>
      </w:pPr>
      <w:r>
        <w:rPr>
          <w:b/>
          <w:bCs/>
        </w:rPr>
        <w:t xml:space="preserve">Recomendação</w:t>
      </w:r>
      <w:r>
        <w:t xml:space="preserve">: Assegurar que o Hospital Geral de Palmas Dr. Francisco Ayres inicie o tratamento clínico em oncologia mediante autorização da APAC, emitida pela Secretaria de Saúde do Estado do Tocantins, conforme observado no Manual Técnico Operacional do SIA/SUS (agosto, 2016), pág. 19, que diz que o Laudo para Solicitação/Autorização de Procedimentos Ambulatoriais (APAC)</w:t>
      </w:r>
      <w:r>
        <w:t xml:space="preserve"> </w:t>
      </w:r>
      <w:r>
        <w:t xml:space="preserve">“é o documento que justifica, perante o órgão autorizador, a solicitação de procedimentos que prescindem de autorização prévia”</w:t>
      </w:r>
      <w:r>
        <w:t xml:space="preserve">.</w:t>
      </w:r>
    </w:p>
    <w:p>
      <w:pPr>
        <w:pStyle w:val="937"/>
      </w:pPr>
      <w:r>
        <w:rPr>
          <w:b/>
          <w:bCs/>
        </w:rPr>
        <w:t xml:space="preserve">Etiqueta Antiga</w:t>
      </w:r>
      <w:r>
        <w:t xml:space="preserve">: Gestão de operações</w:t>
      </w:r>
    </w:p>
    <w:bookmarkEnd w:id="558"/>
    <w:bookmarkStart w:id="559" w:name="auditoria-19887-constatação-nº-702485-1"/>
    <w:p>
      <w:pPr>
        <w:pStyle w:val="907"/>
      </w:pPr>
      <w:r>
        <w:t xml:space="preserve">14.0.11.49 Auditoria 19887, Constatação Nº 702485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Faturamento/Produção/Cobranças SUS</w:t>
      </w:r>
    </w:p>
    <w:p>
      <w:pPr>
        <w:pStyle w:val="937"/>
      </w:pPr>
      <w:r>
        <w:rPr>
          <w:b/>
          <w:bCs/>
        </w:rPr>
        <w:t xml:space="preserve">Constatação</w:t>
      </w:r>
      <w:r>
        <w:t xml:space="preserve">: A Fundação Pio XII Barretos não apresentou as Autorizações para internação hospitalar (AIHs) de cirurgia oncológica no máximo 60 dias antes da quimioterapia adjuvante profilática (código 03.04.05) em desacordo com a legislação e o Manual de bases técnicas da Oncologia do Ministério da Saúde.</w:t>
      </w:r>
    </w:p>
    <w:p>
      <w:pPr>
        <w:pStyle w:val="937"/>
      </w:pPr>
      <w:r>
        <w:rPr>
          <w:b/>
          <w:bCs/>
        </w:rPr>
        <w:t xml:space="preserve">Recomendação</w:t>
      </w:r>
      <w:r>
        <w:t xml:space="preserve">: 1-Cumprir o disposto nos § 1º e 2º do Art. 2º da Lei nº 14.758, de 19 de dezembro de 2023, o qual estabelecem que fazem parte do cuidado integral a prevenção, o rastreamento, a detecção precoce e o diagnóstico do câncer, o tratamento, a reabilitação e os cuidados paliativos do paciente, bem como o apoio psicológico oferecido a ele e a seus familiares. E, ainda, que os componentes do cuidado integral, devem ser oferecidos de forma oportuna, permitindo a continuidade do cuidado. 2-Cumprir o disposto na pág. 56 do Manual de Bases Técnicas da Oncologia - SIA/SUS, 30ª edição (Ministério da Saúde/SAES, 2022), o qual estabelece que o autorizador deve atentar não somente para os procedimentos e normativos relativos ao SIA/SUS, mas, também, aos do SIH/SUS, e a assistência que eles integram. São exemplos as correlações […] entre APAC de quimioterapia prévia ou adjuvante com a AIH do respectivo ato operatório, e também na pág. 108 a qual determina que a quimioterapia adjuvante deve ser iniciada, no máximo, entre 30 a 60 dias do pós- operatório, e tem por finalidade aumentar o intervalo livre de doença e a sobrevida global dos doentes. É de longa duração (de 6 a 12 meses para quimioterapia não hormonal e 60 meses para a hormonioterapia do câncer de mama).</w:t>
      </w:r>
    </w:p>
    <w:p>
      <w:pPr>
        <w:pStyle w:val="937"/>
      </w:pPr>
      <w:r>
        <w:rPr>
          <w:b/>
          <w:bCs/>
        </w:rPr>
        <w:t xml:space="preserve">Etiqueta Antiga</w:t>
      </w:r>
      <w:r>
        <w:t xml:space="preserve">: Cumprimento de requisito normativo</w:t>
      </w:r>
    </w:p>
    <w:bookmarkEnd w:id="559"/>
    <w:bookmarkEnd w:id="560"/>
    <w:bookmarkStart w:id="567" w:name="estrutura-física"/>
    <w:p>
      <w:pPr>
        <w:pStyle w:val="906"/>
      </w:pPr>
      <w:r>
        <w:t xml:space="preserve">14.0.12 Estrutura física</w:t>
      </w:r>
    </w:p>
    <w:bookmarkStart w:id="561" w:name="auditoria-19473-constatação-nº-669175-1"/>
    <w:p>
      <w:pPr>
        <w:pStyle w:val="907"/>
      </w:pPr>
      <w:r>
        <w:t xml:space="preserve">14.0.12.1 Auditoria 19473, Constatação Nº 669175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Bases descentralizadas</w:t>
      </w:r>
    </w:p>
    <w:p>
      <w:pPr>
        <w:pStyle w:val="937"/>
      </w:pPr>
      <w:r>
        <w:rPr>
          <w:b/>
          <w:bCs/>
        </w:rPr>
        <w:t xml:space="preserve">Constatação</w:t>
      </w:r>
      <w:r>
        <w:t xml:space="preserve">: As infraestruturas físicas das Bases descentralizadas não estão de acordo com a legislação vigente.</w:t>
      </w:r>
    </w:p>
    <w:p>
      <w:pPr>
        <w:pStyle w:val="937"/>
      </w:pPr>
      <w:r>
        <w:rPr>
          <w:b/>
          <w:bCs/>
        </w:rPr>
        <w:t xml:space="preserve">Recomendação</w:t>
      </w:r>
      <w:r>
        <w:t xml:space="preserve">: Realizar as reformas e ajustes necessários na infraestrutura das bases descentralizadas, bem como a conclusão dos processos administrativos em tramitação a fim de atender o estabelecido no Manual de Identidade Visual SAMU 192 Versão 1.2/2012 e Programa Arquitetônico Mínimo Base Descentralizada SAMU 192 Versão 2.0/2018.</w:t>
      </w:r>
    </w:p>
    <w:p>
      <w:pPr>
        <w:pStyle w:val="937"/>
      </w:pPr>
      <w:r>
        <w:rPr>
          <w:b/>
          <w:bCs/>
        </w:rPr>
        <w:t xml:space="preserve">Etiqueta Antiga</w:t>
      </w:r>
      <w:r>
        <w:t xml:space="preserve">: Estrutura física</w:t>
      </w:r>
    </w:p>
    <w:bookmarkEnd w:id="561"/>
    <w:bookmarkStart w:id="562" w:name="auditoria-19488-constatação-nº-673871-1"/>
    <w:p>
      <w:pPr>
        <w:pStyle w:val="907"/>
      </w:pPr>
      <w:r>
        <w:t xml:space="preserve">14.0.12.2 Auditoria 19488, Constatação Nº 673871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Central de Regulação</w:t>
      </w:r>
    </w:p>
    <w:p>
      <w:pPr>
        <w:pStyle w:val="937"/>
      </w:pPr>
      <w:r>
        <w:rPr>
          <w:b/>
          <w:bCs/>
        </w:rPr>
        <w:t xml:space="preserve">Constatação</w:t>
      </w:r>
      <w:r>
        <w:t xml:space="preserve">: A infraestrutura física da Central de Regulação das Urgências (CRU) do SAMU 192 de Cajazeiras/PB não está compatível com os critérios legais.</w:t>
      </w:r>
    </w:p>
    <w:p>
      <w:pPr>
        <w:pStyle w:val="937"/>
      </w:pPr>
      <w:r>
        <w:rPr>
          <w:b/>
          <w:bCs/>
        </w:rPr>
        <w:t xml:space="preserve">Recomendação</w:t>
      </w:r>
      <w:r>
        <w:t xml:space="preserve">: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pPr>
        <w:pStyle w:val="937"/>
      </w:pPr>
      <w:r>
        <w:rPr>
          <w:b/>
          <w:bCs/>
        </w:rPr>
        <w:t xml:space="preserve">Etiqueta Antiga</w:t>
      </w:r>
      <w:r>
        <w:t xml:space="preserve">: Estrutura física</w:t>
      </w:r>
    </w:p>
    <w:bookmarkEnd w:id="562"/>
    <w:bookmarkStart w:id="563" w:name="auditoria-19565-constatação-nº-677649-1"/>
    <w:p>
      <w:pPr>
        <w:pStyle w:val="907"/>
      </w:pPr>
      <w:r>
        <w:t xml:space="preserve">14.0.12.3 Auditoria 19565, Constatação Nº 677649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Central de Regulação</w:t>
      </w:r>
    </w:p>
    <w:p>
      <w:pPr>
        <w:pStyle w:val="937"/>
      </w:pPr>
      <w:r>
        <w:rPr>
          <w:b/>
          <w:bCs/>
        </w:rPr>
        <w:t xml:space="preserve">Constatação</w:t>
      </w:r>
      <w:r>
        <w:t xml:space="preserve">: O SAMU 192 Teresina necessita de reformas e reparos nas suas instalações físicas.</w:t>
      </w:r>
    </w:p>
    <w:p>
      <w:pPr>
        <w:pStyle w:val="937"/>
      </w:pPr>
      <w:r>
        <w:rPr>
          <w:b/>
          <w:bCs/>
        </w:rPr>
        <w:t xml:space="preserve">Recomendação</w:t>
      </w:r>
      <w:r>
        <w:t xml:space="preserve">: Realizar reformas e reparos nas instalações físicas do SAMU Teresina, incluindo a sede central e as bases descentralizadas, com base nas demandas identificadas nos processos SEI em andamento, nesta auditoria, e na Portaria de Consolidação nº 3/2017, Título II, Capítulo I, Seção II, Subseção II, Art. 43, Parágrafo único, e no item 5.1 da ABNT NBR 5674.</w:t>
      </w:r>
    </w:p>
    <w:p>
      <w:pPr>
        <w:pStyle w:val="937"/>
      </w:pPr>
      <w:r>
        <w:rPr>
          <w:b/>
          <w:bCs/>
        </w:rPr>
        <w:t xml:space="preserve">Etiqueta Antiga</w:t>
      </w:r>
      <w:r>
        <w:t xml:space="preserve">: Estrutura física</w:t>
      </w:r>
    </w:p>
    <w:bookmarkEnd w:id="563"/>
    <w:bookmarkStart w:id="564" w:name="auditoria-19565-constatação-nº-677645-1"/>
    <w:p>
      <w:pPr>
        <w:pStyle w:val="907"/>
      </w:pPr>
      <w:r>
        <w:t xml:space="preserve">14.0.12.4 Auditoria 19565, Constatação Nº 677645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Bases descentralizadas</w:t>
      </w:r>
    </w:p>
    <w:p>
      <w:pPr>
        <w:pStyle w:val="937"/>
      </w:pPr>
      <w:r>
        <w:rPr>
          <w:b/>
          <w:bCs/>
        </w:rPr>
        <w:t xml:space="preserve">Constatação</w:t>
      </w:r>
      <w:r>
        <w:t xml:space="preserve">: O layout e padrão visual das Bases Descentralizadas inspecionadas não estão de acordo com os critérios legais visando a identificação do SAMU 192 e segurança aos profissionais, usuários e cidadãos.</w:t>
      </w:r>
    </w:p>
    <w:p>
      <w:pPr>
        <w:pStyle w:val="937"/>
      </w:pPr>
      <w:r>
        <w:rPr>
          <w:b/>
          <w:bCs/>
        </w:rPr>
        <w:t xml:space="preserve">Recomendação</w:t>
      </w:r>
      <w:r>
        <w:t xml:space="preserve">: Recomenda-se a implementação de medidas corretivas para adequar o layout e padrão visual das Bases Descentralizadas do SAMU 192 às normas e diretrizes estabelecidas no Manual de Identidade Visual SAMU 192, versão 1.2/2012 (item 4), e no manual Programa Arquitetônico Mínimo Base Descentralizada SAMU 192, versão 2.0/2018 do Ministério da Saúde (item 5.2). Isso inclui a instalação de sinalização semafórica de alerta próxima ao acesso da ambulância, bem como a colocação de totens e placas visíveis que indiquem claramente a presença das bases descentralizadas.</w:t>
      </w:r>
    </w:p>
    <w:p>
      <w:pPr>
        <w:pStyle w:val="937"/>
      </w:pPr>
      <w:r>
        <w:rPr>
          <w:b/>
          <w:bCs/>
        </w:rPr>
        <w:t xml:space="preserve">Etiqueta Antiga</w:t>
      </w:r>
      <w:r>
        <w:t xml:space="preserve">: Estrutura física</w:t>
      </w:r>
    </w:p>
    <w:bookmarkEnd w:id="564"/>
    <w:bookmarkStart w:id="565" w:name="auditoria-19729-constatação-nº-691639-1"/>
    <w:p>
      <w:pPr>
        <w:pStyle w:val="907"/>
      </w:pPr>
      <w:r>
        <w:t xml:space="preserve">14.0.12.5 Auditoria 19729, Constatação Nº 691639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Central de Regulação</w:t>
      </w:r>
    </w:p>
    <w:p>
      <w:pPr>
        <w:pStyle w:val="937"/>
      </w:pPr>
      <w:r>
        <w:rPr>
          <w:b/>
          <w:bCs/>
        </w:rPr>
        <w:t xml:space="preserve">Constatação</w:t>
      </w:r>
      <w:r>
        <w:t xml:space="preserve">: Há má conservação da infraestrutura predial, assim como dos ambientes adjacentes da Central de Regulação do SAMU 192 de Porto Velho/RO.</w:t>
      </w:r>
    </w:p>
    <w:p>
      <w:pPr>
        <w:pStyle w:val="937"/>
      </w:pPr>
      <w:r>
        <w:rPr>
          <w:b/>
          <w:bCs/>
        </w:rPr>
        <w:t xml:space="preserve">Recomendação</w:t>
      </w:r>
      <w:r>
        <w:t xml:space="preserve">: Providenciar a adequação e a manutenção preventiva e corretiva da estrutura física da Central de Regulação Médica de Urgências do SAMU 192, em observância aos arts; 41 e 42, conforme os critérios definidos no Dimensionamento Técnico para a Estruturação Física das Centrais de Regulação Médica de Urgências/SAMU 192, Anexo 4 do Anexo III, da Portaria de Consolidação GM/MS n.º 3, de 28/09/2017, e o estabelecido na Resolução ANVISA/MS n.º 50, de 21/02/2002, que dispõe sobre o Regulamento Técnico para planejamento, programação, elaboração e avaliação de projetos físicos de estabelecimentos assistenciais de saúde.</w:t>
      </w:r>
    </w:p>
    <w:p>
      <w:pPr>
        <w:pStyle w:val="937"/>
      </w:pPr>
      <w:r>
        <w:rPr>
          <w:b/>
          <w:bCs/>
        </w:rPr>
        <w:t xml:space="preserve">Etiqueta Antiga</w:t>
      </w:r>
      <w:r>
        <w:t xml:space="preserve">: Estrutura física</w:t>
      </w:r>
    </w:p>
    <w:bookmarkEnd w:id="565"/>
    <w:bookmarkStart w:id="566" w:name="auditoria-19741-constatação-nº-691250-1"/>
    <w:p>
      <w:pPr>
        <w:pStyle w:val="907"/>
      </w:pPr>
      <w:r>
        <w:t xml:space="preserve">14.0.12.6 Auditoria 19741, Constatação Nº 691250 (#1)</w:t>
      </w:r>
    </w:p>
    <w:p>
      <w:pPr>
        <w:pStyle w:val="937"/>
      </w:pPr>
      <w:r>
        <w:rPr>
          <w:b/>
          <w:bCs/>
        </w:rPr>
        <w:t xml:space="preserve">Grupo</w:t>
      </w:r>
      <w:r>
        <w:t xml:space="preserve">: Programas Estratégicos</w:t>
      </w:r>
    </w:p>
    <w:p>
      <w:pPr>
        <w:pStyle w:val="937"/>
      </w:pPr>
      <w:r>
        <w:rPr>
          <w:b/>
          <w:bCs/>
        </w:rPr>
        <w:t xml:space="preserve">Subgrupo</w:t>
      </w:r>
      <w:r>
        <w:t xml:space="preserve">: Estrutura</w:t>
      </w:r>
    </w:p>
    <w:p>
      <w:pPr>
        <w:pStyle w:val="937"/>
      </w:pPr>
      <w:r>
        <w:rPr>
          <w:b/>
          <w:bCs/>
        </w:rPr>
        <w:t xml:space="preserve">Item</w:t>
      </w:r>
      <w:r>
        <w:t xml:space="preserve">: Estrutura Física</w:t>
      </w:r>
    </w:p>
    <w:p>
      <w:pPr>
        <w:pStyle w:val="937"/>
      </w:pPr>
      <w:r>
        <w:rPr>
          <w:b/>
          <w:bCs/>
        </w:rPr>
        <w:t xml:space="preserve">Constatação</w:t>
      </w:r>
      <w:r>
        <w:t xml:space="preserve">: A estrutura física da Central Municipal da Rede de Frio (CMRF) de Olinda/PE não atende aos requisitos mínimos para manutenção da cadeia de frio, conforme preconizado pelo Programa Nacional de Imunizações.</w:t>
      </w:r>
    </w:p>
    <w:p>
      <w:pPr>
        <w:pStyle w:val="937"/>
      </w:pPr>
      <w:r>
        <w:rPr>
          <w:b/>
          <w:bCs/>
        </w:rPr>
        <w:t xml:space="preserve">Recomendação</w:t>
      </w:r>
      <w:r>
        <w:t xml:space="preserve">: À SMS, recomenda-se adequar a estrutura física da CMRF, corrigir rachaduras e infiltrações nas paredes, revestir completamente as paredes com cerâmica ou outro material lavável; instalar uma placa de identificação visível na entrada do estabelecimento e melhorar a acessibilidade, incluindo a conexão da tubulação de saída de água do telhado à tubulação da rua; limpar e manter o perímetro externo, removendo vegetação excessiva e esgoto na calçada; revisar e atualizar a instalação elétrica, substituindo fiações remendadas e expostas, reparando ou substituindo o quadro de distribuição danificado, instalando lâmpadas e suportes de iluminação adequados e funcionais, e garantindo que todas as tomadas e interruptores estejam em bom estado e devidamente fixados; atualizar os extintores de incêndio, garantindo que estejam dentro do prazo de validade; criar salas específicas para recebimento e inspeção, distribuição e almoxarifado, e implementar uma doca para carga e descarga; melhorar o isolamento térmico da sala de armazenagem, substituindo os cobogós por materiais que garantam a manutenção da temperatura adequada; criar um depósito de material de limpeza com tanque (DML), estabelecer uma área segura e limpa para o equipamento de geração de energia elétrica alternativa (gerador) e designar um ambiente para o estoque e gerenciamento de resíduos sólidos (comuns e biológicos/RSS); regularizar a licença de funcionamento junto à Agência de Vigilância Sanitária e assegurar que todas as práticas estejam em conformidade com os artigos 5º a 7º, 17, 36 e 38 da RDC ANVISA nº 63, de 25/11/11, combinado com o Item 7.1 do Manual de Rede de Frio do PNI (2017), que estabelecem requisitos de Boas Práticas de Funcionamento para os Serviços de Saúde, e a Norma Regulamentadora nº 10 quanto a garantia da segurança dos trabalhadores e a integridade das instalações elétricas.</w:t>
      </w:r>
    </w:p>
    <w:p>
      <w:pPr>
        <w:pStyle w:val="937"/>
      </w:pPr>
      <w:r>
        <w:rPr>
          <w:b/>
          <w:bCs/>
        </w:rPr>
        <w:t xml:space="preserve">Etiqueta Antiga</w:t>
      </w:r>
      <w:r>
        <w:t xml:space="preserve">: Estrutura física</w:t>
      </w:r>
    </w:p>
    <w:bookmarkEnd w:id="566"/>
    <w:bookmarkEnd w:id="567"/>
    <w:bookmarkStart w:id="572" w:name="gestão-da-contratualização"/>
    <w:p>
      <w:pPr>
        <w:pStyle w:val="906"/>
      </w:pPr>
      <w:r>
        <w:t xml:space="preserve">14.0.13 Gestão da contratualização</w:t>
      </w:r>
    </w:p>
    <w:bookmarkStart w:id="568" w:name="auditoria-19484-constatação-nº-682887-1"/>
    <w:p>
      <w:pPr>
        <w:pStyle w:val="907"/>
      </w:pPr>
      <w:r>
        <w:t xml:space="preserve">14.0.13.1 Auditoria 19484, Constatação Nº 682887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Contrato</w:t>
      </w:r>
    </w:p>
    <w:p>
      <w:pPr>
        <w:pStyle w:val="937"/>
      </w:pPr>
      <w:r>
        <w:rPr>
          <w:b/>
          <w:bCs/>
        </w:rPr>
        <w:t xml:space="preserve">Constatação</w:t>
      </w:r>
      <w:r>
        <w:t xml:space="preserve">: O Hospital São Vicente de Paulo não comprovou o cumprimento dos compromissos assistenciais contratualizados por meio do Termo de Convênio n.° 01/2017 e seus respectivos aditivos, nos anos de 2017, 2018 e 2019.</w:t>
      </w:r>
    </w:p>
    <w:p>
      <w:pPr>
        <w:pStyle w:val="937"/>
      </w:pPr>
      <w:r>
        <w:rPr>
          <w:b/>
          <w:bCs/>
        </w:rPr>
        <w:t xml:space="preserve">Recomendação</w:t>
      </w:r>
      <w:r>
        <w:t xml:space="preserve">: Adotar medidas que assegurem o cumprimento do disposto na Portaria GM/MS de Consolidação n.º 2/2017, II Do Eixo da Gestão Hospitalar, art. 18, inciso II-</w:t>
      </w:r>
      <w:r>
        <w:t xml:space="preserve"> </w:t>
      </w:r>
      <w:r>
        <w:t xml:space="preserve">“cumprimento das metas pactuadas na contratualização com o gestor”</w:t>
      </w:r>
      <w:r>
        <w:t xml:space="preserve">, assim como o parágrafo 1º ” Cabe aos hospitais desenvolver estratégias para o monitoramento e avaliação dos compromissos e metas pactuados na contratualização e da qualidade das ações e serviços de forma sistemática (…)“. Assim como, o cumprimento das obrigações do conveniado no item III, do convênio n.º 01/2017.</w:t>
      </w:r>
    </w:p>
    <w:p>
      <w:pPr>
        <w:pStyle w:val="937"/>
      </w:pPr>
      <w:r>
        <w:rPr>
          <w:b/>
          <w:bCs/>
        </w:rPr>
        <w:t xml:space="preserve">Etiqueta Antiga</w:t>
      </w:r>
      <w:r>
        <w:t xml:space="preserve">: Gestão de contratos</w:t>
      </w:r>
    </w:p>
    <w:bookmarkEnd w:id="568"/>
    <w:bookmarkStart w:id="569" w:name="auditoria-19519-constatação-nº-683285-1"/>
    <w:p>
      <w:pPr>
        <w:pStyle w:val="907"/>
      </w:pPr>
      <w:r>
        <w:t xml:space="preserve">14.0.13.2 Auditoria 19519, Constatação Nº 683285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Plano de Trabalho</w:t>
      </w:r>
    </w:p>
    <w:p>
      <w:pPr>
        <w:pStyle w:val="937"/>
      </w:pPr>
      <w:r>
        <w:rPr>
          <w:b/>
          <w:bCs/>
        </w:rPr>
        <w:t xml:space="preserve">Constatação</w:t>
      </w:r>
      <w:r>
        <w:t xml:space="preserve">: O objeto de contratualização para execução das ações e serviços de saúde não foi previsto nos instrumentos de gestão da Secretária Municipal de Saúde de São João da Barra (SMS/SJB).</w:t>
      </w:r>
    </w:p>
    <w:p>
      <w:pPr>
        <w:pStyle w:val="937"/>
      </w:pPr>
      <w:r>
        <w:rPr>
          <w:b/>
          <w:bCs/>
        </w:rPr>
        <w:t xml:space="preserve">Recomendação</w:t>
      </w:r>
      <w:r>
        <w:t xml:space="preserve">: Adotar medidas que assegurem que os instrumentos de gestão que tratam das ações e serviços de saúde de média e alta complexidade (MAC) do município de São João da Barra, relativos às ações, metas, recursos financeiros e indicadores assistenciais estejam alinhados entre si, tais como: Plano de Saúde e respectivas Programações Anuais, Relatório de Gestão, em conformidade ao disposto do Art. 94, Capítulo I, Título IV, da Portaria de Consolidação GM/MS nº 1, de 28 de setembro de 2017.</w:t>
      </w:r>
    </w:p>
    <w:p>
      <w:pPr>
        <w:pStyle w:val="937"/>
      </w:pPr>
      <w:r>
        <w:rPr>
          <w:b/>
          <w:bCs/>
        </w:rPr>
        <w:t xml:space="preserve">Etiqueta Antiga</w:t>
      </w:r>
      <w:r>
        <w:t xml:space="preserve">: Governança e estrutura organizacional</w:t>
      </w:r>
    </w:p>
    <w:bookmarkEnd w:id="569"/>
    <w:bookmarkStart w:id="570" w:name="auditoria-19566-constatação-nº-682520-1"/>
    <w:p>
      <w:pPr>
        <w:pStyle w:val="907"/>
      </w:pPr>
      <w:r>
        <w:t xml:space="preserve">14.0.13.3 Auditoria 19566, Constatação Nº 682520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Satisfação do Usuário</w:t>
      </w:r>
    </w:p>
    <w:p>
      <w:pPr>
        <w:pStyle w:val="937"/>
      </w:pPr>
      <w:r>
        <w:rPr>
          <w:b/>
          <w:bCs/>
        </w:rPr>
        <w:t xml:space="preserve">Constatação</w:t>
      </w:r>
      <w:r>
        <w:t xml:space="preserve">: A Clinefro não fornece o aporte nutricional adequado para o paciente no dia do procedimento dialítico.</w:t>
      </w:r>
    </w:p>
    <w:p>
      <w:pPr>
        <w:pStyle w:val="937"/>
      </w:pPr>
      <w:r>
        <w:rPr>
          <w:b/>
          <w:bCs/>
        </w:rPr>
        <w:t xml:space="preserve">Recomendação</w:t>
      </w:r>
      <w:r>
        <w:t xml:space="preserve">: a) Que a FMS acompanhe e fiscalize devidamente as ações e serviços contratualizados com a Clinefro Nefrologia LTDA, especialmente quanto aos deveres da contratante previstos na Cláusula Décima do contrato firmado entre as partes em 24 de fevereiro de 2021. Deve observar, ainda, o disposto nos incisos I, X e XI do artigo 18 da Lei n.° 8.080 de 19 de setembro de 1990; combinados com o inciso III do art. 2º, bem como, com a letra</w:t>
      </w:r>
      <w:r>
        <w:t xml:space="preserve"> </w:t>
      </w:r>
      <w:r>
        <w:rPr>
          <w:rStyle w:val="949"/>
        </w:rPr>
        <w:t xml:space="preserve">j</w:t>
      </w:r>
      <w:r>
        <w:t xml:space="preserve"> </w:t>
      </w:r>
      <w:r>
        <w:t xml:space="preserve">do inciso I do art. 3º, todos do Decreto 1.651/1995, que traz como competências do Gestor de Saúde a obrigatoriedade de monitorar e avaliar os serviços de saúde contratualizados por ele. b) Que a FMS trabalhe, de forma articulada e eficiente com a contratada prestadora dos serviços especializados, com o objetivo de garantir a prática de condutas adequadas quanto ao oferecimento do aporte nutricional apropriado aos pacientes no dia da realização do procedimento dialítico, mediante avaliação do nutricionista, conforme previsto no Inciso III do art. 67 da Seção III, do Capítulo III do Anexo IV da Portaria de Consolidação GM/MS n.° 3/2017.</w:t>
      </w:r>
    </w:p>
    <w:p>
      <w:pPr>
        <w:pStyle w:val="937"/>
      </w:pPr>
      <w:r>
        <w:rPr>
          <w:b/>
          <w:bCs/>
        </w:rPr>
        <w:t xml:space="preserve">Etiqueta Antiga</w:t>
      </w:r>
      <w:r>
        <w:t xml:space="preserve">: Gestão de contratos</w:t>
      </w:r>
    </w:p>
    <w:bookmarkEnd w:id="570"/>
    <w:bookmarkStart w:id="571" w:name="auditoria-19863-constatação-nº-703402-1"/>
    <w:p>
      <w:pPr>
        <w:pStyle w:val="907"/>
      </w:pPr>
      <w:r>
        <w:t xml:space="preserve">14.0.13.4 Auditoria 19863, Constatação Nº 703402 (#1)</w:t>
      </w:r>
    </w:p>
    <w:p>
      <w:pPr>
        <w:pStyle w:val="937"/>
      </w:pPr>
      <w:r>
        <w:rPr>
          <w:b/>
          <w:bCs/>
        </w:rPr>
        <w:t xml:space="preserve">Grupo</w:t>
      </w:r>
      <w:r>
        <w:t xml:space="preserve">: Rede Cegonha - Gestão</w:t>
      </w:r>
    </w:p>
    <w:p>
      <w:pPr>
        <w:pStyle w:val="937"/>
      </w:pPr>
      <w:r>
        <w:rPr>
          <w:b/>
          <w:bCs/>
        </w:rPr>
        <w:t xml:space="preserve">Subgrupo</w:t>
      </w:r>
      <w:r>
        <w:t xml:space="preserve">: Vigilância e indicadores</w:t>
      </w:r>
    </w:p>
    <w:p>
      <w:pPr>
        <w:pStyle w:val="937"/>
      </w:pPr>
      <w:r>
        <w:rPr>
          <w:b/>
          <w:bCs/>
        </w:rPr>
        <w:t xml:space="preserve">Item</w:t>
      </w:r>
      <w:r>
        <w:t xml:space="preserve">: Indicadores acompanhados</w:t>
      </w:r>
    </w:p>
    <w:p>
      <w:pPr>
        <w:pStyle w:val="937"/>
      </w:pPr>
      <w:r>
        <w:rPr>
          <w:b/>
          <w:bCs/>
        </w:rPr>
        <w:t xml:space="preserve">Constatação</w:t>
      </w:r>
      <w:r>
        <w:t xml:space="preserve">: Não foi localizada documentação que comprove a realização do monitoramento e avaliação das contratualizações com as maternidades da rede própria Estadual da SES/TO.</w:t>
      </w:r>
    </w:p>
    <w:p>
      <w:pPr>
        <w:pStyle w:val="937"/>
      </w:pPr>
      <w:r>
        <w:rPr>
          <w:b/>
          <w:bCs/>
        </w:rPr>
        <w:t xml:space="preserve">Recomendação</w:t>
      </w:r>
      <w:r>
        <w:t xml:space="preserve">: Comprovar documentalmente a realização do monitoramento e avaliação das contratualizações com as Maternidades da rede própria Estadual da SES/TO. Caso ainda não tenha sido realizado, deve-se providenciar o monitoramento e avaliação, conforme acordado no item 1.2 do Plano de Ação SES/TO 2022 (Auditoria 1).</w:t>
      </w:r>
    </w:p>
    <w:p>
      <w:pPr>
        <w:pStyle w:val="937"/>
      </w:pPr>
      <w:r>
        <w:rPr>
          <w:b/>
          <w:bCs/>
        </w:rPr>
        <w:t xml:space="preserve">Etiqueta Antiga</w:t>
      </w:r>
      <w:r>
        <w:t xml:space="preserve">: Gestão de contratos</w:t>
      </w:r>
    </w:p>
    <w:bookmarkEnd w:id="571"/>
    <w:bookmarkEnd w:id="572"/>
    <w:bookmarkStart w:id="576" w:name="Xfe080cd855f7258fa648cfeb3a763f187df29b0"/>
    <w:p>
      <w:pPr>
        <w:pStyle w:val="906"/>
      </w:pPr>
      <w:r>
        <w:t xml:space="preserve">14.0.14 Gestão de contratos, convênios e parcerias</w:t>
      </w:r>
    </w:p>
    <w:bookmarkStart w:id="573" w:name="auditoria-19537-constatação-nº-685207-1"/>
    <w:p>
      <w:pPr>
        <w:pStyle w:val="907"/>
      </w:pPr>
      <w:r>
        <w:t xml:space="preserve">14.0.14.1 Auditoria 19537, Constatação Nº 685207 (#1)</w:t>
      </w:r>
    </w:p>
    <w:p>
      <w:pPr>
        <w:pStyle w:val="937"/>
      </w:pPr>
      <w:r>
        <w:rPr>
          <w:b/>
          <w:bCs/>
        </w:rPr>
        <w:t xml:space="preserve">Grupo</w:t>
      </w:r>
      <w:r>
        <w:t xml:space="preserve">: Recursos Financeiros</w:t>
      </w:r>
    </w:p>
    <w:p>
      <w:pPr>
        <w:pStyle w:val="937"/>
      </w:pPr>
      <w:r>
        <w:rPr>
          <w:b/>
          <w:bCs/>
        </w:rPr>
        <w:t xml:space="preserve">Subgrupo</w:t>
      </w:r>
      <w:r>
        <w:t xml:space="preserve">: Licitação</w:t>
      </w:r>
    </w:p>
    <w:p>
      <w:pPr>
        <w:pStyle w:val="937"/>
      </w:pPr>
      <w:r>
        <w:rPr>
          <w:b/>
          <w:bCs/>
        </w:rPr>
        <w:t xml:space="preserve">Item</w:t>
      </w:r>
      <w:r>
        <w:t xml:space="preserve">: Procedimento</w:t>
      </w:r>
    </w:p>
    <w:p>
      <w:pPr>
        <w:pStyle w:val="937"/>
      </w:pPr>
      <w:r>
        <w:rPr>
          <w:b/>
          <w:bCs/>
        </w:rPr>
        <w:t xml:space="preserve">Constatação</w:t>
      </w:r>
      <w:r>
        <w:t xml:space="preserve">: A Secretaria Municipal de Saúde e Assistência de São Gonçalo/RJ não cumpriu a legislação vigente à época quanto à correta instrução do Processo n.° 4091/2013, referente à Chamada Pública n.° 001/2014.</w:t>
      </w:r>
    </w:p>
    <w:p>
      <w:pPr>
        <w:pStyle w:val="937"/>
      </w:pPr>
      <w:r>
        <w:rPr>
          <w:b/>
          <w:bCs/>
        </w:rPr>
        <w:t xml:space="preserve">Recomendação</w:t>
      </w:r>
      <w:r>
        <w:t xml:space="preserve">: Observar, nas futuras contratações, o art. 12 e o art. 18 da Lei n.º 14.133, de 1º de abril de 2021, que versam sobre a instrução do processo licitatório.</w:t>
      </w:r>
    </w:p>
    <w:p>
      <w:pPr>
        <w:pStyle w:val="937"/>
      </w:pPr>
      <w:r>
        <w:rPr>
          <w:b/>
          <w:bCs/>
        </w:rPr>
        <w:t xml:space="preserve">Etiqueta Antiga</w:t>
      </w:r>
      <w:r>
        <w:t xml:space="preserve">: Gestão de contratos</w:t>
      </w:r>
    </w:p>
    <w:bookmarkEnd w:id="573"/>
    <w:bookmarkStart w:id="574" w:name="auditoria-19624-constatação-nº-685344-1"/>
    <w:p>
      <w:pPr>
        <w:pStyle w:val="907"/>
      </w:pPr>
      <w:r>
        <w:t xml:space="preserve">14.0.14.2 Auditoria 19624, Constatação Nº 685344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Prestação de Contas</w:t>
      </w:r>
    </w:p>
    <w:p>
      <w:pPr>
        <w:pStyle w:val="937"/>
      </w:pPr>
      <w:r>
        <w:rPr>
          <w:b/>
          <w:bCs/>
        </w:rPr>
        <w:t xml:space="preserve">Constatação</w:t>
      </w:r>
      <w:r>
        <w:t xml:space="preserve">: Apresentação parcial das prestações de contas das diárias concedidas a Sra. C.R.C.S, CPF n° xxx.978.xxx-37, Enfermeira e pagamento de diária em dobro para o mesmo período de viagem.</w:t>
      </w:r>
    </w:p>
    <w:p>
      <w:pPr>
        <w:pStyle w:val="937"/>
      </w:pPr>
      <w:r>
        <w:rPr>
          <w:b/>
          <w:bCs/>
        </w:rPr>
        <w:t xml:space="preserve">Recomendação</w:t>
      </w:r>
      <w:r>
        <w:t xml:space="preserve">: 1 - Fornecer aos órgãos do Sistema Nacional de Auditoria - SNA, quando solicitadas, todas as informações necessárias ao desempenho das atividades de controle, avaliação e auditoria, conforme determina o art. 11 do Decreto nº 1.651/1995. 2 - Tomar as providências a seu cargo e acompanhar sistematicamente a execução do Convênio, do seu início até o final de sua vigência, bem como verificar a sua conformidade financeira e se os registros/documentos inseridos no TransfereGov demonstram a boa e regular aplicação dos recursos, como determinado no artigo 53 da Portaria MP/MF/CGU n° 424/2016, desta forma, providenciar a inserção dos documentos inerentes as prestações de contas das 70,5 diárias, bem como tomar as providência cabíveis quanto ao pagamento em duplicidade constatado. Em caso de não comprovação dos gastos dos recursos em sua finalidade, por meio de documentos hábeis e duplicidade de pagamentos, tomar as providências necessárias para ressarcimento dos mesmos ao Fundo Nacional de Saúde - FNS.</w:t>
      </w:r>
    </w:p>
    <w:p>
      <w:pPr>
        <w:pStyle w:val="937"/>
      </w:pPr>
      <w:r>
        <w:rPr>
          <w:b/>
          <w:bCs/>
        </w:rPr>
        <w:t xml:space="preserve">Etiqueta Antiga</w:t>
      </w:r>
      <w:r>
        <w:t xml:space="preserve">: Prejuízo e restituição</w:t>
      </w:r>
    </w:p>
    <w:bookmarkEnd w:id="574"/>
    <w:bookmarkStart w:id="575" w:name="auditoria-19679-constatação-nº-685261-1"/>
    <w:p>
      <w:pPr>
        <w:pStyle w:val="907"/>
      </w:pPr>
      <w:r>
        <w:t xml:space="preserve">14.0.14.3 Auditoria 19679, Constatação Nº 685261 (#1)</w:t>
      </w:r>
    </w:p>
    <w:p>
      <w:pPr>
        <w:pStyle w:val="937"/>
      </w:pPr>
      <w:r>
        <w:rPr>
          <w:b/>
          <w:bCs/>
        </w:rPr>
        <w:t xml:space="preserve">Grupo</w:t>
      </w:r>
      <w:r>
        <w:t xml:space="preserve">: Recursos Financeiros</w:t>
      </w:r>
    </w:p>
    <w:p>
      <w:pPr>
        <w:pStyle w:val="937"/>
      </w:pPr>
      <w:r>
        <w:rPr>
          <w:b/>
          <w:bCs/>
        </w:rPr>
        <w:t xml:space="preserve">Subgrupo</w:t>
      </w:r>
      <w:r>
        <w:t xml:space="preserve">: Convênios</w:t>
      </w:r>
    </w:p>
    <w:p>
      <w:pPr>
        <w:pStyle w:val="937"/>
      </w:pPr>
      <w:r>
        <w:rPr>
          <w:b/>
          <w:bCs/>
        </w:rPr>
        <w:t xml:space="preserve">Item</w:t>
      </w:r>
      <w:r>
        <w:t xml:space="preserve">: Comprovação de despesas</w:t>
      </w:r>
    </w:p>
    <w:p>
      <w:pPr>
        <w:pStyle w:val="937"/>
      </w:pPr>
      <w:r>
        <w:rPr>
          <w:b/>
          <w:bCs/>
        </w:rPr>
        <w:t xml:space="preserve">Constatação</w:t>
      </w:r>
      <w:r>
        <w:t xml:space="preserve">: Incompatibilidade no ramo de atividade econômica com o objeto da cotação de preço.</w:t>
      </w:r>
    </w:p>
    <w:p>
      <w:pPr>
        <w:pStyle w:val="937"/>
      </w:pPr>
      <w:r>
        <w:rPr>
          <w:b/>
          <w:bCs/>
        </w:rPr>
        <w:t xml:space="preserve">Recomendação</w:t>
      </w:r>
      <w:r>
        <w:t xml:space="preserve">: Adotar providências no sentido de orientar a convenente para que realize as próximas contratrualizações de acordo com a lei de licitações atendendo, inclusive, os dispositivos do inciso II, art. 68 da Lei 14.133/2021.</w:t>
      </w:r>
    </w:p>
    <w:p>
      <w:pPr>
        <w:pStyle w:val="937"/>
      </w:pPr>
      <w:r>
        <w:rPr>
          <w:b/>
          <w:bCs/>
        </w:rPr>
        <w:t xml:space="preserve">Etiqueta Antiga</w:t>
      </w:r>
      <w:r>
        <w:t xml:space="preserve">: Articulação institucional</w:t>
      </w:r>
    </w:p>
    <w:bookmarkEnd w:id="575"/>
    <w:bookmarkEnd w:id="576"/>
    <w:bookmarkStart w:id="580" w:name="gestão-de-patrimônio"/>
    <w:p>
      <w:pPr>
        <w:pStyle w:val="906"/>
      </w:pPr>
      <w:r>
        <w:t xml:space="preserve">14.0.15 Gestão de patrimônio</w:t>
      </w:r>
    </w:p>
    <w:bookmarkStart w:id="577" w:name="auditoria-19545-constatação-nº-672769-1"/>
    <w:p>
      <w:pPr>
        <w:pStyle w:val="907"/>
      </w:pPr>
      <w:r>
        <w:t xml:space="preserve">14.0.15.1 Auditoria 19545, Constatação Nº 672769 (#1)</w:t>
      </w:r>
    </w:p>
    <w:p>
      <w:pPr>
        <w:pStyle w:val="937"/>
      </w:pPr>
      <w:r>
        <w:rPr>
          <w:b/>
          <w:bCs/>
        </w:rPr>
        <w:t xml:space="preserve">Grupo</w:t>
      </w:r>
      <w:r>
        <w:t xml:space="preserve">: Assistência Média e Alta Complexidade</w:t>
      </w:r>
    </w:p>
    <w:p>
      <w:pPr>
        <w:pStyle w:val="937"/>
      </w:pPr>
      <w:r>
        <w:rPr>
          <w:b/>
          <w:bCs/>
        </w:rPr>
        <w:t xml:space="preserve">Subgrupo</w:t>
      </w:r>
      <w:r>
        <w:t xml:space="preserve">: SAMU 192</w:t>
      </w:r>
    </w:p>
    <w:p>
      <w:pPr>
        <w:pStyle w:val="937"/>
      </w:pPr>
      <w:r>
        <w:rPr>
          <w:b/>
          <w:bCs/>
        </w:rPr>
        <w:t xml:space="preserve">Item</w:t>
      </w:r>
      <w:r>
        <w:t xml:space="preserve">: Central de Regulação</w:t>
      </w:r>
    </w:p>
    <w:p>
      <w:pPr>
        <w:pStyle w:val="937"/>
      </w:pPr>
      <w:r>
        <w:rPr>
          <w:b/>
          <w:bCs/>
        </w:rPr>
        <w:t xml:space="preserve">Constatação</w:t>
      </w:r>
      <w:r>
        <w:t xml:space="preserve">: Não apresentação do Contrato de Manutenção Predial da Central de Regulação Médica das Urgências-SAMU 192.</w:t>
      </w:r>
    </w:p>
    <w:p>
      <w:pPr>
        <w:pStyle w:val="937"/>
      </w:pPr>
      <w:r>
        <w:rPr>
          <w:b/>
          <w:bCs/>
        </w:rPr>
        <w:t xml:space="preserve">Recomendação</w:t>
      </w:r>
      <w:r>
        <w:t xml:space="preserve">: Cumprir o Inciso VI do art. 40, Seção I, Capítulo I, Título II, Livro II do Anexo III da PRC n.º 3 de 28/9/2017, o financiamento e implantação do SAMU está definido da seguinte forma: - Custeio: modalidade de repasse de recurso financeiro para capacitação e educação permanente, manutenção das equipes efetivamente implantadas, reformas, insumos, manutenção de equipamentos e das unidades móveis de urgência.</w:t>
      </w:r>
    </w:p>
    <w:p>
      <w:pPr>
        <w:pStyle w:val="937"/>
      </w:pPr>
      <w:r>
        <w:rPr>
          <w:b/>
          <w:bCs/>
        </w:rPr>
        <w:t xml:space="preserve">Etiqueta Antiga</w:t>
      </w:r>
      <w:r>
        <w:t xml:space="preserve">: Gestão de contratos</w:t>
      </w:r>
    </w:p>
    <w:bookmarkEnd w:id="577"/>
    <w:bookmarkStart w:id="578" w:name="auditoria-19759-constatação-nº-692678-1"/>
    <w:p>
      <w:pPr>
        <w:pStyle w:val="907"/>
      </w:pPr>
      <w:r>
        <w:t xml:space="preserve">14.0.15.2 Auditoria 19759, Constatação Nº 692678 (#1)</w:t>
      </w:r>
    </w:p>
    <w:p>
      <w:pPr>
        <w:pStyle w:val="937"/>
      </w:pPr>
      <w:r>
        <w:rPr>
          <w:b/>
          <w:bCs/>
        </w:rPr>
        <w:t xml:space="preserve">Grupo</w:t>
      </w:r>
      <w:r>
        <w:t xml:space="preserve">: Programas Estratégicos</w:t>
      </w:r>
    </w:p>
    <w:p>
      <w:pPr>
        <w:pStyle w:val="937"/>
      </w:pPr>
      <w:r>
        <w:rPr>
          <w:b/>
          <w:bCs/>
        </w:rPr>
        <w:t xml:space="preserve">Subgrupo</w:t>
      </w:r>
      <w:r>
        <w:t xml:space="preserve">: Processo</w:t>
      </w:r>
    </w:p>
    <w:p>
      <w:pPr>
        <w:pStyle w:val="937"/>
      </w:pPr>
      <w:r>
        <w:rPr>
          <w:b/>
          <w:bCs/>
        </w:rPr>
        <w:t xml:space="preserve">Item</w:t>
      </w:r>
      <w:r>
        <w:t xml:space="preserve">: Rotinas/Atividades</w:t>
      </w:r>
    </w:p>
    <w:p>
      <w:pPr>
        <w:pStyle w:val="937"/>
      </w:pPr>
      <w:r>
        <w:rPr>
          <w:b/>
          <w:bCs/>
        </w:rPr>
        <w:t xml:space="preserve">Constatação</w:t>
      </w:r>
      <w:r>
        <w:t xml:space="preserve">: A CMRF não realiza manutenções periódicas no grupo gerador, nos equipamentos de refrigeração e nos instrumentos para mediação de temperatura, bem como, não realiza qualificação térmica e calibração.</w:t>
      </w:r>
    </w:p>
    <w:p>
      <w:pPr>
        <w:pStyle w:val="937"/>
      </w:pPr>
      <w:r>
        <w:rPr>
          <w:b/>
          <w:bCs/>
        </w:rPr>
        <w:t xml:space="preserve">Recomendação</w:t>
      </w:r>
      <w:r>
        <w:t xml:space="preserve">: Adotar providências administrativas no sentido de estabelecer e seguir um cronograma para a manutenção preventiva e corretiva de todos os equipamentos, garantindo que todas as atividades sejam documentadas e registradas, bem como, realizar a calibração periódica dos instrumentos de medição e a qualificação térmica dos equipamentos de refrigeração, atendendo as normas estabelecidas no Manual de Rede Frio do PNI de 2017, especificamente nos Subitens 5.5 e 5.6, Item 5 (págs. 37/38), e no Subitem 6.13, Item 6 (pág. 63), ao destacado no Inciso IX, do art. 23, da da Seção III, Capítulo II, da RDC n.° 63, de 25/11/2011, bem como, no Inciso XXIII, art. 3°, no Inciso XI, art. 18, ambos da Seção III, corroborados pelo art. 43, Seção IV, todos da RDC n.º 430, de 8/10/2020.</w:t>
      </w:r>
    </w:p>
    <w:p>
      <w:pPr>
        <w:pStyle w:val="937"/>
      </w:pPr>
      <w:r>
        <w:rPr>
          <w:b/>
          <w:bCs/>
        </w:rPr>
        <w:t xml:space="preserve">Etiqueta Antiga</w:t>
      </w:r>
      <w:r>
        <w:t xml:space="preserve">: Gestão de operações</w:t>
      </w:r>
    </w:p>
    <w:bookmarkEnd w:id="578"/>
    <w:bookmarkStart w:id="579" w:name="auditoria-19815-constatação-nº-692657-1"/>
    <w:p>
      <w:pPr>
        <w:pStyle w:val="907"/>
      </w:pPr>
      <w:r>
        <w:t xml:space="preserve">14.0.15.3 Auditoria 19815, Constatação Nº 692657 (#1)</w:t>
      </w:r>
    </w:p>
    <w:p>
      <w:pPr>
        <w:pStyle w:val="937"/>
      </w:pPr>
      <w:r>
        <w:rPr>
          <w:b/>
          <w:bCs/>
        </w:rPr>
        <w:t xml:space="preserve">Grupo</w:t>
      </w:r>
      <w:r>
        <w:t xml:space="preserve">: Vigilância em Saúde</w:t>
      </w:r>
    </w:p>
    <w:p>
      <w:pPr>
        <w:pStyle w:val="937"/>
      </w:pPr>
      <w:r>
        <w:rPr>
          <w:b/>
          <w:bCs/>
        </w:rPr>
        <w:t xml:space="preserve">Subgrupo</w:t>
      </w:r>
      <w:r>
        <w:t xml:space="preserve">: Vigilância Epidemiológica</w:t>
      </w:r>
    </w:p>
    <w:p>
      <w:pPr>
        <w:pStyle w:val="937"/>
      </w:pPr>
      <w:r>
        <w:rPr>
          <w:b/>
          <w:bCs/>
        </w:rPr>
        <w:t xml:space="preserve">Item</w:t>
      </w:r>
      <w:r>
        <w:t xml:space="preserve">: Atividades desenvolvidas/Rotinas de Trabalho</w:t>
      </w:r>
    </w:p>
    <w:p>
      <w:pPr>
        <w:pStyle w:val="937"/>
      </w:pPr>
      <w:r>
        <w:rPr>
          <w:b/>
          <w:bCs/>
        </w:rPr>
        <w:t xml:space="preserve">Constatação</w:t>
      </w:r>
      <w:r>
        <w:t xml:space="preserve">: A Secretaria Municipal de Saúde de Camaçari/BA comprovou parcialmente a realização de manutenção periódica dos equipamentos da Central Municipal de Rede de Frio.</w:t>
      </w:r>
    </w:p>
    <w:p>
      <w:pPr>
        <w:pStyle w:val="937"/>
      </w:pPr>
      <w:r>
        <w:rPr>
          <w:b/>
          <w:bCs/>
        </w:rPr>
        <w:t xml:space="preserve">Recomendação</w:t>
      </w:r>
      <w:r>
        <w:t xml:space="preserve">: Adotar providências para assegurar a realização de manutenções periódicas nos equipamentos da CMRF, mantendo o registro das mesmas conforme as orientações contidas no Subitens 5.5 e 5.6, Item 5, pág. 37/38, Subitens 6.13 e 6.14, Item 6, pág. 63 a 65 do Manual de Rede Frio do PNI, 2017, concomitante com o Inciso IX, do Art. 23, da Seção III, Capítulo II, da Resolução-RDC n.º 63, de 25/11/2011. O serviço de saúde deve manter disponível, segundo o seu tipo de atividade, documentação e registro referente à: (…) IX - manutenção corretiva e preventiva dos equipamentos e instrumentos e § 4º, Art. 43, Seção IV, Resolução de Diretoria Colegiada - RDC Nº 430, de 8/10/2020: As áreas de armazenagem devem ser dotadas de equipamentos e instrumentos necessários ao controle e ao monitoramento da temperatura e umidade requeridas. §4º Os instrumentos devem ser calibrados antes de seu primeiro uso e em intervalos definidos e justificados pelo desempenho do instrumento e sensibilidade da medida.</w:t>
      </w:r>
    </w:p>
    <w:p>
      <w:pPr>
        <w:pStyle w:val="937"/>
      </w:pPr>
      <w:r>
        <w:rPr>
          <w:b/>
          <w:bCs/>
        </w:rPr>
        <w:t xml:space="preserve">Etiqueta Antiga</w:t>
      </w:r>
      <w:r>
        <w:t xml:space="preserve">: Gestão de operações</w:t>
      </w:r>
    </w:p>
    <w:bookmarkEnd w:id="579"/>
    <w:bookmarkEnd w:id="580"/>
    <w:bookmarkStart w:id="582" w:name="não-se-aplica-1"/>
    <w:p>
      <w:pPr>
        <w:pStyle w:val="906"/>
      </w:pPr>
      <w:r>
        <w:t xml:space="preserve">14.0.16 Não se aplica</w:t>
      </w:r>
    </w:p>
    <w:bookmarkStart w:id="581" w:name="X1b52ca8a5c0071270a50bc9f28f0b1af9caf9ba"/>
    <w:p>
      <w:pPr>
        <w:pStyle w:val="907"/>
      </w:pPr>
      <w:r>
        <w:t xml:space="preserve">14.0.16.1 Auditoria 19591, Constatação Nº 682488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Ambulatorial</w:t>
      </w:r>
    </w:p>
    <w:p>
      <w:pPr>
        <w:pStyle w:val="937"/>
      </w:pPr>
      <w:r>
        <w:rPr>
          <w:b/>
          <w:bCs/>
        </w:rPr>
        <w:t xml:space="preserve">Item</w:t>
      </w:r>
      <w:r>
        <w:t xml:space="preserve">: Medicamentos</w:t>
      </w:r>
    </w:p>
    <w:p>
      <w:pPr>
        <w:pStyle w:val="937"/>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937"/>
      </w:pPr>
      <w:r>
        <w:rPr>
          <w:b/>
          <w:bCs/>
        </w:rPr>
        <w:t xml:space="preserve">Recomendação</w:t>
      </w:r>
      <w:r>
        <w:t xml:space="preserve">: Recomendação descrita na Constatação n.° 677630.</w:t>
      </w:r>
    </w:p>
    <w:p>
      <w:pPr>
        <w:pStyle w:val="937"/>
      </w:pPr>
      <w:r>
        <w:rPr>
          <w:b/>
          <w:bCs/>
        </w:rPr>
        <w:t xml:space="preserve">Etiqueta Antiga</w:t>
      </w:r>
      <w:r>
        <w:t xml:space="preserve">: Não se aplica</w:t>
      </w:r>
    </w:p>
    <w:bookmarkEnd w:id="581"/>
    <w:bookmarkEnd w:id="582"/>
    <w:bookmarkStart w:id="586" w:name="articulação-institucional"/>
    <w:p>
      <w:pPr>
        <w:pStyle w:val="906"/>
      </w:pPr>
      <w:r>
        <w:t xml:space="preserve">14.0.17 Articulação institucional</w:t>
      </w:r>
    </w:p>
    <w:bookmarkStart w:id="583" w:name="auditoria-19595-constatação-nº-674286-1"/>
    <w:p>
      <w:pPr>
        <w:pStyle w:val="907"/>
      </w:pPr>
      <w:r>
        <w:t xml:space="preserve">14.0.17.1 Auditoria 19595, Constatação Nº 674286 (#1)</w:t>
      </w:r>
    </w:p>
    <w:p>
      <w:pPr>
        <w:pStyle w:val="937"/>
      </w:pPr>
      <w:r>
        <w:rPr>
          <w:b/>
          <w:bCs/>
        </w:rPr>
        <w:t xml:space="preserve">Grupo</w:t>
      </w:r>
      <w:r>
        <w:t xml:space="preserve">: Controle Social</w:t>
      </w:r>
    </w:p>
    <w:p>
      <w:pPr>
        <w:pStyle w:val="937"/>
      </w:pPr>
      <w:r>
        <w:rPr>
          <w:b/>
          <w:bCs/>
        </w:rPr>
        <w:t xml:space="preserve">Subgrupo</w:t>
      </w:r>
      <w:r>
        <w:t xml:space="preserve">: Conselho de saúde</w:t>
      </w:r>
    </w:p>
    <w:p>
      <w:pPr>
        <w:pStyle w:val="937"/>
      </w:pPr>
      <w:r>
        <w:rPr>
          <w:b/>
          <w:bCs/>
        </w:rPr>
        <w:t xml:space="preserve">Item</w:t>
      </w:r>
      <w:r>
        <w:t xml:space="preserve">: Deliberações/Resoluções</w:t>
      </w:r>
    </w:p>
    <w:p>
      <w:pPr>
        <w:pStyle w:val="937"/>
      </w:pPr>
      <w:r>
        <w:rPr>
          <w:b/>
          <w:bCs/>
        </w:rPr>
        <w:t xml:space="preserve">Constatação</w:t>
      </w:r>
      <w:r>
        <w:t xml:space="preserve">: O Conselho Municipal de Saúde não exerceu o controle social em relação aos resultados obtidos nos indicadores de desempenho.</w:t>
      </w:r>
    </w:p>
    <w:p>
      <w:pPr>
        <w:pStyle w:val="937"/>
      </w:pPr>
      <w:r>
        <w:rPr>
          <w:b/>
          <w:bCs/>
        </w:rPr>
        <w:t xml:space="preserve">Recomendação</w:t>
      </w:r>
      <w:r>
        <w:t xml:space="preserve">: 1. Realização de reuniões e debates pelo Conselho Municipal de Saúde, cujo objeto seja o alcance das metas e resultados obtidos dos indicadores, desempenhando o seu papel na formulação de estratégias e no controle da execução da política de saúde, inclusive nos aspectos econômicos e financeiros, em cumprimento ao disposto no § segundo do artigo 1º da Lei nº 8.142 de 28/12/1990; 2. Fortalecimento do controle social do Conselho através de atuação resoluta na elaboração dos instrumentos de gestão e acompanhamento do desfecho da melhoria do acesso da população à atenção básica por meio dos indicadores do Programa, conforme política do Previne; 3. Encaminhar ao Conselho Municipal de Saúde o resultado do alcance das metas dos indicadores de desempenho do Programa Previne Brasil e das ações voltadas à melhoria do acesso da população à Atenção Básica, conforme preconizado na Resolução do Conselho Nacional de Saúde nº 453, de 10/5/2012, destacando que esta revogou a Resolução nº 333 do Conselho Nacional de Saúde, de 4/2/2003, citada na evidência.</w:t>
      </w:r>
    </w:p>
    <w:p>
      <w:pPr>
        <w:pStyle w:val="937"/>
      </w:pPr>
      <w:r>
        <w:rPr>
          <w:b/>
          <w:bCs/>
        </w:rPr>
        <w:t xml:space="preserve">Etiqueta Antiga</w:t>
      </w:r>
      <w:r>
        <w:t xml:space="preserve">: Governança e estrutura organizacional</w:t>
      </w:r>
    </w:p>
    <w:bookmarkEnd w:id="583"/>
    <w:bookmarkStart w:id="584" w:name="auditoria-19820-constatação-nº-695338-1"/>
    <w:p>
      <w:pPr>
        <w:pStyle w:val="907"/>
      </w:pPr>
      <w:r>
        <w:t xml:space="preserve">14.0.17.2 Auditoria 19820, Constatação Nº 695338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Informação</w:t>
      </w:r>
    </w:p>
    <w:p>
      <w:pPr>
        <w:pStyle w:val="937"/>
      </w:pPr>
      <w:r>
        <w:rPr>
          <w:b/>
          <w:bCs/>
        </w:rPr>
        <w:t xml:space="preserve">Constatação</w:t>
      </w:r>
      <w:r>
        <w:t xml:space="preserve">: As Unidades de Saúde na Atenção Primária visitadas não compartilham os documentos dos registros de pacientes em atendimento com transtorno mental com outros pontos da rede.</w:t>
      </w:r>
    </w:p>
    <w:p>
      <w:pPr>
        <w:pStyle w:val="937"/>
      </w:pPr>
      <w:r>
        <w:rPr>
          <w:b/>
          <w:bCs/>
        </w:rPr>
        <w:t xml:space="preserve">Recomendação</w:t>
      </w:r>
      <w:r>
        <w:t xml:space="preserve">: A Gestão da SMS de Maceió deve articular com as demais Entes (Estado e União) para a integração dos sistemas de prontuários de pacientes na rede de assistência da Atenção Psicossocial; definir as estratégias que proporcionem o compartilhamento de informações de saúde dos pacientes em atendimentos, entre as diferentes unidades da Rede a fim de proporcionar a continuidade do cuidado, de acordo com a o item 6.2 do Anexo I, da Portaria de Consolidação nº 3, de 28 de setembro de 2017.</w:t>
      </w:r>
    </w:p>
    <w:p>
      <w:pPr>
        <w:pStyle w:val="937"/>
      </w:pPr>
      <w:r>
        <w:rPr>
          <w:b/>
          <w:bCs/>
        </w:rPr>
        <w:t xml:space="preserve">Etiqueta Antiga</w:t>
      </w:r>
      <w:r>
        <w:t xml:space="preserve">: Articulação institucional</w:t>
      </w:r>
    </w:p>
    <w:bookmarkEnd w:id="584"/>
    <w:bookmarkStart w:id="585" w:name="auditoria-19862-constatação-nº-702029-1"/>
    <w:p>
      <w:pPr>
        <w:pStyle w:val="907"/>
      </w:pPr>
      <w:r>
        <w:t xml:space="preserve">14.0.17.3 Auditoria 19862, Constatação Nº 702029 (#1)</w:t>
      </w:r>
    </w:p>
    <w:p>
      <w:pPr>
        <w:pStyle w:val="937"/>
      </w:pPr>
      <w:r>
        <w:rPr>
          <w:b/>
          <w:bCs/>
        </w:rPr>
        <w:t xml:space="preserve">Grupo</w:t>
      </w:r>
      <w:r>
        <w:t xml:space="preserve">: Saúde do Trabalhador</w:t>
      </w:r>
    </w:p>
    <w:p>
      <w:pPr>
        <w:pStyle w:val="937"/>
      </w:pPr>
      <w:r>
        <w:rPr>
          <w:b/>
          <w:bCs/>
        </w:rPr>
        <w:t xml:space="preserve">Subgrupo</w:t>
      </w:r>
      <w:r>
        <w:t xml:space="preserve">: Regionalização</w:t>
      </w:r>
    </w:p>
    <w:p>
      <w:pPr>
        <w:pStyle w:val="937"/>
      </w:pPr>
      <w:r>
        <w:rPr>
          <w:b/>
          <w:bCs/>
        </w:rPr>
        <w:t xml:space="preserve">Item</w:t>
      </w:r>
      <w:r>
        <w:t xml:space="preserve">: Municípios de Abrangência</w:t>
      </w:r>
    </w:p>
    <w:p>
      <w:pPr>
        <w:pStyle w:val="937"/>
      </w:pPr>
      <w:r>
        <w:rPr>
          <w:b/>
          <w:bCs/>
        </w:rPr>
        <w:t xml:space="preserve">Constatação</w:t>
      </w:r>
      <w:r>
        <w:t xml:space="preserve">: O Centro de Referência em Saúde do Trabalhador (CEREST) Regional de Horizonte/CE não comprovou a formalização de alteração da área de abrangência.</w:t>
      </w:r>
    </w:p>
    <w:p>
      <w:pPr>
        <w:pStyle w:val="937"/>
      </w:pPr>
      <w:r>
        <w:rPr>
          <w:b/>
          <w:bCs/>
        </w:rPr>
        <w:t xml:space="preserve">Recomendação</w:t>
      </w:r>
      <w:r>
        <w:t xml:space="preserve">: Adotar providências para formalizar a incorporação dos municípios de Aquiraz, Eusébio e Itaitinga à área de abrangência do CEREST de Horizonte na Comissão Intergestores Bipartite (CIB), em cumprimento ao disposto no § 3º, Art. 20, Capítulo II, Anexo X da Portaria de Consolidação GM/MS nº 03, de 28/09/2017.</w:t>
      </w:r>
    </w:p>
    <w:p>
      <w:pPr>
        <w:pStyle w:val="937"/>
      </w:pPr>
      <w:r>
        <w:rPr>
          <w:b/>
          <w:bCs/>
        </w:rPr>
        <w:t xml:space="preserve">Etiqueta Antiga</w:t>
      </w:r>
      <w:r>
        <w:t xml:space="preserve">: Articulação institucional</w:t>
      </w:r>
    </w:p>
    <w:bookmarkEnd w:id="585"/>
    <w:bookmarkEnd w:id="586"/>
    <w:bookmarkStart w:id="593" w:name="governança-e-estrutura-organizacional"/>
    <w:p>
      <w:pPr>
        <w:pStyle w:val="906"/>
      </w:pPr>
      <w:r>
        <w:t xml:space="preserve">14.0.18 Governança e estrutura organizacional</w:t>
      </w:r>
    </w:p>
    <w:bookmarkStart w:id="587" w:name="auditoria-19628-constatação-nº-685455-2"/>
    <w:p>
      <w:pPr>
        <w:pStyle w:val="907"/>
      </w:pPr>
      <w:r>
        <w:t xml:space="preserve">14.0.18.1 Auditoria 19628, Constatação Nº 685455 (#2)</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w:t>
      </w:r>
    </w:p>
    <w:p>
      <w:pPr>
        <w:pStyle w:val="937"/>
      </w:pPr>
      <w:r>
        <w:rPr>
          <w:b/>
          <w:bCs/>
        </w:rPr>
        <w:t xml:space="preserve">Item</w:t>
      </w:r>
      <w:r>
        <w:t xml:space="preserve">: Documentação/Prontuários</w:t>
      </w:r>
    </w:p>
    <w:p>
      <w:pPr>
        <w:pStyle w:val="937"/>
      </w:pPr>
      <w:r>
        <w:rPr>
          <w:b/>
          <w:bCs/>
        </w:rPr>
        <w:t xml:space="preserve">Constatação</w:t>
      </w:r>
      <w:r>
        <w:t xml:space="preserve">: Divergências nas informações contidas nas etiquetas afixadas aos prontuários em relação aos registros efetuados no HOSPUB, pelo Almoxarifado, e no SIH/SUS, pelo Setor de Faturamento.</w:t>
      </w:r>
    </w:p>
    <w:p>
      <w:pPr>
        <w:pStyle w:val="937"/>
      </w:pPr>
      <w:r>
        <w:rPr>
          <w:b/>
          <w:bCs/>
        </w:rPr>
        <w:t xml:space="preserve">Recomendação</w:t>
      </w:r>
      <w:r>
        <w:t xml:space="preserve">: Estabelecer medidas que assegurem a implementação dos controles internos e da política de governança da administração conforme dispõem a Instrução Normativa Conjunta MP/CGU nº 01/2016 e o Decreto nº 9203/2017.</w:t>
      </w:r>
    </w:p>
    <w:p>
      <w:pPr>
        <w:pStyle w:val="937"/>
      </w:pPr>
      <w:r>
        <w:rPr>
          <w:b/>
          <w:bCs/>
        </w:rPr>
        <w:t xml:space="preserve">Etiqueta Antiga</w:t>
      </w:r>
      <w:r>
        <w:t xml:space="preserve">: Governança e estrutura organizacional</w:t>
      </w:r>
    </w:p>
    <w:bookmarkEnd w:id="587"/>
    <w:bookmarkStart w:id="588" w:name="auditoria-19712-constatação-nº-690936-1"/>
    <w:p>
      <w:pPr>
        <w:pStyle w:val="907"/>
      </w:pPr>
      <w:r>
        <w:t xml:space="preserve">14.0.18.2 Auditoria 19712, Constatação Nº 690936 (#1)</w:t>
      </w:r>
    </w:p>
    <w:p>
      <w:pPr>
        <w:pStyle w:val="937"/>
      </w:pPr>
      <w:r>
        <w:rPr>
          <w:b/>
          <w:bCs/>
        </w:rPr>
        <w:t xml:space="preserve">Grupo</w:t>
      </w:r>
      <w:r>
        <w:t xml:space="preserve">: Regulação</w:t>
      </w:r>
    </w:p>
    <w:p>
      <w:pPr>
        <w:pStyle w:val="937"/>
      </w:pPr>
      <w:r>
        <w:rPr>
          <w:b/>
          <w:bCs/>
        </w:rPr>
        <w:t xml:space="preserve">Subgrupo</w:t>
      </w:r>
      <w:r>
        <w:t xml:space="preserve">: Controle e Avaliação</w:t>
      </w:r>
    </w:p>
    <w:p>
      <w:pPr>
        <w:pStyle w:val="937"/>
      </w:pPr>
      <w:r>
        <w:rPr>
          <w:b/>
          <w:bCs/>
        </w:rPr>
        <w:t xml:space="preserve">Item</w:t>
      </w:r>
      <w:r>
        <w:t xml:space="preserve">: Recursos Humanos/Capacitação</w:t>
      </w:r>
    </w:p>
    <w:p>
      <w:pPr>
        <w:pStyle w:val="937"/>
      </w:pPr>
      <w:r>
        <w:rPr>
          <w:b/>
          <w:bCs/>
        </w:rPr>
        <w:t xml:space="preserve">Constatação</w:t>
      </w:r>
      <w:r>
        <w:t xml:space="preserve">: A SMS de Buriti dos Lopes não implantou instâncias de controle, avaliação e monitoramento das ações e serviços de saúde.</w:t>
      </w:r>
    </w:p>
    <w:p>
      <w:pPr>
        <w:pStyle w:val="937"/>
      </w:pPr>
      <w:r>
        <w:rPr>
          <w:b/>
          <w:bCs/>
        </w:rPr>
        <w:t xml:space="preserve">Recomendação</w:t>
      </w:r>
      <w:r>
        <w:t xml:space="preserve">: Estruturar a Gerência de Controle e Avaliação conforme determina o inciso I do art. 15 da Lei nº 8.080, de 19/09/1990, onde consta que a União, os Estados, o Distrito Federal e os Municípios exercerão, em seu âmbito administrativo, as seguintes atribuições: I - definição das instâncias e mecanismos de controle, avaliação e de fiscalização das ações e serviços de saúde; II - (...).</w:t>
      </w:r>
    </w:p>
    <w:p>
      <w:pPr>
        <w:pStyle w:val="937"/>
      </w:pPr>
      <w:r>
        <w:rPr>
          <w:b/>
          <w:bCs/>
        </w:rPr>
        <w:t xml:space="preserve">Etiqueta Antiga</w:t>
      </w:r>
      <w:r>
        <w:t xml:space="preserve">: Governança e estrutura organizacional</w:t>
      </w:r>
    </w:p>
    <w:bookmarkEnd w:id="588"/>
    <w:bookmarkStart w:id="589" w:name="auditoria-19822-constatação-nº-693837-1"/>
    <w:p>
      <w:pPr>
        <w:pStyle w:val="907"/>
      </w:pPr>
      <w:r>
        <w:t xml:space="preserve">14.0.18.3 Auditoria 19822, Constatação Nº 693837 (#1)</w:t>
      </w:r>
    </w:p>
    <w:p>
      <w:pPr>
        <w:pStyle w:val="937"/>
      </w:pPr>
      <w:r>
        <w:rPr>
          <w:b/>
          <w:bCs/>
        </w:rPr>
        <w:t xml:space="preserve">Grupo</w:t>
      </w:r>
      <w:r>
        <w:t xml:space="preserve">: Gestão Municipal</w:t>
      </w:r>
    </w:p>
    <w:p>
      <w:pPr>
        <w:pStyle w:val="937"/>
      </w:pPr>
      <w:r>
        <w:rPr>
          <w:b/>
          <w:bCs/>
        </w:rPr>
        <w:t xml:space="preserve">Subgrupo</w:t>
      </w:r>
      <w:r>
        <w:t xml:space="preserve">: Assistência de Atenção Básica</w:t>
      </w:r>
    </w:p>
    <w:p>
      <w:pPr>
        <w:pStyle w:val="937"/>
      </w:pPr>
      <w:r>
        <w:rPr>
          <w:b/>
          <w:bCs/>
        </w:rPr>
        <w:t xml:space="preserve">Item</w:t>
      </w:r>
      <w:r>
        <w:t xml:space="preserve">: Programação/Orçamentação/Pagamento</w:t>
      </w:r>
    </w:p>
    <w:p>
      <w:pPr>
        <w:pStyle w:val="937"/>
      </w:pPr>
      <w:r>
        <w:rPr>
          <w:b/>
          <w:bCs/>
        </w:rPr>
        <w:t xml:space="preserve">Constatação</w:t>
      </w:r>
      <w:r>
        <w:t xml:space="preserve">: A Secretaria Municipal de Saúde de Floresta do Araguaia não possui CNPJ próprio.</w:t>
      </w:r>
    </w:p>
    <w:p>
      <w:pPr>
        <w:pStyle w:val="937"/>
      </w:pPr>
      <w:r>
        <w:rPr>
          <w:b/>
          <w:bCs/>
        </w:rPr>
        <w:t xml:space="preserve">Recomendação</w:t>
      </w:r>
      <w:r>
        <w:t xml:space="preserve">: Cumprir o disposto no inciso II, do Anexo I da Instrução Normativa RFB n. 2119, de 6 de dezembro de 2022, que estabelece que os órgãos públicos de qualquer dos Poderes dos Municípios estão obrigados a se inscrever no CNPJ.</w:t>
      </w:r>
    </w:p>
    <w:p>
      <w:pPr>
        <w:pStyle w:val="937"/>
      </w:pPr>
      <w:r>
        <w:rPr>
          <w:b/>
          <w:bCs/>
        </w:rPr>
        <w:t xml:space="preserve">Etiqueta Antiga</w:t>
      </w:r>
      <w:r>
        <w:t xml:space="preserve">: Governança e estrutura organizacional</w:t>
      </w:r>
    </w:p>
    <w:bookmarkEnd w:id="589"/>
    <w:bookmarkStart w:id="590" w:name="auditoria-19835-constatação-nº-701090-1"/>
    <w:p>
      <w:pPr>
        <w:pStyle w:val="907"/>
      </w:pPr>
      <w:r>
        <w:t xml:space="preserve">14.0.18.4 Auditoria 19835, Constatação Nº 701090 (#1)</w:t>
      </w:r>
    </w:p>
    <w:p>
      <w:pPr>
        <w:pStyle w:val="937"/>
      </w:pPr>
      <w:r>
        <w:rPr>
          <w:b/>
          <w:bCs/>
        </w:rPr>
        <w:t xml:space="preserve">Grupo</w:t>
      </w:r>
      <w:r>
        <w:t xml:space="preserve">: Atenção Primária</w:t>
      </w:r>
    </w:p>
    <w:p>
      <w:pPr>
        <w:pStyle w:val="937"/>
      </w:pPr>
      <w:r>
        <w:rPr>
          <w:b/>
          <w:bCs/>
        </w:rPr>
        <w:t xml:space="preserve">Subgrupo</w:t>
      </w:r>
      <w:r>
        <w:t xml:space="preserve">: Saúde Mental</w:t>
      </w:r>
    </w:p>
    <w:p>
      <w:pPr>
        <w:pStyle w:val="937"/>
      </w:pPr>
      <w:r>
        <w:rPr>
          <w:b/>
          <w:bCs/>
        </w:rPr>
        <w:t xml:space="preserve">Item</w:t>
      </w:r>
      <w:r>
        <w:t xml:space="preserve">: Gestão</w:t>
      </w:r>
    </w:p>
    <w:p>
      <w:pPr>
        <w:pStyle w:val="937"/>
      </w:pPr>
      <w:r>
        <w:rPr>
          <w:b/>
          <w:bCs/>
        </w:rPr>
        <w:t xml:space="preserve">Constatação</w:t>
      </w:r>
      <w:r>
        <w:t xml:space="preserve">: A SMSA/BV não dispõe de Plano de Ação Municipal de Saúde Mental.</w:t>
      </w:r>
    </w:p>
    <w:p>
      <w:pPr>
        <w:pStyle w:val="937"/>
      </w:pPr>
      <w:r>
        <w:rPr>
          <w:b/>
          <w:bCs/>
        </w:rPr>
        <w:t xml:space="preserve">Recomendação</w:t>
      </w:r>
      <w:r>
        <w:t xml:space="preserve">: A SMSA/BV deve adotar medidas para a elaboração da proposta do Plano de Ação Municipal de Saúde Mental, para cumprimento da Política Nacional de Saúde Mental, Álcool e Outras Drogas na atenção primária, incluído as atribuições, as responsabilidades e o aporte de recursos necessários, alinhado ao Plano de Ação Regional/Estadual, pactuados nas instâncias colegiadas devidas, para cumprimento ao determinado na Alínea</w:t>
      </w:r>
      <w:r>
        <w:t xml:space="preserve"> </w:t>
      </w:r>
      <w:r>
        <w:rPr>
          <w:rStyle w:val="949"/>
        </w:rPr>
        <w:t xml:space="preserve">c</w:t>
      </w:r>
      <w:r>
        <w:t xml:space="preserve">, do Inciso I, do Art. 14, do Anexo V, da Portaria de Consolidação GM/MS nº 3, de 28 de setembro de 2017, que trata da operacionalização, da implantação da Rede Psicossocial e da elaboração da proposta de Plano de Ação Regional/Estadual e do Plano de Ação Municipal.</w:t>
      </w:r>
    </w:p>
    <w:p>
      <w:pPr>
        <w:pStyle w:val="937"/>
      </w:pPr>
      <w:r>
        <w:rPr>
          <w:b/>
          <w:bCs/>
        </w:rPr>
        <w:t xml:space="preserve">Etiqueta Antiga</w:t>
      </w:r>
      <w:r>
        <w:t xml:space="preserve">: Gestão de operações</w:t>
      </w:r>
    </w:p>
    <w:bookmarkEnd w:id="590"/>
    <w:bookmarkStart w:id="591" w:name="auditoria-19850-constatação-nº-701772-1"/>
    <w:p>
      <w:pPr>
        <w:pStyle w:val="907"/>
      </w:pPr>
      <w:r>
        <w:t xml:space="preserve">14.0.18.5 Auditoria 19850, Constatação Nº 701772 (#1)</w:t>
      </w:r>
    </w:p>
    <w:p>
      <w:pPr>
        <w:pStyle w:val="937"/>
      </w:pPr>
      <w:r>
        <w:rPr>
          <w:b/>
          <w:bCs/>
        </w:rPr>
        <w:t xml:space="preserve">Grupo</w:t>
      </w:r>
      <w:r>
        <w:t xml:space="preserve">: Regulação</w:t>
      </w:r>
    </w:p>
    <w:p>
      <w:pPr>
        <w:pStyle w:val="937"/>
      </w:pPr>
      <w:r>
        <w:rPr>
          <w:b/>
          <w:bCs/>
        </w:rPr>
        <w:t xml:space="preserve">Subgrupo</w:t>
      </w:r>
      <w:r>
        <w:t xml:space="preserve">: Controle e Avaliação</w:t>
      </w:r>
    </w:p>
    <w:p>
      <w:pPr>
        <w:pStyle w:val="937"/>
      </w:pPr>
      <w:r>
        <w:rPr>
          <w:b/>
          <w:bCs/>
        </w:rPr>
        <w:t xml:space="preserve">Item</w:t>
      </w:r>
      <w:r>
        <w:t xml:space="preserve">: Atividades/Programação/Supervisão/Revisão</w:t>
      </w:r>
    </w:p>
    <w:p>
      <w:pPr>
        <w:pStyle w:val="937"/>
      </w:pPr>
      <w:r>
        <w:rPr>
          <w:b/>
          <w:bCs/>
        </w:rPr>
        <w:t xml:space="preserve">Constatação</w:t>
      </w:r>
      <w:r>
        <w:t xml:space="preserve">: O Controle Interno da SMS de Queimados/RJ não atua em consonância com as suas competências institucionais</w:t>
      </w:r>
    </w:p>
    <w:p>
      <w:pPr>
        <w:pStyle w:val="937"/>
      </w:pPr>
      <w:r>
        <w:rPr>
          <w:b/>
          <w:bCs/>
        </w:rPr>
        <w:t xml:space="preserve">Recomendação</w:t>
      </w:r>
      <w:r>
        <w:t xml:space="preserve">: Adequar e publicizar a atuação do Departamento de Controle Interno, por meio da atribuição de responsabilidades e competências inerentes a ele como parte integrante do Sistema Nacional de Auditoria, ao que cabe o controle e avaliação dos principais macroprocessos finalísticos da SMS de Queimados/RJ, bem como apoiá-lo no exercício de suas atividades em consonância com as atribuições constantes no Diário Oficial do município de Queimados n.º 27, de 06 de fevereiro de 2025.</w:t>
      </w:r>
    </w:p>
    <w:p>
      <w:pPr>
        <w:pStyle w:val="937"/>
      </w:pPr>
      <w:r>
        <w:rPr>
          <w:b/>
          <w:bCs/>
        </w:rPr>
        <w:t xml:space="preserve">Etiqueta Antiga</w:t>
      </w:r>
      <w:r>
        <w:t xml:space="preserve">: Governança e estrutura organizacional</w:t>
      </w:r>
    </w:p>
    <w:bookmarkEnd w:id="591"/>
    <w:bookmarkStart w:id="592" w:name="auditoria-19863-constatação-nº-703522-1"/>
    <w:p>
      <w:pPr>
        <w:pStyle w:val="907"/>
      </w:pPr>
      <w:r>
        <w:t xml:space="preserve">14.0.18.6 Auditoria 19863, Constatação Nº 703522 (#1)</w:t>
      </w:r>
    </w:p>
    <w:p>
      <w:pPr>
        <w:pStyle w:val="937"/>
      </w:pPr>
      <w:r>
        <w:rPr>
          <w:b/>
          <w:bCs/>
        </w:rPr>
        <w:t xml:space="preserve">Grupo</w:t>
      </w:r>
      <w:r>
        <w:t xml:space="preserve">: Assistência Média e Alta Complexidade</w:t>
      </w:r>
    </w:p>
    <w:p>
      <w:pPr>
        <w:pStyle w:val="937"/>
      </w:pPr>
      <w:r>
        <w:rPr>
          <w:b/>
          <w:bCs/>
        </w:rPr>
        <w:t xml:space="preserve">Subgrupo</w:t>
      </w:r>
      <w:r>
        <w:t xml:space="preserve">: Assistência Hospitalar/Ambulatorial</w:t>
      </w:r>
    </w:p>
    <w:p>
      <w:pPr>
        <w:pStyle w:val="937"/>
      </w:pPr>
      <w:r>
        <w:rPr>
          <w:b/>
          <w:bCs/>
        </w:rPr>
        <w:t xml:space="preserve">Item</w:t>
      </w:r>
      <w:r>
        <w:t xml:space="preserve">: Normas/Rotinas/Protocolos/Comissões Internas</w:t>
      </w:r>
    </w:p>
    <w:p>
      <w:pPr>
        <w:pStyle w:val="937"/>
      </w:pPr>
      <w:r>
        <w:rPr>
          <w:b/>
          <w:bCs/>
        </w:rPr>
        <w:t xml:space="preserve">Constatação</w:t>
      </w:r>
      <w:r>
        <w:t xml:space="preserve">: A SES/TO não comprovou a revisão do Regimento Interno do Hospital Regional Miracema do Tocantins.</w:t>
      </w:r>
    </w:p>
    <w:p>
      <w:pPr>
        <w:pStyle w:val="937"/>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tendo em vista o compromisso assumido para revisão do Regimento Interno do Hospital Regional de Miracema do Tocantins.</w:t>
      </w:r>
    </w:p>
    <w:p>
      <w:pPr>
        <w:pStyle w:val="937"/>
      </w:pPr>
      <w:r>
        <w:rPr>
          <w:b/>
          <w:bCs/>
        </w:rPr>
        <w:t xml:space="preserve">Etiqueta Antiga</w:t>
      </w:r>
      <w:r>
        <w:t xml:space="preserve">: Governança e estrutura organizacional</w:t>
      </w:r>
    </w:p>
    <w:p>
      <w:r>
        <w:br w:type="page"/>
      </w:r>
    </w:p>
    <w:bookmarkEnd w:id="592"/>
    <w:bookmarkEnd w:id="593"/>
    <w:bookmarkEnd w:id="594"/>
    <w:bookmarkStart w:id="618" w:name="Xf6296b0ce264db491aaac5279a54480baf5b752"/>
    <w:p>
      <w:pPr>
        <w:pStyle w:val="904"/>
      </w:pPr>
      <w:r>
        <w:t xml:space="preserve">15. Apêndice I — Prompt de Codificação — Tentativa 7</w:t>
      </w:r>
    </w:p>
    <w:bookmarkStart w:id="595" w:name="prompt-6"/>
    <w:p>
      <w:pPr>
        <w:pStyle w:val="906"/>
      </w:pPr>
      <w:r>
        <w:t xml:space="preserve">15.0.1 Prompt</w:t>
      </w:r>
    </w:p>
    <w:p>
      <w:pPr>
        <w:pStyle w:val="SourceCode"/>
      </w:pPr>
      <w:r>
        <w:rPr>
          <w:rStyle w:val="949"/>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Caso a recomendação não contenha uma recomendação de fato, responda "Não se aplica" para os dois critérios.</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 foco, a recomendação... Ja em relação aos efeitos pretendidos pela recomendação...",</w:t>
      </w:r>
      <w:r>
        <w:br/>
      </w:r>
      <w:r>
        <w:rPr>
          <w:rStyle w:val="949"/>
        </w:rPr>
        <w:t xml:space="preserve">   "Foco Causa": "Sim",</w:t>
      </w:r>
      <w:r>
        <w:br/>
      </w:r>
      <w:r>
        <w:rPr>
          <w:rStyle w:val="949"/>
        </w:rPr>
        <w:t xml:space="preserve">   "Efeitos Duradouros": "Sim"</w:t>
      </w:r>
      <w:r>
        <w:br/>
      </w:r>
      <w:r>
        <w:rPr>
          <w:rStyle w:val="949"/>
        </w:rPr>
        <w:t xml:space="preserve">} </w:t>
      </w:r>
    </w:p>
    <w:bookmarkEnd w:id="595"/>
    <w:bookmarkStart w:id="596" w:name="resultados-6"/>
    <w:p>
      <w:pPr>
        <w:pStyle w:val="906"/>
      </w:pPr>
      <w:r>
        <w:t xml:space="preserve">15.0.2 Resultados</w:t>
      </w:r>
    </w:p>
    <w:tbl>
      <w:tblPr>
        <w:tblStyle w:val="Table"/>
        <w:tblW w:type="pct" w:w="4868"/>
        <w:tblLayout w:type="fixed"/>
        <w:tblLook w:firstRow="1" w:lastRow="0" w:firstColumn="0" w:lastColumn="0" w:noHBand="0" w:noVBand="0" w:val="0020"/>
      </w:tblPr>
      <w:tblGrid>
        <w:gridCol w:w="2188"/>
        <w:gridCol w:w="3438"/>
        <w:gridCol w:w="1250"/>
        <w:gridCol w:w="833"/>
      </w:tblGrid>
      <w:tr>
        <w:trPr>
          <w:tblHeader w:val="on"/>
        </w:trPr>
        <w:tc>
          <w:tcPr/>
          <w:p>
            <w:pPr>
              <w:pStyle w:val="918"/>
              <w:jc w:val="left"/>
            </w:pPr>
            <w:r>
              <w:t xml:space="preserve">Foco Causa</w:t>
            </w:r>
          </w:p>
        </w:tc>
        <w:tc>
          <w:tcPr/>
          <w:p>
            <w:pPr>
              <w:pStyle w:val="918"/>
              <w:jc w:val="left"/>
            </w:pPr>
            <w:r>
              <w:t xml:space="preserve">Efeitos Duradouros</w:t>
            </w:r>
          </w:p>
        </w:tc>
        <w:tc>
          <w:tcPr/>
          <w:p>
            <w:pPr>
              <w:pStyle w:val="918"/>
              <w:jc w:val="right"/>
            </w:pPr>
            <w:r>
              <w:t xml:space="preserve">Total</w:t>
            </w:r>
          </w:p>
        </w:tc>
        <w:tc>
          <w:tcPr/>
          <w:p>
            <w:pPr>
              <w:pStyle w:val="918"/>
              <w:jc w:val="right"/>
            </w:pPr>
            <w:r>
              <w:t xml:space="preserve">%</w:t>
            </w:r>
          </w:p>
        </w:tc>
      </w:tr>
      <w:tr>
        <w:tc>
          <w:tcPr/>
          <w:p>
            <w:pPr>
              <w:pStyle w:val="918"/>
              <w:jc w:val="left"/>
            </w:pPr>
            <w:r>
              <w:t xml:space="preserve">Não</w:t>
            </w:r>
          </w:p>
        </w:tc>
        <w:tc>
          <w:tcPr/>
          <w:p>
            <w:pPr>
              <w:pStyle w:val="918"/>
              <w:jc w:val="left"/>
            </w:pPr>
            <w:r>
              <w:t xml:space="preserve">Não se Aplica</w:t>
            </w:r>
          </w:p>
        </w:tc>
        <w:tc>
          <w:tcPr/>
          <w:p>
            <w:pPr>
              <w:pStyle w:val="918"/>
              <w:jc w:val="right"/>
            </w:pPr>
            <w:r>
              <w:t xml:space="preserve">2</w:t>
            </w:r>
          </w:p>
        </w:tc>
        <w:tc>
          <w:tcPr/>
          <w:p>
            <w:pPr>
              <w:pStyle w:val="918"/>
              <w:jc w:val="right"/>
            </w:pPr>
            <w:r>
              <w:t xml:space="preserve">10</w:t>
            </w:r>
          </w:p>
        </w:tc>
      </w:tr>
      <w:tr>
        <w:tc>
          <w:tcPr/>
          <w:p>
            <w:pPr>
              <w:pStyle w:val="918"/>
              <w:jc w:val="left"/>
            </w:pPr>
            <w:r>
              <w:t xml:space="preserve">Sim</w:t>
            </w:r>
          </w:p>
        </w:tc>
        <w:tc>
          <w:tcPr/>
          <w:p>
            <w:pPr>
              <w:pStyle w:val="918"/>
              <w:jc w:val="left"/>
            </w:pPr>
            <w:r>
              <w:t xml:space="preserve">Sim</w:t>
            </w:r>
          </w:p>
        </w:tc>
        <w:tc>
          <w:tcPr/>
          <w:p>
            <w:pPr>
              <w:pStyle w:val="918"/>
              <w:jc w:val="right"/>
            </w:pPr>
            <w:r>
              <w:t xml:space="preserve">14</w:t>
            </w:r>
          </w:p>
        </w:tc>
        <w:tc>
          <w:tcPr/>
          <w:p>
            <w:pPr>
              <w:pStyle w:val="918"/>
              <w:jc w:val="right"/>
            </w:pPr>
            <w:r>
              <w:t xml:space="preserve">70</w:t>
            </w:r>
          </w:p>
        </w:tc>
      </w:tr>
      <w:tr>
        <w:tc>
          <w:tcPr/>
          <w:p>
            <w:pPr>
              <w:pStyle w:val="918"/>
              <w:jc w:val="left"/>
            </w:pPr>
            <w:r>
              <w:t xml:space="preserve">Não</w:t>
            </w:r>
          </w:p>
        </w:tc>
        <w:tc>
          <w:tcPr/>
          <w:p>
            <w:pPr>
              <w:pStyle w:val="918"/>
              <w:jc w:val="left"/>
            </w:pPr>
            <w:r>
              <w:t xml:space="preserve">Não se aplica</w:t>
            </w:r>
          </w:p>
        </w:tc>
        <w:tc>
          <w:tcPr/>
          <w:p>
            <w:pPr>
              <w:pStyle w:val="918"/>
              <w:jc w:val="right"/>
            </w:pPr>
            <w:r>
              <w:t xml:space="preserve">4</w:t>
            </w:r>
          </w:p>
        </w:tc>
        <w:tc>
          <w:tcPr/>
          <w:p>
            <w:pPr>
              <w:pStyle w:val="918"/>
              <w:jc w:val="right"/>
            </w:pPr>
            <w:r>
              <w:t xml:space="preserve">20</w:t>
            </w:r>
          </w:p>
        </w:tc>
      </w:tr>
    </w:tbl>
    <w:bookmarkEnd w:id="596"/>
    <w:bookmarkStart w:id="617" w:name="listagem-7"/>
    <w:p>
      <w:pPr>
        <w:pStyle w:val="906"/>
      </w:pPr>
      <w:r>
        <w:t xml:space="preserve">15.0.3 Listagem</w:t>
      </w:r>
    </w:p>
    <w:bookmarkStart w:id="597" w:name="auditoria-18885-constatação-nº-664863-4"/>
    <w:p>
      <w:pPr>
        <w:pStyle w:val="907"/>
      </w:pPr>
      <w:r>
        <w:t xml:space="preserve">15.0.3.1 Auditoria 18885, Constatação Nº 664863 (#4)</w:t>
      </w:r>
    </w:p>
    <w:p>
      <w:pPr>
        <w:pStyle w:val="937"/>
      </w:pPr>
      <w:r>
        <w:rPr>
          <w:b/>
          <w:bCs/>
        </w:rPr>
        <w:t xml:space="preserve">Finalidade</w:t>
      </w:r>
      <w:r>
        <w:t xml:space="preserve">: Auditar a SMS de Catanduva/SP, focando Contrato de Gestão n°. 01/2015, com OSCIP Mahatma Gandhi</w:t>
      </w:r>
    </w:p>
    <w:p>
      <w:pPr>
        <w:pStyle w:val="937"/>
      </w:pPr>
      <w:r>
        <w:rPr>
          <w:b/>
          <w:bCs/>
        </w:rPr>
        <w:t xml:space="preserve">Constatação</w:t>
      </w:r>
      <w:r>
        <w:t xml:space="preserve">: Foram liquidadas despesas sem a comprovação da execução dos serviços, objeto do Contrato de Gestão nº 01/2015, em desacordo com a legislação.</w:t>
      </w:r>
    </w:p>
    <w:p>
      <w:pPr>
        <w:pStyle w:val="937"/>
      </w:pPr>
      <w:r>
        <w:rPr>
          <w:b/>
          <w:bCs/>
        </w:rPr>
        <w:t xml:space="preserve">Recomendação</w:t>
      </w:r>
      <w:r>
        <w:t xml:space="preserve">: À Secretaria Municipal de Saúde, para adotar medidas com os responsáveis pelas irregularidades, que deram causa ao dano, identificados neste relatório para que seja efetuado à devolução ao Fundo Nacional de Saúde, o valor de R$ 10.584.219,68 (dez milhões, quinhentos e oitenta e quatro mil, duzentos e dezenove reais e sessenta e oito centavos) atualizado monetariamente e com os acréscimos legais adotados por esse ente federado conforme indicativo na Planilha de Devolução do Módulo do SisaudSUS parte integrante deste Relatório de Auditoria, de acordo com os princípios norteadores dos processos administrativos, contidos no Art. 2º da Lei Federal 9.784 de 29/01/1999.</w:t>
      </w:r>
    </w:p>
    <w:p>
      <w:pPr>
        <w:pStyle w:val="937"/>
      </w:pPr>
      <w:r>
        <w:rPr>
          <w:b/>
          <w:bCs/>
        </w:rPr>
        <w:t xml:space="preserve">Análise Codificação</w:t>
      </w:r>
      <w:r>
        <w:t xml:space="preserve">: Em relação ao foco, a recomendação propõe a devolução de valores indevidamente liquidados, o que constitui uma medida para corrigir a condição específica de despesas liquidadas sem comprovação, mas não identifica ações para tratar a causa subjacente que permitiu essa irregularidade, como falhas em processos de controle ou fiscalização. Portanto, o foco é na condição imediata, não na causa. Como o critério</w:t>
      </w:r>
      <w:r>
        <w:t xml:space="preserve"> </w:t>
      </w:r>
      <w:r>
        <w:t xml:space="preserve">‘Foco Causa’</w:t>
      </w:r>
      <w:r>
        <w:t xml:space="preserve"> </w:t>
      </w:r>
      <w:r>
        <w:t xml:space="preserve">não é atendido, a análise de efeitos duradouros não se aplica.</w:t>
      </w:r>
    </w:p>
    <w:p>
      <w:pPr>
        <w:pStyle w:val="937"/>
      </w:pPr>
      <w:r>
        <w:t xml:space="preserve">Foco Causa: Não</w:t>
      </w:r>
    </w:p>
    <w:p>
      <w:pPr>
        <w:pStyle w:val="937"/>
      </w:pPr>
      <w:r>
        <w:t xml:space="preserve">Efeitos Duradouros: Não se Aplica</w:t>
      </w:r>
    </w:p>
    <w:bookmarkEnd w:id="597"/>
    <w:bookmarkStart w:id="598" w:name="auditoria-19001-constatação-nº-654964-1"/>
    <w:p>
      <w:pPr>
        <w:pStyle w:val="907"/>
      </w:pPr>
      <w:r>
        <w:t xml:space="preserve">15.0.3.2 Auditoria 19001, Constatação Nº 654964 (#1)</w:t>
      </w:r>
    </w:p>
    <w:p>
      <w:pPr>
        <w:pStyle w:val="937"/>
      </w:pPr>
      <w:r>
        <w:rPr>
          <w:b/>
          <w:bCs/>
        </w:rPr>
        <w:t xml:space="preserve">Finalidade</w:t>
      </w:r>
      <w:r>
        <w:t xml:space="preserve">: Verificar a correta aplicação do PMAQ-AB, pela SMS de Palmas/TO.</w:t>
      </w:r>
    </w:p>
    <w:p>
      <w:pPr>
        <w:pStyle w:val="937"/>
      </w:pPr>
      <w:r>
        <w:rPr>
          <w:b/>
          <w:bCs/>
        </w:rPr>
        <w:t xml:space="preserve">Constatação</w:t>
      </w:r>
      <w:r>
        <w:t xml:space="preserve">: A Secretaria Municipal de Saúde (SMS) de Palmas/TO realizou pagamento de gratificações do Programa Nacional de Melhoria do Acesso e da Qualidade da Atenção Básica (PMAQ-AB) sem a devida previsão legal.</w:t>
      </w:r>
    </w:p>
    <w:p>
      <w:pPr>
        <w:pStyle w:val="937"/>
      </w:pPr>
      <w:r>
        <w:rPr>
          <w:b/>
          <w:bCs/>
        </w:rPr>
        <w:t xml:space="preserve">Recomendação</w:t>
      </w:r>
      <w:r>
        <w:t xml:space="preserve">: Regulamentar por meio de lei toda e qualquer forma de remuneração dos servidores da secretaria municipal conforme prevê o inciso X, Artigo 37, Seção I, Capítulo VII da Constituição Federal de 1988.</w:t>
      </w:r>
    </w:p>
    <w:p>
      <w:pPr>
        <w:pStyle w:val="937"/>
      </w:pPr>
      <w:r>
        <w:rPr>
          <w:b/>
          <w:bCs/>
        </w:rPr>
        <w:t xml:space="preserve">Análise Codificação</w:t>
      </w:r>
      <w:r>
        <w:t xml:space="preserve">: Em relação ao foco, a recomendação propõe a regulamentação legal de todas as formas de remuneração dos servidores, o que visa tratar a causa do problema (ausência de previsão legal) ao estabelecer um marco normativo permanente. Já em relação aos efeitos pretendidos pela recomendação, a regulamentação por lei cria uma estrutura duradoura que permanece independentemente de mudanças nos atores envolvidos, pois as leis municipais continuam válidas mesmo com a troca de gestores ou servidores.</w:t>
      </w:r>
    </w:p>
    <w:p>
      <w:pPr>
        <w:pStyle w:val="937"/>
      </w:pPr>
      <w:r>
        <w:t xml:space="preserve">Foco Causa: Sim</w:t>
      </w:r>
    </w:p>
    <w:p>
      <w:pPr>
        <w:pStyle w:val="937"/>
      </w:pPr>
      <w:r>
        <w:t xml:space="preserve">Efeitos Duradouros: Sim</w:t>
      </w:r>
    </w:p>
    <w:bookmarkEnd w:id="598"/>
    <w:bookmarkStart w:id="599" w:name="auditoria-19197-constatação-nº-658360-4"/>
    <w:p>
      <w:pPr>
        <w:pStyle w:val="907"/>
      </w:pPr>
      <w:r>
        <w:t xml:space="preserve">15.0.3.3 Auditoria 19197, Constatação Nº 658360 (#4)</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Ausência de planejamento de aquisições de OPMEs na Unidade.</w:t>
      </w:r>
    </w:p>
    <w:p>
      <w:pPr>
        <w:pStyle w:val="937"/>
      </w:pPr>
      <w:r>
        <w:rPr>
          <w:b/>
          <w:bCs/>
        </w:rPr>
        <w:t xml:space="preserve">Recomendação</w:t>
      </w:r>
      <w:r>
        <w:t xml:space="preserve">: Elaborar o Plano de Contratações Anual de OPME, regulamentado pelo Decreto nº 10.947/2022, e planejar as futuras aquisições de OPME a partir desse plano, nos termos do art. 12, inciso VII c/c art. 18, da Lei nº 14.133/2021.</w:t>
      </w:r>
    </w:p>
    <w:p>
      <w:pPr>
        <w:pStyle w:val="937"/>
      </w:pPr>
      <w:r>
        <w:rPr>
          <w:b/>
          <w:bCs/>
        </w:rPr>
        <w:t xml:space="preserve">Análise Codificação</w:t>
      </w:r>
      <w:r>
        <w:t xml:space="preserve">: Em relação ao foco, a recomendação propõe a elaboração de um Plano de Contratações Anual de OPME, o que visa tratar a causa raiz da ausência de planejamento, estabelecendo um processo estruturado para futuras aquisições. Já em relação aos efeitos pretendidos pela recomendação, a implementação de um plano formalizado cria um mecanismo institucional que permanece independentemente de mudanças nos atores envolvidos, garantindo continuidade no planejamento das aquisições.</w:t>
      </w:r>
    </w:p>
    <w:p>
      <w:pPr>
        <w:pStyle w:val="937"/>
      </w:pPr>
      <w:r>
        <w:t xml:space="preserve">Foco Causa: Sim</w:t>
      </w:r>
    </w:p>
    <w:p>
      <w:pPr>
        <w:pStyle w:val="937"/>
      </w:pPr>
      <w:r>
        <w:t xml:space="preserve">Efeitos Duradouros: Sim</w:t>
      </w:r>
    </w:p>
    <w:bookmarkEnd w:id="599"/>
    <w:bookmarkStart w:id="600" w:name="auditoria-19484-constatação-nº-682580-1"/>
    <w:p>
      <w:pPr>
        <w:pStyle w:val="907"/>
      </w:pPr>
      <w:r>
        <w:t xml:space="preserve">15.0.3.4 Auditoria 19484, Constatação Nº 682580 (#1)</w:t>
      </w:r>
    </w:p>
    <w:p>
      <w:pPr>
        <w:pStyle w:val="937"/>
      </w:pPr>
      <w:r>
        <w:rPr>
          <w:b/>
          <w:bCs/>
        </w:rPr>
        <w:t xml:space="preserve">Finalidade</w:t>
      </w:r>
      <w:r>
        <w:t xml:space="preserve">: Verificar regularidade execução contrato SMS Bom Jesus Itabapoana e o Hospital São Vicente de Paula</w:t>
      </w:r>
    </w:p>
    <w:p>
      <w:pPr>
        <w:pStyle w:val="937"/>
      </w:pPr>
      <w:r>
        <w:rPr>
          <w:b/>
          <w:bCs/>
        </w:rPr>
        <w:t xml:space="preserve">Constatação</w:t>
      </w:r>
      <w:r>
        <w:t xml:space="preserve">: A Secretaria Municipal de Saúde de Bom Jesus do Itabapoana/RJ não apresentou documentação que comprovasse a existência da Comissão de Acompanhamento da Contratualização com o Hospital São Vicente de Paulo.</w:t>
      </w:r>
    </w:p>
    <w:p>
      <w:pPr>
        <w:pStyle w:val="937"/>
      </w:pPr>
      <w:r>
        <w:rPr>
          <w:b/>
          <w:bCs/>
        </w:rPr>
        <w:t xml:space="preserve">Recomendação</w:t>
      </w:r>
      <w:r>
        <w:t xml:space="preserve">: Adotar medidas capazes de assegurar o cumprimento do estabelecido no instrumento contratual e no art. 32, seção IV, Anexo XXIV do Anexo 2 da Portaria de Consolidação nº 2 de 03 de setembro de 2017, quanto à instituição, funcionamento e composição da Comissão de Acompanhamento da Contratualização. Não obstante, assegurar com que sejam cumpridos os conteúdos dispostos na Lei Municipal n.º 1.453, de 11 de março de 2021, no que se refere à constituição e funcionamento do Núcleo de Controle Interno da Secretaria Municipal de Saúde previsto no §1° do art. 14.</w:t>
      </w:r>
    </w:p>
    <w:p>
      <w:pPr>
        <w:pStyle w:val="937"/>
      </w:pPr>
      <w:r>
        <w:rPr>
          <w:b/>
          <w:bCs/>
        </w:rPr>
        <w:t xml:space="preserve">Análise Codificação</w:t>
      </w:r>
      <w:r>
        <w:t xml:space="preserve">: A recomendação propõe a adoção de medidas para assegurar o cumprimento de normas específicas sobre a instituição, funcionamento e composição da Comissão de Acompanhamento da Contratualização, bem como do Núcleo de Controle Interno. Isso visa estabelecer estruturas e processos permanentes para garantir a conformidade com os instrumentos contratuais e legais, tratando assim a causa subjacente da ausência de documentação comprobatória, que é a falta de implementação desses mecanismos de controle. Quanto aos efeitos duradouros, a implementação de comissões e núcleos com bases normativas cria estruturas organizacionais que devem persistir independentemente de mudanças nos atores envolvidos, pois estão institucionalizadas por meio de leis e portarias.</w:t>
      </w:r>
    </w:p>
    <w:p>
      <w:pPr>
        <w:pStyle w:val="937"/>
      </w:pPr>
      <w:r>
        <w:t xml:space="preserve">Foco Causa: Sim</w:t>
      </w:r>
    </w:p>
    <w:p>
      <w:pPr>
        <w:pStyle w:val="937"/>
      </w:pPr>
      <w:r>
        <w:t xml:space="preserve">Efeitos Duradouros: Sim</w:t>
      </w:r>
    </w:p>
    <w:bookmarkEnd w:id="600"/>
    <w:bookmarkStart w:id="601" w:name="auditoria-19484-constatação-nº-682951-1"/>
    <w:p>
      <w:pPr>
        <w:pStyle w:val="907"/>
      </w:pPr>
      <w:r>
        <w:t xml:space="preserve">15.0.3.5 Auditoria 19484, Constatação Nº 682951 (#1)</w:t>
      </w:r>
    </w:p>
    <w:p>
      <w:pPr>
        <w:pStyle w:val="937"/>
      </w:pPr>
      <w:r>
        <w:rPr>
          <w:b/>
          <w:bCs/>
        </w:rPr>
        <w:t xml:space="preserve">Finalidade</w:t>
      </w:r>
      <w:r>
        <w:t xml:space="preserve">: Verificar regularidade execução contrato SMS Bom Jesus Itabapoana e o Hospital São Vicente de Paula</w:t>
      </w:r>
    </w:p>
    <w:p>
      <w:pPr>
        <w:pStyle w:val="937"/>
      </w:pPr>
      <w:r>
        <w:rPr>
          <w:b/>
          <w:bCs/>
        </w:rPr>
        <w:t xml:space="preserve">Constatação</w:t>
      </w:r>
      <w:r>
        <w:t xml:space="preserve">: A Secretaria Municipal de Saúde de bom Jesus do Itabapoana/RJ não comprovou a existência de instrumentos para regulação de consultas ambulatoriais e procedimentos especializados ofertados pelo Hospital São Vicente de Paulo aos usuários do SUS no período de 2017 a 2019.</w:t>
      </w:r>
    </w:p>
    <w:p>
      <w:pPr>
        <w:pStyle w:val="937"/>
      </w:pPr>
      <w:r>
        <w:rPr>
          <w:b/>
          <w:bCs/>
        </w:rPr>
        <w:t xml:space="preserve">Recomendação</w:t>
      </w:r>
      <w:r>
        <w:t xml:space="preserve">: Adotar providências no sentido de que sejam estabelecidos sistemas e processos que assegurem o cumprimento da Portaria GM/MS de Consolidação n° 2, de 28/09/2017, no Anexo XXIV, Capítulo III, seção I, art. 8º</w:t>
      </w:r>
      <w:r>
        <w:t xml:space="preserve"> </w:t>
      </w:r>
      <w:r>
        <w:t xml:space="preserve">“A assistência hospitalar no SUS será organizada a partir das necessidades da população, com a finalidade de garantir o atendimento aos usuários, baseado em equipe multiprofissional, na horizontalização do cuidado, na organização de linhas de cuidado e na regulação do acesso, art. 11.”</w:t>
      </w:r>
      <w:r>
        <w:t xml:space="preserve">O acesso à atenção hospitalar será realizado de forma regulada, a partir de demanda referenciada e/ou espontânea, assegurando a equidade e a transparência, com priorização por meio de critérios que avaliem riscos e vulnerabilidades.” e na seção VII no art. 37, § 3º</w:t>
      </w:r>
      <w:r>
        <w:t xml:space="preserve"> </w:t>
      </w:r>
      <w:r>
        <w:t xml:space="preserve">“Compete às Secretarias Municipais de Saúde e do Distrito Federal: (…) VII - estabelecer mecanismos de controle, regulação, monitoramento e avaliação das ações realizadas no âmbito hospitalar em seu território, através de indicadores de desempenho e qualidade, bem como o disposto no Anexo XXVI, especialmente em seu capítulo I, art. 4º”</w:t>
      </w:r>
      <w:r>
        <w:t xml:space="preserve">A Regulação da Atenção à Saúde efetivada pela contratação de serviços de saúde, controle e avaliação de serviços e da produção assistencial, regulação do acesso à assistência e auditoria assistencial…” e art. 5º</w:t>
      </w:r>
      <w:r>
        <w:t xml:space="preserve"> </w:t>
      </w:r>
      <w:r>
        <w:t xml:space="preserve">“A Regulação do Acesso à Assistência efetivada pela disponibilização da alternativa assistencial mais adequada à necessidade do cidadão por meio de atendimentos às urgências, consultas, leitos e outros que se fizerem necessários…”</w:t>
      </w:r>
      <w:r>
        <w:t xml:space="preserve">.</w:t>
      </w:r>
    </w:p>
    <w:p>
      <w:pPr>
        <w:pStyle w:val="937"/>
      </w:pPr>
      <w:r>
        <w:rPr>
          <w:b/>
          <w:bCs/>
        </w:rPr>
        <w:t xml:space="preserve">Análise Codificação</w:t>
      </w:r>
      <w:r>
        <w:t xml:space="preserve">: Em relação ao foco, a recomendação propõe a adoção de providências para estabelecer sistemas e processos que assegurem o cumprimento de normas específicas, o que visa tratar a causa subjacente da falta de instrumentos de regulação, ao invés de apenas corrigir a condição imediata. Isso inclui a criação de mecanismos de controle e regulação, indicando uma abordagem preventiva e de longo prazo. Já em relação aos efeitos pretendidos pela recomendação, a implementação de sistemas e processos estruturados tende a gerar efeitos duradouros, pois estabelece uma base organizacional que pode persistir independentemente de mudanças nos atores envolvidos, como a rotatividade de funcionários.</w:t>
      </w:r>
    </w:p>
    <w:p>
      <w:pPr>
        <w:pStyle w:val="937"/>
      </w:pPr>
      <w:r>
        <w:t xml:space="preserve">Foco Causa: Sim</w:t>
      </w:r>
    </w:p>
    <w:p>
      <w:pPr>
        <w:pStyle w:val="937"/>
      </w:pPr>
      <w:r>
        <w:t xml:space="preserve">Efeitos Duradouros: Sim</w:t>
      </w:r>
    </w:p>
    <w:bookmarkEnd w:id="601"/>
    <w:bookmarkStart w:id="602" w:name="auditoria-19513-constatação-nº-671419-2"/>
    <w:p>
      <w:pPr>
        <w:pStyle w:val="907"/>
      </w:pPr>
      <w:r>
        <w:t xml:space="preserve">15.0.3.6 Auditoria 19513, Constatação Nº 671419 (#2)</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A Secretaria Municipal de Saúde de Poção de Pedras nos exercícios de 2020 e 2021 alimentou parcialmente a totalidade dos atendimentos realizados pelos profissionais enfermeiro, fisioterapeuta e nutricionista no Sistema de Informações Ambulatoriais - SIA/SUS para o procedimento Consulta de profissionais de nível superior na Atenção Especializada (exceto médico), Código 03.01.01.004-8, no Hospital Maternidade Agostinho Cruz Marques.</w:t>
      </w:r>
    </w:p>
    <w:p>
      <w:pPr>
        <w:pStyle w:val="937"/>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937"/>
      </w:pPr>
      <w:r>
        <w:rPr>
          <w:b/>
          <w:bCs/>
        </w:rPr>
        <w:t xml:space="preserve">Análise Codificação</w:t>
      </w:r>
      <w:r>
        <w:t xml:space="preserve">: A recomendação não propõe ações específicas para tratar a causa do problema (alimentação parcial dos atendimentos no sistema), limitando-se a solicitar conhecimento da constatação e adoção de procedimentos genéricos de controle, monitoramento e avaliação. Não há menção a ações que ataquem diretamente as razões que levaram ao registro incompleto, como falhas de processo, capacitação ou recursos.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02"/>
    <w:bookmarkStart w:id="603" w:name="auditoria-19535-constatação-nº-681951-1"/>
    <w:p>
      <w:pPr>
        <w:pStyle w:val="907"/>
      </w:pPr>
      <w:r>
        <w:t xml:space="preserve">15.0.3.7 Auditoria 19535, Constatação Nº 681951 (#1)</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Não apresentação das cópias dos cupons vinculados e receitas médicas solicitadas.</w:t>
      </w:r>
    </w:p>
    <w:p>
      <w:pPr>
        <w:pStyle w:val="937"/>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 17 do Decreto nº 9.795, de 21 de maio de 2019, combinado com o inciso VIII do art. 2º do Decreto nº 3.964, de 11 de outubro de 2001, visando à elisão do dano e/ou impropriedade ocorrida com recursos de origem federal, indicado no Capítulo Proposição de Devolução, do presente relatório, com os devidos acréscimos legais, observados os princípios norteadores dos processos administrativos.</w:t>
      </w:r>
    </w:p>
    <w:p>
      <w:pPr>
        <w:pStyle w:val="937"/>
      </w:pPr>
      <w:r>
        <w:rPr>
          <w:b/>
          <w:bCs/>
        </w:rPr>
        <w:t xml:space="preserve">Análise Codificação</w:t>
      </w:r>
      <w:r>
        <w:t xml:space="preserve">: A recomendação não propõe ações específicas para tratar a causa da não apresentação dos cupons e receitas médicas, limitando-se a encaminhar a constatação para conhecimento e adoção de procedimentos genéricos conforme dispositivos legais, sem indicar medidas concretas para prevenir a reincidência do problema. Portanto, não há ação proposta que trate da causa do problema.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03"/>
    <w:bookmarkStart w:id="604" w:name="auditoria-19544-constatação-nº-676948-1"/>
    <w:p>
      <w:pPr>
        <w:pStyle w:val="907"/>
      </w:pPr>
      <w:r>
        <w:t xml:space="preserve">15.0.3.8 Auditoria 19544, Constatação Nº 676948 (#1)</w:t>
      </w:r>
    </w:p>
    <w:p>
      <w:pPr>
        <w:pStyle w:val="937"/>
      </w:pPr>
      <w:r>
        <w:rPr>
          <w:b/>
          <w:bCs/>
        </w:rPr>
        <w:t xml:space="preserve">Finalidade</w:t>
      </w:r>
      <w:r>
        <w:t xml:space="preserve">: Avaliar acuidade das informações prestada pelo Munic. de Feijó, ref. ao Prog. Previne Brasil. A.P</w:t>
      </w:r>
    </w:p>
    <w:p>
      <w:pPr>
        <w:pStyle w:val="937"/>
      </w:pPr>
      <w:r>
        <w:rPr>
          <w:b/>
          <w:bCs/>
        </w:rPr>
        <w:t xml:space="preserve">Constatação</w:t>
      </w:r>
      <w:r>
        <w:t xml:space="preserve">: Os dados do indicador 2, referentes à proporção de gestantes com realização de exames para sífilis e HIV, apresentados no SISAB, não são equivalentes aos registrados nos demais sistemas de registro dos procedimentos.</w:t>
      </w:r>
    </w:p>
    <w:p>
      <w:pPr>
        <w:pStyle w:val="937"/>
      </w:pPr>
      <w:r>
        <w:rPr>
          <w:b/>
          <w:bCs/>
        </w:rPr>
        <w:t xml:space="preserve">Recomendação</w:t>
      </w:r>
      <w:r>
        <w:t xml:space="preserve">: Alimentar, analisar e verificar a qualidade e a consistência dos dados inseridos nos sistemas nacionais de informação, em conformidade com o item 2.2.2.1 - Registro das Informações do Manual Instrutivo do Previne Brasil, 1ª ed., p. 37, 2021, concomitante com a PRC nº 02/2017, Anexo I do Anexo XXII, incisos X e XV, item 4, sobre Atribuições dos profissionais da Atenção Básica.</w:t>
      </w:r>
    </w:p>
    <w:p>
      <w:pPr>
        <w:pStyle w:val="937"/>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visam tratar a causa subjacente da inconsistência dos dados, que é a falta de processos robustos de gestão da informação. Isso aborda a raiz do problema, não apenas a condição imediata de disparidade entre sistemas. Já em relação aos efeitos pretendidos pela recomendação, as ações sugeridas, como a implementação de verificações de qualidade e conformidade com manuais, estabelecem procedimentos sistemáticos que devem persistir independentemente de mudanças nos atores envolvidos, promovendo efeitos duradouros.</w:t>
      </w:r>
    </w:p>
    <w:p>
      <w:pPr>
        <w:pStyle w:val="937"/>
      </w:pPr>
      <w:r>
        <w:t xml:space="preserve">Foco Causa: Sim</w:t>
      </w:r>
    </w:p>
    <w:p>
      <w:pPr>
        <w:pStyle w:val="937"/>
      </w:pPr>
      <w:r>
        <w:t xml:space="preserve">Efeitos Duradouros: Sim</w:t>
      </w:r>
    </w:p>
    <w:bookmarkEnd w:id="604"/>
    <w:bookmarkStart w:id="605" w:name="auditoria-19554-constatação-nº-673263-1"/>
    <w:p>
      <w:pPr>
        <w:pStyle w:val="907"/>
      </w:pPr>
      <w:r>
        <w:t xml:space="preserve">15.0.3.9 Auditoria 19554, Constatação Nº 673263 (#1)</w:t>
      </w:r>
    </w:p>
    <w:p>
      <w:pPr>
        <w:pStyle w:val="937"/>
      </w:pPr>
      <w:r>
        <w:rPr>
          <w:b/>
          <w:bCs/>
        </w:rPr>
        <w:t xml:space="preserve">Finalidade</w:t>
      </w:r>
      <w:r>
        <w:t xml:space="preserve">: Avaliar a atuação dos municípios através dos indicadores por desempenho do Programa Previne Brasil</w:t>
      </w:r>
    </w:p>
    <w:p>
      <w:pPr>
        <w:pStyle w:val="937"/>
      </w:pPr>
      <w:r>
        <w:rPr>
          <w:b/>
          <w:bCs/>
        </w:rPr>
        <w:t xml:space="preserve">Constatação</w:t>
      </w:r>
      <w:r>
        <w:t xml:space="preserve">: Os dados registrados no SISAB demonstram que o município não atingiu a meta de cobertura vacinal do Indicador 5, havendo ainda divergência em relação aos dados registrados no Sistema de Informação do Programa Nacional de Imunizações (SI-PNI).</w:t>
      </w:r>
    </w:p>
    <w:p>
      <w:pPr>
        <w:pStyle w:val="937"/>
      </w:pPr>
      <w:r>
        <w:rPr>
          <w:b/>
          <w:bCs/>
        </w:rPr>
        <w:t xml:space="preserve">Recomendação</w:t>
      </w:r>
      <w:r>
        <w:t xml:space="preserve">: A dotar as recomendações para melhoria dos resultados do Indicador 5, estabelecidas no item 5 da Nota Técnica nº 22/2022-DESF/SAPS/MS, tais como: garantir que as vacinas que compõem o calendário vacinal sejam ofertadas cotidianamente nas unidades básicas de saúde e não restritas a ações focalizadas; elaborar protocolos locais que organizem a atenção, o rastreamento, a busca ativa de crianças com esquema vacinal incompleto e realização do acompanhamento dos faltosos (atraso no calendário vacinal) individualmente.</w:t>
      </w:r>
    </w:p>
    <w:p>
      <w:pPr>
        <w:pStyle w:val="937"/>
      </w:pPr>
      <w:r>
        <w:rPr>
          <w:b/>
          <w:bCs/>
        </w:rPr>
        <w:t xml:space="preserve">Análise Codificação</w:t>
      </w:r>
      <w:r>
        <w:t xml:space="preserve">: Em relação ao foco, a recomendação propõe ações que tratam das causas do problema, como a oferta cotidiana de vacinas (em vez de ações focalizadas) e a elaboração de protocolos locais para organização da atenção, rastreamento e busca ativa de crianças com esquema vacinal incompleto, visando prevenir a reocorrência da baixa cobertura vacinal. Já em relação aos efeitos pretendidos, as ações sugeridas (como protocolos locais e oferta contínua) são estruturadas para permanecerem mesmo com mudanças nos atores envolvidos, pois institucionalizam processos.</w:t>
      </w:r>
    </w:p>
    <w:p>
      <w:pPr>
        <w:pStyle w:val="937"/>
      </w:pPr>
      <w:r>
        <w:t xml:space="preserve">Foco Causa: Sim</w:t>
      </w:r>
    </w:p>
    <w:p>
      <w:pPr>
        <w:pStyle w:val="937"/>
      </w:pPr>
      <w:r>
        <w:t xml:space="preserve">Efeitos Duradouros: Sim</w:t>
      </w:r>
    </w:p>
    <w:bookmarkEnd w:id="605"/>
    <w:bookmarkStart w:id="606" w:name="auditoria-19611-constatação-nº-674292-1"/>
    <w:p>
      <w:pPr>
        <w:pStyle w:val="907"/>
      </w:pPr>
      <w:r>
        <w:t xml:space="preserve">15.0.3.10 Auditoria 19611, Constatação Nº 674292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p>
    <w:p>
      <w:pPr>
        <w:pStyle w:val="937"/>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w:t>
      </w:r>
    </w:p>
    <w:p>
      <w:pPr>
        <w:pStyle w:val="937"/>
      </w:pPr>
      <w:r>
        <w:rPr>
          <w:b/>
          <w:bCs/>
        </w:rPr>
        <w:t xml:space="preserve">Análise Codificação</w:t>
      </w:r>
      <w:r>
        <w:t xml:space="preserve">: Em relação ao foco, a recomendação propõe a criação de critérios objetivos para avaliar a capacidade técnica e operacional das proponentes, o que visa prevenir a ocorrência futura de problemas semelhantes, tratando assim a causa raiz da ausência de comprovação. Já em relação aos efeitos duradouros, a implementação de critérios padronizados e obrigatórios nos editais públicos tende a persistir independentemente de mudanças nos atores envolvidos, pois se baseia em procedimentos institucionais.</w:t>
      </w:r>
    </w:p>
    <w:p>
      <w:pPr>
        <w:pStyle w:val="937"/>
      </w:pPr>
      <w:r>
        <w:t xml:space="preserve">Foco Causa: Sim</w:t>
      </w:r>
    </w:p>
    <w:p>
      <w:pPr>
        <w:pStyle w:val="937"/>
      </w:pPr>
      <w:r>
        <w:t xml:space="preserve">Efeitos Duradouros: Sim</w:t>
      </w:r>
    </w:p>
    <w:bookmarkEnd w:id="606"/>
    <w:bookmarkStart w:id="607" w:name="auditoria-19614-constatação-nº-676574-1"/>
    <w:p>
      <w:pPr>
        <w:pStyle w:val="907"/>
      </w:pPr>
      <w:r>
        <w:t xml:space="preserve">15.0.3.11 Auditoria 19614, Constatação Nº 676574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Existência de profissionais da área de saúde não inscritos no Cadastro Nacional de Estabelecimentos de Saúde (CNES).</w:t>
      </w:r>
    </w:p>
    <w:p>
      <w:pPr>
        <w:pStyle w:val="937"/>
      </w:pPr>
      <w:r>
        <w:rPr>
          <w:b/>
          <w:bCs/>
        </w:rPr>
        <w:t xml:space="preserve">Recomendação</w:t>
      </w:r>
      <w:r>
        <w:t xml:space="preserve">: Notificar a convenente a verificar os registros no CNES mencionados nesta constatação, bem como orientar o DSEI e a convenente a manterem atualizadas as informações no CNES de forma periódica, conforme os arts. 131, 154, 294, 358, 359 e 361 da Portaria de Consolidação nº 1/MS/2017.</w:t>
      </w:r>
    </w:p>
    <w:p>
      <w:pPr>
        <w:pStyle w:val="937"/>
      </w:pPr>
      <w:r>
        <w:rPr>
          <w:b/>
          <w:bCs/>
        </w:rPr>
        <w:t xml:space="preserve">Análise Codificação</w:t>
      </w:r>
      <w:r>
        <w:t xml:space="preserve">: Em relação ao foco, a recomendação propõe duas ações: uma notificação para verificar registros no CNES (foco na condição, para corrigir a situação atual de profissionais não inscritos) e a orientação para manter atualizadas as informações no CNES de forma periódica (foco na causa, pois visa prevenir a reocorrência do problema através de uma ação contínua). Como há pelo menos uma ação focada na causa, o critério</w:t>
      </w:r>
      <w:r>
        <w:t xml:space="preserve"> </w:t>
      </w:r>
      <w:r>
        <w:t xml:space="preserve">‘Foco Causa’</w:t>
      </w:r>
      <w:r>
        <w:t xml:space="preserve"> </w:t>
      </w:r>
      <w:r>
        <w:t xml:space="preserve">é atendido. Já em relação aos efeitos duradouros, a ação de manter atualizações periódicas no CNES estabelece um processo sistemático que independe de atores específicos, pois a periodicidade assegura que as informações permaneçam atualizadas mesmo com mudanças de pessoal, resultando em efeitos duradouros.</w:t>
      </w:r>
    </w:p>
    <w:p>
      <w:pPr>
        <w:pStyle w:val="937"/>
      </w:pPr>
      <w:r>
        <w:t xml:space="preserve">Foco Causa: Sim</w:t>
      </w:r>
    </w:p>
    <w:p>
      <w:pPr>
        <w:pStyle w:val="937"/>
      </w:pPr>
      <w:r>
        <w:t xml:space="preserve">Efeitos Duradouros: Sim</w:t>
      </w:r>
    </w:p>
    <w:bookmarkEnd w:id="607"/>
    <w:bookmarkStart w:id="608" w:name="auditoria-19615-constatação-nº-675097-2"/>
    <w:p>
      <w:pPr>
        <w:pStyle w:val="907"/>
      </w:pPr>
      <w:r>
        <w:t xml:space="preserve">15.0.3.12 Auditoria 19615, Constatação Nº 675097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aos documentos de suporte aos relatórios mensais de acompanhamento dos Eixos de Saneamento Ambiental e Edificações de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Análise Codificação</w:t>
      </w:r>
      <w:r>
        <w:t xml:space="preserve">: Em relação ao foco, a recomendação propõe que o DSEI realize a conferência da documentação comprobatória/complementar no Transferegov para evitar a manutenção de informações incorretas no sistema. Esta ação visa prevenir a reocorrência do problema (informações incorretas) ao estabelecer um processo de verificação contínua, tratando assim a causa (falta de verificação adequada da documentação) e não apenas corrigindo a condição atual. Já em relação aos efeitos pretendidos pela recomendação, a implementação de um processo de conferência sistemática da documentação tende a criar um mecanismo que permanece efetivo mesmo com mudanças nos atores envolvidos, pois se baseia em procedimentos formais e não em ações pontuais dependentes de indivíduos específicos.</w:t>
      </w:r>
    </w:p>
    <w:p>
      <w:pPr>
        <w:pStyle w:val="937"/>
      </w:pPr>
      <w:r>
        <w:t xml:space="preserve">Foco Causa: Sim</w:t>
      </w:r>
    </w:p>
    <w:p>
      <w:pPr>
        <w:pStyle w:val="937"/>
      </w:pPr>
      <w:r>
        <w:t xml:space="preserve">Efeitos Duradouros: Sim</w:t>
      </w:r>
    </w:p>
    <w:bookmarkEnd w:id="608"/>
    <w:bookmarkStart w:id="609" w:name="auditoria-19628-constatação-nº-685444-2"/>
    <w:p>
      <w:pPr>
        <w:pStyle w:val="907"/>
      </w:pPr>
      <w:r>
        <w:t xml:space="preserve">15.0.3.13 Auditoria 19628, Constatação Nº 685444 (#2)</w:t>
      </w:r>
    </w:p>
    <w:p>
      <w:pPr>
        <w:pStyle w:val="937"/>
      </w:pPr>
      <w:r>
        <w:rPr>
          <w:b/>
          <w:bCs/>
        </w:rPr>
        <w:t xml:space="preserve">Finalidade</w:t>
      </w:r>
      <w:r>
        <w:t xml:space="preserve">: Verificar regularidade de recebimento, armazenamento, saída, dispensação e utilização das OPME</w:t>
      </w:r>
    </w:p>
    <w:p>
      <w:pPr>
        <w:pStyle w:val="937"/>
      </w:pPr>
      <w:r>
        <w:rPr>
          <w:b/>
          <w:bCs/>
        </w:rPr>
        <w:t xml:space="preserve">Constatação</w:t>
      </w:r>
      <w:r>
        <w:t xml:space="preserve">: O Hospital Federal de Bonsucesso (HFB) não comprovou a destinação de 7 OPME Cardiovasculares.</w:t>
      </w:r>
    </w:p>
    <w:p>
      <w:pPr>
        <w:pStyle w:val="937"/>
      </w:pPr>
      <w:r>
        <w:rPr>
          <w:b/>
          <w:bCs/>
        </w:rPr>
        <w:t xml:space="preserve">Recomendação</w:t>
      </w:r>
      <w:r>
        <w:t xml:space="preserve">: Estabelecer medidas capazes de assegurar a rastreabilidade das OPME, conforme disposto no item 6.4 - Rastreabilidade do Manual de Boas Práticas em Órtese, Próteses e Materiais Especiais do Ministério da Saúde - Ministério da Saúde, 2016.</w:t>
      </w:r>
    </w:p>
    <w:p>
      <w:pPr>
        <w:pStyle w:val="937"/>
      </w:pPr>
      <w:r>
        <w:rPr>
          <w:b/>
          <w:bCs/>
        </w:rPr>
        <w:t xml:space="preserve">Análise Codificação</w:t>
      </w:r>
      <w:r>
        <w:t xml:space="preserve">: A recomendação propõe a implementação de medidas para assegurar a rastreabilidade das OPME, o que visa abordar a causa subjacente da falta de comprovação de destinação, como possíveis falhas nos processos de registro e monitoramento. Isso sugere um foco na causa, pois busca prevenir a recorrência do problema. Quanto aos efeitos duradouros, a implementação de um sistema de rastreabilidade, baseado em diretrizes estabelecidas, tende a criar estruturas permanentes que mantêm sua eficácia independentemente de mudanças nos atores envolvidos.</w:t>
      </w:r>
    </w:p>
    <w:p>
      <w:pPr>
        <w:pStyle w:val="937"/>
      </w:pPr>
      <w:r>
        <w:t xml:space="preserve">Foco Causa: Sim</w:t>
      </w:r>
    </w:p>
    <w:p>
      <w:pPr>
        <w:pStyle w:val="937"/>
      </w:pPr>
      <w:r>
        <w:t xml:space="preserve">Efeitos Duradouros: Sim</w:t>
      </w:r>
    </w:p>
    <w:bookmarkEnd w:id="609"/>
    <w:bookmarkStart w:id="610" w:name="auditoria-19671-constatação-nº-688498-1"/>
    <w:p>
      <w:pPr>
        <w:pStyle w:val="907"/>
      </w:pPr>
      <w:r>
        <w:t xml:space="preserve">15.0.3.14 Auditoria 19671, Constatação Nº 688498 (#1)</w:t>
      </w:r>
    </w:p>
    <w:p>
      <w:pPr>
        <w:pStyle w:val="937"/>
      </w:pPr>
      <w:r>
        <w:rPr>
          <w:b/>
          <w:bCs/>
        </w:rPr>
        <w:t xml:space="preserve">Finalidade</w:t>
      </w:r>
      <w:r>
        <w:t xml:space="preserve">: Verificar a Política Nacional de Atenção ao Portador de Doença Renal Crônica em tratamento dialítico</w:t>
      </w:r>
    </w:p>
    <w:p>
      <w:pPr>
        <w:pStyle w:val="937"/>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p>
    <w:p>
      <w:pPr>
        <w:pStyle w:val="937"/>
      </w:pPr>
      <w:r>
        <w:rPr>
          <w:b/>
          <w:bCs/>
        </w:rPr>
        <w:t xml:space="preserve">Recomendação</w:t>
      </w:r>
      <w:r>
        <w:t xml:space="preserve">: Incluir informações sobre a organização e estruturação da rede para atendimento integral ao portador de DRC nos instrumentos de planejamento de saúde do Município, como também, constituir e incluir o Plano de Prevenção e Tratamento das Doenças Renais no Plano Municipal de Saúde, com o propósito de organizar e estruturar a rede para atendimento integral ao portador de DRC conforme o artigo 2º (A Política Nacional de Atenção ao Portador de Doença Renal será organizada de forma articulada entre o Ministério da Saúde, as Secretarias de Estado da Saúde e as Secretarias Municipais de Saúde) e Inciso IV do art. 3º, Anexo XXXIII da Portaria de Consolidação GM/MS de nº 02, de 28/9/2017, que trata da inclusão do plano de Prevenção e Tratamento das Doenças Renais nos Planos Municipais de Saúde e nos Planos de Desenvolvimento Regionais dos Estados e do Distrito Federal.</w:t>
      </w:r>
    </w:p>
    <w:p>
      <w:pPr>
        <w:pStyle w:val="937"/>
      </w:pPr>
      <w:r>
        <w:rPr>
          <w:b/>
          <w:bCs/>
        </w:rPr>
        <w:t xml:space="preserve">Análise Codificação</w:t>
      </w:r>
      <w:r>
        <w:t xml:space="preserve">: Em relação ao foco, a recomendação propõe a inclusão de informações sobre a organização e estruturação da rede de atendimento ao portador de DRC nos instrumentos de planejamento municipal e a constituição do Plano de Prevenção e Tratamento das Doenças Renais no Plano Municipal de Saúde. Essas ações visam tratar a causa do problema, que é a ausência de planejamento e estruturação formal da rede, promovendo uma solução de longo prazo para evitar a reincidência da condição observada. Já em relação aos efeitos pretendidos pela recomendação, a implementação de instrumentos formais de planejamento e a inclusão do plano específico nos documentos municipais criam estruturas permanentes que devem persistir independentemente de mudanças nos atores envolvidos, garantindo efeitos duradouros.</w:t>
      </w:r>
    </w:p>
    <w:p>
      <w:pPr>
        <w:pStyle w:val="937"/>
      </w:pPr>
      <w:r>
        <w:t xml:space="preserve">Foco Causa: Sim</w:t>
      </w:r>
    </w:p>
    <w:p>
      <w:pPr>
        <w:pStyle w:val="937"/>
      </w:pPr>
      <w:r>
        <w:t xml:space="preserve">Efeitos Duradouros: Sim</w:t>
      </w:r>
    </w:p>
    <w:bookmarkEnd w:id="610"/>
    <w:bookmarkStart w:id="611" w:name="auditoria-19679-constatação-nº-685257-3"/>
    <w:p>
      <w:pPr>
        <w:pStyle w:val="907"/>
      </w:pPr>
      <w:r>
        <w:t xml:space="preserve">15.0.3.15 Auditoria 19679, Constatação Nº 685257 (#3)</w:t>
      </w:r>
    </w:p>
    <w:p>
      <w:pPr>
        <w:pStyle w:val="937"/>
      </w:pPr>
      <w:r>
        <w:rPr>
          <w:b/>
          <w:bCs/>
        </w:rPr>
        <w:t xml:space="preserve">Finalidade</w:t>
      </w:r>
      <w:r>
        <w:t xml:space="preserve">: Realizar auditoria no Convênio 882492/2019 com a Associação Paulista Desenvolvimento da Medicina</w:t>
      </w:r>
    </w:p>
    <w:p>
      <w:pPr>
        <w:pStyle w:val="937"/>
      </w:pPr>
      <w:r>
        <w:rPr>
          <w:b/>
          <w:bCs/>
        </w:rPr>
        <w:t xml:space="preserve">Constatação</w:t>
      </w:r>
      <w:r>
        <w:t xml:space="preserve">: Irregularidade no processo de licitação nº 0122/2019 para locação de imóvel no município de Redenção/PA.</w:t>
      </w:r>
    </w:p>
    <w:p>
      <w:pPr>
        <w:pStyle w:val="937"/>
      </w:pPr>
      <w:r>
        <w:rPr>
          <w:b/>
          <w:bCs/>
        </w:rPr>
        <w:t xml:space="preserve">Recomendação</w:t>
      </w:r>
      <w:r>
        <w:t xml:space="preserve">: Adotar providências visando orientar o fiscal e o gestor concedente para que realize o acompanhamento dos processos de contratualização e de execução realizados pela convenente cumprindo os dispositivos previstos nas alíneas d, f, g e h do inciso II, art. 6º e inciso II do art. 59 da Portaria Interministerial nº 424/2016.</w:t>
      </w:r>
    </w:p>
    <w:p>
      <w:pPr>
        <w:pStyle w:val="937"/>
      </w:pPr>
      <w:r>
        <w:rPr>
          <w:b/>
          <w:bCs/>
        </w:rPr>
        <w:t xml:space="preserve">Análise Codificação</w:t>
      </w:r>
      <w:r>
        <w:t xml:space="preserve">: A recomendação propõe a adoção de providências para orientar o fiscal e o gestor concedente sobre o acompanhamento adequado dos processos de contratualização e execução, referenciando dispositivos legais específicos. Isso indica uma ação voltada para a causa do problema, que é a falta de orientação e acompanhamento adequado, visando prevenir a reincidência da irregularidade. Quanto aos efeitos duradouros, a orientação fornecida pode perdurar mesmo com mudanças nos atores envolvidos, pois estabelece um padrão de conduta baseado em normas legais.</w:t>
      </w:r>
    </w:p>
    <w:p>
      <w:pPr>
        <w:pStyle w:val="937"/>
      </w:pPr>
      <w:r>
        <w:t xml:space="preserve">Foco Causa: Sim</w:t>
      </w:r>
    </w:p>
    <w:p>
      <w:pPr>
        <w:pStyle w:val="937"/>
      </w:pPr>
      <w:r>
        <w:t xml:space="preserve">Efeitos Duradouros: Sim</w:t>
      </w:r>
    </w:p>
    <w:bookmarkEnd w:id="611"/>
    <w:bookmarkStart w:id="612" w:name="auditoria-19735-constatação-nº-693664-1"/>
    <w:p>
      <w:pPr>
        <w:pStyle w:val="907"/>
      </w:pPr>
      <w:r>
        <w:t xml:space="preserve">15.0.3.16 Auditoria 19735, Constatação Nº 693664 (#1)</w:t>
      </w:r>
    </w:p>
    <w:p>
      <w:pPr>
        <w:pStyle w:val="937"/>
      </w:pPr>
      <w:r>
        <w:rPr>
          <w:b/>
          <w:bCs/>
        </w:rPr>
        <w:t xml:space="preserve">Finalidade</w:t>
      </w:r>
      <w:r>
        <w:t xml:space="preserve">: Verificar irregularidades na gestão e no sistema de sobreaviso dos Médicos Vinculados ao Hospital</w:t>
      </w:r>
    </w:p>
    <w:p>
      <w:pPr>
        <w:pStyle w:val="937"/>
      </w:pPr>
      <w:r>
        <w:rPr>
          <w:b/>
          <w:bCs/>
        </w:rPr>
        <w:t xml:space="preserve">Constatação</w:t>
      </w:r>
      <w:r>
        <w:t xml:space="preserve">: O Contrato de Gestão FMS 01/2023 para gerenciamento, operacionalização e execução das ações e serviços da UPA não está sendo executado dentro do pactuado, verificando-se descumprimento de metas qualitativas e quantitativas para a efetiva prestação de serviços aos usuários e o pagamento da prestação de serviços.</w:t>
      </w:r>
    </w:p>
    <w:p>
      <w:pPr>
        <w:pStyle w:val="937"/>
      </w:pPr>
      <w:r>
        <w:rPr>
          <w:b/>
          <w:bCs/>
        </w:rPr>
        <w:t xml:space="preserve">Recomendação</w:t>
      </w:r>
      <w:r>
        <w:t xml:space="preserve">: A Secretaria Municipal de Saúde (SMS) de Canoinhas deve tomar medidas imediatas para corrigir o não cumprimento das obrigações contratuais. Primeiramente, a pesquisa de satisfação realizada na UPA não está de acordo com os requisitos do PNASS, sendo necessário revisar sua metodologia, incluir perguntas sobre tempo de espera e qualidade do atendimento, e garantir que a amostra seja representativa. Além disso, a UPA não está oferecendo o serviço de pediatria com um especialista com Registro de Qualificação de Especialista (RQE), conforme previsto no contrato. A SMS deve contratar imediatamente um pediatra qualificado para atender a essa demanda. Essas falhas devem ser corrigidas com urgência para garantir a conformidade contratual e a qualidade do atendimento à população.</w:t>
      </w:r>
    </w:p>
    <w:p>
      <w:pPr>
        <w:pStyle w:val="937"/>
      </w:pPr>
      <w:r>
        <w:rPr>
          <w:b/>
          <w:bCs/>
        </w:rPr>
        <w:t xml:space="preserve">Análise Codificação</w:t>
      </w:r>
      <w:r>
        <w:t xml:space="preserve">: Em relação ao foco, a recomendação propõe ações para corrigir condições específicas identificadas (metodologia inadequada da pesquisa de satisfação e falta de pediatra com RQE), sem abordar as causas subjacentes que levaram a essas condições, como falhas nos processos de gestão contratual ou monitoramento. Já em relação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bookmarkEnd w:id="612"/>
    <w:bookmarkStart w:id="613" w:name="auditoria-19773-constatação-nº-692874-1"/>
    <w:p>
      <w:pPr>
        <w:pStyle w:val="907"/>
      </w:pPr>
      <w:r>
        <w:t xml:space="preserve">15.0.3.17 Auditoria 19773, Constatação Nº 692874 (#1)</w:t>
      </w:r>
    </w:p>
    <w:p>
      <w:pPr>
        <w:pStyle w:val="937"/>
      </w:pPr>
      <w:r>
        <w:rPr>
          <w:b/>
          <w:bCs/>
        </w:rPr>
        <w:t xml:space="preserve">Finalidade</w:t>
      </w:r>
      <w:r>
        <w:t xml:space="preserve">: Verificar se a SM possui controles internos capazes de assegurar adequadamente a Cadeia de Frio</w:t>
      </w:r>
    </w:p>
    <w:p>
      <w:pPr>
        <w:pStyle w:val="937"/>
      </w:pPr>
      <w:r>
        <w:rPr>
          <w:b/>
          <w:bCs/>
        </w:rPr>
        <w:t xml:space="preserve">Constatação</w:t>
      </w:r>
      <w:r>
        <w:t xml:space="preserve">: A CMRF de Volta Redonda/RJ não utiliza o</w:t>
      </w:r>
      <w:r>
        <w:t xml:space="preserve"> </w:t>
      </w:r>
      <w:r>
        <w:t xml:space="preserve">“Mapa Ilustrativo”</w:t>
      </w:r>
      <w:r>
        <w:t xml:space="preserve"> </w:t>
      </w:r>
      <w:r>
        <w:t xml:space="preserve">nas câmaras frias.</w:t>
      </w:r>
    </w:p>
    <w:p>
      <w:pPr>
        <w:pStyle w:val="937"/>
      </w:pPr>
      <w:r>
        <w:rPr>
          <w:b/>
          <w:bCs/>
        </w:rPr>
        <w:t xml:space="preserve">Recomendação</w:t>
      </w:r>
      <w:r>
        <w:t xml:space="preserve">: Utilizar o modelo de</w:t>
      </w:r>
      <w:r>
        <w:t xml:space="preserve"> </w:t>
      </w:r>
      <w:r>
        <w:t xml:space="preserve">“Mapa ilustrativo”</w:t>
      </w:r>
      <w:r>
        <w:t xml:space="preserve">, com vistas a permitir a identificação do conteúdo existente no interior das câmaras frias da CMRF de Volta Redonda/RJ, conforme disposto no item 6.6.2, p. 57, do Manual de Rede de Frio do PNI, 2017.</w:t>
      </w:r>
    </w:p>
    <w:p>
      <w:pPr>
        <w:pStyle w:val="937"/>
      </w:pPr>
      <w:r>
        <w:rPr>
          <w:b/>
          <w:bCs/>
        </w:rPr>
        <w:t xml:space="preserve">Análise Codificação</w:t>
      </w:r>
      <w:r>
        <w:t xml:space="preserve">: A recomendação propõe a utilização do</w:t>
      </w:r>
      <w:r>
        <w:t xml:space="preserve"> </w:t>
      </w:r>
      <w:r>
        <w:t xml:space="preserve">‘Mapa Ilustrativo’</w:t>
      </w:r>
      <w:r>
        <w:t xml:space="preserve"> </w:t>
      </w:r>
      <w:r>
        <w:t xml:space="preserve">para permitir a identificação do conteúdo das câmaras frias, o que visa corrigir diretamente a condição encontrada de não utilização deste mapa. No entanto, não há menção a ações que tratem das causas subjacentes para a não utilização do mapa, como falhas em processos, treinamento inadequado ou falta de supervisão. Portanto, a recomendação é focada na condição imediata, não na causa raiz. Quanto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bookmarkEnd w:id="613"/>
    <w:bookmarkStart w:id="614" w:name="auditoria-19806-constatação-nº-694412-1"/>
    <w:p>
      <w:pPr>
        <w:pStyle w:val="907"/>
      </w:pPr>
      <w:r>
        <w:t xml:space="preserve">15.0.3.18 Auditoria 19806, Constatação Nº 694412 (#1)</w:t>
      </w:r>
    </w:p>
    <w:p>
      <w:pPr>
        <w:pStyle w:val="937"/>
      </w:pPr>
      <w:r>
        <w:rPr>
          <w:b/>
          <w:bCs/>
        </w:rPr>
        <w:t xml:space="preserve">Finalidade</w:t>
      </w:r>
      <w:r>
        <w:t xml:space="preserve">: Auditoria na PNSMAD - 2024. Verificar se a APS está exercendo as atribuições de coord. da Raps.</w:t>
      </w:r>
    </w:p>
    <w:p>
      <w:pPr>
        <w:pStyle w:val="937"/>
      </w:pPr>
      <w:r>
        <w:rPr>
          <w:b/>
          <w:bCs/>
        </w:rPr>
        <w:t xml:space="preserve">Constatação</w:t>
      </w:r>
      <w:r>
        <w:t xml:space="preserve">: As UBS visitadas não possuem estratégias definidas para atendimento de pacientes após a notificação de casos de violência autoprovocada, doméstica, dentre outras.</w:t>
      </w:r>
    </w:p>
    <w:p>
      <w:pPr>
        <w:pStyle w:val="937"/>
      </w:pPr>
      <w:r>
        <w:rPr>
          <w:b/>
          <w:bCs/>
        </w:rPr>
        <w:t xml:space="preserve">Recomendação</w:t>
      </w:r>
      <w:r>
        <w:t xml:space="preserve">: Definir estratégias para o atendimento de pacientes após a notificação de casos de violência autoprovocada, doméstica, dentre outras, de modo que a Atenção Primária seja a porta de entrada preferencial, sendo garantido a continuidade do cuidado nos casos de acesso por outro nível de atenção, em consonância ao disposto no Anexo 1 do Anexo XXII, Capítulo I Item 5, III da Portaria de Consolidação n.° 2/2017, Art.1º da Lei n.º 10.778/2003, e no Anexo 1 do Anexo V da PRC n.° 4/2017.</w:t>
      </w:r>
    </w:p>
    <w:p>
      <w:pPr>
        <w:pStyle w:val="937"/>
      </w:pPr>
      <w:r>
        <w:rPr>
          <w:b/>
          <w:bCs/>
        </w:rPr>
        <w:t xml:space="preserve">Análise Codificação</w:t>
      </w:r>
      <w:r>
        <w:t xml:space="preserve">: Em relação ao foco, a recomendação propõe a definição de estratégias para o atendimento de pacientes após notificação de casos de violência, o que aborda diretamente a causa da ausência de procedimentos estabelecidos, caracterizando-se como uma ação de foco na causa. Já em relação aos efeitos pretendidos, a implementação de estratégias formais tende a criar processos estruturados que permanecem independentemente de mudanças nos atores envolvidos, garantindo efeitos duradouros.</w:t>
      </w:r>
    </w:p>
    <w:p>
      <w:pPr>
        <w:pStyle w:val="937"/>
      </w:pPr>
      <w:r>
        <w:t xml:space="preserve">Foco Causa: Sim</w:t>
      </w:r>
    </w:p>
    <w:p>
      <w:pPr>
        <w:pStyle w:val="937"/>
      </w:pPr>
      <w:r>
        <w:t xml:space="preserve">Efeitos Duradouros: Sim</w:t>
      </w:r>
    </w:p>
    <w:bookmarkEnd w:id="614"/>
    <w:bookmarkStart w:id="615" w:name="auditoria-19826-constatação-nº-694648-1"/>
    <w:p>
      <w:pPr>
        <w:pStyle w:val="907"/>
      </w:pPr>
      <w:r>
        <w:t xml:space="preserve">15.0.3.19 Auditoria 19826, Constatação Nº 694648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capacidade profissional da Santa Casa de Auriflama foi insuficiente para execução do procedimento Atendimento Médico em Unidade de Pronto Atendimento (código Sigtap 03.01.06.009-6) informado no Sistema de Informações Ambulatoriais (SIA-SUS), no período de janeiro a dezembro de 2022.</w:t>
      </w:r>
    </w:p>
    <w:p>
      <w:pPr>
        <w:pStyle w:val="937"/>
      </w:pPr>
      <w:r>
        <w:rPr>
          <w:b/>
          <w:bCs/>
        </w:rPr>
        <w:t xml:space="preserve">Recomendação</w:t>
      </w:r>
      <w:r>
        <w:t xml:space="preserve">: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pPr>
        <w:pStyle w:val="937"/>
      </w:pPr>
      <w:r>
        <w:rPr>
          <w:b/>
          <w:bCs/>
        </w:rPr>
        <w:t xml:space="preserve">Análise Codificação</w:t>
      </w:r>
      <w:r>
        <w:t xml:space="preserve">: Em relação ao foco, a recomendação propõe ações que visam prevenir a ocorrência futura da condição de capacidade profissional insuficiente, estabelecendo parâmetros de referência para atendimento e implementando processos de fiscalização e validação de cadastros, o que trata a causa subjacente do problema. Já em relação aos efeitos pretendidos pela recomendação, as ações sugeridas, como o uso de referências padronizadas e a implementação de processos de fiscalização e validação, criam estruturas e procedimentos que permanecem independentemente de mudanças nos atores envolvidos, promovendo efeitos duradouros.</w:t>
      </w:r>
    </w:p>
    <w:p>
      <w:pPr>
        <w:pStyle w:val="937"/>
      </w:pPr>
      <w:r>
        <w:t xml:space="preserve">Foco Causa: Sim</w:t>
      </w:r>
    </w:p>
    <w:p>
      <w:pPr>
        <w:pStyle w:val="937"/>
      </w:pPr>
      <w:r>
        <w:t xml:space="preserve">Efeitos Duradouros: Sim</w:t>
      </w:r>
    </w:p>
    <w:bookmarkEnd w:id="615"/>
    <w:bookmarkStart w:id="616" w:name="auditoria-19829-constatação-nº-697041-1"/>
    <w:p>
      <w:pPr>
        <w:pStyle w:val="907"/>
      </w:pPr>
      <w:r>
        <w:t xml:space="preserve">15.0.3.20 Auditoria 19829, Constatação Nº 697041 (#1)</w:t>
      </w:r>
    </w:p>
    <w:p>
      <w:pPr>
        <w:pStyle w:val="937"/>
      </w:pPr>
      <w:r>
        <w:rPr>
          <w:b/>
          <w:bCs/>
        </w:rPr>
        <w:t xml:space="preserve">Finalidade</w:t>
      </w:r>
      <w:r>
        <w:t xml:space="preserve">: Auditoria na PNSMAD - 2024</w:t>
      </w:r>
    </w:p>
    <w:p>
      <w:pPr>
        <w:pStyle w:val="937"/>
      </w:pPr>
      <w:r>
        <w:rPr>
          <w:b/>
          <w:bCs/>
        </w:rPr>
        <w:t xml:space="preserve">Constatação</w:t>
      </w:r>
      <w:r>
        <w:t xml:space="preserve">: As equipes avaliadas não realizam acompanhamento dos familiares de usuários com transtorno mental e uso abusivo de álcool e drogas.</w:t>
      </w:r>
    </w:p>
    <w:p>
      <w:pPr>
        <w:pStyle w:val="937"/>
      </w:pPr>
      <w:r>
        <w:rPr>
          <w:b/>
          <w:bCs/>
        </w:rPr>
        <w:t xml:space="preserve">Recomendação</w:t>
      </w:r>
      <w:r>
        <w:t xml:space="preserve">: Realizar acompanhamentos dos familiares de usuários com transtornos mentais e uso abusivo de álcool e outras drogas, conforme a Portaria de Consolidação n. 2, de 28 de setembro de 2017, Anexo XXII (texto originário da antiga Portaria n. 2.436, de 21 de setembro de 2017, Art. 2º Capitulo I, Item 4.1, que propôe em seu Art. 2º Constituem-se diretrizes para o funcionamento da Rede de Atenção Psicossocial: V - atenção humanizada e centrada nas necessidades das pessoas; VI - diversificação das estratégias de cuidado; VII - desenvolvimento de atividades no território, que favoreça a inclusão social com vistas à promoção de autonomia e ao exercício da cidadania; VIII - desenvolvimento de estratégias de Redução de Danos; IX - ênfase em serviços de base territorial e comunitária, com participação e controle social dos usuários e de seus familiares.</w:t>
      </w:r>
    </w:p>
    <w:p>
      <w:pPr>
        <w:pStyle w:val="937"/>
      </w:pPr>
      <w:r>
        <w:rPr>
          <w:b/>
          <w:bCs/>
        </w:rPr>
        <w:t xml:space="preserve">Análise Codificação</w:t>
      </w:r>
      <w:r>
        <w:t xml:space="preserve">: A recomendação propõe a realização de acompanhamentos dos familiares, o que visa corrigir diretamente a condição encontrada de falta de acompanhamento, sem abordar as causas subjacentes, como falta de capacitação ou recursos. Portanto, o foco está na condição, não na causa. Quanto aos efeitos duradouros, como o critério</w:t>
      </w:r>
      <w:r>
        <w:t xml:space="preserve"> </w:t>
      </w:r>
      <w:r>
        <w:t xml:space="preserve">‘Foco Causa’</w:t>
      </w:r>
      <w:r>
        <w:t xml:space="preserve"> </w:t>
      </w:r>
      <w:r>
        <w:t xml:space="preserve">não é atendido, não se aplica.</w:t>
      </w:r>
    </w:p>
    <w:p>
      <w:pPr>
        <w:pStyle w:val="937"/>
      </w:pPr>
      <w:r>
        <w:t xml:space="preserve">Foco Causa: Não</w:t>
      </w:r>
    </w:p>
    <w:p>
      <w:pPr>
        <w:pStyle w:val="937"/>
      </w:pPr>
      <w:r>
        <w:t xml:space="preserve">Efeitos Duradouros: Não se aplica</w:t>
      </w:r>
    </w:p>
    <w:p>
      <w:r>
        <w:br w:type="page"/>
      </w:r>
    </w:p>
    <w:bookmarkEnd w:id="616"/>
    <w:bookmarkEnd w:id="617"/>
    <w:bookmarkEnd w:id="618"/>
    <w:bookmarkStart w:id="661" w:name="X9fa22ffb2b254e68cdfe528e35db08919e62975"/>
    <w:p>
      <w:pPr>
        <w:pStyle w:val="904"/>
      </w:pPr>
      <w:r>
        <w:t xml:space="preserve">16. Apêndice J — Prompt de Codificação — Tentativa 8</w:t>
      </w:r>
    </w:p>
    <w:bookmarkStart w:id="619" w:name="prompt-7"/>
    <w:p>
      <w:pPr>
        <w:pStyle w:val="906"/>
      </w:pPr>
      <w:r>
        <w:t xml:space="preserve">16.0.1 Prompt</w:t>
      </w:r>
    </w:p>
    <w:p>
      <w:pPr>
        <w:pStyle w:val="SourceCode"/>
      </w:pPr>
      <w:r>
        <w:rPr>
          <w:rStyle w:val="949"/>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Caso a recomendação não contenha uma recomendação de fato, responda "Não se aplica" para os dois critérios.</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 foco, a recomendação... Ja em relação aos efeitos pretendidos pela recomendação...",</w:t>
      </w:r>
      <w:r>
        <w:br/>
      </w:r>
      <w:r>
        <w:rPr>
          <w:rStyle w:val="949"/>
        </w:rPr>
        <w:t xml:space="preserve">   "Foco Causa": "Sim",</w:t>
      </w:r>
      <w:r>
        <w:br/>
      </w:r>
      <w:r>
        <w:rPr>
          <w:rStyle w:val="949"/>
        </w:rPr>
        <w:t xml:space="preserve">   "Efeitos Duradouros": "Sim"</w:t>
      </w:r>
      <w:r>
        <w:br/>
      </w:r>
      <w:r>
        <w:rPr>
          <w:rStyle w:val="949"/>
        </w:rPr>
        <w:t xml:space="preserve">}</w:t>
      </w:r>
    </w:p>
    <w:bookmarkEnd w:id="619"/>
    <w:bookmarkStart w:id="620" w:name="resultados-7"/>
    <w:p>
      <w:pPr>
        <w:pStyle w:val="906"/>
      </w:pPr>
      <w:r>
        <w:t xml:space="preserve">16.0.2 Resultados</w:t>
      </w:r>
    </w:p>
    <w:tbl>
      <w:tblPr>
        <w:tblStyle w:val="Table"/>
        <w:tblW w:type="pct" w:w="4870"/>
        <w:tblLayout w:type="fixed"/>
        <w:tblLook w:firstRow="1" w:lastRow="0" w:firstColumn="0" w:lastColumn="0" w:noHBand="0" w:noVBand="0" w:val="0020"/>
      </w:tblPr>
      <w:tblGrid>
        <w:gridCol w:w="2160"/>
        <w:gridCol w:w="3085"/>
        <w:gridCol w:w="1234"/>
        <w:gridCol w:w="1234"/>
      </w:tblGrid>
      <w:tr>
        <w:trPr>
          <w:tblHeader w:val="on"/>
        </w:trPr>
        <w:tc>
          <w:tcPr/>
          <w:p>
            <w:pPr>
              <w:pStyle w:val="918"/>
              <w:jc w:val="left"/>
            </w:pPr>
            <w:r>
              <w:rPr>
                <w:b/>
                <w:bCs/>
              </w:rPr>
              <w:t xml:space="preserve">Foco Causa</w:t>
            </w:r>
          </w:p>
        </w:tc>
        <w:tc>
          <w:tcPr/>
          <w:p>
            <w:pPr>
              <w:pStyle w:val="918"/>
              <w:jc w:val="left"/>
            </w:pPr>
            <w:r>
              <w:rPr>
                <w:b/>
                <w:bCs/>
              </w:rPr>
              <w:t xml:space="preserve">Efeitos Duradouros</w:t>
            </w:r>
          </w:p>
        </w:tc>
        <w:tc>
          <w:tcPr/>
          <w:p>
            <w:pPr>
              <w:pStyle w:val="918"/>
              <w:jc w:val="right"/>
            </w:pPr>
            <w:r>
              <w:rPr>
                <w:b/>
                <w:bCs/>
              </w:rPr>
              <w:t xml:space="preserve">Total</w:t>
            </w:r>
          </w:p>
        </w:tc>
        <w:tc>
          <w:tcPr/>
          <w:p>
            <w:pPr>
              <w:pStyle w:val="918"/>
              <w:jc w:val="right"/>
            </w:pPr>
            <w:r>
              <w:rPr>
                <w:b/>
                <w:bCs/>
              </w:rPr>
              <w:t xml:space="preserve">%</w:t>
            </w:r>
          </w:p>
        </w:tc>
      </w:tr>
      <w:tr>
        <w:tc>
          <w:tcPr/>
          <w:p>
            <w:pPr>
              <w:pStyle w:val="918"/>
              <w:jc w:val="left"/>
            </w:pPr>
            <w:r>
              <w:t xml:space="preserve">Sim</w:t>
            </w:r>
          </w:p>
        </w:tc>
        <w:tc>
          <w:tcPr/>
          <w:p>
            <w:pPr>
              <w:pStyle w:val="918"/>
              <w:jc w:val="left"/>
            </w:pPr>
            <w:r>
              <w:t xml:space="preserve">Sim</w:t>
            </w:r>
          </w:p>
        </w:tc>
        <w:tc>
          <w:tcPr/>
          <w:p>
            <w:pPr>
              <w:pStyle w:val="918"/>
              <w:jc w:val="right"/>
            </w:pPr>
            <w:r>
              <w:t xml:space="preserve">2.667</w:t>
            </w:r>
          </w:p>
        </w:tc>
        <w:tc>
          <w:tcPr/>
          <w:p>
            <w:pPr>
              <w:pStyle w:val="918"/>
              <w:jc w:val="right"/>
            </w:pPr>
            <w:r>
              <w:t xml:space="preserve">62,37</w:t>
            </w:r>
          </w:p>
        </w:tc>
      </w:tr>
      <w:tr>
        <w:tc>
          <w:tcPr/>
          <w:p>
            <w:pPr>
              <w:pStyle w:val="918"/>
              <w:jc w:val="left"/>
            </w:pPr>
            <w:r>
              <w:t xml:space="preserve">Não</w:t>
            </w:r>
          </w:p>
        </w:tc>
        <w:tc>
          <w:tcPr/>
          <w:p>
            <w:pPr>
              <w:pStyle w:val="918"/>
              <w:jc w:val="left"/>
            </w:pPr>
            <w:r>
              <w:t xml:space="preserve">Não se aplica</w:t>
            </w:r>
          </w:p>
        </w:tc>
        <w:tc>
          <w:tcPr/>
          <w:p>
            <w:pPr>
              <w:pStyle w:val="918"/>
              <w:jc w:val="right"/>
            </w:pPr>
            <w:r>
              <w:t xml:space="preserve">1.592</w:t>
            </w:r>
          </w:p>
        </w:tc>
        <w:tc>
          <w:tcPr/>
          <w:p>
            <w:pPr>
              <w:pStyle w:val="918"/>
              <w:jc w:val="right"/>
            </w:pPr>
            <w:r>
              <w:t xml:space="preserve">37,23</w:t>
            </w:r>
          </w:p>
        </w:tc>
      </w:tr>
      <w:tr>
        <w:tc>
          <w:tcPr/>
          <w:p>
            <w:pPr>
              <w:pStyle w:val="918"/>
              <w:jc w:val="left"/>
            </w:pPr>
            <w:r>
              <w:t xml:space="preserve">Sim</w:t>
            </w:r>
          </w:p>
        </w:tc>
        <w:tc>
          <w:tcPr/>
          <w:p>
            <w:pPr>
              <w:pStyle w:val="918"/>
              <w:jc w:val="left"/>
            </w:pPr>
            <w:r>
              <w:t xml:space="preserve">Não</w:t>
            </w:r>
          </w:p>
        </w:tc>
        <w:tc>
          <w:tcPr/>
          <w:p>
            <w:pPr>
              <w:pStyle w:val="918"/>
              <w:jc w:val="right"/>
            </w:pPr>
            <w:r>
              <w:t xml:space="preserve">12</w:t>
            </w:r>
          </w:p>
        </w:tc>
        <w:tc>
          <w:tcPr/>
          <w:p>
            <w:pPr>
              <w:pStyle w:val="918"/>
              <w:jc w:val="right"/>
            </w:pPr>
            <w:r>
              <w:t xml:space="preserve">0,28</w:t>
            </w:r>
          </w:p>
        </w:tc>
      </w:tr>
      <w:tr>
        <w:tc>
          <w:tcPr/>
          <w:p>
            <w:pPr>
              <w:pStyle w:val="918"/>
              <w:jc w:val="left"/>
            </w:pPr>
            <w:r>
              <w:t xml:space="preserve">Não se aplica</w:t>
            </w:r>
          </w:p>
        </w:tc>
        <w:tc>
          <w:tcPr/>
          <w:p>
            <w:pPr>
              <w:pStyle w:val="918"/>
              <w:jc w:val="left"/>
            </w:pPr>
            <w:r>
              <w:t xml:space="preserve">Não se aplica</w:t>
            </w:r>
          </w:p>
        </w:tc>
        <w:tc>
          <w:tcPr/>
          <w:p>
            <w:pPr>
              <w:pStyle w:val="918"/>
              <w:jc w:val="right"/>
            </w:pPr>
            <w:r>
              <w:t xml:space="preserve">5</w:t>
            </w:r>
          </w:p>
        </w:tc>
        <w:tc>
          <w:tcPr/>
          <w:p>
            <w:pPr>
              <w:pStyle w:val="918"/>
              <w:jc w:val="right"/>
            </w:pPr>
            <w:r>
              <w:t xml:space="preserve">0,12</w:t>
            </w:r>
          </w:p>
        </w:tc>
      </w:tr>
    </w:tbl>
    <w:bookmarkEnd w:id="620"/>
    <w:bookmarkStart w:id="621" w:name="listagem-8"/>
    <w:p>
      <w:pPr>
        <w:pStyle w:val="906"/>
      </w:pPr>
      <w:r>
        <w:t xml:space="preserve">16.0.3 Listagem</w:t>
      </w:r>
    </w:p>
    <w:bookmarkEnd w:id="621"/>
    <w:bookmarkStart w:id="632" w:name="X1f4fd7bff03ab238d812e547bcb8630d5b432df"/>
    <w:p>
      <w:pPr>
        <w:pStyle w:val="906"/>
      </w:pPr>
      <w:r>
        <w:t xml:space="preserve">16.0.4 Foco causa: Não. Efeitos duradouros: Não se aplica</w:t>
      </w:r>
    </w:p>
    <w:bookmarkStart w:id="622" w:name="auditoria-18722-constatação-nº-696549-1"/>
    <w:p>
      <w:pPr>
        <w:pStyle w:val="907"/>
      </w:pPr>
      <w:r>
        <w:t xml:space="preserve">16.0.4.1 Auditoria 18722, Constatação Nº 696549 (#1)</w:t>
      </w:r>
    </w:p>
    <w:p>
      <w:pPr>
        <w:pStyle w:val="937"/>
      </w:pPr>
      <w:r>
        <w:rPr>
          <w:b/>
          <w:bCs/>
        </w:rPr>
        <w:t xml:space="preserve">Finalidade</w:t>
      </w:r>
      <w:r>
        <w:t xml:space="preserve">: Verificar a regularidade na aplicação dos recursos e execução das ações de saúde das UBS e CBAF</w:t>
      </w:r>
    </w:p>
    <w:p>
      <w:pPr>
        <w:pStyle w:val="937"/>
      </w:pPr>
      <w:r>
        <w:rPr>
          <w:b/>
          <w:bCs/>
        </w:rPr>
        <w:t xml:space="preserve">Constatação</w:t>
      </w:r>
      <w:r>
        <w:t xml:space="preserve">: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pPr>
        <w:pStyle w:val="937"/>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pPr>
        <w:pStyle w:val="937"/>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não atende ao critério de foco na causa. Como o foco na causa não é atendido, o critério de efeitos duradouros não se aplica.</w:t>
      </w:r>
    </w:p>
    <w:p>
      <w:pPr>
        <w:pStyle w:val="937"/>
      </w:pPr>
      <w:r>
        <w:t xml:space="preserve">Foco Causa: Não</w:t>
      </w:r>
    </w:p>
    <w:p>
      <w:pPr>
        <w:pStyle w:val="937"/>
      </w:pPr>
      <w:r>
        <w:t xml:space="preserve">Efeitos Duradouros: Não se aplica</w:t>
      </w:r>
    </w:p>
    <w:bookmarkEnd w:id="622"/>
    <w:bookmarkStart w:id="623" w:name="auditoria-18892-constatação-nº-667107-1"/>
    <w:p>
      <w:pPr>
        <w:pStyle w:val="907"/>
      </w:pPr>
      <w:r>
        <w:t xml:space="preserve">16.0.4.2 Auditoria 18892, Constatação Nº 667107 (#1)</w:t>
      </w:r>
    </w:p>
    <w:p>
      <w:pPr>
        <w:pStyle w:val="937"/>
      </w:pPr>
      <w:r>
        <w:rPr>
          <w:b/>
          <w:bCs/>
        </w:rPr>
        <w:t xml:space="preserve">Finalidade</w:t>
      </w:r>
      <w:r>
        <w:t xml:space="preserve">: Avaliar a aplic. de recursos e prestação de serviços na Atenção Básica e Assist. Farm. Básica.</w:t>
      </w:r>
    </w:p>
    <w:p>
      <w:pPr>
        <w:pStyle w:val="937"/>
      </w:pPr>
      <w:r>
        <w:rPr>
          <w:b/>
          <w:bCs/>
        </w:rPr>
        <w:t xml:space="preserve">Constatação</w:t>
      </w:r>
      <w:r>
        <w:t xml:space="preserve">: Falta de medicamentos básicos nos estabelecimentos de saúde inspecionados e no almoxarifado compromete a integralidade assistencial em saúde destinada aos pacientes.</w:t>
      </w:r>
    </w:p>
    <w:p>
      <w:pPr>
        <w:pStyle w:val="937"/>
      </w:pPr>
      <w:r>
        <w:rPr>
          <w:b/>
          <w:bCs/>
        </w:rPr>
        <w:t xml:space="preserve">Recomendação</w:t>
      </w:r>
      <w:r>
        <w:t xml:space="preserve">: Garantir o fornecimento contínuo e tempestivo dos medicamentos do componente básico da Assistência Farmacêutica aos pacientes atendidos pela rede de saúde contribuindo para integralidade do cuidado objetivando cumprir com o Artigo 19-M, Capítulo VIII - Da Assistência Terapêutica e da Incorporação de Tecnologia em Saúde, da Lei Federal nº 8.080, de 19/09/1990, Redação dada pela Lei Federal nº 12.401/2011, alíneas `a</w:t>
      </w:r>
      <w:r>
        <w:rPr>
          <w:rStyle w:val="949"/>
        </w:rPr>
        <w:t xml:space="preserve">,</w:t>
      </w:r>
      <w:r>
        <w:t xml:space="preserve">i``, Anexo 1, do Anexo XXVII - subitem 5.4 (Gestor municipal) e artigo 38 Capítulo II, Título III, Portaria de Consolidação GM/MS nº 2, de 28/09/2017.</w:t>
      </w:r>
    </w:p>
    <w:p>
      <w:pPr>
        <w:pStyle w:val="937"/>
      </w:pPr>
      <w:r>
        <w:rPr>
          <w:b/>
          <w:bCs/>
        </w:rPr>
        <w:t xml:space="preserve">Análise Codificação</w:t>
      </w:r>
      <w:r>
        <w:t xml:space="preserve">: Em relação ao foco, a recomendação propõe</w:t>
      </w:r>
      <w:r>
        <w:t xml:space="preserve"> </w:t>
      </w:r>
      <w:r>
        <w:t xml:space="preserve">‘garantir o fornecimento contínuo e tempestivo dos medicamentos’</w:t>
      </w:r>
      <w:r>
        <w:t xml:space="preserve">, o que visa tratar diretamente a condição encontrada (falta de medicamentos), mas não identifica ou aborda explicitamente as causas subjacentes dessa falta (como problemas de gestão de estoque, falhas na aquisição ou distribuição). Portanto, a recomendação é focada na condição, não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23"/>
    <w:bookmarkStart w:id="624" w:name="auditoria-19304-constatação-nº-655321-1"/>
    <w:p>
      <w:pPr>
        <w:pStyle w:val="907"/>
      </w:pPr>
      <w:r>
        <w:t xml:space="preserve">16.0.4.3 Auditoria 19304, Constatação Nº 655321 (#1)</w:t>
      </w:r>
    </w:p>
    <w:p>
      <w:pPr>
        <w:pStyle w:val="937"/>
      </w:pPr>
      <w:r>
        <w:rPr>
          <w:b/>
          <w:bCs/>
        </w:rPr>
        <w:t xml:space="preserve">Finalidade</w:t>
      </w:r>
      <w:r>
        <w:t xml:space="preserve">: Verificar a regular utilização de DMIs em cirurgias de coluna vertebral pelos prestadores do SUS.</w:t>
      </w:r>
    </w:p>
    <w:p>
      <w:pPr>
        <w:pStyle w:val="937"/>
      </w:pPr>
      <w:r>
        <w:rPr>
          <w:b/>
          <w:bCs/>
        </w:rPr>
        <w:t xml:space="preserve">Constatação</w:t>
      </w:r>
      <w:r>
        <w:t xml:space="preserve">: Os números das Notas Fiscais dos DMIs utilizados pela unidade, e que foram anexadas aos prontuários médicos, coincidem com os dados informados nos Espelhos das Autorizações de Internação Hospitalar (AIH), com exceção de 02 prontuários.</w:t>
      </w:r>
    </w:p>
    <w:p>
      <w:pPr>
        <w:pStyle w:val="937"/>
      </w:pPr>
      <w:r>
        <w:rPr>
          <w:b/>
          <w:bCs/>
        </w:rPr>
        <w:t xml:space="preserve">Recomendação</w:t>
      </w:r>
      <w:r>
        <w:t xml:space="preserve">: Cumprir o item 23.1 do Manual Técnico Operacional do Sistema de Informação Hospitalar (versão 2017), aprovado pela Portaria MS/GM nº 396/2000, que dispõe que a cópia da Nota fiscal das OPM deve ser anexada ao prontuário do paciente e no SIH deve ser informado o CNPJ do Fornecedor do material e o número da Nota Fiscal em uma tela específica obrigatória destes dados.</w:t>
      </w:r>
    </w:p>
    <w:p>
      <w:pPr>
        <w:pStyle w:val="937"/>
      </w:pPr>
      <w:r>
        <w:rPr>
          <w:b/>
          <w:bCs/>
        </w:rPr>
        <w:t xml:space="preserve">Análise Codificação</w:t>
      </w:r>
      <w:r>
        <w:t xml:space="preserve">: A recomendação se limita a reforçar o cumprimento de procedimentos operacionais existentes para documentação de materiais, sem propor ações que abordem as causas subjacentes às falhas de registro identificadas (como falta de treinamento, sistemas inadequados ou processos deficientes). Portanto, não há foco na causa do problema. Como o critério</w:t>
      </w:r>
      <w:r>
        <w:t xml:space="preserve"> </w:t>
      </w:r>
      <w:r>
        <w:t xml:space="preserve">‘Foco Causa’</w:t>
      </w:r>
      <w:r>
        <w:t xml:space="preserve"> </w:t>
      </w:r>
      <w:r>
        <w:t xml:space="preserve">não é atendido, a avaliação de</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24"/>
    <w:bookmarkStart w:id="625" w:name="auditoria-19462-constatação-nº-671394-1"/>
    <w:p>
      <w:pPr>
        <w:pStyle w:val="907"/>
      </w:pPr>
      <w:r>
        <w:t xml:space="preserve">16.0.4.4 Auditoria 19462, Constatação Nº 671394 (#1)</w:t>
      </w:r>
    </w:p>
    <w:p>
      <w:pPr>
        <w:pStyle w:val="937"/>
      </w:pPr>
      <w:r>
        <w:rPr>
          <w:b/>
          <w:bCs/>
        </w:rPr>
        <w:t xml:space="preserve">Finalidade</w:t>
      </w:r>
      <w:r>
        <w:t xml:space="preserve">: Avaliar acuidade das informações prestada, Munic. de Capixaba, ref. PROGRAMA PREVINE . A.P.S</w:t>
      </w:r>
    </w:p>
    <w:p>
      <w:pPr>
        <w:pStyle w:val="937"/>
      </w:pPr>
      <w:r>
        <w:rPr>
          <w:b/>
          <w:bCs/>
        </w:rPr>
        <w:t xml:space="preserve">Constatação</w:t>
      </w:r>
      <w:r>
        <w:t xml:space="preserve">: Os dados referentes à cobertura vacinal do indicador 5, apresentados no SISAB, não são equivalentes aos registrados no painel de Campanha de Vacinação contra Poliomielite, assim como os registros manuais de controle apresentados divergem do SISAB.</w:t>
      </w:r>
    </w:p>
    <w:p>
      <w:pPr>
        <w:pStyle w:val="937"/>
      </w:pPr>
      <w:r>
        <w:rPr>
          <w:b/>
          <w:bCs/>
        </w:rPr>
        <w:t xml:space="preserve">Recomendação</w:t>
      </w:r>
      <w:r>
        <w:t xml:space="preserve">: Adotar medidas a fim de melhorar a qualidade das informações prestadas em conformidade com o item 2.2.2.1 - Registro das Informações do Manual Instrutivo do Previne Brasil, 1ª ed., p. 37, 2021, concomitante com a PRC nº 02/2017, Anexo I do Anexo XXII, incisos X e XV, item 4, sobre Atribuições dos profissionais da Atenção Básica.</w:t>
      </w:r>
    </w:p>
    <w:p>
      <w:pPr>
        <w:pStyle w:val="937"/>
      </w:pPr>
      <w:r>
        <w:rPr>
          <w:b/>
          <w:bCs/>
        </w:rPr>
        <w:t xml:space="preserve">Análise Codificação</w:t>
      </w:r>
      <w:r>
        <w:t xml:space="preserve">: A recomendação sugere a adoção de medidas para melhorar a qualidade das informações prestadas, com base em normas específicas do Previne Brasil e PRC nº 02/2017. No entanto, não propõe ações claras para tratar a causa raiz da divergência nos dados (ex: falhas no processo de registro, capacitação de profissionais, integração de sistemas). Em vez disso, foca em conformidade normativa sem especificar como resolver a causa subjacente. Portanto, não há ação proposta que trate diretamente da causa do problema. Quanto aos efeitos duradouros, como o critério</w:t>
      </w:r>
      <w:r>
        <w:t xml:space="preserve"> </w:t>
      </w:r>
      <w:r>
        <w:t xml:space="preserve">‘Foco Causa’</w:t>
      </w:r>
      <w:r>
        <w:t xml:space="preserve"> </w:t>
      </w:r>
      <w:r>
        <w:t xml:space="preserve">não é atendido, não se aplica.</w:t>
      </w:r>
    </w:p>
    <w:p>
      <w:pPr>
        <w:pStyle w:val="937"/>
      </w:pPr>
      <w:r>
        <w:t xml:space="preserve">Foco Causa: Não</w:t>
      </w:r>
    </w:p>
    <w:p>
      <w:pPr>
        <w:pStyle w:val="937"/>
      </w:pPr>
      <w:r>
        <w:t xml:space="preserve">Efeitos Duradouros: Não se aplica</w:t>
      </w:r>
    </w:p>
    <w:bookmarkEnd w:id="625"/>
    <w:bookmarkStart w:id="626" w:name="auditoria-19562-constatação-nº-672256-1"/>
    <w:p>
      <w:pPr>
        <w:pStyle w:val="907"/>
      </w:pPr>
      <w:r>
        <w:t xml:space="preserve">16.0.4.5 Auditoria 19562, Constatação Nº 672256 (#1)</w:t>
      </w:r>
    </w:p>
    <w:p>
      <w:pPr>
        <w:pStyle w:val="937"/>
      </w:pPr>
      <w:r>
        <w:rPr>
          <w:b/>
          <w:bCs/>
        </w:rPr>
        <w:t xml:space="preserve">Finalidade</w:t>
      </w:r>
      <w:r>
        <w:t xml:space="preserve">: Realização de auditoria para avaliar a acuidade das informações prestadas pelos municípios indicados</w:t>
      </w:r>
    </w:p>
    <w:p>
      <w:pPr>
        <w:pStyle w:val="937"/>
      </w:pPr>
      <w:r>
        <w:rPr>
          <w:b/>
          <w:bCs/>
        </w:rPr>
        <w:t xml:space="preserve">Constatação</w:t>
      </w:r>
      <w:r>
        <w:t xml:space="preserve">: As equipes de Saúde da Família (eSF) e as equipes de Atenção Primária (eAP) existentes no território não atendem ao critério da composição mínima.</w:t>
      </w:r>
    </w:p>
    <w:p>
      <w:pPr>
        <w:pStyle w:val="937"/>
      </w:pPr>
      <w:r>
        <w:rPr>
          <w:b/>
          <w:bCs/>
        </w:rPr>
        <w:t xml:space="preserve">Recomendação</w:t>
      </w:r>
      <w:r>
        <w:t xml:space="preserve">: Devolver os valores relativos às equipes incompletas por mais de 90 dias, no exercício de 2022; e enviar, sempre que solicitado pela equipe de auditoria, as informações e documentos necessários ao acompanhamento do Programa Previne Brasil, conforme orienta o artigo 11 do Decreto 1.651 de 28 de setembro de 1995.</w:t>
      </w:r>
    </w:p>
    <w:p>
      <w:pPr>
        <w:pStyle w:val="937"/>
      </w:pPr>
      <w:r>
        <w:rPr>
          <w:b/>
          <w:bCs/>
        </w:rPr>
        <w:t xml:space="preserve">Análise Codificação</w:t>
      </w:r>
      <w:r>
        <w:t xml:space="preserve">: Em relação ao foco, a recomendação propõe duas ações distintas: a devolução de valores relativos a equipes incompletas e o envio de informações/documentos quando solicitado. A primeira ação (devolução de valores) é uma medida corretiva que trata diretamente da condição financeira decorrente da constatação, sem abordar as causas subjacentes da incompletude das equipes (como dificuldades de contratação, retenção de profissionais ou gestão de recursos humanos). A segunda ação (envio de informações) é uma medida de transparência e cumprimento normativo, mas também não aborda a causa raiz do problema. Portanto, nenhuma das ações trata da causa do problema que gerou a condição encontrada. Já em relação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bookmarkEnd w:id="626"/>
    <w:bookmarkStart w:id="627" w:name="auditoria-19565-constatação-nº-677653-1"/>
    <w:p>
      <w:pPr>
        <w:pStyle w:val="907"/>
      </w:pPr>
      <w:r>
        <w:t xml:space="preserve">16.0.4.6 Auditoria 19565, Constatação Nº 677653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A gestão do SAMU Teresina não realiza o monitoramento completo dos indicadores recomendados pelo Ministério da Saúde para avaliação do seu desempenho, incluindo o tempo mínimo de resposta, quantidade de orientações médicas e pacientes referenciados.</w:t>
      </w:r>
    </w:p>
    <w:p>
      <w:pPr>
        <w:pStyle w:val="937"/>
      </w:pPr>
      <w:r>
        <w:rPr>
          <w:b/>
          <w:bCs/>
        </w:rPr>
        <w:t xml:space="preserve">Recomendação</w:t>
      </w:r>
      <w:r>
        <w:t xml:space="preserve">: Recomenda-se que o SAMU Teresina revise e atualize seus relatórios de indicadores para incluir todos os indicadores recomendados pelo Ministério da Saúde para uma avaliação abrangente do desempenho. Isso deve incluir, mas não se limitar a, tempo mínimo de resposta, quantitativo de orientações médicas e pacientes referenciados, em conformidade com os incisos I, IV e IX do Parágrafo Único do Art. 40, Seção I, Capítulo I, Título II, Livro II, Anexo III da PRC nº 3 de 28/09/17, que especifica os indicadores a serem monitorados.</w:t>
      </w:r>
    </w:p>
    <w:p>
      <w:pPr>
        <w:pStyle w:val="937"/>
      </w:pPr>
      <w:r>
        <w:rPr>
          <w:b/>
          <w:bCs/>
        </w:rPr>
        <w:t xml:space="preserve">Análise Codificação</w:t>
      </w:r>
      <w:r>
        <w:t xml:space="preserve">: Em relação ao foco, a recomendação propõe que o SAMU Teresina revise e atualize seus relatórios para incluir todos os indicadores recomendados, o que visa corrigir a falta de monitoramento completo, mas não aborda as causas subjacentes que levam à omissão desses indicadores (como falta de recursos, treinamento ou processos). Portanto, a ação proposta é focada na condição (falta de inclusão dos indicadores) e não na causa. Como o critério</w:t>
      </w:r>
      <w:r>
        <w:t xml:space="preserve"> </w:t>
      </w:r>
      <w:r>
        <w:t xml:space="preserve">‘Foco Causa’</w:t>
      </w:r>
      <w:r>
        <w:t xml:space="preserve"> </w:t>
      </w:r>
      <w:r>
        <w:t xml:space="preserve">não é atendido, a análise de</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27"/>
    <w:bookmarkStart w:id="628" w:name="auditoria-19700-constatação-nº-689143-1"/>
    <w:p>
      <w:pPr>
        <w:pStyle w:val="907"/>
      </w:pPr>
      <w:r>
        <w:t xml:space="preserve">16.0.4.7 Auditoria 19700, Constatação Nº 689143 (#1)</w:t>
      </w:r>
    </w:p>
    <w:p>
      <w:pPr>
        <w:pStyle w:val="937"/>
      </w:pPr>
      <w:r>
        <w:rPr>
          <w:b/>
          <w:bCs/>
        </w:rPr>
        <w:t xml:space="preserve">Finalidade</w:t>
      </w:r>
      <w:r>
        <w:t xml:space="preserve">: Verificar a implementação do PNCH quanto a efetiva prest. de serviços de at. integral à hanseníase</w:t>
      </w:r>
    </w:p>
    <w:p>
      <w:pPr>
        <w:pStyle w:val="937"/>
      </w:pPr>
      <w:r>
        <w:rPr>
          <w:b/>
          <w:bCs/>
        </w:rPr>
        <w:t xml:space="preserve">Constatação</w:t>
      </w:r>
      <w:r>
        <w:t xml:space="preserve">: A Semus de São Luís não comprovou o cumprimento dos prazos e fluxos quanto ao envio das fichas de notificação no Sinan.</w:t>
      </w:r>
    </w:p>
    <w:p>
      <w:pPr>
        <w:pStyle w:val="937"/>
      </w:pPr>
      <w:r>
        <w:rPr>
          <w:b/>
          <w:bCs/>
        </w:rPr>
        <w:t xml:space="preserve">Recomendação</w:t>
      </w:r>
      <w:r>
        <w:t xml:space="preserve">: À Secretaria de Vigilância em Saúde e Ambiente (SVSA/MS) para conhecimento da presente constatação e adoção dos procedimentos a seu cargo, conforme estabelecido no Inciso XI, do Art. 38, do Decreto n.º 11.798, de 28/11/2023, objetivando a organização e execução de atividades relativas à prevenção e ao controle de doenças, agravos e eventos de saúde pública relacionadas à vigilância em saúde.</w:t>
      </w:r>
    </w:p>
    <w:p>
      <w:pPr>
        <w:pStyle w:val="937"/>
      </w:pPr>
      <w:r>
        <w:rPr>
          <w:b/>
          <w:bCs/>
        </w:rPr>
        <w:t xml:space="preserve">Análise Codificação</w:t>
      </w:r>
      <w:r>
        <w:t xml:space="preserve">: A recomendação não propõe ações específicas para tratar a causa do problema identificado (não cumprimento dos prazos e fluxos de envio das fichas de notificação). Ela apenas solicita que a SVSA/MS tome conhecimento da constatação e atue conforme suas atribuições legais genéricas, sem indicar medidas concretas para resolver a causa raiz do não cumprimento dos prazos. Portanto, não há ação focada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bookmarkEnd w:id="628"/>
    <w:bookmarkStart w:id="629" w:name="auditoria-19710-constatação-nº-696290-1"/>
    <w:p>
      <w:pPr>
        <w:pStyle w:val="907"/>
      </w:pPr>
      <w:r>
        <w:t xml:space="preserve">16.0.4.8 Auditoria 19710, Constatação Nº 696290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Falhas na emissão e guarda dos prontuários dos pacientes atendidos pelo serviço de oftalmologia no HMCB.</w:t>
      </w:r>
    </w:p>
    <w:p>
      <w:pPr>
        <w:pStyle w:val="937"/>
      </w:pPr>
      <w:r>
        <w:rPr>
          <w:b/>
          <w:bCs/>
        </w:rPr>
        <w:t xml:space="preserve">Recomendação</w:t>
      </w:r>
      <w:r>
        <w:t xml:space="preserve">: Determinar à empresa contratada a regularização da emissão dos prontuários dos pacientes atendidos pelo serviço de oftalmologia do HMCB, assegurando que sejam únicos para cada paciente, assinados pelo médico responsável e contenham todas as informações necessárias para possibilitar a análise integrada e a rastreabilidade dos dados, em atendimento ao disposto no subitem 3.1 do Anexo I da Portaria MS/SAS nº 288/2008, que trata do Registro das Informações do Paciente. Determinar à empresa contratada a regularização da guarda dos prontuários no Serviço de Arquivo Médico do hospital, organizados conforme os padrões estabelecidos pelo Conselho Federal de Medicina (CFM). Essa medida visa garantir a privacidade, segurança e acessibilidade das informações dos pacientes, em conformidade com os artigos 2º, 3º e 5º da Resolução CFM nº 1.821/2007, os §§ 1º e 2º do artigo 87 da Resolução CFM nº 2.217/2018 (Código de Ética Médica), que regulamentam a guarda de prontuários médicos, bem como com o subitem 3.1 do Anexo I da Portaria MS/SAS nº 288/2008, referente ao Registro das Informações do Paciente. Determinar à empresa contratada a utilização de certificação digital válida para os prontuários eletrônicos, atendendo aos padrões de segurança e validade jurídica estabelecidos pela Infraestrutura de Chaves Públicas Brasileira (ICP- Brasil) ou por outro sistema legalmente reconhecido. Essa exigência está em conformidade com o § 2º do artigo 2º da Lei nº 13.787/2018, que regulamenta a digitalização de prontuários, garantindo a integridade, autenticidade e confidencialidade das informações.</w:t>
      </w:r>
    </w:p>
    <w:p>
      <w:pPr>
        <w:pStyle w:val="937"/>
      </w:pPr>
      <w:r>
        <w:rPr>
          <w:b/>
          <w:bCs/>
        </w:rPr>
        <w:t xml:space="preserve">Análise Codificação</w:t>
      </w:r>
      <w:r>
        <w:t xml:space="preserve">: Em relação ao foco, a recomendação propõe ações para regularizar a emissão, guarda e certificação digital dos prontuários, mas não identifica ou trata explicitamente as causas subjacentes que levaram às falhas (como falta de treinamento, recursos inadequados ou processos deficientes). As medidas são direcionadas a corrigir a condição atual. Já em relação aos efeitos pretendidos pela recomendação,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bookmarkEnd w:id="629"/>
    <w:bookmarkStart w:id="630" w:name="auditoria-19763-constatação-nº-693044-1"/>
    <w:p>
      <w:pPr>
        <w:pStyle w:val="907"/>
      </w:pPr>
      <w:r>
        <w:t xml:space="preserve">16.0.4.9 Auditoria 19763, Constatação Nº 693044 (#1)</w:t>
      </w:r>
    </w:p>
    <w:p>
      <w:pPr>
        <w:pStyle w:val="937"/>
      </w:pPr>
      <w:r>
        <w:rPr>
          <w:b/>
          <w:bCs/>
        </w:rPr>
        <w:t xml:space="preserve">Finalidade</w:t>
      </w:r>
      <w:r>
        <w:t xml:space="preserve">: Verificar se as Centrais Municipais de Rede de Frios (CMRFs) possuem controles internos</w:t>
      </w:r>
    </w:p>
    <w:p>
      <w:pPr>
        <w:pStyle w:val="937"/>
      </w:pPr>
      <w:r>
        <w:rPr>
          <w:b/>
          <w:bCs/>
        </w:rPr>
        <w:t xml:space="preserve">Constatação</w:t>
      </w:r>
      <w:r>
        <w:t xml:space="preserve">: A CMRF possui Plano de Contingência para lidar com emergências que possam afetar a Cadeia de Frio, no entanto o plano não é de amplo conhecimento e de fácil acesso a toda equipe.</w:t>
      </w:r>
    </w:p>
    <w:p>
      <w:pPr>
        <w:pStyle w:val="937"/>
      </w:pPr>
      <w:r>
        <w:rPr>
          <w:b/>
          <w:bCs/>
        </w:rPr>
        <w:t xml:space="preserve">Recomendação</w:t>
      </w:r>
      <w:r>
        <w:t xml:space="preserve">: Em atendimento ao art. 80 da RDC ANVISA nº 430/2020 e ao item 7.3 do Manual do PNI (2017), recomenda-se: - Organizar adequadamente as pastas no drive. - Afixar o Plano de Contingência em um local estratégico e de fácil visualização dentro da CMRF. - Implementar treinamentos periódicos sobre o Plano de Contingência. As recomendações têm como objetivo, além de atender às exigências regulatórias, assegurar que toda a equipe tenha fácil acesso e conhecimento sobre o plano, garantindo que as informações essenciais estejam sempre disponíveis. O treinamento da equipe visa minimizar riscos e garantir a proteção dos imunobiológicos.</w:t>
      </w:r>
    </w:p>
    <w:p>
      <w:pPr>
        <w:pStyle w:val="937"/>
      </w:pPr>
      <w:r>
        <w:rPr>
          <w:b/>
          <w:bCs/>
        </w:rPr>
        <w:t xml:space="preserve">Análise Codificação</w:t>
      </w:r>
      <w:r>
        <w:t xml:space="preserve">: Em relação ao foco, a recomendação propõe ações como organizar pastas no drive, afixar o plano em local estratégico e implementar treinamentos periódicos, que visam melhorar o acesso e conhecimento do Plano de Contingência, mas não abordam diretamente a causa raiz do problema (como por que o plano não é de amplo conhecimento ou de fácil acesso inicialmente). Essas ações são mais focadas em corrigir a condição atual de falta de acesso e conhecimento. Quanto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bookmarkEnd w:id="630"/>
    <w:bookmarkStart w:id="631" w:name="auditoria-19820-constatação-nº-695432-1"/>
    <w:p>
      <w:pPr>
        <w:pStyle w:val="907"/>
      </w:pPr>
      <w:r>
        <w:t xml:space="preserve">16.0.4.10 Auditoria 19820, Constatação Nº 695432 (#1)</w:t>
      </w:r>
    </w:p>
    <w:p>
      <w:pPr>
        <w:pStyle w:val="937"/>
      </w:pPr>
      <w:r>
        <w:rPr>
          <w:b/>
          <w:bCs/>
        </w:rPr>
        <w:t xml:space="preserve">Finalidade</w:t>
      </w:r>
      <w:r>
        <w:t xml:space="preserve">: Auditoria PNSMAD - 2024</w:t>
      </w:r>
    </w:p>
    <w:p>
      <w:pPr>
        <w:pStyle w:val="937"/>
      </w:pPr>
      <w:r>
        <w:rPr>
          <w:b/>
          <w:bCs/>
        </w:rPr>
        <w:t xml:space="preserve">Constatação</w:t>
      </w:r>
      <w:r>
        <w:t xml:space="preserve">: A Gestão da SMS de Maceió não comprovou o alinhamento das ações de saúde mental álcool e outras drogas, na Atenção Primária, ao Plano de Ação Municipal e Regional da Atenção Psicossocial.</w:t>
      </w:r>
    </w:p>
    <w:p>
      <w:pPr>
        <w:pStyle w:val="937"/>
      </w:pPr>
      <w:r>
        <w:rPr>
          <w:b/>
          <w:bCs/>
        </w:rPr>
        <w:t xml:space="preserve">Recomendação</w:t>
      </w:r>
      <w:r>
        <w:t xml:space="preserve">: Realizar o alinhamento das ações de saúde mental álcool e outras drogas, na Atenção Primária, ao Plano de Ação Municipal e Regional da Atenção Psicossocial conforme estabelece a Portaria de Consolidação n.° 3, de 28 de setembro de 2017, Título IV, Art. 14, inciso I, c.</w:t>
      </w:r>
    </w:p>
    <w:p>
      <w:pPr>
        <w:pStyle w:val="937"/>
      </w:pPr>
      <w:r>
        <w:rPr>
          <w:b/>
          <w:bCs/>
        </w:rPr>
        <w:t xml:space="preserve">Análise Codificação</w:t>
      </w:r>
      <w:r>
        <w:t xml:space="preserve">: Em relação ao foco, a recomendação propõe o alinhamento das ações de saúde mental ao plano de ação municipal e regional, o que visa corrigir a falta de conformidade identificada, mas não aborda explicitamente as causas subjacentes que levaram a essa falta de alinhamento, como possíveis deficiências em processos de planejamento, capacitação ou monitoramento. Portanto, a recomendação é focada na condição atual de desalinhamento. Já em relação aos efeitos duradouros, como o critério</w:t>
      </w:r>
      <w:r>
        <w:t xml:space="preserve"> </w:t>
      </w:r>
      <w:r>
        <w:t xml:space="preserve">‘Foco Causa’</w:t>
      </w:r>
      <w:r>
        <w:t xml:space="preserve"> </w:t>
      </w:r>
      <w:r>
        <w:t xml:space="preserve">não foi atendido, essa análise não se aplica.</w:t>
      </w:r>
    </w:p>
    <w:p>
      <w:pPr>
        <w:pStyle w:val="937"/>
      </w:pPr>
      <w:r>
        <w:t xml:space="preserve">Foco Causa: Não</w:t>
      </w:r>
    </w:p>
    <w:p>
      <w:pPr>
        <w:pStyle w:val="937"/>
      </w:pPr>
      <w:r>
        <w:t xml:space="preserve">Efeitos Duradouros: Não se aplica</w:t>
      </w:r>
    </w:p>
    <w:bookmarkEnd w:id="631"/>
    <w:bookmarkEnd w:id="632"/>
    <w:bookmarkStart w:id="638" w:name="X16442b968a1e558aeaab64d1f7161c97abcf7bd"/>
    <w:p>
      <w:pPr>
        <w:pStyle w:val="906"/>
      </w:pPr>
      <w:r>
        <w:t xml:space="preserve">16.0.5 Foco causa: Não se aplica. Efeitos duradouros: Não se aplica</w:t>
      </w:r>
    </w:p>
    <w:bookmarkStart w:id="633" w:name="X19686bd6aec68a55edd69f2631414347f29d41c"/>
    <w:p>
      <w:pPr>
        <w:pStyle w:val="907"/>
      </w:pPr>
      <w:r>
        <w:t xml:space="preserve">16.0.5.1 Auditoria 19496, Constatação Nº 670139 (#2)</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Irregularidades nos cupons e receitas médicas disponibilizadas pela empresa.</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irregularidades nos cupons e receitas médicas. Não há menção a medidas corretivas, preventivas ou de melhoria que abordem a origem do problema.</w:t>
      </w:r>
    </w:p>
    <w:p>
      <w:pPr>
        <w:pStyle w:val="937"/>
      </w:pPr>
      <w:r>
        <w:t xml:space="preserve">Foco Causa: Não se aplica</w:t>
      </w:r>
    </w:p>
    <w:p>
      <w:pPr>
        <w:pStyle w:val="937"/>
      </w:pPr>
      <w:r>
        <w:t xml:space="preserve">Efeitos Duradouros: Não se aplica</w:t>
      </w:r>
    </w:p>
    <w:bookmarkEnd w:id="633"/>
    <w:bookmarkStart w:id="634" w:name="X1f093693ad12c331e63ffd8892d67732d3ef106"/>
    <w:p>
      <w:pPr>
        <w:pStyle w:val="907"/>
      </w:pPr>
      <w:r>
        <w:t xml:space="preserve">16.0.5.2 Auditoria 19590, Constatação Nº 684816 (#1)</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937"/>
      </w:pPr>
      <w:r>
        <w:rPr>
          <w:b/>
          <w:bCs/>
        </w:rPr>
        <w:t xml:space="preserve">Recomendação</w:t>
      </w:r>
      <w:r>
        <w:t xml:space="preserve">: Recomendação descrita na Constatação n.° 684813.</w:t>
      </w:r>
    </w:p>
    <w:p>
      <w:pPr>
        <w:pStyle w:val="937"/>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p>
    <w:p>
      <w:pPr>
        <w:pStyle w:val="937"/>
      </w:pPr>
      <w:r>
        <w:t xml:space="preserve">Foco Causa: Não se aplica</w:t>
      </w:r>
    </w:p>
    <w:p>
      <w:pPr>
        <w:pStyle w:val="937"/>
      </w:pPr>
      <w:r>
        <w:t xml:space="preserve">Efeitos Duradouros: Não se aplica</w:t>
      </w:r>
    </w:p>
    <w:bookmarkEnd w:id="634"/>
    <w:bookmarkStart w:id="635" w:name="auditoria-19590-constatação-nº-687133-1"/>
    <w:p>
      <w:pPr>
        <w:pStyle w:val="907"/>
      </w:pPr>
      <w:r>
        <w:t xml:space="preserve">16.0.5.3 Auditoria 19590, Constatação Nº 687133 (#1)</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p>
    <w:p>
      <w:pPr>
        <w:pStyle w:val="937"/>
      </w:pPr>
      <w:r>
        <w:rPr>
          <w:b/>
          <w:bCs/>
        </w:rPr>
        <w:t xml:space="preserve">Recomendação</w:t>
      </w:r>
      <w:r>
        <w:t xml:space="preserve">: Recomendação descrita na Constatação n.° 684803.</w:t>
      </w:r>
    </w:p>
    <w:p>
      <w:pPr>
        <w:pStyle w:val="937"/>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p>
    <w:p>
      <w:pPr>
        <w:pStyle w:val="937"/>
      </w:pPr>
      <w:r>
        <w:t xml:space="preserve">Foco Causa: Não se aplica</w:t>
      </w:r>
    </w:p>
    <w:p>
      <w:pPr>
        <w:pStyle w:val="937"/>
      </w:pPr>
      <w:r>
        <w:t xml:space="preserve">Efeitos Duradouros: Não se aplica</w:t>
      </w:r>
    </w:p>
    <w:bookmarkEnd w:id="635"/>
    <w:bookmarkStart w:id="636" w:name="auditoria-19591-constatação-nº-682488-1"/>
    <w:p>
      <w:pPr>
        <w:pStyle w:val="907"/>
      </w:pPr>
      <w:r>
        <w:t xml:space="preserve">16.0.5.4 Auditoria 19591, Constatação Nº 682488 (#1)</w:t>
      </w:r>
    </w:p>
    <w:p>
      <w:pPr>
        <w:pStyle w:val="937"/>
      </w:pPr>
      <w:r>
        <w:rPr>
          <w:b/>
          <w:bCs/>
        </w:rPr>
        <w:t xml:space="preserve">Finalidade</w:t>
      </w:r>
      <w:r>
        <w:t xml:space="preserve">: Verificar a implementação da Política Nac. de Atenção ao Portador de Doença Renal. Estágios 4 e 5</w:t>
      </w:r>
    </w:p>
    <w:p>
      <w:pPr>
        <w:pStyle w:val="937"/>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937"/>
      </w:pPr>
      <w:r>
        <w:rPr>
          <w:b/>
          <w:bCs/>
        </w:rPr>
        <w:t xml:space="preserve">Recomendação</w:t>
      </w:r>
      <w:r>
        <w:t xml:space="preserve">: Recomendação descrita na Constatação n.° 677630.</w:t>
      </w:r>
    </w:p>
    <w:p>
      <w:pPr>
        <w:pStyle w:val="937"/>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p>
    <w:p>
      <w:pPr>
        <w:pStyle w:val="937"/>
      </w:pPr>
      <w:r>
        <w:t xml:space="preserve">Foco Causa: Não se aplica</w:t>
      </w:r>
    </w:p>
    <w:p>
      <w:pPr>
        <w:pStyle w:val="937"/>
      </w:pPr>
      <w:r>
        <w:t xml:space="preserve">Efeitos Duradouros: Não se aplica</w:t>
      </w:r>
    </w:p>
    <w:bookmarkEnd w:id="636"/>
    <w:bookmarkStart w:id="637" w:name="auditoria-19886-constatação-nº-702258-1"/>
    <w:p>
      <w:pPr>
        <w:pStyle w:val="907"/>
      </w:pPr>
      <w:r>
        <w:t xml:space="preserve">16.0.5.5 Auditoria 19886, Constatação Nº 702258 (#1)</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pPr>
        <w:pStyle w:val="937"/>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pPr>
        <w:pStyle w:val="937"/>
      </w:pPr>
      <w:r>
        <w:rPr>
          <w:b/>
          <w:bCs/>
        </w:rPr>
        <w:t xml:space="preserve">Análise Codificação</w:t>
      </w:r>
      <w:r>
        <w:t xml:space="preserve">: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pPr>
        <w:pStyle w:val="937"/>
      </w:pPr>
      <w:r>
        <w:t xml:space="preserve">Foco Causa: Não se aplica</w:t>
      </w:r>
    </w:p>
    <w:p>
      <w:pPr>
        <w:pStyle w:val="937"/>
      </w:pPr>
      <w:r>
        <w:t xml:space="preserve">Efeitos Duradouros: Não se aplica</w:t>
      </w:r>
    </w:p>
    <w:bookmarkEnd w:id="637"/>
    <w:bookmarkEnd w:id="638"/>
    <w:bookmarkStart w:id="649" w:name="foco-causa-sim.-efeitos-duradouros-não"/>
    <w:p>
      <w:pPr>
        <w:pStyle w:val="906"/>
      </w:pPr>
      <w:r>
        <w:t xml:space="preserve">16.0.6 Foco causa: Sim. Efeitos duradouros: Não</w:t>
      </w:r>
    </w:p>
    <w:bookmarkStart w:id="639" w:name="auditoria-19461-constatação-nº-666982-3"/>
    <w:p>
      <w:pPr>
        <w:pStyle w:val="907"/>
      </w:pPr>
      <w:r>
        <w:t xml:space="preserve">16.0.6.1 Auditoria 19461, Constatação Nº 666982 (#3)</w:t>
      </w:r>
    </w:p>
    <w:p>
      <w:pPr>
        <w:pStyle w:val="937"/>
      </w:pPr>
      <w:r>
        <w:rPr>
          <w:b/>
          <w:bCs/>
        </w:rPr>
        <w:t xml:space="preserve">Finalidade</w:t>
      </w:r>
      <w:r>
        <w:t xml:space="preserve">: verificar a regularidade no faturamento das APACs nos procedimentos de quimioterapia do HSVP</w:t>
      </w:r>
    </w:p>
    <w:p>
      <w:pPr>
        <w:pStyle w:val="937"/>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p>
    <w:p>
      <w:pPr>
        <w:pStyle w:val="937"/>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p>
    <w:p>
      <w:pPr>
        <w:pStyle w:val="937"/>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pPr>
        <w:pStyle w:val="937"/>
      </w:pPr>
      <w:r>
        <w:t xml:space="preserve">Foco Causa: Sim</w:t>
      </w:r>
    </w:p>
    <w:p>
      <w:pPr>
        <w:pStyle w:val="937"/>
      </w:pPr>
      <w:r>
        <w:t xml:space="preserve">Efeitos Duradouros: Não</w:t>
      </w:r>
    </w:p>
    <w:bookmarkEnd w:id="639"/>
    <w:bookmarkStart w:id="640" w:name="auditoria-19462-constatação-nº-671393-1"/>
    <w:p>
      <w:pPr>
        <w:pStyle w:val="907"/>
      </w:pPr>
      <w:r>
        <w:t xml:space="preserve">16.0.6.2 Auditoria 19462, Constatação Nº 671393 (#1)</w:t>
      </w:r>
    </w:p>
    <w:p>
      <w:pPr>
        <w:pStyle w:val="937"/>
      </w:pPr>
      <w:r>
        <w:rPr>
          <w:b/>
          <w:bCs/>
        </w:rPr>
        <w:t xml:space="preserve">Finalidade</w:t>
      </w:r>
      <w:r>
        <w:t xml:space="preserve">: Avaliar acuidade das informações prestada, Munic. de Capixaba, ref. PROGRAMA PREVINE . A.P.S</w:t>
      </w:r>
    </w:p>
    <w:p>
      <w:pPr>
        <w:pStyle w:val="937"/>
      </w:pPr>
      <w:r>
        <w:rPr>
          <w:b/>
          <w:bCs/>
        </w:rPr>
        <w:t xml:space="preserve">Constatação</w:t>
      </w:r>
      <w:r>
        <w:t xml:space="preserve">: O município não realiza o preenchimento adequado dos prontuários físicos, os quais deveriam seguir o padrão de acordo com as orientações do guia de qualificação CDS (Coleta de Dados Simplificada), como meio de suporte para os dados consolidados no SISAB, por indicador de desempenho.</w:t>
      </w:r>
    </w:p>
    <w:p>
      <w:pPr>
        <w:pStyle w:val="937"/>
      </w:pPr>
      <w:r>
        <w:rPr>
          <w:b/>
          <w:bCs/>
        </w:rPr>
        <w:t xml:space="preserve">Recomendação</w:t>
      </w:r>
      <w:r>
        <w:t xml:space="preserve">: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pPr>
        <w:pStyle w:val="937"/>
      </w:pPr>
      <w:r>
        <w:rPr>
          <w:b/>
          <w:bCs/>
        </w:rPr>
        <w:t xml:space="preserve">Análise Codificação</w:t>
      </w:r>
      <w:r>
        <w:t xml:space="preserve">: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pPr>
        <w:pStyle w:val="937"/>
      </w:pPr>
      <w:r>
        <w:t xml:space="preserve">Foco Causa: Sim</w:t>
      </w:r>
    </w:p>
    <w:p>
      <w:pPr>
        <w:pStyle w:val="937"/>
      </w:pPr>
      <w:r>
        <w:t xml:space="preserve">Efeitos Duradouros: Não</w:t>
      </w:r>
    </w:p>
    <w:bookmarkEnd w:id="640"/>
    <w:bookmarkStart w:id="641" w:name="auditoria-19538-constatação-nº-675868-1"/>
    <w:p>
      <w:pPr>
        <w:pStyle w:val="907"/>
      </w:pPr>
      <w:r>
        <w:t xml:space="preserve">16.0.6.3 Auditoria 19538, Constatação Nº 675868 (#1)</w:t>
      </w:r>
    </w:p>
    <w:p>
      <w:pPr>
        <w:pStyle w:val="937"/>
      </w:pPr>
      <w:r>
        <w:rPr>
          <w:b/>
          <w:bCs/>
        </w:rPr>
        <w:t xml:space="preserve">Finalidade</w:t>
      </w:r>
      <w:r>
        <w:t xml:space="preserve">: Avaliar a gestão da SMS quanto aos indicadores de desempenho do programa Previne Brasil.</w:t>
      </w:r>
    </w:p>
    <w:p>
      <w:pPr>
        <w:pStyle w:val="937"/>
      </w:pPr>
      <w:r>
        <w:rPr>
          <w:b/>
          <w:bCs/>
        </w:rPr>
        <w:t xml:space="preserve">Constatação</w:t>
      </w:r>
      <w:r>
        <w:t xml:space="preserve">: A população adscrita por equipe não atende o recomendado na PNAB.</w:t>
      </w:r>
    </w:p>
    <w:p>
      <w:pPr>
        <w:pStyle w:val="937"/>
      </w:pPr>
      <w:r>
        <w:rPr>
          <w:b/>
          <w:bCs/>
        </w:rPr>
        <w:t xml:space="preserve">Recomendação</w:t>
      </w:r>
      <w:r>
        <w:t xml:space="preserve">: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pPr>
        <w:pStyle w:val="937"/>
      </w:pPr>
      <w:r>
        <w:rPr>
          <w:b/>
          <w:bCs/>
        </w:rPr>
        <w:t xml:space="preserve">Análise Codificação</w:t>
      </w:r>
      <w:r>
        <w:t xml:space="preserve">: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pPr>
        <w:pStyle w:val="937"/>
      </w:pPr>
      <w:r>
        <w:t xml:space="preserve">Foco Causa: Sim</w:t>
      </w:r>
    </w:p>
    <w:p>
      <w:pPr>
        <w:pStyle w:val="937"/>
      </w:pPr>
      <w:r>
        <w:t xml:space="preserve">Efeitos Duradouros: Não</w:t>
      </w:r>
    </w:p>
    <w:bookmarkEnd w:id="641"/>
    <w:bookmarkStart w:id="642" w:name="auditoria-19566-constatação-nº-682438-1"/>
    <w:p>
      <w:pPr>
        <w:pStyle w:val="907"/>
      </w:pPr>
      <w:r>
        <w:t xml:space="preserve">16.0.6.4 Auditoria 19566, Constatação Nº 682438 (#1)</w:t>
      </w:r>
    </w:p>
    <w:p>
      <w:pPr>
        <w:pStyle w:val="937"/>
      </w:pPr>
      <w:r>
        <w:rPr>
          <w:b/>
          <w:bCs/>
        </w:rPr>
        <w:t xml:space="preserve">Finalidade</w:t>
      </w:r>
      <w:r>
        <w:t xml:space="preserve">: Verificar a implementação da Política Nacional de Atenção ao Portador de Doença Renal</w:t>
      </w:r>
    </w:p>
    <w:p>
      <w:pPr>
        <w:pStyle w:val="937"/>
      </w:pPr>
      <w:r>
        <w:rPr>
          <w:b/>
          <w:bCs/>
        </w:rPr>
        <w:t xml:space="preserve">Constatação</w:t>
      </w:r>
      <w:r>
        <w:t xml:space="preserve">: Não foi possível comprovar que os pacientes em tratamento na Clinefro, tiveram acesso a realização de exames de imagem em tempo oportuno.</w:t>
      </w:r>
    </w:p>
    <w:p>
      <w:pPr>
        <w:pStyle w:val="937"/>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937"/>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pPr>
        <w:pStyle w:val="937"/>
      </w:pPr>
      <w:r>
        <w:t xml:space="preserve">Foco Causa: Sim</w:t>
      </w:r>
    </w:p>
    <w:p>
      <w:pPr>
        <w:pStyle w:val="937"/>
      </w:pPr>
      <w:r>
        <w:t xml:space="preserve">Efeitos Duradouros: Não</w:t>
      </w:r>
    </w:p>
    <w:bookmarkEnd w:id="642"/>
    <w:bookmarkStart w:id="643" w:name="auditoria-19611-constatação-nº-674396-1"/>
    <w:p>
      <w:pPr>
        <w:pStyle w:val="907"/>
      </w:pPr>
      <w:r>
        <w:t xml:space="preserve">16.0.6.5 Auditoria 19611, Constatação Nº 674396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Contratação e pagamento de serviços referentes à Sistema Integrado de Gestão, sem que restasse comprovada a necessidade da contratação e a efetiva prestação dos serviços.</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937"/>
      </w:pPr>
      <w:r>
        <w:rPr>
          <w:b/>
          <w:bCs/>
        </w:rPr>
        <w:t xml:space="preserve">Análise Codificação</w:t>
      </w:r>
      <w:r>
        <w:t xml:space="preserve">: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pPr>
        <w:pStyle w:val="937"/>
      </w:pPr>
      <w:r>
        <w:t xml:space="preserve">Foco Causa: Sim</w:t>
      </w:r>
    </w:p>
    <w:p>
      <w:pPr>
        <w:pStyle w:val="937"/>
      </w:pPr>
      <w:r>
        <w:t xml:space="preserve">Efeitos Duradouros: Não</w:t>
      </w:r>
    </w:p>
    <w:bookmarkEnd w:id="643"/>
    <w:bookmarkStart w:id="644" w:name="X39f55863f7521deaf12aa7908e8226f3cd375a6"/>
    <w:p>
      <w:pPr>
        <w:pStyle w:val="907"/>
      </w:pPr>
      <w:r>
        <w:t xml:space="preserve">16.0.6.6 Auditoria 19612, Constatação Nº 674784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Empresas participantes de processo licitatório possuem o mesmo Sócio Administrador.</w:t>
      </w:r>
    </w:p>
    <w:p>
      <w:pPr>
        <w:pStyle w:val="937"/>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937"/>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podem não ser duradouros se os atores mudarem, pois não há menção a mudanças estruturais internas que perpetuem a correção.</w:t>
      </w:r>
    </w:p>
    <w:p>
      <w:pPr>
        <w:pStyle w:val="937"/>
      </w:pPr>
      <w:r>
        <w:t xml:space="preserve">Foco Causa: Sim</w:t>
      </w:r>
    </w:p>
    <w:p>
      <w:pPr>
        <w:pStyle w:val="937"/>
      </w:pPr>
      <w:r>
        <w:t xml:space="preserve">Efeitos Duradouros: Não</w:t>
      </w:r>
    </w:p>
    <w:bookmarkEnd w:id="644"/>
    <w:bookmarkStart w:id="645" w:name="auditoria-19614-constatação-nº-676589-2"/>
    <w:p>
      <w:pPr>
        <w:pStyle w:val="907"/>
      </w:pPr>
      <w:r>
        <w:t xml:space="preserve">16.0.6.7 Auditoria 19614, Constatação Nº 676589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pPr>
        <w:pStyle w:val="937"/>
      </w:pPr>
      <w:r>
        <w:rPr>
          <w:b/>
          <w:bCs/>
        </w:rPr>
        <w:t xml:space="preserve">Análise Codificação</w:t>
      </w:r>
      <w:r>
        <w:t xml:space="preserve">: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pPr>
        <w:pStyle w:val="937"/>
      </w:pPr>
      <w:r>
        <w:t xml:space="preserve">Foco Causa: Sim</w:t>
      </w:r>
    </w:p>
    <w:p>
      <w:pPr>
        <w:pStyle w:val="937"/>
      </w:pPr>
      <w:r>
        <w:t xml:space="preserve">Efeitos Duradouros: Não</w:t>
      </w:r>
    </w:p>
    <w:bookmarkEnd w:id="645"/>
    <w:bookmarkStart w:id="646" w:name="auditoria-19627-constatação-nº-685177-2"/>
    <w:p>
      <w:pPr>
        <w:pStyle w:val="907"/>
      </w:pPr>
      <w:r>
        <w:t xml:space="preserve">16.0.6.8 Auditoria 19627, Constatação Nº 685177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resultados nos relatórios trimestrais de monitoramento do Eixo Controle Social no Transferegov.</w:t>
      </w:r>
    </w:p>
    <w:p>
      <w:pPr>
        <w:pStyle w:val="937"/>
      </w:pPr>
      <w:r>
        <w:rPr>
          <w:b/>
          <w:bCs/>
        </w:rPr>
        <w:t xml:space="preserve">Recomendação</w:t>
      </w:r>
      <w:r>
        <w:t xml:space="preserve">: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pPr>
        <w:pStyle w:val="937"/>
      </w:pPr>
      <w:r>
        <w:rPr>
          <w:b/>
          <w:bCs/>
        </w:rPr>
        <w:t xml:space="preserve">Análise Codificação</w:t>
      </w:r>
      <w:r>
        <w:t xml:space="preserve">: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pPr>
        <w:pStyle w:val="937"/>
      </w:pPr>
      <w:r>
        <w:t xml:space="preserve">Foco Causa: Sim</w:t>
      </w:r>
    </w:p>
    <w:p>
      <w:pPr>
        <w:pStyle w:val="937"/>
      </w:pPr>
      <w:r>
        <w:t xml:space="preserve">Efeitos Duradouros: Não</w:t>
      </w:r>
    </w:p>
    <w:bookmarkEnd w:id="646"/>
    <w:bookmarkStart w:id="647" w:name="auditoria-19790-constatação-nº-694458-1"/>
    <w:p>
      <w:pPr>
        <w:pStyle w:val="907"/>
      </w:pPr>
      <w:r>
        <w:t xml:space="preserve">16.0.6.9 Auditoria 19790, Constatação Nº 694458 (#1)</w:t>
      </w:r>
    </w:p>
    <w:p>
      <w:pPr>
        <w:pStyle w:val="937"/>
      </w:pPr>
      <w:r>
        <w:rPr>
          <w:b/>
          <w:bCs/>
        </w:rPr>
        <w:t xml:space="preserve">Finalidade</w:t>
      </w:r>
      <w:r>
        <w:t xml:space="preserve">: Avaliar se a Atenção Primária exerce as atribuições de coordenadora da Rede de At. Psicossocial-RAPS</w:t>
      </w:r>
    </w:p>
    <w:p>
      <w:pPr>
        <w:pStyle w:val="937"/>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p>
    <w:p>
      <w:pPr>
        <w:pStyle w:val="937"/>
      </w:pPr>
      <w:r>
        <w:rPr>
          <w:b/>
          <w:bCs/>
        </w:rPr>
        <w:t xml:space="preserve">Recomendação</w:t>
      </w:r>
      <w:r>
        <w:t xml:space="preserve">: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pPr>
        <w:pStyle w:val="937"/>
      </w:pPr>
      <w:r>
        <w:rPr>
          <w:b/>
          <w:bCs/>
        </w:rPr>
        <w:t xml:space="preserve">Análise Codificação</w:t>
      </w:r>
      <w:r>
        <w:t xml:space="preserve">: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pPr>
        <w:pStyle w:val="937"/>
      </w:pPr>
      <w:r>
        <w:t xml:space="preserve">Foco Causa: Sim</w:t>
      </w:r>
    </w:p>
    <w:p>
      <w:pPr>
        <w:pStyle w:val="937"/>
      </w:pPr>
      <w:r>
        <w:t xml:space="preserve">Efeitos Duradouros: Não</w:t>
      </w:r>
    </w:p>
    <w:bookmarkEnd w:id="647"/>
    <w:bookmarkStart w:id="648" w:name="auditoria-19892-constatação-nº-704024-1"/>
    <w:p>
      <w:pPr>
        <w:pStyle w:val="907"/>
      </w:pPr>
      <w:r>
        <w:t xml:space="preserve">16.0.6.10 Auditoria 19892, Constatação Nº 704024 (#1)</w:t>
      </w:r>
    </w:p>
    <w:p>
      <w:pPr>
        <w:pStyle w:val="937"/>
      </w:pPr>
      <w:r>
        <w:rPr>
          <w:b/>
          <w:bCs/>
        </w:rPr>
        <w:t xml:space="preserve">Finalidade</w:t>
      </w:r>
      <w:r>
        <w:t xml:space="preserve">: Realizar auditoria de oncologia, SIA e SIH, na Santa Casa de Misericórdia de Patos de Minas/MG</w:t>
      </w:r>
    </w:p>
    <w:p>
      <w:pPr>
        <w:pStyle w:val="937"/>
      </w:pPr>
      <w:r>
        <w:rPr>
          <w:b/>
          <w:bCs/>
        </w:rPr>
        <w:t xml:space="preserve">Constatação</w:t>
      </w:r>
      <w:r>
        <w:t xml:space="preserve">: A Santa Casa de Misericórdia de Patos de Minas/MG iniciou o tratamento clínico em oncológia (quimioterapia ou radioterapia) antes da autorização formal da APAC pelo Gestor.</w:t>
      </w:r>
    </w:p>
    <w:p>
      <w:pPr>
        <w:pStyle w:val="937"/>
      </w:pPr>
      <w:r>
        <w:rPr>
          <w:b/>
          <w:bCs/>
        </w:rPr>
        <w:t xml:space="preserve">Recomendação</w:t>
      </w:r>
      <w:r>
        <w:t xml:space="preserve">: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pPr>
        <w:pStyle w:val="937"/>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pPr>
        <w:pStyle w:val="937"/>
      </w:pPr>
      <w:r>
        <w:t xml:space="preserve">Foco Causa: Sim</w:t>
      </w:r>
    </w:p>
    <w:p>
      <w:pPr>
        <w:pStyle w:val="937"/>
      </w:pPr>
      <w:r>
        <w:t xml:space="preserve">Efeitos Duradouros: Não</w:t>
      </w:r>
    </w:p>
    <w:bookmarkEnd w:id="648"/>
    <w:bookmarkEnd w:id="649"/>
    <w:bookmarkStart w:id="660" w:name="foco-causa-sim.-efeitos-duradouros-sim"/>
    <w:p>
      <w:pPr>
        <w:pStyle w:val="906"/>
      </w:pPr>
      <w:r>
        <w:t xml:space="preserve">16.0.7 Foco causa: Sim. Efeitos duradouros: Sim</w:t>
      </w:r>
    </w:p>
    <w:bookmarkStart w:id="650" w:name="X0e9dcda4329d3c6531a78a68ddbececdb57117f"/>
    <w:p>
      <w:pPr>
        <w:pStyle w:val="907"/>
      </w:pPr>
      <w:r>
        <w:t xml:space="preserve">16.0.7.1 Auditoria 19480, Constatação Nº 672898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 processo decisório adotado pelo SAMU 192 de Manaus não contempla a perspectiva de resposta a catástrofes, desastres e atendimento adequado e tempestivo a múltiplas vítimas (AMV).</w:t>
      </w:r>
    </w:p>
    <w:p>
      <w:pPr>
        <w:pStyle w:val="937"/>
      </w:pPr>
      <w:r>
        <w:rPr>
          <w:b/>
          <w:bCs/>
        </w:rPr>
        <w:t xml:space="preserve">Recomendação</w:t>
      </w:r>
      <w:r>
        <w:t xml:space="preserve">: A SEMSA Manaus, deverá elaborar o Plano de Contingência de Catástrofes da cidade de Manaus, com dados atualizados e devidas formalizações, incluindo datas, assinaturas dos responsáveis tanto no Plano como nos Termos de compromisso das instituições parceiras, conforme previsto no inciso XII, do Item Atribuições da Regulação Médica das Urgências e alínea h, do item Operacionalização das Centrais SAMU - 192, Anexo 4, da Portaria de Consolidação nº 3, de 28/09/2017, que discorrem sobre a participação da Regulação Médica na formulação dos Planos de Saúde, de Atenção Integral às Urgências e de Atenção a Eventos com Múltiplas Vítimas e Desastres.</w:t>
      </w:r>
    </w:p>
    <w:p>
      <w:pPr>
        <w:pStyle w:val="937"/>
      </w:pPr>
      <w:r>
        <w:rPr>
          <w:b/>
          <w:bCs/>
        </w:rPr>
        <w:t xml:space="preserve">Análise Codificação</w:t>
      </w:r>
      <w:r>
        <w:t xml:space="preserve">: Em relação ao foco, a recomendação propõe a elaboração de um Plano de Contingência de Catástrofes, que visa tratar a causa do problema identificado (processo decisório inadequado para catástrofes e múltiplas vítimas), estabelecendo diretrizes permanentes e preventivas. Já em relação aos efeitos pretendidos, a implementação do plano cria uma estrutura formal e documentada que permanece válida independentemente de mudanças nos atores envolvidos, garantindo continuidade nas respostas a eventos críticos.</w:t>
      </w:r>
    </w:p>
    <w:p>
      <w:pPr>
        <w:pStyle w:val="937"/>
      </w:pPr>
      <w:r>
        <w:t xml:space="preserve">Foco Causa: Sim</w:t>
      </w:r>
    </w:p>
    <w:p>
      <w:pPr>
        <w:pStyle w:val="937"/>
      </w:pPr>
      <w:r>
        <w:t xml:space="preserve">Efeitos Duradouros: Sim</w:t>
      </w:r>
    </w:p>
    <w:bookmarkEnd w:id="650"/>
    <w:bookmarkStart w:id="651" w:name="auditoria-19488-constatação-nº-673863-2"/>
    <w:p>
      <w:pPr>
        <w:pStyle w:val="907"/>
      </w:pPr>
      <w:r>
        <w:t xml:space="preserve">16.0.7.2 Auditoria 19488, Constatação Nº 673863 (#2)</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 layout e o padrão visual da Central de Regulação das Urgências (CRU) e da Base Descentralizada do SAMU192 de Cajazeiras/PB não atendem totalmente aos critérios legais, que visam à identificação do Serviço e à segurança dos profissionais, usuários e cidadãos.</w:t>
      </w:r>
    </w:p>
    <w:p>
      <w:pPr>
        <w:pStyle w:val="937"/>
      </w:pPr>
      <w:r>
        <w:rPr>
          <w:b/>
          <w:bCs/>
        </w:rPr>
        <w:t xml:space="preserve">Recomendação</w:t>
      </w:r>
      <w:r>
        <w:t xml:space="preserve">: Renovar a Pintura e a Identificação Visual da CRU de Cajazeiras/PB; Instalar Placas de Identificação respeitando o padrão visual estabelecido para o SAMU 192, garantindo uniformidade e fácil reconhecimento. Implementar sinalização semafórica de alerta próxima aos acessos das Unidades Móveis, conforme estabelecido pelos critérios legais. Estabelecer um plano de manutenção regular para garantir que o prédio e suas instalações permaneçam em boas condições e de acordo com os padrões estabelecidos. Isso inclui pintura, sinalização, iluminação, e outros aspectos relevantes da infraestrutura.</w:t>
      </w:r>
    </w:p>
    <w:p>
      <w:pPr>
        <w:pStyle w:val="937"/>
      </w:pPr>
      <w:r>
        <w:rPr>
          <w:b/>
          <w:bCs/>
        </w:rPr>
        <w:t xml:space="preserve">Análise Codificação</w:t>
      </w:r>
      <w:r>
        <w:t xml:space="preserve">: Em relação ao foco, a recomendação propõe ações diretas para corrigir as condições encontradas (renovação da pintura, instalação de placas, sinalização semafórica), que são medidas corretivas imediatas. No entanto, a ação de</w:t>
      </w:r>
      <w:r>
        <w:t xml:space="preserve"> </w:t>
      </w:r>
      <w:r>
        <w:t xml:space="preserve">‘Estabelecer um plano de manutenção regular’</w:t>
      </w:r>
      <w:r>
        <w:t xml:space="preserve"> </w:t>
      </w:r>
      <w:r>
        <w:t xml:space="preserve">aborda a causa subjacente da falta de manutenção contínua, visando prevenir a reocorrência do problema. Já em relação aos efeitos pretendidos pela recomendação para tratar a causa, o plano de manutenção regular cria um processo sistemático que deve persistir independentemente de mudanças nos atores envolvidos, garantindo efeitos duradouros.</w:t>
      </w:r>
    </w:p>
    <w:p>
      <w:pPr>
        <w:pStyle w:val="937"/>
      </w:pPr>
      <w:r>
        <w:t xml:space="preserve">Foco Causa: Sim</w:t>
      </w:r>
    </w:p>
    <w:p>
      <w:pPr>
        <w:pStyle w:val="937"/>
      </w:pPr>
      <w:r>
        <w:t xml:space="preserve">Efeitos Duradouros: Sim</w:t>
      </w:r>
    </w:p>
    <w:bookmarkEnd w:id="651"/>
    <w:bookmarkStart w:id="652" w:name="auditoria-19554-constatação-nº-673910-1"/>
    <w:p>
      <w:pPr>
        <w:pStyle w:val="907"/>
      </w:pPr>
      <w:r>
        <w:t xml:space="preserve">16.0.7.3 Auditoria 19554, Constatação Nº 673910 (#1)</w:t>
      </w:r>
    </w:p>
    <w:p>
      <w:pPr>
        <w:pStyle w:val="937"/>
      </w:pPr>
      <w:r>
        <w:rPr>
          <w:b/>
          <w:bCs/>
        </w:rPr>
        <w:t xml:space="preserve">Finalidade</w:t>
      </w:r>
      <w:r>
        <w:t xml:space="preserve">: Avaliar a atuação dos municípios através dos indicadores por desempenho do Programa Previne Brasil</w:t>
      </w:r>
    </w:p>
    <w:p>
      <w:pPr>
        <w:pStyle w:val="937"/>
      </w:pPr>
      <w:r>
        <w:rPr>
          <w:b/>
          <w:bCs/>
        </w:rPr>
        <w:t xml:space="preserve">Constatação</w:t>
      </w:r>
      <w:r>
        <w:t xml:space="preserve">: Na listagem de prontuários disponibilizada pela AudSUS existem 134 usuários do SUS cadastrados no CadSUS com mais de 1 Cartão Nacional de Saúde.</w:t>
      </w:r>
    </w:p>
    <w:p>
      <w:pPr>
        <w:pStyle w:val="937"/>
      </w:pPr>
      <w:r>
        <w:rPr>
          <w:b/>
          <w:bCs/>
        </w:rPr>
        <w:t xml:space="preserve">Recomendação</w:t>
      </w:r>
      <w:r>
        <w:t xml:space="preserve">: Adotar providências para o correto cadastramento e atualização dos dados cadastrais de sua população conforme responsabilidade estabelecida no art. 268 da PRC GM/MS n.º 1/2017, alterado pela PRT GM/MS n.º 2.236, de 20/9/2021.</w:t>
      </w:r>
    </w:p>
    <w:p>
      <w:pPr>
        <w:pStyle w:val="937"/>
      </w:pPr>
      <w:r>
        <w:rPr>
          <w:b/>
          <w:bCs/>
        </w:rPr>
        <w:t xml:space="preserve">Análise Codificação</w:t>
      </w:r>
      <w:r>
        <w:t xml:space="preserve">: Em relação ao foco, a recomendação propõe a adoção de providências para o correto cadastramento e atualização dos dados cadastrais, o que visa tratar a causa do problema (cadastramento inadequado que permite múltiplos cartões) e não apenas remover os cartões extras existentes. Já em relação aos efeitos pretendidos pela recomendação, a implementação de processos corretos de cadastramento e atualização tende a criar uma estrutura permanente que permanece efetiva mesmo com mudanças nos atores envolvidos, pois estabelece procedimentos padronizados.</w:t>
      </w:r>
    </w:p>
    <w:p>
      <w:pPr>
        <w:pStyle w:val="937"/>
      </w:pPr>
      <w:r>
        <w:t xml:space="preserve">Foco Causa: Sim</w:t>
      </w:r>
    </w:p>
    <w:p>
      <w:pPr>
        <w:pStyle w:val="937"/>
      </w:pPr>
      <w:r>
        <w:t xml:space="preserve">Efeitos Duradouros: Sim</w:t>
      </w:r>
    </w:p>
    <w:bookmarkEnd w:id="652"/>
    <w:bookmarkStart w:id="653" w:name="auditoria-19590-constatação-nº-684796-1"/>
    <w:p>
      <w:pPr>
        <w:pStyle w:val="907"/>
      </w:pPr>
      <w:r>
        <w:t xml:space="preserve">16.0.7.4 Auditoria 19590, Constatação Nº 684796 (#1)</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A Unidade de Assistência de Alta Complexidade em Nefrologia do Sistema de Assistência Social e de Saúde (SAS) não contempla a equipe mínima estabelecida pela legislação.</w:t>
      </w:r>
    </w:p>
    <w:p>
      <w:pPr>
        <w:pStyle w:val="937"/>
      </w:pPr>
      <w:r>
        <w:rPr>
          <w:b/>
          <w:bCs/>
        </w:rPr>
        <w:t xml:space="preserve">Recomendação</w:t>
      </w:r>
      <w:r>
        <w:t xml:space="preserve">: Realizar as adequações da composição da equipe mínima do serviço de hemodiálise quanto à inclusão de: - um enfermeiro com título de especialista em nefrologia; - um profissional de assistência social para o quadro funcional do serviço de hemodiálise; - manter atualizada as certidões dos responsáveis técnicos (médico e enfermeiro) pelo serviço de hemodiálise. As adequações propostas são necessárias em razão do determinado nos incisos I, II e III, art. 78 e incisos I, II e V, art. 80, Seção V, Capítulo III do Anexo IV da Portaria de Consolidação GM/MS n.° 3/2017. Além disso, visam manter as habilitações conforme previsto no inciso I, art. 89, Seção VII, Capítulo III do Anexo IV da Portaria de Consolidação GM/MS n.° 3/2017 que normatiza sobre a manutenção da habilitação dos estabelecimentos de saúde de atenção especializada em DRC.</w:t>
      </w:r>
    </w:p>
    <w:p>
      <w:pPr>
        <w:pStyle w:val="937"/>
      </w:pPr>
      <w:r>
        <w:rPr>
          <w:b/>
          <w:bCs/>
        </w:rPr>
        <w:t xml:space="preserve">Análise Codificação</w:t>
      </w:r>
      <w:r>
        <w:t xml:space="preserve">: Em relação ao foco, a recomendação propõe ações para adequar a composição da equipe mínima do serviço de hemodiálise, incluindo a inclusão de profissionais específicos e a manutenção de certidões atualizadas. Essas ações visam corrigir a causa subjacente da não conformidade com a legislação, que é a estrutura inadequada da equipe, caracterizando um foco na causa. Já em relação aos efeitos pretendidos pela recomendação, as adequações propostas, como a inclusão permanente de um enfermeiro especialista e um assistente social, e a manutenção contínua das certidões, estabelecem mudanças estruturais que devem persistir independentemente de mudanças nos atores envolvidos, promovendo efeitos duradouros.</w:t>
      </w:r>
    </w:p>
    <w:p>
      <w:pPr>
        <w:pStyle w:val="937"/>
      </w:pPr>
      <w:r>
        <w:t xml:space="preserve">Foco Causa: Sim</w:t>
      </w:r>
    </w:p>
    <w:p>
      <w:pPr>
        <w:pStyle w:val="937"/>
      </w:pPr>
      <w:r>
        <w:t xml:space="preserve">Efeitos Duradouros: Sim</w:t>
      </w:r>
    </w:p>
    <w:bookmarkEnd w:id="653"/>
    <w:bookmarkStart w:id="654" w:name="auditoria-19613-constatação-nº-677739-1"/>
    <w:p>
      <w:pPr>
        <w:pStyle w:val="907"/>
      </w:pPr>
      <w:r>
        <w:t xml:space="preserve">16.0.7.5 Auditoria 19613, Constatação Nº 677739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aos documentos de suporte e relatórios mensais de acompanhamento dos Eixos de Saneamento Ambiental e Edificações de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Análise Codificação</w:t>
      </w:r>
      <w:r>
        <w:t xml:space="preserve">: Em relação ao foco, a recomendação propõe a conferência da documentação no sistema Transferegov para evitar a manutenção de informações incorretas, o que visa tratar a causa do problema (informações incorretas persistindo no sistema) ao implementar um processo de verificação contínua. Já em relação aos efeitos pretendidos pela recomendação, a ação de conferência documental estabelece um procedimento que pode ser mantido independentemente de mudanças nos atores envolvidos, pois se baseia em uma rotina sistemática de verificação.</w:t>
      </w:r>
    </w:p>
    <w:p>
      <w:pPr>
        <w:pStyle w:val="937"/>
      </w:pPr>
      <w:r>
        <w:t xml:space="preserve">Foco Causa: Sim</w:t>
      </w:r>
    </w:p>
    <w:p>
      <w:pPr>
        <w:pStyle w:val="937"/>
      </w:pPr>
      <w:r>
        <w:t xml:space="preserve">Efeitos Duradouros: Sim</w:t>
      </w:r>
    </w:p>
    <w:bookmarkEnd w:id="654"/>
    <w:bookmarkStart w:id="655" w:name="auditoria-19686-constatação-nº-689425-1"/>
    <w:p>
      <w:pPr>
        <w:pStyle w:val="907"/>
      </w:pPr>
      <w:r>
        <w:t xml:space="preserve">16.0.7.6 Auditoria 19686, Constatação Nº 689425 (#1)</w:t>
      </w:r>
    </w:p>
    <w:p>
      <w:pPr>
        <w:pStyle w:val="937"/>
      </w:pPr>
      <w:r>
        <w:rPr>
          <w:b/>
          <w:bCs/>
        </w:rPr>
        <w:t xml:space="preserve">Finalidade</w:t>
      </w:r>
      <w:r>
        <w:t xml:space="preserve">: Verificar a regularidade no Sistema de Regulação em Saúde de Alagoas.</w:t>
      </w:r>
    </w:p>
    <w:p>
      <w:pPr>
        <w:pStyle w:val="937"/>
      </w:pPr>
      <w:r>
        <w:rPr>
          <w:b/>
          <w:bCs/>
        </w:rPr>
        <w:t xml:space="preserve">Constatação</w:t>
      </w:r>
      <w:r>
        <w:t xml:space="preserve">: A gestão da Secretaria de Estado da Saúde de Alagoas (SESAU/AL) não realizou, formalmente, a contratualização com as Unidades de Saúde (Hospitais: Veredas, Médico Cirúrgico, Carvalho Beltrão, Universitário e Chama e Santas Casas de Misericórdia: Maceió, Penedo e São Miguel dos Campos), dos serviços de internações em leitos SUS dos pacientes regulados pela SESAU.</w:t>
      </w:r>
    </w:p>
    <w:p>
      <w:pPr>
        <w:pStyle w:val="937"/>
      </w:pPr>
      <w:r>
        <w:rPr>
          <w:b/>
          <w:bCs/>
        </w:rPr>
        <w:t xml:space="preserve">Recomendação</w:t>
      </w:r>
      <w:r>
        <w:t xml:space="preserve">: A Gestão da SESAU/AL deve realizar a compatibilização das informações prestadas nos relatórios produzidos pelas áreas técnicas da SESAU com os dados de registros no CNES, de forma a evitar equívocos nas informações gerenciais prestadas aos órgãos de controle (DENASUS, MPF, DPU, MPE); realizar a reavaliação de todos os prestadores privados de saúde que, concomitantemente, prestam serviços aos SUS nas esferas estadual e municipais; compartilhar informações gerenciais com os demais Entes para evitar contratações dos mesmos leitos SUS nas diferentes esferas de gestão; realizar as contratações da Rede Complementar da Saúde (Hospitais e Clínicas Privadas) e manter atualizados os Contratos e Planos Operativos e respectivas publicações oficiais; e definir, nos respectivos instrumentos de contratação os objetivos, metas, recursos orçamentários, fonte de recursos, indicadores de avaliação e monitoramento. Gerenciar os leitos SUS contratados na rede privada para a sua efetiva disponibilização aos usuários. Cumprir o inciso III do art. 4º da Portaria de Consolidação nº 2, de 28/09/2017.</w:t>
      </w:r>
    </w:p>
    <w:p>
      <w:pPr>
        <w:pStyle w:val="937"/>
      </w:pPr>
      <w:r>
        <w:rPr>
          <w:b/>
          <w:bCs/>
        </w:rPr>
        <w:t xml:space="preserve">Análise Codificação</w:t>
      </w:r>
      <w:r>
        <w:t xml:space="preserve">: Em relação ao foco, a recomendação inclui ações que tratam da causa do problema, como a compatibilização de informações entre relatórios técnicos e CNES para evitar equívocos gerenciais, a reavaliação de prestadores que atuam em múltiplas esferas, o compartilhamento de informações para evitar duplicidade de contratações, e a definição clara de objetivos e metas nos instrumentos contratuais, visando prevenir a ausência de contratualização formal. Já em relação aos efeitos duradouros, as ações propostas, como a padronização de processos de compatibilização de dados, compartilhamento sistemático de informações e definição de parâmetros contratuais, tendem a permanecer mesmo com mudanças de atores, pois institucionalizam práticas de gestão.</w:t>
      </w:r>
    </w:p>
    <w:p>
      <w:pPr>
        <w:pStyle w:val="937"/>
      </w:pPr>
      <w:r>
        <w:t xml:space="preserve">Foco Causa: Sim</w:t>
      </w:r>
    </w:p>
    <w:p>
      <w:pPr>
        <w:pStyle w:val="937"/>
      </w:pPr>
      <w:r>
        <w:t xml:space="preserve">Efeitos Duradouros: Sim</w:t>
      </w:r>
    </w:p>
    <w:bookmarkEnd w:id="655"/>
    <w:bookmarkStart w:id="656" w:name="auditoria-19688-constatação-nº-688913-4"/>
    <w:p>
      <w:pPr>
        <w:pStyle w:val="907"/>
      </w:pPr>
      <w:r>
        <w:t xml:space="preserve">16.0.7.7 Auditoria 19688, Constatação Nº 688913 (#4)</w:t>
      </w:r>
    </w:p>
    <w:p>
      <w:pPr>
        <w:pStyle w:val="937"/>
      </w:pPr>
      <w:r>
        <w:rPr>
          <w:b/>
          <w:bCs/>
        </w:rPr>
        <w:t xml:space="preserve">Finalidade</w:t>
      </w:r>
      <w:r>
        <w:t xml:space="preserve">: verificar a regularidade da produção inserida no Sistema de Informações Ambulatoriais (SIASUS)</w:t>
      </w:r>
    </w:p>
    <w:p>
      <w:pPr>
        <w:pStyle w:val="937"/>
      </w:pPr>
      <w:r>
        <w:rPr>
          <w:b/>
          <w:bCs/>
        </w:rPr>
        <w:t xml:space="preserve">Constatação</w:t>
      </w:r>
      <w:r>
        <w:t xml:space="preserve">: A SEMSA/BV não comprovou a efetiva realização da produção inserida e aprovada no SIA/SUS quanto aos procedimentos Ultrassonografia Obstétrica - 0205020143; Radiografia de Tórax - PA e PERFIL - 0204030153; Tomografia Computadorizada do Crânio - 0206010079; Gasometria PH PCO2 PO2 BICARBONATO AS2 (EXCESSO OU DEFICIT BASE) - 0202010732; Tomografia Computadorizada de Abdômen Superior - 0206030010 no ano de 2021.</w:t>
      </w:r>
    </w:p>
    <w:p>
      <w:pPr>
        <w:pStyle w:val="937"/>
      </w:pPr>
      <w:r>
        <w:rPr>
          <w:b/>
          <w:bCs/>
        </w:rPr>
        <w:t xml:space="preserve">Recomendação</w:t>
      </w:r>
      <w:r>
        <w:t xml:space="preserve">: Capacitar os servidores responsáveis pelo Serviço de Controle, Avaliação e Monitoramento das ações e serviços de saúde nos instrumentos criados para melhor desempenho das atividades propostas nos referidos instrumentos.</w:t>
      </w:r>
    </w:p>
    <w:p>
      <w:pPr>
        <w:pStyle w:val="937"/>
      </w:pPr>
      <w:r>
        <w:rPr>
          <w:b/>
          <w:bCs/>
        </w:rPr>
        <w:t xml:space="preserve">Análise Codificação</w:t>
      </w:r>
      <w:r>
        <w:t xml:space="preserve">: A recomendação propõe capacitar servidores para melhorar o desempenho nas atividades de controle, avaliação e monitoramento, o que aborda a causa do problema (falta de capacitação adequada) que gerou a condição de não comprovação da produção. Quanto aos efeitos duradouros, a capacitação visa estabelecer competências que permanecem mesmo com mudanças de atores, pois o conhecimento transferido pode ser mantido e aplicado independentemente de quem exerça as funções.</w:t>
      </w:r>
    </w:p>
    <w:p>
      <w:pPr>
        <w:pStyle w:val="937"/>
      </w:pPr>
      <w:r>
        <w:t xml:space="preserve">Foco Causa: Sim</w:t>
      </w:r>
    </w:p>
    <w:p>
      <w:pPr>
        <w:pStyle w:val="937"/>
      </w:pPr>
      <w:r>
        <w:t xml:space="preserve">Efeitos Duradouros: Sim</w:t>
      </w:r>
    </w:p>
    <w:bookmarkEnd w:id="656"/>
    <w:bookmarkStart w:id="657" w:name="auditoria-19745-constatação-nº-694782-1"/>
    <w:p>
      <w:pPr>
        <w:pStyle w:val="907"/>
      </w:pPr>
      <w:r>
        <w:t xml:space="preserve">16.0.7.8 Auditoria 19745, Constatação Nº 694782 (#1)</w:t>
      </w:r>
    </w:p>
    <w:p>
      <w:pPr>
        <w:pStyle w:val="937"/>
      </w:pPr>
      <w:r>
        <w:rPr>
          <w:b/>
          <w:bCs/>
        </w:rPr>
        <w:t xml:space="preserve">Finalidade</w:t>
      </w:r>
      <w:r>
        <w:t xml:space="preserve">: Verificar se a CMRF possui controles internos capazes de assegurar adequadamente a Cadeia de Frios</w:t>
      </w:r>
    </w:p>
    <w:p>
      <w:pPr>
        <w:pStyle w:val="937"/>
      </w:pPr>
      <w:r>
        <w:rPr>
          <w:b/>
          <w:bCs/>
        </w:rPr>
        <w:t xml:space="preserve">Constatação</w:t>
      </w:r>
      <w:r>
        <w:t xml:space="preserve">: O transporte dos imunobiológicos enviados pela Instância Estadual e distribuídos pela Central Municipal de Rede de Frio-CMRF para as Salas de Vacinação não é realizado, integralmente, de acordo com as orientações preconizadas pelo PNI.</w:t>
      </w:r>
    </w:p>
    <w:p>
      <w:pPr>
        <w:pStyle w:val="937"/>
      </w:pPr>
      <w:r>
        <w:rPr>
          <w:b/>
          <w:bCs/>
        </w:rPr>
        <w:t xml:space="preserve">Recomendação</w:t>
      </w:r>
      <w:r>
        <w:t xml:space="preserve">: Desenvolver e implementar ações de controle para serem realizadas no transporte dos imunobiológicos, de forma a evidenciar as atividades a serem realizadas antes, durante e após o transporte, definindo os responsáveis pelas etapas, para cumprimento do Subitem 4.6, Item 4, pág. 27 a 31 do Manual de Rede Frio do PNI, 2017; e os Arts. 83, 84 e 85, Seção IX, da Resolução de Diretoria Colegiada - RDC Nº 430, de 08 de outubro de 2020; e o o Art. 61, Título XII, da Lei nº 6.360, de 23 de setembro de 1976</w:t>
      </w:r>
    </w:p>
    <w:p>
      <w:pPr>
        <w:pStyle w:val="937"/>
      </w:pPr>
      <w:r>
        <w:rPr>
          <w:b/>
          <w:bCs/>
        </w:rPr>
        <w:t xml:space="preserve">Análise Codificação</w:t>
      </w:r>
      <w:r>
        <w:t xml:space="preserve">: Em relação ao foco, a recomendação propõe o desenvolvimento e implementação de ações de controle para o transporte de imunobiológicos, incluindo a definição de responsabilidades e etapas, o que visa abordar a causa subjacente da falta de conformidade, como a ausência de procedimentos estruturados, em vez de apenas corrigir a condição imediata. Já em relação aos efeitos pretendidos pela recomendação, as ações sugeridas, como a criação de controles e definição de responsáveis, são projetadas para serem duradouras e permanecerem efetivas mesmo com mudanças nos atores envolvidos, pois estabelecem processos formais.</w:t>
      </w:r>
    </w:p>
    <w:p>
      <w:pPr>
        <w:pStyle w:val="937"/>
      </w:pPr>
      <w:r>
        <w:t xml:space="preserve">Foco Causa: Sim</w:t>
      </w:r>
    </w:p>
    <w:p>
      <w:pPr>
        <w:pStyle w:val="937"/>
      </w:pPr>
      <w:r>
        <w:t xml:space="preserve">Efeitos Duradouros: Sim</w:t>
      </w:r>
    </w:p>
    <w:bookmarkEnd w:id="657"/>
    <w:bookmarkStart w:id="658" w:name="auditoria-19809-constatação-nº-694570-1"/>
    <w:p>
      <w:pPr>
        <w:pStyle w:val="907"/>
      </w:pPr>
      <w:r>
        <w:t xml:space="preserve">16.0.7.9 Auditoria 19809, Constatação Nº 694570 (#1)</w:t>
      </w:r>
    </w:p>
    <w:p>
      <w:pPr>
        <w:pStyle w:val="937"/>
      </w:pPr>
      <w:r>
        <w:rPr>
          <w:b/>
          <w:bCs/>
        </w:rPr>
        <w:t xml:space="preserve">Finalidade</w:t>
      </w:r>
      <w:r>
        <w:t xml:space="preserve">: Verificar se a Atenção Primária à Saúde está exercendo as atribuições de coordenadora da RAPS</w:t>
      </w:r>
    </w:p>
    <w:p>
      <w:pPr>
        <w:pStyle w:val="937"/>
      </w:pPr>
      <w:r>
        <w:rPr>
          <w:b/>
          <w:bCs/>
        </w:rPr>
        <w:t xml:space="preserve">Constatação</w:t>
      </w:r>
      <w:r>
        <w:t xml:space="preserve">: As UBSs visitadas não realizam a continuidade do atendimento nem ações de redução de danos a grupos específicos de pacientes.</w:t>
      </w:r>
    </w:p>
    <w:p>
      <w:pPr>
        <w:pStyle w:val="937"/>
      </w:pPr>
      <w:r>
        <w:rPr>
          <w:b/>
          <w:bCs/>
        </w:rPr>
        <w:t xml:space="preserve">Recomendação</w:t>
      </w:r>
      <w:r>
        <w:t xml:space="preserve">: Estabelecer nos processos de trabalho das UBSs ações que efetivem a continuidade do cuidado, promovendo um atendimento de maneira coordenada e sem interrupções, em especial a grupos específicos de pacientes mais vulneráveis (crianças, adolescentes, jovens, pessoas em situação de rua e populações indígenas), em atendimento ao estabelecido nos itens I, II, III e IV, Art. 4º, Título I, Anexo V da Portaria de Consolidação GM/MS nº 3, de 28/09/2017.</w:t>
      </w:r>
    </w:p>
    <w:p>
      <w:pPr>
        <w:pStyle w:val="937"/>
      </w:pPr>
      <w:r>
        <w:rPr>
          <w:b/>
          <w:bCs/>
        </w:rPr>
        <w:t xml:space="preserve">Análise Codificação</w:t>
      </w:r>
      <w:r>
        <w:t xml:space="preserve">: Em relação ao foco, a recomendação propõe estabelecer ações nos processos de trabalho das UBSs para efetivar a continuidade do cuidado, o que visa abordar a causa subjacente da falta de continuidade e redução de danos, em vez de apenas corrigir casos específicos. Já em relação aos efeitos pretendidos pela recomendação, as mudanças nos processos de trabalho são institucionais e devem persistir independentemente de mudanças nos atores envolvidos, promovendo efeitos duradouros.</w:t>
      </w:r>
    </w:p>
    <w:p>
      <w:pPr>
        <w:pStyle w:val="937"/>
      </w:pPr>
      <w:r>
        <w:t xml:space="preserve">Foco Causa: Sim</w:t>
      </w:r>
    </w:p>
    <w:p>
      <w:pPr>
        <w:pStyle w:val="937"/>
      </w:pPr>
      <w:r>
        <w:t xml:space="preserve">Efeitos Duradouros: Sim</w:t>
      </w:r>
    </w:p>
    <w:bookmarkEnd w:id="658"/>
    <w:bookmarkStart w:id="659" w:name="auditoria-19855-constatação-nº-701779-1"/>
    <w:p>
      <w:pPr>
        <w:pStyle w:val="907"/>
      </w:pPr>
      <w:r>
        <w:t xml:space="preserve">16.0.7.10 Auditoria 19855, Constatação Nº 701779 (#1)</w:t>
      </w:r>
    </w:p>
    <w:p>
      <w:pPr>
        <w:pStyle w:val="937"/>
      </w:pPr>
      <w:r>
        <w:rPr>
          <w:b/>
          <w:bCs/>
        </w:rPr>
        <w:t xml:space="preserve">Finalidade</w:t>
      </w:r>
      <w:r>
        <w:t xml:space="preserve">: Verificar a gestão e o gerenciamento dos Centros de Referência em Saúde do Trabalhador - CERESTs</w:t>
      </w:r>
    </w:p>
    <w:p>
      <w:pPr>
        <w:pStyle w:val="937"/>
      </w:pPr>
      <w:r>
        <w:rPr>
          <w:b/>
          <w:bCs/>
        </w:rPr>
        <w:t xml:space="preserve">Constatação</w:t>
      </w:r>
      <w:r>
        <w:t xml:space="preserve">: As ações e demandas específicas relacionadas a saúde do trabalhador informadas pelo CEREST Regional Maricá/RJ, referente aos anos de 2023 e 2024, não foram preconizadas no Plano Municipal de Saúde (PMS) 2022 - 2025.</w:t>
      </w:r>
    </w:p>
    <w:p>
      <w:pPr>
        <w:pStyle w:val="937"/>
      </w:pPr>
      <w:r>
        <w:rPr>
          <w:b/>
          <w:bCs/>
        </w:rPr>
        <w:t xml:space="preserve">Recomendação</w:t>
      </w:r>
      <w:r>
        <w:t xml:space="preserve">: Assegurar que todas as áreas de saúde compreendidas na PNSTT (promoção, vigilância e atenção básica) estejam inseridas no Plano Municipal de Saúde (PMS) e nas Programações Anuais de Saúde (PAS), acompanhadas das suas respectivas ações, metas e indicadores, atendendo o Inciso I, Paragráfo Único, Art 19, Capítulo II, Anexo X, da Portaria de Consolidação GM/MS n°3, de 28/9/2017.</w:t>
      </w:r>
    </w:p>
    <w:p>
      <w:pPr>
        <w:pStyle w:val="937"/>
      </w:pPr>
      <w:r>
        <w:rPr>
          <w:b/>
          <w:bCs/>
        </w:rPr>
        <w:t xml:space="preserve">Análise Codificação</w:t>
      </w:r>
      <w:r>
        <w:t xml:space="preserve">: Em relação ao foco, a recomendação propõe a inserção das áreas de saúde do trabalhador (promoção, vigilância e atenção básica) no Plano Municipal de Saúde e nas Programações Anuais de Saúde, com ações, metas e indicadores específicos, o que visa tratar a causa do problema - a ausência de previsão formal dessas ações nos instrumentos de planejamento. Isso representa uma ação estrutural para evitar que a condição (ausência de previsão) volte a ocorrer. Já em relação aos efeitos pretendidos, a recomendação estabelece um processo formal de planejamento que deve permanecer independentemente de mudanças nos gestores ou equipes envolvidas, criando uma estrutura duradoura para a incorporação das ações de saúde do trabalhador.</w:t>
      </w:r>
    </w:p>
    <w:p>
      <w:pPr>
        <w:pStyle w:val="937"/>
      </w:pPr>
      <w:r>
        <w:t xml:space="preserve">Foco Causa: Sim</w:t>
      </w:r>
    </w:p>
    <w:p>
      <w:pPr>
        <w:pStyle w:val="937"/>
      </w:pPr>
      <w:r>
        <w:t xml:space="preserve">Efeitos Duradouros: Sim</w:t>
      </w:r>
    </w:p>
    <w:p>
      <w:r>
        <w:br w:type="page"/>
      </w:r>
    </w:p>
    <w:bookmarkEnd w:id="659"/>
    <w:bookmarkEnd w:id="660"/>
    <w:bookmarkEnd w:id="661"/>
    <w:bookmarkStart w:id="798" w:name="Xfd165c477a8e3a6a446ac0cff747a710eaeeb4e"/>
    <w:p>
      <w:pPr>
        <w:pStyle w:val="904"/>
      </w:pPr>
      <w:r>
        <w:t xml:space="preserve">17. Apêndice K — Prompt de Codificação e Prompt de Análise Crítica — Tentativa 9</w:t>
      </w:r>
    </w:p>
    <w:bookmarkStart w:id="662" w:name="prompt-de-codificação"/>
    <w:p>
      <w:pPr>
        <w:pStyle w:val="906"/>
      </w:pPr>
      <w:r>
        <w:t xml:space="preserve">17.0.1 Prompt de Codificação</w:t>
      </w:r>
    </w:p>
    <w:p>
      <w:pPr>
        <w:pStyle w:val="SourceCode"/>
      </w:pPr>
      <w:r>
        <w:rPr>
          <w:rStyle w:val="949"/>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49"/>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49"/>
        </w:rPr>
        <w:t xml:space="preserve">O objetivo do trabalho consiste em identificar as recomendações exaradas pelo DENASUS que possuam foco na causa.</w:t>
      </w:r>
      <w:r>
        <w:br/>
      </w:r>
      <w:r>
        <w:br/>
      </w:r>
      <w:r>
        <w:rPr>
          <w:rStyle w:val="949"/>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49"/>
        </w:rPr>
        <w:t xml:space="preserve">A análise para avaliar cada critério deverá constar no campo "Análise" da resposta, que será sucedido pelos campos referentes aos critérios delineados acima.</w:t>
      </w:r>
      <w:r>
        <w:br/>
      </w:r>
      <w:r>
        <w:br/>
      </w:r>
      <w:r>
        <w:rPr>
          <w:rStyle w:val="949"/>
        </w:rPr>
        <w:t xml:space="preserve">Caso a recomendação não contenha uma recomendação de fato, responda "Não se aplica" para os dois critérios.</w:t>
      </w:r>
      <w:r>
        <w:br/>
      </w:r>
      <w:r>
        <w:br/>
      </w:r>
      <w:r>
        <w:rPr>
          <w:rStyle w:val="949"/>
        </w:rPr>
        <w:t xml:space="preserve">Formate sua resposta no format Json com a seguinte estrutura:</w:t>
      </w:r>
      <w:r>
        <w:br/>
      </w:r>
      <w:r>
        <w:br/>
      </w:r>
      <w:r>
        <w:rPr>
          <w:rStyle w:val="949"/>
        </w:rPr>
        <w:t xml:space="preserve">EXAMPLE JSON OUTPUT:</w:t>
      </w:r>
      <w:r>
        <w:br/>
      </w:r>
      <w:r>
        <w:br/>
      </w:r>
      <w:r>
        <w:rPr>
          <w:rStyle w:val="949"/>
        </w:rPr>
        <w:t xml:space="preserve">{</w:t>
      </w:r>
      <w:r>
        <w:br/>
      </w:r>
      <w:r>
        <w:rPr>
          <w:rStyle w:val="949"/>
        </w:rPr>
        <w:t xml:space="preserve">   "Análise": "Em relação ao foco, a recomendação... Ja em relação aos efeitos pretendidos pela recomendação...",</w:t>
      </w:r>
      <w:r>
        <w:br/>
      </w:r>
      <w:r>
        <w:rPr>
          <w:rStyle w:val="949"/>
        </w:rPr>
        <w:t xml:space="preserve">   "Foco Causa": "Sim",</w:t>
      </w:r>
      <w:r>
        <w:br/>
      </w:r>
      <w:r>
        <w:rPr>
          <w:rStyle w:val="949"/>
        </w:rPr>
        <w:t xml:space="preserve">   "Efeitos Duradouros": "Sim"</w:t>
      </w:r>
      <w:r>
        <w:br/>
      </w:r>
      <w:r>
        <w:rPr>
          <w:rStyle w:val="949"/>
        </w:rPr>
        <w:t xml:space="preserve">}</w:t>
      </w:r>
    </w:p>
    <w:bookmarkEnd w:id="662"/>
    <w:bookmarkStart w:id="663" w:name="prompt-de-análise-crítica"/>
    <w:p>
      <w:pPr>
        <w:pStyle w:val="906"/>
      </w:pPr>
      <w:r>
        <w:t xml:space="preserve">17.0.2 Prompt de Análise Crítica</w:t>
      </w:r>
    </w:p>
    <w:p>
      <w:pPr>
        <w:pStyle w:val="SourceCode"/>
      </w:pPr>
      <w:r>
        <w:rPr>
          <w:rStyle w:val="949"/>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949"/>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949"/>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949"/>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949"/>
        </w:rPr>
        <w:t xml:space="preserve">- Critério "Foco Causa": Há alguma ação proposta na recomendação que trate da causa do problema que gerou a condição encontrada? Responda somente "Sim" ou "Não.  </w:t>
      </w:r>
      <w:r>
        <w:br/>
      </w:r>
      <w:r>
        <w:rPr>
          <w:rStyle w:val="949"/>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949"/>
        </w:rPr>
        <w:t xml:space="preserve">Agora, o usuário pesquisador pretende que seja feita uma análise crítica da classificação realizada. </w:t>
      </w:r>
      <w:r>
        <w:br/>
      </w:r>
      <w:r>
        <w:br/>
      </w:r>
      <w:r>
        <w:rPr>
          <w:rStyle w:val="949"/>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949"/>
        </w:rPr>
        <w:t xml:space="preserve">Sua função será realizar uma análise crítica da classificação para cada critério e emitir um juízo, que poderá ser materializado nos seguintes sentidos: "Concordo" ou "Discordo". </w:t>
      </w:r>
      <w:r>
        <w:br/>
      </w:r>
      <w:r>
        <w:br/>
      </w:r>
      <w:r>
        <w:rPr>
          <w:rStyle w:val="949"/>
        </w:rPr>
        <w:t xml:space="preserve">Formate sua resposta no formato Json com a seguinte estrutura:</w:t>
      </w:r>
      <w:r>
        <w:br/>
      </w:r>
      <w:r>
        <w:br/>
      </w:r>
      <w:r>
        <w:rPr>
          <w:rStyle w:val="949"/>
        </w:rPr>
        <w:t xml:space="preserve">EXAMPLE JSON OUTPUT:</w:t>
      </w:r>
      <w:r>
        <w:br/>
      </w:r>
      <w:r>
        <w:br/>
      </w:r>
      <w:r>
        <w:rPr>
          <w:rStyle w:val="949"/>
        </w:rPr>
        <w:t xml:space="preserve">{</w:t>
      </w:r>
      <w:r>
        <w:br/>
      </w:r>
      <w:r>
        <w:rPr>
          <w:rStyle w:val="949"/>
        </w:rPr>
        <w:t xml:space="preserve">   "Análise Crítica": "Em relação ao critério...",</w:t>
      </w:r>
      <w:r>
        <w:br/>
      </w:r>
      <w:r>
        <w:rPr>
          <w:rStyle w:val="949"/>
        </w:rPr>
        <w:t xml:space="preserve">   "Análise Foco Causa": "Concordo",</w:t>
      </w:r>
      <w:r>
        <w:br/>
      </w:r>
      <w:r>
        <w:rPr>
          <w:rStyle w:val="949"/>
        </w:rPr>
        <w:t xml:space="preserve">   "Análise Efeitos Duradouros": "Discordo"</w:t>
      </w:r>
      <w:r>
        <w:br/>
      </w:r>
      <w:r>
        <w:rPr>
          <w:rStyle w:val="949"/>
        </w:rPr>
        <w:t xml:space="preserve">}</w:t>
      </w:r>
    </w:p>
    <w:bookmarkEnd w:id="663"/>
    <w:bookmarkStart w:id="669" w:name="resultados-8"/>
    <w:p>
      <w:pPr>
        <w:pStyle w:val="906"/>
      </w:pPr>
      <w:r>
        <w:t xml:space="preserve">17.0.3 Resultados</w:t>
      </w:r>
    </w:p>
    <w:bookmarkStart w:id="664" w:name="codificação"/>
    <w:p>
      <w:pPr>
        <w:pStyle w:val="907"/>
      </w:pPr>
      <w:r>
        <w:t xml:space="preserve">17.0.3.1 Codificação</w:t>
      </w:r>
    </w:p>
    <w:tbl>
      <w:tblPr>
        <w:tblStyle w:val="Table"/>
        <w:tblW w:type="pct" w:w="4870"/>
        <w:tblLayout w:type="fixed"/>
        <w:tblLook w:firstRow="1" w:lastRow="0" w:firstColumn="0" w:lastColumn="0" w:noHBand="0" w:noVBand="0" w:val="0020"/>
      </w:tblPr>
      <w:tblGrid>
        <w:gridCol w:w="4937"/>
        <w:gridCol w:w="2777"/>
      </w:tblGrid>
      <w:tr>
        <w:trPr>
          <w:tblHeader w:val="on"/>
        </w:trPr>
        <w:tc>
          <w:tcPr/>
          <w:p>
            <w:pPr>
              <w:pStyle w:val="918"/>
              <w:jc w:val="left"/>
            </w:pPr>
            <w:r>
              <w:rPr>
                <w:b/>
                <w:bCs/>
              </w:rPr>
              <w:t xml:space="preserve">Classificação</w:t>
            </w:r>
          </w:p>
        </w:tc>
        <w:tc>
          <w:tcPr/>
          <w:p>
            <w:pPr>
              <w:pStyle w:val="918"/>
              <w:jc w:val="right"/>
            </w:pPr>
            <w:r>
              <w:rPr>
                <w:b/>
                <w:bCs/>
              </w:rPr>
              <w:t xml:space="preserve">Total</w:t>
            </w:r>
          </w:p>
        </w:tc>
      </w:tr>
      <w:tr>
        <w:tc>
          <w:tcPr/>
          <w:p>
            <w:pPr>
              <w:pStyle w:val="918"/>
              <w:jc w:val="left"/>
            </w:pPr>
            <w:r>
              <w:t xml:space="preserve">Ação com foco na causa e efeitos duradouros</w:t>
            </w:r>
          </w:p>
        </w:tc>
        <w:tc>
          <w:tcPr/>
          <w:p>
            <w:pPr>
              <w:pStyle w:val="918"/>
              <w:jc w:val="right"/>
            </w:pPr>
            <w:r>
              <w:t xml:space="preserve">2.671 (62,28%)</w:t>
            </w:r>
          </w:p>
        </w:tc>
      </w:tr>
      <w:tr>
        <w:tc>
          <w:tcPr/>
          <w:p>
            <w:pPr>
              <w:pStyle w:val="918"/>
              <w:jc w:val="left"/>
            </w:pPr>
            <w:r>
              <w:t xml:space="preserve">Ação com foco na causa sem efeitos duradouros</w:t>
            </w:r>
          </w:p>
        </w:tc>
        <w:tc>
          <w:tcPr/>
          <w:p>
            <w:pPr>
              <w:pStyle w:val="918"/>
              <w:jc w:val="right"/>
            </w:pPr>
            <w:r>
              <w:t xml:space="preserve">12 (0,28%)</w:t>
            </w:r>
          </w:p>
        </w:tc>
      </w:tr>
      <w:tr>
        <w:tc>
          <w:tcPr/>
          <w:p>
            <w:pPr>
              <w:pStyle w:val="918"/>
              <w:jc w:val="left"/>
            </w:pPr>
            <w:r>
              <w:t xml:space="preserve">Sem ação com foco causa</w:t>
            </w:r>
          </w:p>
        </w:tc>
        <w:tc>
          <w:tcPr/>
          <w:p>
            <w:pPr>
              <w:pStyle w:val="918"/>
              <w:jc w:val="right"/>
            </w:pPr>
            <w:r>
              <w:t xml:space="preserve">1.601 (37,33%)</w:t>
            </w:r>
          </w:p>
        </w:tc>
      </w:tr>
      <w:tr>
        <w:tc>
          <w:tcPr/>
          <w:p>
            <w:pPr>
              <w:pStyle w:val="918"/>
              <w:jc w:val="left"/>
            </w:pPr>
            <w:r>
              <w:t xml:space="preserve">Não se aplica</w:t>
            </w:r>
          </w:p>
        </w:tc>
        <w:tc>
          <w:tcPr/>
          <w:p>
            <w:pPr>
              <w:pStyle w:val="918"/>
              <w:jc w:val="right"/>
            </w:pPr>
            <w:r>
              <w:t xml:space="preserve">5 (0,12%)</w:t>
            </w:r>
          </w:p>
        </w:tc>
      </w:tr>
      <w:tr>
        <w:tc>
          <w:tcPr/>
          <w:p>
            <w:pPr>
              <w:pStyle w:val="918"/>
              <w:jc w:val="left"/>
            </w:pPr>
            <w:r>
              <w:rPr>
                <w:b/>
                <w:bCs/>
              </w:rPr>
              <w:t xml:space="preserve">Total</w:t>
            </w:r>
          </w:p>
        </w:tc>
        <w:tc>
          <w:tcPr/>
          <w:p>
            <w:pPr>
              <w:pStyle w:val="918"/>
              <w:jc w:val="right"/>
            </w:pPr>
            <w:r>
              <w:rPr>
                <w:b/>
                <w:bCs/>
              </w:rPr>
              <w:t xml:space="preserve">4.289</w:t>
            </w:r>
          </w:p>
        </w:tc>
      </w:tr>
    </w:tbl>
    <w:bookmarkEnd w:id="664"/>
    <w:bookmarkStart w:id="665" w:name="análise-crítica"/>
    <w:p>
      <w:pPr>
        <w:pStyle w:val="907"/>
      </w:pPr>
      <w:r>
        <w:t xml:space="preserve">17.0.3.2 Análise Crítica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918"/>
              <w:jc w:val="left"/>
            </w:pPr>
            <w:r>
              <w:rPr>
                <w:b/>
                <w:bCs/>
              </w:rPr>
              <w:t xml:space="preserve">Análise Crítica</w:t>
            </w:r>
          </w:p>
        </w:tc>
        <w:tc>
          <w:tcPr/>
          <w:p>
            <w:pPr>
              <w:pStyle w:val="918"/>
              <w:jc w:val="right"/>
            </w:pPr>
            <w:r>
              <w:rPr>
                <w:b/>
                <w:bCs/>
              </w:rPr>
              <w:t xml:space="preserve">Total (%)</w:t>
            </w:r>
          </w:p>
        </w:tc>
      </w:tr>
      <w:tr>
        <w:tc>
          <w:tcPr/>
          <w:p>
            <w:pPr>
              <w:pStyle w:val="918"/>
              <w:jc w:val="left"/>
            </w:pPr>
            <w:r>
              <w:t xml:space="preserve">Convergente</w:t>
            </w:r>
          </w:p>
        </w:tc>
        <w:tc>
          <w:tcPr/>
          <w:p>
            <w:pPr>
              <w:pStyle w:val="918"/>
              <w:jc w:val="right"/>
            </w:pPr>
            <w:r>
              <w:t xml:space="preserve">3.492 (81,42%)</w:t>
            </w:r>
          </w:p>
        </w:tc>
      </w:tr>
      <w:tr>
        <w:tc>
          <w:tcPr/>
          <w:p>
            <w:pPr>
              <w:pStyle w:val="918"/>
              <w:jc w:val="left"/>
            </w:pPr>
            <w:r>
              <w:t xml:space="preserve">Divergente</w:t>
            </w:r>
          </w:p>
        </w:tc>
        <w:tc>
          <w:tcPr/>
          <w:p>
            <w:pPr>
              <w:pStyle w:val="918"/>
              <w:jc w:val="right"/>
            </w:pPr>
            <w:r>
              <w:t xml:space="preserve">797 (18,58%)</w:t>
            </w:r>
          </w:p>
        </w:tc>
      </w:tr>
      <w:tr>
        <w:tc>
          <w:tcPr/>
          <w:p>
            <w:pPr>
              <w:pStyle w:val="918"/>
              <w:jc w:val="left"/>
            </w:pPr>
            <w:r>
              <w:rPr>
                <w:b/>
                <w:bCs/>
              </w:rPr>
              <w:t xml:space="preserve">Total</w:t>
            </w:r>
          </w:p>
        </w:tc>
        <w:tc>
          <w:tcPr/>
          <w:p>
            <w:pPr>
              <w:pStyle w:val="918"/>
              <w:jc w:val="right"/>
            </w:pPr>
            <w:r>
              <w:rPr>
                <w:b/>
                <w:bCs/>
              </w:rPr>
              <w:t xml:space="preserve">4.289</w:t>
            </w:r>
          </w:p>
        </w:tc>
      </w:tr>
    </w:tbl>
    <w:bookmarkEnd w:id="665"/>
    <w:bookmarkStart w:id="666" w:name="análise-crítica-segmentada"/>
    <w:p>
      <w:pPr>
        <w:pStyle w:val="907"/>
      </w:pPr>
      <w:r>
        <w:t xml:space="preserve">17.0.3.3 Análise Crítica Segmentada</w:t>
      </w:r>
    </w:p>
    <w:tbl>
      <w:tblPr>
        <w:tblStyle w:val="Table"/>
        <w:tblW w:type="pct" w:w="4886"/>
        <w:tblLayout w:type="fixed"/>
        <w:tblLook w:firstRow="1" w:lastRow="0" w:firstColumn="0" w:lastColumn="0" w:noHBand="0" w:noVBand="0" w:val="0020"/>
      </w:tblPr>
      <w:tblGrid>
        <w:gridCol w:w="1890"/>
        <w:gridCol w:w="2070"/>
        <w:gridCol w:w="1890"/>
        <w:gridCol w:w="1890"/>
      </w:tblGrid>
      <w:tr>
        <w:trPr>
          <w:tblHeader w:val="on"/>
        </w:trPr>
        <w:tc>
          <w:tcPr/>
          <w:p>
            <w:pPr>
              <w:pStyle w:val="918"/>
            </w:pPr>
          </w:p>
        </w:tc>
        <w:tc>
          <w:tcPr/>
          <w:p>
            <w:pPr>
              <w:pStyle w:val="918"/>
            </w:pPr>
            <w:r>
              <w:rPr>
                <w:b/>
                <w:bCs/>
              </w:rPr>
              <w:t xml:space="preserve">Análise Crítica</w:t>
            </w:r>
          </w:p>
        </w:tc>
        <w:tc>
          <w:tcPr/>
          <w:p>
            <w:pPr>
              <w:pStyle w:val="918"/>
            </w:pPr>
            <w:r>
              <w:rPr>
                <w:b/>
                <w:bCs/>
              </w:rPr>
              <w:t xml:space="preserve">Total</w:t>
            </w:r>
          </w:p>
        </w:tc>
        <w:tc>
          <w:tcPr/>
          <w:p>
            <w:pPr>
              <w:pStyle w:val="918"/>
            </w:pPr>
            <w:r>
              <w:rPr>
                <w:b/>
                <w:bCs/>
              </w:rPr>
              <w:t xml:space="preserve">%</w:t>
            </w:r>
          </w:p>
        </w:tc>
      </w:tr>
      <w:tr>
        <w:tc>
          <w:tcPr>
            <w:gridSpan w:val="4"/>
          </w:tcPr>
          <w:p>
            <w:pPr>
              <w:pStyle w:val="918"/>
            </w:pPr>
            <w:r>
              <w:t xml:space="preserve">Foco Causa: Sim (Sim/Sim)</w:t>
            </w:r>
          </w:p>
        </w:tc>
      </w:tr>
      <w:tr>
        <w:tc>
          <w:tcPr/>
          <w:p>
            <w:pPr>
              <w:pStyle w:val="918"/>
            </w:pPr>
          </w:p>
        </w:tc>
        <w:tc>
          <w:tcPr/>
          <w:p>
            <w:pPr>
              <w:pStyle w:val="918"/>
            </w:pPr>
            <w:r>
              <w:t xml:space="preserve">Convergente</w:t>
            </w:r>
          </w:p>
        </w:tc>
        <w:tc>
          <w:tcPr/>
          <w:p>
            <w:pPr>
              <w:pStyle w:val="918"/>
            </w:pPr>
            <w:r>
              <w:t xml:space="preserve">2.001</w:t>
            </w:r>
          </w:p>
        </w:tc>
        <w:tc>
          <w:tcPr/>
          <w:p>
            <w:pPr>
              <w:pStyle w:val="918"/>
            </w:pPr>
            <w:r>
              <w:t xml:space="preserve">74,92%</w:t>
            </w:r>
          </w:p>
        </w:tc>
      </w:tr>
      <w:tr>
        <w:tc>
          <w:tcPr/>
          <w:p>
            <w:pPr>
              <w:pStyle w:val="918"/>
            </w:pPr>
          </w:p>
        </w:tc>
        <w:tc>
          <w:tcPr/>
          <w:p>
            <w:pPr>
              <w:pStyle w:val="918"/>
            </w:pPr>
            <w:r>
              <w:t xml:space="preserve">Divergente</w:t>
            </w:r>
          </w:p>
        </w:tc>
        <w:tc>
          <w:tcPr/>
          <w:p>
            <w:pPr>
              <w:pStyle w:val="918"/>
            </w:pPr>
            <w:r>
              <w:t xml:space="preserve">670</w:t>
            </w:r>
          </w:p>
        </w:tc>
        <w:tc>
          <w:tcPr/>
          <w:p>
            <w:pPr>
              <w:pStyle w:val="918"/>
            </w:pPr>
            <w:r>
              <w:t xml:space="preserve">25,08%</w:t>
            </w:r>
          </w:p>
        </w:tc>
      </w:tr>
      <w:tr>
        <w:tc>
          <w:tcPr>
            <w:gridSpan w:val="4"/>
          </w:tcPr>
          <w:p>
            <w:pPr>
              <w:pStyle w:val="918"/>
            </w:pPr>
            <w:r>
              <w:t xml:space="preserve">Foco Causa: Não</w:t>
            </w:r>
          </w:p>
        </w:tc>
      </w:tr>
      <w:tr>
        <w:tc>
          <w:tcPr/>
          <w:p>
            <w:pPr>
              <w:pStyle w:val="918"/>
            </w:pPr>
          </w:p>
        </w:tc>
        <w:tc>
          <w:tcPr/>
          <w:p>
            <w:pPr>
              <w:pStyle w:val="918"/>
            </w:pPr>
            <w:r>
              <w:t xml:space="preserve">Convergente</w:t>
            </w:r>
          </w:p>
        </w:tc>
        <w:tc>
          <w:tcPr/>
          <w:p>
            <w:pPr>
              <w:pStyle w:val="918"/>
            </w:pPr>
            <w:r>
              <w:t xml:space="preserve">1.491</w:t>
            </w:r>
          </w:p>
        </w:tc>
        <w:tc>
          <w:tcPr/>
          <w:p>
            <w:pPr>
              <w:pStyle w:val="918"/>
            </w:pPr>
            <w:r>
              <w:t xml:space="preserve">92,15%</w:t>
            </w:r>
          </w:p>
        </w:tc>
      </w:tr>
      <w:tr>
        <w:tc>
          <w:tcPr/>
          <w:p>
            <w:pPr>
              <w:pStyle w:val="918"/>
            </w:pPr>
          </w:p>
        </w:tc>
        <w:tc>
          <w:tcPr/>
          <w:p>
            <w:pPr>
              <w:pStyle w:val="918"/>
            </w:pPr>
            <w:r>
              <w:t xml:space="preserve">Divergente</w:t>
            </w:r>
          </w:p>
        </w:tc>
        <w:tc>
          <w:tcPr/>
          <w:p>
            <w:pPr>
              <w:pStyle w:val="918"/>
            </w:pPr>
            <w:r>
              <w:t xml:space="preserve">127</w:t>
            </w:r>
          </w:p>
        </w:tc>
        <w:tc>
          <w:tcPr/>
          <w:p>
            <w:pPr>
              <w:pStyle w:val="918"/>
            </w:pPr>
            <w:r>
              <w:t xml:space="preserve">7,85%</w:t>
            </w:r>
          </w:p>
        </w:tc>
      </w:tr>
      <w:tr>
        <w:tc>
          <w:tcPr/>
          <w:p>
            <w:pPr>
              <w:pStyle w:val="918"/>
            </w:pPr>
            <w:r>
              <w:rPr>
                <w:b/>
                <w:bCs/>
              </w:rPr>
              <w:t xml:space="preserve">Total</w:t>
            </w:r>
          </w:p>
        </w:tc>
        <w:tc>
          <w:tcPr/>
          <w:p>
            <w:pPr>
              <w:pStyle w:val="918"/>
            </w:pPr>
            <w:r>
              <w:rPr>
                <w:b/>
                <w:bCs/>
              </w:rPr>
              <w:t xml:space="preserve">—</w:t>
            </w:r>
          </w:p>
        </w:tc>
        <w:tc>
          <w:tcPr/>
          <w:p>
            <w:pPr>
              <w:pStyle w:val="918"/>
            </w:pPr>
            <w:r>
              <w:rPr>
                <w:b/>
                <w:bCs/>
              </w:rPr>
              <w:t xml:space="preserve">4.289</w:t>
            </w:r>
          </w:p>
        </w:tc>
        <w:tc>
          <w:tcPr/>
          <w:p>
            <w:pPr>
              <w:pStyle w:val="918"/>
            </w:pPr>
            <w:r>
              <w:rPr>
                <w:b/>
                <w:bCs/>
              </w:rPr>
              <w:t xml:space="preserve">—</w:t>
            </w:r>
          </w:p>
        </w:tc>
      </w:tr>
    </w:tbl>
    <w:p>
      <w:pPr>
        <w:pStyle w:val="916"/>
      </w:pPr>
      <w:r>
        <w:t xml:space="preserve"> </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918"/>
              <w:jc w:val="left"/>
            </w:pPr>
            <w:r>
              <w:rPr>
                <w:b/>
                <w:bCs/>
              </w:rPr>
              <w:t xml:space="preserve">Análise Crítica</w:t>
            </w:r>
          </w:p>
        </w:tc>
        <w:tc>
          <w:tcPr/>
          <w:p>
            <w:pPr>
              <w:pStyle w:val="918"/>
              <w:jc w:val="right"/>
            </w:pPr>
            <w:r>
              <w:rPr>
                <w:b/>
                <w:bCs/>
              </w:rPr>
              <w:t xml:space="preserve">Total (%)</w:t>
            </w:r>
          </w:p>
        </w:tc>
      </w:tr>
      <w:tr>
        <w:tc>
          <w:tcPr/>
          <w:p>
            <w:pPr>
              <w:pStyle w:val="918"/>
              <w:jc w:val="left"/>
            </w:pPr>
            <w:r>
              <w:t xml:space="preserve">Convergente</w:t>
            </w:r>
          </w:p>
        </w:tc>
        <w:tc>
          <w:tcPr/>
          <w:p>
            <w:pPr>
              <w:pStyle w:val="918"/>
              <w:jc w:val="right"/>
            </w:pPr>
            <w:r>
              <w:t xml:space="preserve">3.492 (81,42%)</w:t>
            </w:r>
          </w:p>
        </w:tc>
      </w:tr>
      <w:tr>
        <w:tc>
          <w:tcPr/>
          <w:p>
            <w:pPr>
              <w:pStyle w:val="918"/>
              <w:jc w:val="left"/>
            </w:pPr>
            <w:r>
              <w:t xml:space="preserve">Divergente</w:t>
            </w:r>
          </w:p>
        </w:tc>
        <w:tc>
          <w:tcPr/>
          <w:p>
            <w:pPr>
              <w:pStyle w:val="918"/>
              <w:jc w:val="right"/>
            </w:pPr>
            <w:r>
              <w:t xml:space="preserve">797 (18,58%)</w:t>
            </w:r>
          </w:p>
        </w:tc>
      </w:tr>
      <w:tr>
        <w:tc>
          <w:tcPr/>
          <w:p>
            <w:pPr>
              <w:pStyle w:val="918"/>
              <w:jc w:val="left"/>
            </w:pPr>
            <w:r>
              <w:rPr>
                <w:b/>
                <w:bCs/>
              </w:rPr>
              <w:t xml:space="preserve">Total</w:t>
            </w:r>
          </w:p>
        </w:tc>
        <w:tc>
          <w:tcPr/>
          <w:p>
            <w:pPr>
              <w:pStyle w:val="918"/>
              <w:jc w:val="right"/>
            </w:pPr>
            <w:r>
              <w:rPr>
                <w:b/>
                <w:bCs/>
              </w:rPr>
              <w:t xml:space="preserve">4.289</w:t>
            </w:r>
          </w:p>
        </w:tc>
      </w:tr>
    </w:tbl>
    <w:bookmarkEnd w:id="666"/>
    <w:bookmarkStart w:id="667" w:name="detalhamento-análise-crítica"/>
    <w:p>
      <w:pPr>
        <w:pStyle w:val="907"/>
      </w:pPr>
      <w:r>
        <w:t xml:space="preserve">17.0.3.4 Detalhamento Análise Crítica</w:t>
      </w:r>
    </w:p>
    <w:tbl>
      <w:tblPr>
        <w:tblStyle w:val="Table"/>
        <w:tblW w:type="pct" w:w="4860"/>
        <w:tblLayout w:type="fixed"/>
        <w:tblLook w:firstRow="1" w:lastRow="0" w:firstColumn="0" w:lastColumn="0" w:noHBand="0" w:noVBand="0" w:val="0020"/>
      </w:tblPr>
      <w:tblGrid>
        <w:gridCol w:w="1218"/>
        <w:gridCol w:w="1384"/>
        <w:gridCol w:w="1384"/>
        <w:gridCol w:w="1827"/>
        <w:gridCol w:w="941"/>
        <w:gridCol w:w="941"/>
      </w:tblGrid>
      <w:tr>
        <w:trPr>
          <w:tblHeader w:val="on"/>
        </w:trPr>
        <w:tc>
          <w:tcPr/>
          <w:p>
            <w:pPr>
              <w:pStyle w:val="918"/>
            </w:pPr>
            <w:r>
              <w:rPr>
                <w:b/>
                <w:bCs/>
              </w:rPr>
              <w:t xml:space="preserve">Ação Foco Causa</w:t>
            </w:r>
          </w:p>
        </w:tc>
        <w:tc>
          <w:tcPr/>
          <w:p>
            <w:pPr>
              <w:pStyle w:val="918"/>
            </w:pPr>
            <w:r>
              <w:rPr>
                <w:b/>
                <w:bCs/>
              </w:rPr>
              <w:t xml:space="preserve">Análise Foco Causa</w:t>
            </w:r>
          </w:p>
        </w:tc>
        <w:tc>
          <w:tcPr/>
          <w:p>
            <w:pPr>
              <w:pStyle w:val="918"/>
            </w:pPr>
            <w:r>
              <w:rPr>
                <w:b/>
                <w:bCs/>
              </w:rPr>
              <w:t xml:space="preserve">Efeitos Duradouros</w:t>
            </w:r>
          </w:p>
        </w:tc>
        <w:tc>
          <w:tcPr/>
          <w:p>
            <w:pPr>
              <w:pStyle w:val="918"/>
            </w:pPr>
            <w:r>
              <w:rPr>
                <w:b/>
                <w:bCs/>
              </w:rPr>
              <w:t xml:space="preserve">Análise Efeitos Duradouros</w:t>
            </w:r>
          </w:p>
        </w:tc>
        <w:tc>
          <w:tcPr/>
          <w:p>
            <w:pPr>
              <w:pStyle w:val="918"/>
            </w:pPr>
            <w:r>
              <w:rPr>
                <w:b/>
                <w:bCs/>
              </w:rPr>
              <w:t xml:space="preserve">Total</w:t>
            </w:r>
          </w:p>
        </w:tc>
        <w:tc>
          <w:tcPr/>
          <w:p>
            <w:pPr>
              <w:pStyle w:val="918"/>
            </w:pPr>
            <w:r>
              <w:rPr>
                <w:b/>
                <w:bCs/>
              </w:rPr>
              <w:t xml:space="preserve">%</w:t>
            </w:r>
          </w:p>
        </w:tc>
      </w:tr>
      <w:tr>
        <w:tc>
          <w:tcPr>
            <w:gridSpan w:val="6"/>
          </w:tcPr>
          <w:p>
            <w:pPr>
              <w:pStyle w:val="918"/>
            </w:pPr>
            <w:r>
              <w:t xml:space="preserve">Recomendação com foco causa (têm ação com foco causa e efeitos duradouros)</w:t>
            </w:r>
          </w:p>
        </w:tc>
      </w:tr>
      <w:tr>
        <w:tc>
          <w:tcPr/>
          <w:p>
            <w:pPr>
              <w:pStyle w:val="918"/>
            </w:pPr>
            <w:r>
              <w:t xml:space="preserve">Sim</w:t>
            </w:r>
          </w:p>
        </w:tc>
        <w:tc>
          <w:tcPr/>
          <w:p>
            <w:pPr>
              <w:pStyle w:val="918"/>
            </w:pPr>
            <w:r>
              <w:t xml:space="preserve">Concordo</w:t>
            </w:r>
          </w:p>
        </w:tc>
        <w:tc>
          <w:tcPr/>
          <w:p>
            <w:pPr>
              <w:pStyle w:val="918"/>
            </w:pPr>
            <w:r>
              <w:t xml:space="preserve">Sim</w:t>
            </w:r>
          </w:p>
        </w:tc>
        <w:tc>
          <w:tcPr/>
          <w:p>
            <w:pPr>
              <w:pStyle w:val="918"/>
            </w:pPr>
            <w:r>
              <w:t xml:space="preserve">Concordo</w:t>
            </w:r>
          </w:p>
        </w:tc>
        <w:tc>
          <w:tcPr/>
          <w:p>
            <w:pPr>
              <w:pStyle w:val="918"/>
            </w:pPr>
            <w:r>
              <w:t xml:space="preserve">2.001</w:t>
            </w:r>
          </w:p>
        </w:tc>
        <w:tc>
          <w:tcPr/>
          <w:p>
            <w:pPr>
              <w:pStyle w:val="918"/>
            </w:pPr>
            <w:r>
              <w:t xml:space="preserve">74,92%</w:t>
            </w:r>
          </w:p>
        </w:tc>
      </w:tr>
      <w:tr>
        <w:tc>
          <w:tcPr/>
          <w:p>
            <w:pPr>
              <w:pStyle w:val="918"/>
            </w:pPr>
            <w:r>
              <w:t xml:space="preserve">Sim</w:t>
            </w:r>
          </w:p>
        </w:tc>
        <w:tc>
          <w:tcPr/>
          <w:p>
            <w:pPr>
              <w:pStyle w:val="918"/>
            </w:pPr>
            <w:r>
              <w:t xml:space="preserve">Concordo</w:t>
            </w:r>
          </w:p>
        </w:tc>
        <w:tc>
          <w:tcPr/>
          <w:p>
            <w:pPr>
              <w:pStyle w:val="918"/>
            </w:pPr>
            <w:r>
              <w:t xml:space="preserve">Sim</w:t>
            </w:r>
          </w:p>
        </w:tc>
        <w:tc>
          <w:tcPr/>
          <w:p>
            <w:pPr>
              <w:pStyle w:val="918"/>
            </w:pPr>
            <w:r>
              <w:t xml:space="preserve">Discordo</w:t>
            </w:r>
          </w:p>
        </w:tc>
        <w:tc>
          <w:tcPr/>
          <w:p>
            <w:pPr>
              <w:pStyle w:val="918"/>
            </w:pPr>
            <w:r>
              <w:t xml:space="preserve">463</w:t>
            </w:r>
          </w:p>
        </w:tc>
        <w:tc>
          <w:tcPr/>
          <w:p>
            <w:pPr>
              <w:pStyle w:val="918"/>
            </w:pPr>
            <w:r>
              <w:t xml:space="preserve">17,33%</w:t>
            </w:r>
          </w:p>
        </w:tc>
      </w:tr>
      <w:tr>
        <w:tc>
          <w:tcPr/>
          <w:p>
            <w:pPr>
              <w:pStyle w:val="918"/>
            </w:pPr>
            <w:r>
              <w:t xml:space="preserve">Sim</w:t>
            </w:r>
          </w:p>
        </w:tc>
        <w:tc>
          <w:tcPr/>
          <w:p>
            <w:pPr>
              <w:pStyle w:val="918"/>
            </w:pPr>
            <w:r>
              <w:t xml:space="preserve">Discordo</w:t>
            </w:r>
          </w:p>
        </w:tc>
        <w:tc>
          <w:tcPr/>
          <w:p>
            <w:pPr>
              <w:pStyle w:val="918"/>
            </w:pPr>
            <w:r>
              <w:t xml:space="preserve">Sim</w:t>
            </w:r>
          </w:p>
        </w:tc>
        <w:tc>
          <w:tcPr/>
          <w:p>
            <w:pPr>
              <w:pStyle w:val="918"/>
            </w:pPr>
            <w:r>
              <w:t xml:space="preserve">Discordo</w:t>
            </w:r>
          </w:p>
        </w:tc>
        <w:tc>
          <w:tcPr/>
          <w:p>
            <w:pPr>
              <w:pStyle w:val="918"/>
            </w:pPr>
            <w:r>
              <w:t xml:space="preserve">134</w:t>
            </w:r>
          </w:p>
        </w:tc>
        <w:tc>
          <w:tcPr/>
          <w:p>
            <w:pPr>
              <w:pStyle w:val="918"/>
            </w:pPr>
            <w:r>
              <w:t xml:space="preserve">5,02%</w:t>
            </w:r>
          </w:p>
        </w:tc>
      </w:tr>
      <w:tr>
        <w:tc>
          <w:tcPr/>
          <w:p>
            <w:pPr>
              <w:pStyle w:val="918"/>
            </w:pPr>
            <w:r>
              <w:t xml:space="preserve">Sim</w:t>
            </w:r>
          </w:p>
        </w:tc>
        <w:tc>
          <w:tcPr/>
          <w:p>
            <w:pPr>
              <w:pStyle w:val="918"/>
            </w:pPr>
            <w:r>
              <w:t xml:space="preserve">Discordo</w:t>
            </w:r>
          </w:p>
        </w:tc>
        <w:tc>
          <w:tcPr/>
          <w:p>
            <w:pPr>
              <w:pStyle w:val="918"/>
            </w:pPr>
            <w:r>
              <w:t xml:space="preserve">Sim</w:t>
            </w:r>
          </w:p>
        </w:tc>
        <w:tc>
          <w:tcPr/>
          <w:p>
            <w:pPr>
              <w:pStyle w:val="918"/>
            </w:pPr>
            <w:r>
              <w:t xml:space="preserve">Não se aplica</w:t>
            </w:r>
          </w:p>
        </w:tc>
        <w:tc>
          <w:tcPr/>
          <w:p>
            <w:pPr>
              <w:pStyle w:val="918"/>
            </w:pPr>
            <w:r>
              <w:t xml:space="preserve">60</w:t>
            </w:r>
          </w:p>
        </w:tc>
        <w:tc>
          <w:tcPr/>
          <w:p>
            <w:pPr>
              <w:pStyle w:val="918"/>
            </w:pPr>
            <w:r>
              <w:t xml:space="preserve">2,25%</w:t>
            </w:r>
          </w:p>
        </w:tc>
      </w:tr>
      <w:tr>
        <w:tc>
          <w:tcPr/>
          <w:p>
            <w:pPr>
              <w:pStyle w:val="918"/>
            </w:pPr>
            <w:r>
              <w:t xml:space="preserve">Sim</w:t>
            </w:r>
          </w:p>
        </w:tc>
        <w:tc>
          <w:tcPr/>
          <w:p>
            <w:pPr>
              <w:pStyle w:val="918"/>
            </w:pPr>
            <w:r>
              <w:t xml:space="preserve">Discordo</w:t>
            </w:r>
          </w:p>
        </w:tc>
        <w:tc>
          <w:tcPr/>
          <w:p>
            <w:pPr>
              <w:pStyle w:val="918"/>
            </w:pPr>
            <w:r>
              <w:t xml:space="preserve">Sim</w:t>
            </w:r>
          </w:p>
        </w:tc>
        <w:tc>
          <w:tcPr/>
          <w:p>
            <w:pPr>
              <w:pStyle w:val="918"/>
            </w:pPr>
            <w:r>
              <w:t xml:space="preserve">Concordo</w:t>
            </w:r>
          </w:p>
        </w:tc>
        <w:tc>
          <w:tcPr/>
          <w:p>
            <w:pPr>
              <w:pStyle w:val="918"/>
            </w:pPr>
            <w:r>
              <w:t xml:space="preserve">13</w:t>
            </w:r>
          </w:p>
        </w:tc>
        <w:tc>
          <w:tcPr/>
          <w:p>
            <w:pPr>
              <w:pStyle w:val="918"/>
            </w:pPr>
            <w:r>
              <w:t xml:space="preserve">0,49%</w:t>
            </w:r>
          </w:p>
        </w:tc>
      </w:tr>
      <w:tr>
        <w:tc>
          <w:tcPr/>
          <w:p>
            <w:pPr>
              <w:pStyle w:val="918"/>
            </w:pPr>
            <w:r>
              <w:rPr>
                <w:b/>
                <w:bCs/>
              </w:rPr>
              <w:t xml:space="preserve">Total</w:t>
            </w:r>
          </w:p>
        </w:tc>
        <w:tc>
          <w:tcPr/>
          <w:p>
            <w:pPr>
              <w:pStyle w:val="918"/>
            </w:pPr>
            <w:r>
              <w:rPr>
                <w:b/>
                <w:bCs/>
              </w:rPr>
              <w:t xml:space="preserve">—</w:t>
            </w:r>
          </w:p>
        </w:tc>
        <w:tc>
          <w:tcPr/>
          <w:p>
            <w:pPr>
              <w:pStyle w:val="918"/>
            </w:pPr>
            <w:r>
              <w:rPr>
                <w:b/>
                <w:bCs/>
              </w:rPr>
              <w:t xml:space="preserve">—</w:t>
            </w:r>
          </w:p>
        </w:tc>
        <w:tc>
          <w:tcPr/>
          <w:p>
            <w:pPr>
              <w:pStyle w:val="918"/>
            </w:pPr>
            <w:r>
              <w:rPr>
                <w:b/>
                <w:bCs/>
              </w:rPr>
              <w:t xml:space="preserve">—</w:t>
            </w:r>
          </w:p>
        </w:tc>
        <w:tc>
          <w:tcPr/>
          <w:p>
            <w:pPr>
              <w:pStyle w:val="918"/>
            </w:pPr>
            <w:r>
              <w:rPr>
                <w:b/>
                <w:bCs/>
              </w:rPr>
              <w:t xml:space="preserve">2.671</w:t>
            </w:r>
          </w:p>
        </w:tc>
        <w:tc>
          <w:tcPr/>
          <w:p>
            <w:pPr>
              <w:pStyle w:val="918"/>
            </w:pPr>
            <w:r>
              <w:rPr>
                <w:b/>
                <w:bCs/>
              </w:rPr>
              <w:t xml:space="preserve">—</w:t>
            </w:r>
          </w:p>
        </w:tc>
      </w:tr>
      <w:tr>
        <w:tc>
          <w:tcPr>
            <w:gridSpan w:val="6"/>
          </w:tcPr>
          <w:p>
            <w:pPr>
              <w:pStyle w:val="918"/>
            </w:pPr>
            <w:r>
              <w:t xml:space="preserve">Recomendações sem foco na causa</w:t>
            </w:r>
          </w:p>
        </w:tc>
      </w:tr>
      <w:tr>
        <w:tc>
          <w:tcPr/>
          <w:p>
            <w:pPr>
              <w:pStyle w:val="918"/>
            </w:pPr>
            <w:r>
              <w:t xml:space="preserve">Não</w:t>
            </w:r>
          </w:p>
        </w:tc>
        <w:tc>
          <w:tcPr/>
          <w:p>
            <w:pPr>
              <w:pStyle w:val="918"/>
            </w:pPr>
            <w:r>
              <w:t xml:space="preserve">Concordo</w:t>
            </w:r>
          </w:p>
        </w:tc>
        <w:tc>
          <w:tcPr/>
          <w:p>
            <w:pPr>
              <w:pStyle w:val="918"/>
            </w:pPr>
            <w:r>
              <w:t xml:space="preserve">Não se aplica</w:t>
            </w:r>
          </w:p>
        </w:tc>
        <w:tc>
          <w:tcPr/>
          <w:p>
            <w:pPr>
              <w:pStyle w:val="918"/>
            </w:pPr>
            <w:r>
              <w:t xml:space="preserve">Concordo</w:t>
            </w:r>
          </w:p>
        </w:tc>
        <w:tc>
          <w:tcPr/>
          <w:p>
            <w:pPr>
              <w:pStyle w:val="918"/>
            </w:pPr>
            <w:r>
              <w:t xml:space="preserve">1.481</w:t>
            </w:r>
          </w:p>
        </w:tc>
        <w:tc>
          <w:tcPr/>
          <w:p>
            <w:pPr>
              <w:pStyle w:val="918"/>
            </w:pPr>
            <w:r>
              <w:t xml:space="preserve">91,53%</w:t>
            </w:r>
          </w:p>
        </w:tc>
      </w:tr>
      <w:tr>
        <w:tc>
          <w:tcPr/>
          <w:p>
            <w:pPr>
              <w:pStyle w:val="918"/>
            </w:pPr>
            <w:r>
              <w:t xml:space="preserve">Não</w:t>
            </w:r>
          </w:p>
        </w:tc>
        <w:tc>
          <w:tcPr/>
          <w:p>
            <w:pPr>
              <w:pStyle w:val="918"/>
            </w:pPr>
            <w:r>
              <w:t xml:space="preserve">Discordo</w:t>
            </w:r>
          </w:p>
        </w:tc>
        <w:tc>
          <w:tcPr/>
          <w:p>
            <w:pPr>
              <w:pStyle w:val="918"/>
            </w:pPr>
            <w:r>
              <w:t xml:space="preserve">Não se aplica</w:t>
            </w:r>
          </w:p>
        </w:tc>
        <w:tc>
          <w:tcPr/>
          <w:p>
            <w:pPr>
              <w:pStyle w:val="918"/>
            </w:pPr>
            <w:r>
              <w:t xml:space="preserve">Discordo</w:t>
            </w:r>
          </w:p>
        </w:tc>
        <w:tc>
          <w:tcPr/>
          <w:p>
            <w:pPr>
              <w:pStyle w:val="918"/>
            </w:pPr>
            <w:r>
              <w:t xml:space="preserve">50</w:t>
            </w:r>
          </w:p>
        </w:tc>
        <w:tc>
          <w:tcPr/>
          <w:p>
            <w:pPr>
              <w:pStyle w:val="918"/>
            </w:pPr>
            <w:r>
              <w:t xml:space="preserve">3,09%</w:t>
            </w:r>
          </w:p>
        </w:tc>
      </w:tr>
      <w:tr>
        <w:tc>
          <w:tcPr/>
          <w:p>
            <w:pPr>
              <w:pStyle w:val="918"/>
            </w:pPr>
            <w:r>
              <w:t xml:space="preserve">Não</w:t>
            </w:r>
          </w:p>
        </w:tc>
        <w:tc>
          <w:tcPr/>
          <w:p>
            <w:pPr>
              <w:pStyle w:val="918"/>
            </w:pPr>
            <w:r>
              <w:t xml:space="preserve">Discordo</w:t>
            </w:r>
          </w:p>
        </w:tc>
        <w:tc>
          <w:tcPr/>
          <w:p>
            <w:pPr>
              <w:pStyle w:val="918"/>
            </w:pPr>
            <w:r>
              <w:t xml:space="preserve">Não se aplica</w:t>
            </w:r>
          </w:p>
        </w:tc>
        <w:tc>
          <w:tcPr/>
          <w:p>
            <w:pPr>
              <w:pStyle w:val="918"/>
            </w:pPr>
            <w:r>
              <w:t xml:space="preserve">Concordo</w:t>
            </w:r>
          </w:p>
        </w:tc>
        <w:tc>
          <w:tcPr/>
          <w:p>
            <w:pPr>
              <w:pStyle w:val="918"/>
            </w:pPr>
            <w:r>
              <w:t xml:space="preserve">37</w:t>
            </w:r>
          </w:p>
        </w:tc>
        <w:tc>
          <w:tcPr/>
          <w:p>
            <w:pPr>
              <w:pStyle w:val="918"/>
            </w:pPr>
            <w:r>
              <w:t xml:space="preserve">2,29%</w:t>
            </w:r>
          </w:p>
        </w:tc>
      </w:tr>
      <w:tr>
        <w:tc>
          <w:tcPr/>
          <w:p>
            <w:pPr>
              <w:pStyle w:val="918"/>
            </w:pPr>
            <w:r>
              <w:t xml:space="preserve">Não</w:t>
            </w:r>
          </w:p>
        </w:tc>
        <w:tc>
          <w:tcPr/>
          <w:p>
            <w:pPr>
              <w:pStyle w:val="918"/>
            </w:pPr>
            <w:r>
              <w:t xml:space="preserve">Discordo</w:t>
            </w:r>
          </w:p>
        </w:tc>
        <w:tc>
          <w:tcPr/>
          <w:p>
            <w:pPr>
              <w:pStyle w:val="918"/>
            </w:pPr>
            <w:r>
              <w:t xml:space="preserve">Não se aplica</w:t>
            </w:r>
          </w:p>
        </w:tc>
        <w:tc>
          <w:tcPr/>
          <w:p>
            <w:pPr>
              <w:pStyle w:val="918"/>
            </w:pPr>
            <w:r>
              <w:t xml:space="preserve">Não se aplica</w:t>
            </w:r>
          </w:p>
        </w:tc>
        <w:tc>
          <w:tcPr/>
          <w:p>
            <w:pPr>
              <w:pStyle w:val="918"/>
            </w:pPr>
            <w:r>
              <w:t xml:space="preserve">27</w:t>
            </w:r>
          </w:p>
        </w:tc>
        <w:tc>
          <w:tcPr/>
          <w:p>
            <w:pPr>
              <w:pStyle w:val="918"/>
            </w:pPr>
            <w:r>
              <w:t xml:space="preserve">1,67%</w:t>
            </w:r>
          </w:p>
        </w:tc>
      </w:tr>
      <w:tr>
        <w:tc>
          <w:tcPr/>
          <w:p>
            <w:pPr>
              <w:pStyle w:val="918"/>
            </w:pPr>
            <w:r>
              <w:t xml:space="preserve">Sim</w:t>
            </w:r>
          </w:p>
        </w:tc>
        <w:tc>
          <w:tcPr/>
          <w:p>
            <w:pPr>
              <w:pStyle w:val="918"/>
            </w:pPr>
            <w:r>
              <w:t xml:space="preserve">Concordo</w:t>
            </w:r>
          </w:p>
        </w:tc>
        <w:tc>
          <w:tcPr/>
          <w:p>
            <w:pPr>
              <w:pStyle w:val="918"/>
            </w:pPr>
            <w:r>
              <w:t xml:space="preserve">Não</w:t>
            </w:r>
          </w:p>
        </w:tc>
        <w:tc>
          <w:tcPr/>
          <w:p>
            <w:pPr>
              <w:pStyle w:val="918"/>
            </w:pPr>
            <w:r>
              <w:t xml:space="preserve">Discordo</w:t>
            </w:r>
          </w:p>
        </w:tc>
        <w:tc>
          <w:tcPr/>
          <w:p>
            <w:pPr>
              <w:pStyle w:val="918"/>
            </w:pPr>
            <w:r>
              <w:t xml:space="preserve">7</w:t>
            </w:r>
          </w:p>
        </w:tc>
        <w:tc>
          <w:tcPr/>
          <w:p>
            <w:pPr>
              <w:pStyle w:val="918"/>
            </w:pPr>
            <w:r>
              <w:t xml:space="preserve">0,43%</w:t>
            </w:r>
          </w:p>
        </w:tc>
      </w:tr>
      <w:tr>
        <w:tc>
          <w:tcPr/>
          <w:p>
            <w:pPr>
              <w:pStyle w:val="918"/>
            </w:pPr>
            <w:r>
              <w:t xml:space="preserve">Sim</w:t>
            </w:r>
          </w:p>
        </w:tc>
        <w:tc>
          <w:tcPr/>
          <w:p>
            <w:pPr>
              <w:pStyle w:val="918"/>
            </w:pPr>
            <w:r>
              <w:t xml:space="preserve">Concordo</w:t>
            </w:r>
          </w:p>
        </w:tc>
        <w:tc>
          <w:tcPr/>
          <w:p>
            <w:pPr>
              <w:pStyle w:val="918"/>
            </w:pPr>
            <w:r>
              <w:t xml:space="preserve">Não</w:t>
            </w:r>
          </w:p>
        </w:tc>
        <w:tc>
          <w:tcPr/>
          <w:p>
            <w:pPr>
              <w:pStyle w:val="918"/>
            </w:pPr>
            <w:r>
              <w:t xml:space="preserve">Concordo</w:t>
            </w:r>
          </w:p>
        </w:tc>
        <w:tc>
          <w:tcPr/>
          <w:p>
            <w:pPr>
              <w:pStyle w:val="918"/>
            </w:pPr>
            <w:r>
              <w:t xml:space="preserve">5</w:t>
            </w:r>
          </w:p>
        </w:tc>
        <w:tc>
          <w:tcPr/>
          <w:p>
            <w:pPr>
              <w:pStyle w:val="918"/>
            </w:pPr>
            <w:r>
              <w:t xml:space="preserve">0,31%</w:t>
            </w:r>
          </w:p>
        </w:tc>
      </w:tr>
      <w:tr>
        <w:tc>
          <w:tcPr/>
          <w:p>
            <w:pPr>
              <w:pStyle w:val="918"/>
            </w:pPr>
            <w:r>
              <w:t xml:space="preserve">Não se aplica</w:t>
            </w:r>
          </w:p>
        </w:tc>
        <w:tc>
          <w:tcPr/>
          <w:p>
            <w:pPr>
              <w:pStyle w:val="918"/>
            </w:pPr>
            <w:r>
              <w:t xml:space="preserve">Concordo</w:t>
            </w:r>
          </w:p>
        </w:tc>
        <w:tc>
          <w:tcPr/>
          <w:p>
            <w:pPr>
              <w:pStyle w:val="918"/>
            </w:pPr>
            <w:r>
              <w:t xml:space="preserve">Não se aplica</w:t>
            </w:r>
          </w:p>
        </w:tc>
        <w:tc>
          <w:tcPr/>
          <w:p>
            <w:pPr>
              <w:pStyle w:val="918"/>
            </w:pPr>
            <w:r>
              <w:t xml:space="preserve">Concordo</w:t>
            </w:r>
          </w:p>
        </w:tc>
        <w:tc>
          <w:tcPr/>
          <w:p>
            <w:pPr>
              <w:pStyle w:val="918"/>
            </w:pPr>
            <w:r>
              <w:t xml:space="preserve">5</w:t>
            </w:r>
          </w:p>
        </w:tc>
        <w:tc>
          <w:tcPr/>
          <w:p>
            <w:pPr>
              <w:pStyle w:val="918"/>
            </w:pPr>
            <w:r>
              <w:t xml:space="preserve">0,31%</w:t>
            </w:r>
          </w:p>
        </w:tc>
      </w:tr>
      <w:tr>
        <w:tc>
          <w:tcPr/>
          <w:p>
            <w:pPr>
              <w:pStyle w:val="918"/>
            </w:pPr>
            <w:r>
              <w:t xml:space="preserve">Não</w:t>
            </w:r>
          </w:p>
        </w:tc>
        <w:tc>
          <w:tcPr/>
          <w:p>
            <w:pPr>
              <w:pStyle w:val="918"/>
            </w:pPr>
            <w:r>
              <w:t xml:space="preserve">Concordo</w:t>
            </w:r>
          </w:p>
        </w:tc>
        <w:tc>
          <w:tcPr/>
          <w:p>
            <w:pPr>
              <w:pStyle w:val="918"/>
            </w:pPr>
            <w:r>
              <w:t xml:space="preserve">Não se aplica</w:t>
            </w:r>
          </w:p>
        </w:tc>
        <w:tc>
          <w:tcPr/>
          <w:p>
            <w:pPr>
              <w:pStyle w:val="918"/>
            </w:pPr>
            <w:r>
              <w:t xml:space="preserve">Não se aplica</w:t>
            </w:r>
          </w:p>
        </w:tc>
        <w:tc>
          <w:tcPr/>
          <w:p>
            <w:pPr>
              <w:pStyle w:val="918"/>
            </w:pPr>
            <w:r>
              <w:t xml:space="preserve">3</w:t>
            </w:r>
          </w:p>
        </w:tc>
        <w:tc>
          <w:tcPr/>
          <w:p>
            <w:pPr>
              <w:pStyle w:val="918"/>
            </w:pPr>
            <w:r>
              <w:t xml:space="preserve">0,19%</w:t>
            </w:r>
          </w:p>
        </w:tc>
      </w:tr>
      <w:tr>
        <w:tc>
          <w:tcPr/>
          <w:p>
            <w:pPr>
              <w:pStyle w:val="918"/>
            </w:pPr>
            <w:r>
              <w:t xml:space="preserve">Não</w:t>
            </w:r>
          </w:p>
        </w:tc>
        <w:tc>
          <w:tcPr/>
          <w:p>
            <w:pPr>
              <w:pStyle w:val="918"/>
            </w:pPr>
            <w:r>
              <w:t xml:space="preserve">Concordo</w:t>
            </w:r>
          </w:p>
        </w:tc>
        <w:tc>
          <w:tcPr/>
          <w:p>
            <w:pPr>
              <w:pStyle w:val="918"/>
            </w:pPr>
            <w:r>
              <w:t xml:space="preserve">Não se aplica</w:t>
            </w:r>
          </w:p>
        </w:tc>
        <w:tc>
          <w:tcPr/>
          <w:p>
            <w:pPr>
              <w:pStyle w:val="918"/>
            </w:pPr>
            <w:r>
              <w:t xml:space="preserve">Discordo</w:t>
            </w:r>
          </w:p>
        </w:tc>
        <w:tc>
          <w:tcPr/>
          <w:p>
            <w:pPr>
              <w:pStyle w:val="918"/>
            </w:pPr>
            <w:r>
              <w:t xml:space="preserve">3</w:t>
            </w:r>
          </w:p>
        </w:tc>
        <w:tc>
          <w:tcPr/>
          <w:p>
            <w:pPr>
              <w:pStyle w:val="918"/>
            </w:pPr>
            <w:r>
              <w:t xml:space="preserve">0,19%</w:t>
            </w:r>
          </w:p>
        </w:tc>
      </w:tr>
      <w:tr>
        <w:tc>
          <w:tcPr/>
          <w:p>
            <w:pPr>
              <w:pStyle w:val="918"/>
            </w:pPr>
            <w:r>
              <w:rPr>
                <w:b/>
                <w:bCs/>
              </w:rPr>
              <w:t xml:space="preserve">Total</w:t>
            </w:r>
          </w:p>
        </w:tc>
        <w:tc>
          <w:tcPr/>
          <w:p>
            <w:pPr>
              <w:pStyle w:val="918"/>
            </w:pPr>
            <w:r>
              <w:rPr>
                <w:b/>
                <w:bCs/>
              </w:rPr>
              <w:t xml:space="preserve">—</w:t>
            </w:r>
          </w:p>
        </w:tc>
        <w:tc>
          <w:tcPr/>
          <w:p>
            <w:pPr>
              <w:pStyle w:val="918"/>
            </w:pPr>
            <w:r>
              <w:rPr>
                <w:b/>
                <w:bCs/>
              </w:rPr>
              <w:t xml:space="preserve">—</w:t>
            </w:r>
          </w:p>
        </w:tc>
        <w:tc>
          <w:tcPr/>
          <w:p>
            <w:pPr>
              <w:pStyle w:val="918"/>
            </w:pPr>
            <w:r>
              <w:rPr>
                <w:b/>
                <w:bCs/>
              </w:rPr>
              <w:t xml:space="preserve">—</w:t>
            </w:r>
          </w:p>
        </w:tc>
        <w:tc>
          <w:tcPr/>
          <w:p>
            <w:pPr>
              <w:pStyle w:val="918"/>
            </w:pPr>
            <w:r>
              <w:rPr>
                <w:b/>
                <w:bCs/>
              </w:rPr>
              <w:t xml:space="preserve">1.618</w:t>
            </w:r>
          </w:p>
        </w:tc>
        <w:tc>
          <w:tcPr/>
          <w:p>
            <w:pPr>
              <w:pStyle w:val="918"/>
            </w:pPr>
            <w:r>
              <w:rPr>
                <w:b/>
                <w:bCs/>
              </w:rPr>
              <w:t xml:space="preserve">—</w:t>
            </w:r>
          </w:p>
        </w:tc>
      </w:tr>
    </w:tbl>
    <w:bookmarkEnd w:id="667"/>
    <w:bookmarkStart w:id="668" w:name="resultados-9"/>
    <w:p>
      <w:pPr>
        <w:pStyle w:val="907"/>
      </w:pPr>
      <w:r>
        <w:t xml:space="preserve">17.0.3.5 Resultados</w:t>
      </w:r>
    </w:p>
    <w:tbl>
      <w:tblPr>
        <w:tblStyle w:val="Table"/>
        <w:tblW w:type="pct" w:w="4921"/>
        <w:tblLayout w:type="fixed"/>
        <w:tblLook w:firstRow="1" w:lastRow="0" w:firstColumn="0" w:lastColumn="0" w:noHBand="0" w:noVBand="0" w:val="0020"/>
      </w:tblPr>
      <w:tblGrid>
        <w:gridCol w:w="1382"/>
        <w:gridCol w:w="1571"/>
        <w:gridCol w:w="754"/>
        <w:gridCol w:w="1068"/>
        <w:gridCol w:w="1257"/>
        <w:gridCol w:w="1760"/>
      </w:tblGrid>
      <w:tr>
        <w:trPr>
          <w:tblHeader w:val="on"/>
        </w:trPr>
        <w:tc>
          <w:tcPr/>
          <w:p>
            <w:pPr>
              <w:pStyle w:val="918"/>
              <w:jc w:val="left"/>
            </w:pPr>
            <w:r>
              <w:rPr>
                <w:b/>
                <w:bCs/>
              </w:rPr>
              <w:t xml:space="preserve">Ação Foco Causa</w:t>
            </w:r>
          </w:p>
        </w:tc>
        <w:tc>
          <w:tcPr/>
          <w:p>
            <w:pPr>
              <w:pStyle w:val="918"/>
              <w:jc w:val="left"/>
            </w:pPr>
            <w:r>
              <w:rPr>
                <w:b/>
                <w:bCs/>
              </w:rPr>
              <w:t xml:space="preserve">Efeitos Duradouros</w:t>
            </w:r>
          </w:p>
        </w:tc>
        <w:tc>
          <w:tcPr/>
          <w:p>
            <w:pPr>
              <w:pStyle w:val="918"/>
              <w:jc w:val="right"/>
            </w:pPr>
            <w:r>
              <w:rPr>
                <w:b/>
                <w:bCs/>
              </w:rPr>
              <w:t xml:space="preserve">Total</w:t>
            </w:r>
          </w:p>
        </w:tc>
        <w:tc>
          <w:tcPr/>
          <w:p>
            <w:pPr>
              <w:pStyle w:val="918"/>
              <w:jc w:val="right"/>
            </w:pPr>
            <w:r>
              <w:rPr>
                <w:b/>
                <w:bCs/>
              </w:rPr>
              <w:t xml:space="preserve">≠ Foco (%)</w:t>
            </w:r>
          </w:p>
        </w:tc>
        <w:tc>
          <w:tcPr/>
          <w:p>
            <w:pPr>
              <w:pStyle w:val="918"/>
              <w:jc w:val="right"/>
            </w:pPr>
            <w:r>
              <w:rPr>
                <w:b/>
                <w:bCs/>
              </w:rPr>
              <w:t xml:space="preserve">≠ Efeitos (%)</w:t>
            </w:r>
          </w:p>
        </w:tc>
        <w:tc>
          <w:tcPr/>
          <w:p>
            <w:pPr>
              <w:pStyle w:val="918"/>
              <w:jc w:val="right"/>
            </w:pPr>
            <w:r>
              <w:rPr>
                <w:b/>
                <w:bCs/>
              </w:rPr>
              <w:t xml:space="preserve">≠ Foco ou Efeitos (%)</w:t>
            </w:r>
          </w:p>
        </w:tc>
      </w:tr>
      <w:tr>
        <w:tc>
          <w:tcPr/>
          <w:p>
            <w:pPr>
              <w:pStyle w:val="918"/>
              <w:jc w:val="left"/>
            </w:pPr>
            <w:r>
              <w:t xml:space="preserve">Sim</w:t>
            </w:r>
          </w:p>
        </w:tc>
        <w:tc>
          <w:tcPr/>
          <w:p>
            <w:pPr>
              <w:pStyle w:val="918"/>
              <w:jc w:val="left"/>
            </w:pPr>
            <w:r>
              <w:t xml:space="preserve">Sim</w:t>
            </w:r>
          </w:p>
        </w:tc>
        <w:tc>
          <w:tcPr/>
          <w:p>
            <w:pPr>
              <w:pStyle w:val="918"/>
              <w:jc w:val="right"/>
            </w:pPr>
            <w:r>
              <w:t xml:space="preserve">2.671</w:t>
            </w:r>
          </w:p>
        </w:tc>
        <w:tc>
          <w:tcPr/>
          <w:p>
            <w:pPr>
              <w:pStyle w:val="918"/>
              <w:jc w:val="right"/>
            </w:pPr>
            <w:r>
              <w:t xml:space="preserve">207 (7,75%)</w:t>
            </w:r>
          </w:p>
        </w:tc>
        <w:tc>
          <w:tcPr/>
          <w:p>
            <w:pPr>
              <w:pStyle w:val="918"/>
              <w:jc w:val="right"/>
            </w:pPr>
            <w:r>
              <w:t xml:space="preserve">657 (24,60%)</w:t>
            </w:r>
          </w:p>
        </w:tc>
        <w:tc>
          <w:tcPr/>
          <w:p>
            <w:pPr>
              <w:pStyle w:val="918"/>
              <w:jc w:val="right"/>
            </w:pPr>
            <w:r>
              <w:t xml:space="preserve">670 (25,08%)</w:t>
            </w:r>
          </w:p>
        </w:tc>
      </w:tr>
      <w:tr>
        <w:tc>
          <w:tcPr/>
          <w:p>
            <w:pPr>
              <w:pStyle w:val="918"/>
              <w:jc w:val="left"/>
            </w:pPr>
            <w:r>
              <w:t xml:space="preserve">Sim</w:t>
            </w:r>
          </w:p>
        </w:tc>
        <w:tc>
          <w:tcPr/>
          <w:p>
            <w:pPr>
              <w:pStyle w:val="918"/>
              <w:jc w:val="left"/>
            </w:pPr>
            <w:r>
              <w:t xml:space="preserve">Não</w:t>
            </w:r>
          </w:p>
        </w:tc>
        <w:tc>
          <w:tcPr/>
          <w:p>
            <w:pPr>
              <w:pStyle w:val="918"/>
              <w:jc w:val="right"/>
            </w:pPr>
            <w:r>
              <w:t xml:space="preserve">12</w:t>
            </w:r>
          </w:p>
        </w:tc>
        <w:tc>
          <w:tcPr/>
          <w:p>
            <w:pPr>
              <w:pStyle w:val="918"/>
              <w:jc w:val="right"/>
            </w:pPr>
            <w:r>
              <w:t xml:space="preserve">0</w:t>
            </w:r>
          </w:p>
        </w:tc>
        <w:tc>
          <w:tcPr/>
          <w:p>
            <w:pPr>
              <w:pStyle w:val="918"/>
              <w:jc w:val="right"/>
            </w:pPr>
            <w:r>
              <w:t xml:space="preserve">7 (58,33%)</w:t>
            </w:r>
          </w:p>
        </w:tc>
        <w:tc>
          <w:tcPr/>
          <w:p>
            <w:pPr>
              <w:pStyle w:val="918"/>
              <w:jc w:val="right"/>
            </w:pPr>
            <w:r>
              <w:t xml:space="preserve">7 (58,33%)</w:t>
            </w:r>
          </w:p>
        </w:tc>
      </w:tr>
      <w:tr>
        <w:tc>
          <w:tcPr/>
          <w:p>
            <w:pPr>
              <w:pStyle w:val="918"/>
              <w:jc w:val="left"/>
            </w:pPr>
            <w:r>
              <w:t xml:space="preserve">Não</w:t>
            </w:r>
          </w:p>
        </w:tc>
        <w:tc>
          <w:tcPr/>
          <w:p>
            <w:pPr>
              <w:pStyle w:val="918"/>
              <w:jc w:val="left"/>
            </w:pPr>
            <w:r>
              <w:t xml:space="preserve">Não se aplica</w:t>
            </w:r>
          </w:p>
        </w:tc>
        <w:tc>
          <w:tcPr/>
          <w:p>
            <w:pPr>
              <w:pStyle w:val="918"/>
              <w:jc w:val="right"/>
            </w:pPr>
            <w:r>
              <w:t xml:space="preserve">1.601</w:t>
            </w:r>
          </w:p>
        </w:tc>
        <w:tc>
          <w:tcPr/>
          <w:p>
            <w:pPr>
              <w:pStyle w:val="918"/>
              <w:jc w:val="right"/>
            </w:pPr>
            <w:r>
              <w:t xml:space="preserve">114 (7,12%)</w:t>
            </w:r>
          </w:p>
        </w:tc>
        <w:tc>
          <w:tcPr/>
          <w:p>
            <w:pPr>
              <w:pStyle w:val="918"/>
              <w:jc w:val="right"/>
            </w:pPr>
            <w:r>
              <w:t xml:space="preserve">83 (5,18%)</w:t>
            </w:r>
          </w:p>
        </w:tc>
        <w:tc>
          <w:tcPr/>
          <w:p>
            <w:pPr>
              <w:pStyle w:val="918"/>
              <w:jc w:val="right"/>
            </w:pPr>
            <w:r>
              <w:t xml:space="preserve">120 (7,50%)</w:t>
            </w:r>
          </w:p>
        </w:tc>
      </w:tr>
      <w:tr>
        <w:tc>
          <w:tcPr/>
          <w:p>
            <w:pPr>
              <w:pStyle w:val="918"/>
              <w:jc w:val="left"/>
            </w:pPr>
            <w:r>
              <w:t xml:space="preserve">Não se aplica</w:t>
            </w:r>
          </w:p>
        </w:tc>
        <w:tc>
          <w:tcPr/>
          <w:p>
            <w:pPr>
              <w:pStyle w:val="918"/>
              <w:jc w:val="left"/>
            </w:pPr>
            <w:r>
              <w:t xml:space="preserve">Não se aplica</w:t>
            </w:r>
          </w:p>
        </w:tc>
        <w:tc>
          <w:tcPr/>
          <w:p>
            <w:pPr>
              <w:pStyle w:val="918"/>
              <w:jc w:val="right"/>
            </w:pPr>
            <w:r>
              <w:t xml:space="preserve">5</w:t>
            </w:r>
          </w:p>
        </w:tc>
        <w:tc>
          <w:tcPr/>
          <w:p>
            <w:pPr>
              <w:pStyle w:val="918"/>
              <w:jc w:val="right"/>
            </w:pPr>
            <w:r>
              <w:t xml:space="preserve">0</w:t>
            </w:r>
          </w:p>
        </w:tc>
        <w:tc>
          <w:tcPr/>
          <w:p>
            <w:pPr>
              <w:pStyle w:val="918"/>
              <w:jc w:val="right"/>
            </w:pPr>
            <w:r>
              <w:t xml:space="preserve">0</w:t>
            </w:r>
          </w:p>
        </w:tc>
        <w:tc>
          <w:tcPr/>
          <w:p>
            <w:pPr>
              <w:pStyle w:val="918"/>
              <w:jc w:val="right"/>
            </w:pPr>
            <w:r>
              <w:t xml:space="preserve">0</w:t>
            </w:r>
          </w:p>
        </w:tc>
      </w:tr>
      <w:tr>
        <w:tc>
          <w:tcPr/>
          <w:p>
            <w:pPr>
              <w:pStyle w:val="918"/>
              <w:jc w:val="left"/>
            </w:pPr>
            <w:r>
              <w:rPr>
                <w:b/>
                <w:bCs/>
              </w:rPr>
              <w:t xml:space="preserve">Total</w:t>
            </w:r>
          </w:p>
        </w:tc>
        <w:tc>
          <w:tcPr/>
          <w:p>
            <w:pPr>
              <w:pStyle w:val="918"/>
            </w:pPr>
          </w:p>
        </w:tc>
        <w:tc>
          <w:tcPr/>
          <w:p>
            <w:pPr>
              <w:pStyle w:val="918"/>
              <w:jc w:val="right"/>
            </w:pPr>
            <w:r>
              <w:rPr>
                <w:b/>
                <w:bCs/>
              </w:rPr>
              <w:t xml:space="preserve">4.289</w:t>
            </w:r>
          </w:p>
        </w:tc>
        <w:tc>
          <w:tcPr/>
          <w:p>
            <w:pPr>
              <w:pStyle w:val="918"/>
              <w:jc w:val="right"/>
            </w:pPr>
            <w:r>
              <w:rPr>
                <w:b/>
                <w:bCs/>
              </w:rPr>
              <w:t xml:space="preserve">321</w:t>
            </w:r>
          </w:p>
        </w:tc>
        <w:tc>
          <w:tcPr/>
          <w:p>
            <w:pPr>
              <w:pStyle w:val="918"/>
              <w:jc w:val="right"/>
            </w:pPr>
            <w:r>
              <w:rPr>
                <w:b/>
                <w:bCs/>
              </w:rPr>
              <w:t xml:space="preserve">747</w:t>
            </w:r>
          </w:p>
        </w:tc>
        <w:tc>
          <w:tcPr/>
          <w:p>
            <w:pPr>
              <w:pStyle w:val="918"/>
              <w:jc w:val="right"/>
            </w:pPr>
            <w:r>
              <w:rPr>
                <w:b/>
                <w:bCs/>
              </w:rPr>
              <w:t xml:space="preserve">797</w:t>
            </w:r>
          </w:p>
        </w:tc>
      </w:tr>
    </w:tbl>
    <w:bookmarkEnd w:id="668"/>
    <w:bookmarkEnd w:id="669"/>
    <w:bookmarkStart w:id="670" w:name="listagem-de-amostras"/>
    <w:p>
      <w:pPr>
        <w:pStyle w:val="906"/>
      </w:pPr>
      <w:r>
        <w:t xml:space="preserve">17.0.4 Listagem de Amostras</w:t>
      </w:r>
    </w:p>
    <w:bookmarkEnd w:id="670"/>
    <w:bookmarkStart w:id="681" w:name="X1d4605b2fea2abef6467dd452342d82025d143f"/>
    <w:p>
      <w:pPr>
        <w:pStyle w:val="906"/>
      </w:pPr>
      <w:r>
        <w:t xml:space="preserve">17.0.5 Foco: Não, Efeitos: Não se aplica, Concordância Foco: Concordo, Concordância Efeitos: Concordo</w:t>
      </w:r>
    </w:p>
    <w:bookmarkStart w:id="671" w:name="Xab1843d3c051336ba7321ba4da4ef60cef8d72c"/>
    <w:p>
      <w:pPr>
        <w:pStyle w:val="907"/>
      </w:pPr>
      <w:r>
        <w:t xml:space="preserve">17.0.5.1 Auditoria 18722, Constatação Nº 696549 (#1)</w:t>
      </w:r>
    </w:p>
    <w:p>
      <w:pPr>
        <w:pStyle w:val="937"/>
      </w:pPr>
      <w:r>
        <w:rPr>
          <w:b/>
          <w:bCs/>
        </w:rPr>
        <w:t xml:space="preserve">Finalidade</w:t>
      </w:r>
      <w:r>
        <w:t xml:space="preserve">: Verificar a regularidade na aplicação dos recursos e execução das ações de saúde das UBS e CBAF</w:t>
      </w:r>
    </w:p>
    <w:p>
      <w:pPr>
        <w:pStyle w:val="937"/>
      </w:pPr>
      <w:r>
        <w:rPr>
          <w:b/>
          <w:bCs/>
        </w:rPr>
        <w:t xml:space="preserve">Constatação</w:t>
      </w:r>
      <w:r>
        <w:t xml:space="preserve">: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pPr>
        <w:pStyle w:val="937"/>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pPr>
        <w:pStyle w:val="937"/>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não atende ao critério de foco na causa. Como o foco na causa não é atendido, o critério de efeitos duradouros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concentra em corrigir a condição específica (devolução de recursos e medidas legais) sem abordar as causas subjacentes da omissão na prestação de contas, como falhas processuais ou de capacitação. Para o critério</w:t>
      </w:r>
      <w:r>
        <w:t xml:space="preserve"> </w:t>
      </w:r>
      <w:r>
        <w:t xml:space="preserve">‘Efeitos Duradouros’</w:t>
      </w:r>
      <w:r>
        <w:t xml:space="preserve">, como o</w:t>
      </w:r>
      <w:r>
        <w:t xml:space="preserve"> </w:t>
      </w:r>
      <w:r>
        <w:t xml:space="preserve">‘Foco Causa’</w:t>
      </w:r>
      <w:r>
        <w:t xml:space="preserve"> </w:t>
      </w:r>
      <w:r>
        <w:t xml:space="preserve">não foi atendido, a resposta</w:t>
      </w:r>
      <w:r>
        <w:t xml:space="preserve"> </w:t>
      </w:r>
      <w:r>
        <w:t xml:space="preserve">‘Não se aplica’</w:t>
      </w:r>
      <w:r>
        <w:t xml:space="preserve"> </w:t>
      </w:r>
      <w:r>
        <w:t xml:space="preserve">é adequada.</w:t>
      </w:r>
    </w:p>
    <w:p>
      <w:pPr>
        <w:pStyle w:val="937"/>
      </w:pPr>
      <w:r>
        <w:t xml:space="preserve">Análise Foco Causa: Concordo</w:t>
      </w:r>
    </w:p>
    <w:p>
      <w:pPr>
        <w:pStyle w:val="937"/>
      </w:pPr>
      <w:r>
        <w:t xml:space="preserve">Análise Efeitos Duradouros: Concordo</w:t>
      </w:r>
    </w:p>
    <w:bookmarkEnd w:id="671"/>
    <w:bookmarkStart w:id="672" w:name="auditoria-18892-constatação-nº-667287-1"/>
    <w:p>
      <w:pPr>
        <w:pStyle w:val="907"/>
      </w:pPr>
      <w:r>
        <w:t xml:space="preserve">17.0.5.2 Auditoria 18892, Constatação Nº 667287 (#1)</w:t>
      </w:r>
    </w:p>
    <w:p>
      <w:pPr>
        <w:pStyle w:val="937"/>
      </w:pPr>
      <w:r>
        <w:rPr>
          <w:b/>
          <w:bCs/>
        </w:rPr>
        <w:t xml:space="preserve">Finalidade</w:t>
      </w:r>
      <w:r>
        <w:t xml:space="preserve">: Avaliar a aplicação de recursos e prestação de serviços na Atenção Básica e Assist. Farm. Básica.</w:t>
      </w:r>
    </w:p>
    <w:p>
      <w:pPr>
        <w:pStyle w:val="937"/>
      </w:pPr>
      <w:r>
        <w:rPr>
          <w:b/>
          <w:bCs/>
        </w:rPr>
        <w:t xml:space="preserve">Constatação</w:t>
      </w:r>
      <w:r>
        <w:t xml:space="preserve">: Os veículos que compõem a frota da Secretaria Municipal de Saúde de Monte Alegre não possuem as placas de identificação obrigatória pela legislação de trânsito.</w:t>
      </w:r>
    </w:p>
    <w:p>
      <w:pPr>
        <w:pStyle w:val="937"/>
      </w:pPr>
      <w:r>
        <w:rPr>
          <w:b/>
          <w:bCs/>
        </w:rPr>
        <w:t xml:space="preserve">Recomendação</w:t>
      </w:r>
      <w:r>
        <w:t xml:space="preserve">: Realizar o registro e identificação dos veículos que pertencem a frota da Secretaria Municipal de Saúde de forma a cumprir o que determina o artigo 115 da Lei nº 9.503/1997.</w:t>
      </w:r>
    </w:p>
    <w:p>
      <w:pPr>
        <w:pStyle w:val="937"/>
      </w:pPr>
      <w:r>
        <w:rPr>
          <w:b/>
          <w:bCs/>
        </w:rPr>
        <w:t xml:space="preserve">Análise Codificação</w:t>
      </w:r>
      <w:r>
        <w:t xml:space="preserve">: Em relação ao foco, a recomendação propõe uma ação específica (registro e identificação dos veículos) para cumprir uma exigência legal, mas não aborda as causas subjacentes que levaram à ausência das placas, como falhas nos processos de gestão da frota ou falta de controle. Portanto, trata-se de uma medida para corrigir a condição atual, sem foco na causa. Já em relação aos efeitos duradouros, como o critério</w:t>
      </w:r>
      <w:r>
        <w:t xml:space="preserve"> </w:t>
      </w:r>
      <w:r>
        <w:t xml:space="preserve">‘Foco Causa’</w:t>
      </w:r>
      <w:r>
        <w:t xml:space="preserve"> </w:t>
      </w:r>
      <w:r>
        <w:t xml:space="preserve">não foi atendido,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não aborda causas subjacentes, focando apenas na correção da condição atual. Concordo com essa avaliação, pois a recomendação se limita a cumprir a exigência legal sem propor ações para prevenir falhas futuras, como melhorias em processos de gestão. Para</w:t>
      </w:r>
      <w:r>
        <w:t xml:space="preserve"> </w:t>
      </w:r>
      <w:r>
        <w:t xml:space="preserve">‘Efeitos Duradouros’</w:t>
      </w:r>
      <w:r>
        <w:t xml:space="preserve">, como</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não havendo necessidade de análise adicional.</w:t>
      </w:r>
    </w:p>
    <w:p>
      <w:pPr>
        <w:pStyle w:val="937"/>
      </w:pPr>
      <w:r>
        <w:t xml:space="preserve">Análise Foco Causa: Concordo</w:t>
      </w:r>
    </w:p>
    <w:p>
      <w:pPr>
        <w:pStyle w:val="937"/>
      </w:pPr>
      <w:r>
        <w:t xml:space="preserve">Análise Efeitos Duradouros: Concordo</w:t>
      </w:r>
    </w:p>
    <w:bookmarkEnd w:id="672"/>
    <w:bookmarkStart w:id="673" w:name="auditoria-19312-constatação-nº-657764-1"/>
    <w:p>
      <w:pPr>
        <w:pStyle w:val="907"/>
      </w:pPr>
      <w:r>
        <w:t xml:space="preserve">17.0.5.3 Auditoria 19312, Constatação Nº 657764 (#1)</w:t>
      </w:r>
    </w:p>
    <w:p>
      <w:pPr>
        <w:pStyle w:val="937"/>
      </w:pPr>
      <w:r>
        <w:rPr>
          <w:b/>
          <w:bCs/>
        </w:rPr>
        <w:t xml:space="preserve">Finalidade</w:t>
      </w:r>
      <w:r>
        <w:t xml:space="preserve">: Verificar a regularidade da utilização de Dispositivos Médicos Implantáveis - DMI</w:t>
      </w:r>
    </w:p>
    <w:p>
      <w:pPr>
        <w:pStyle w:val="937"/>
      </w:pPr>
      <w:r>
        <w:rPr>
          <w:b/>
          <w:bCs/>
        </w:rPr>
        <w:t xml:space="preserve">Constatação</w:t>
      </w:r>
      <w:r>
        <w:t xml:space="preserve">: Espelhos de AIH não anexados ao prontuário do paciente e/ou sem assinaturas de responsáveis médicos.</w:t>
      </w:r>
    </w:p>
    <w:p>
      <w:pPr>
        <w:pStyle w:val="937"/>
      </w:pPr>
      <w:r>
        <w:rPr>
          <w:b/>
          <w:bCs/>
        </w:rPr>
        <w:t xml:space="preserve">Recomendação</w:t>
      </w:r>
      <w:r>
        <w:t xml:space="preserve">: Anexar os Espelhos de AIH aos respectivos prontuários dos paciente e que estejam devidamente assinados e conferidos pela Direção técnica e/ou clínica do Hospital, de acordo com o disposto no Art. 1º e 2º da Portaria SAS/MS nº 635, de 31 de maio de 2016, atualmente em vigor.</w:t>
      </w:r>
    </w:p>
    <w:p>
      <w:pPr>
        <w:pStyle w:val="937"/>
      </w:pPr>
      <w:r>
        <w:rPr>
          <w:b/>
          <w:bCs/>
        </w:rPr>
        <w:t xml:space="preserve">Análise Codificação</w:t>
      </w:r>
      <w:r>
        <w:t xml:space="preserve">: Em relação ao foco, a recomendação propõe anexar os espelhos de AIH aos prontuários e garantir assinaturas, o que corrige a condição imediata de documentação ausente ou incompleta, mas não identifica ou trata a causa subjacente (como falhas em processos de documentação, treinamento inadequado ou supervisão insuficiente). Já em relação aos efeitos duradouros, como o critério</w:t>
      </w:r>
      <w:r>
        <w:t xml:space="preserve"> </w:t>
      </w:r>
      <w:r>
        <w:t xml:space="preserve">‘Foco Causa’</w:t>
      </w:r>
      <w:r>
        <w:t xml:space="preserve"> </w:t>
      </w:r>
      <w:r>
        <w:t xml:space="preserve">não é atendido, não se aplica a avaliação.</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processuais ou de supervisão. No entanto, a recomendação inclui a exigência de conferência pela direção técnica/clínica, o que poderia ser interpretado como um elemento de controle futuro, embora não especifique mudanças sistêmicas para prevenir a recorrência.</w:t>
      </w:r>
    </w:p>
    <w:p>
      <w:pPr>
        <w:pStyle w:val="937"/>
      </w:pPr>
      <w:r>
        <w:t xml:space="preserve">Análise Foco Causa: Concordo</w:t>
      </w:r>
    </w:p>
    <w:p>
      <w:pPr>
        <w:pStyle w:val="937"/>
      </w:pPr>
      <w:r>
        <w:t xml:space="preserve">Análise Efeitos Duradouros: Concordo</w:t>
      </w:r>
    </w:p>
    <w:bookmarkEnd w:id="673"/>
    <w:bookmarkStart w:id="674" w:name="auditoria-19473-constatação-nº-672302-3"/>
    <w:p>
      <w:pPr>
        <w:pStyle w:val="907"/>
      </w:pPr>
      <w:r>
        <w:t xml:space="preserve">17.0.5.4 Auditoria 19473, Constatação Nº 672302 (#3)</w:t>
      </w:r>
    </w:p>
    <w:p>
      <w:pPr>
        <w:pStyle w:val="937"/>
      </w:pPr>
      <w:r>
        <w:rPr>
          <w:b/>
          <w:bCs/>
        </w:rPr>
        <w:t xml:space="preserve">Finalidade</w:t>
      </w:r>
      <w:r>
        <w:t xml:space="preserve">: Avaliar gestão e funcionamento do Serviço de Atendimento Móvel de Urgência - SAMU 192 em Osasco/SP</w:t>
      </w:r>
    </w:p>
    <w:p>
      <w:pPr>
        <w:pStyle w:val="937"/>
      </w:pPr>
      <w:r>
        <w:rPr>
          <w:b/>
          <w:bCs/>
        </w:rPr>
        <w:t xml:space="preserve">Constatação</w:t>
      </w:r>
      <w:r>
        <w:t xml:space="preserve">: Não foi apresentada documentação comprobatória da execução dos recursos federais destinados ao SAMU 192 Osasco, em desacordo com a legislação.</w:t>
      </w:r>
    </w:p>
    <w:p>
      <w:pPr>
        <w:pStyle w:val="937"/>
      </w:pPr>
      <w:r>
        <w:rPr>
          <w:b/>
          <w:bCs/>
        </w:rPr>
        <w:t xml:space="preserve">Recomendação</w:t>
      </w:r>
      <w:r>
        <w:t xml:space="preserve">: Utilizar os recursos financeiros de acordo com o parágrafo 2º do artigo 3º da PT/GM/MS de Consolidação nº 6 de 28 de setembro de 2017, e suas alterações e comprovando que essas despesas foram realizadas na saúde de acordo com as orientações do parágrafo único, do artigo 70 da Constituição Federal de 5 de outubro de 1988; parágrafo único do artigo 8º da Lei Complementar nº 101 de 4 de maio de 2000; inciso II do artigo 2º da Portaria GM/MS nº 885, de 4 de maio de 2021 e nos termos dos arts. 3º e 8º da Instrução Normativa/TCU nº 71, de 28 de novembro de 2012.</w:t>
      </w:r>
    </w:p>
    <w:p>
      <w:pPr>
        <w:pStyle w:val="937"/>
      </w:pPr>
      <w:r>
        <w:rPr>
          <w:b/>
          <w:bCs/>
        </w:rPr>
        <w:t xml:space="preserve">Análise Codificação</w:t>
      </w:r>
      <w:r>
        <w:t xml:space="preserve">: A recomendação se limita a citar dispositivos legais e normativos sem propor ações específicas para tratar a causa da falta de documentação comprobatória, como a implementação de processos de controle ou capacitação. Portanto, não há foco na causa do problema.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dispositivos legais sem propor ações concretas para tratar a causa subjacente da falta de documentação. Para o critério</w:t>
      </w:r>
      <w:r>
        <w:t xml:space="preserve"> </w:t>
      </w:r>
      <w:r>
        <w:t xml:space="preserve">‘Efeitos Duradouros’</w:t>
      </w:r>
      <w:r>
        <w:t xml:space="preserve">, como</w:t>
      </w:r>
      <w:r>
        <w:t xml:space="preserve"> </w:t>
      </w:r>
      <w:r>
        <w:t xml:space="preserve">‘Foco Causa’</w:t>
      </w:r>
      <w:r>
        <w:t xml:space="preserve"> </w:t>
      </w:r>
      <w:r>
        <w:t xml:space="preserve">foi corretamente classificado como</w:t>
      </w:r>
      <w:r>
        <w:t xml:space="preserve"> </w:t>
      </w:r>
      <w:r>
        <w:t xml:space="preserve">‘Não’</w:t>
      </w:r>
      <w:r>
        <w:t xml:space="preserve">, a resposta</w:t>
      </w:r>
      <w:r>
        <w:t xml:space="preserve"> </w:t>
      </w:r>
      <w:r>
        <w:t xml:space="preserve">‘Não se aplica’</w:t>
      </w:r>
      <w:r>
        <w:t xml:space="preserve"> </w:t>
      </w:r>
      <w:r>
        <w:t xml:space="preserve">é apropriada.</w:t>
      </w:r>
    </w:p>
    <w:p>
      <w:pPr>
        <w:pStyle w:val="937"/>
      </w:pPr>
      <w:r>
        <w:t xml:space="preserve">Análise Foco Causa: Concordo</w:t>
      </w:r>
    </w:p>
    <w:p>
      <w:pPr>
        <w:pStyle w:val="937"/>
      </w:pPr>
      <w:r>
        <w:t xml:space="preserve">Análise Efeitos Duradouros: Concordo</w:t>
      </w:r>
    </w:p>
    <w:bookmarkEnd w:id="674"/>
    <w:bookmarkStart w:id="675" w:name="auditoria-19589-constatação-nº-686742-1"/>
    <w:p>
      <w:pPr>
        <w:pStyle w:val="907"/>
      </w:pPr>
      <w:r>
        <w:t xml:space="preserve">17.0.5.5 Auditoria 19589, Constatação Nº 686742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Os veículos recebidos em doação não foram incorporados ao patrimônio do município de Mossoró/RN.</w:t>
      </w:r>
    </w:p>
    <w:p>
      <w:pPr>
        <w:pStyle w:val="937"/>
      </w:pPr>
      <w:r>
        <w:rPr>
          <w:b/>
          <w:bCs/>
        </w:rPr>
        <w:t xml:space="preserve">Recomendação</w:t>
      </w:r>
      <w:r>
        <w:t xml:space="preserve">: Realizar a baixa dos bens doados pelo Ministério da Saúde à Secretaria Municipal de Mossoró/RN, em cumprimento às disposições contidas nos respectivos termos de doações referentes a transferência da titularidade dos recebidos em doação. Cumprir as recomendações contidas na legislação quanto a descaracterização e mudança de finalidade de veículos doados aos estados, municípios e Distrito federal para uso no SAMU 192, em obediência ao artº 17, da Lei nº 8.666 de 21 de junho de 1993, que determina que a alienação de bens da Administração Pública, subordinada à existência de interesse público devidamente justificado, bem como, do artº 94, da Lei nº 4.320, de 17 de março de 1964, que de estabelece que haverá registros analíticos de todos os bens de caráter permanente, com indicação dos elementos necessários para a perfeita caracterização de cada um deles e dos agentes responsáveis pela sua guarda e administração.</w:t>
      </w:r>
    </w:p>
    <w:p>
      <w:pPr>
        <w:pStyle w:val="937"/>
      </w:pPr>
      <w:r>
        <w:rPr>
          <w:b/>
          <w:bCs/>
        </w:rPr>
        <w:t xml:space="preserve">Análise Codificação</w:t>
      </w:r>
      <w:r>
        <w:t xml:space="preserve">: A recomendação propõe ações específicas para regularizar a situação patrimonial dos veículos doados, como realizar a baixa dos bens e cumprir disposições legais sobre transferência de titularidade e registros patrimoniais. No entanto, essas ações focam na correção da condição irregular atual (veículos não incorporados ao patrimônio) e no cumprimento de procedimentos formais, sem abordar as causas subjacentes que levaram a essa falha, como deficiências em processos de gestão patrimonial, capacitação de pessoal ou controles internos. Em relação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se concentra na correção da condição irregular atual (veículos não incorporados ao patrimônio) e no cumprimento de procedimentos legais, sem abordar as causas subjacentes da falha. Quanto ao critério</w:t>
      </w:r>
      <w:r>
        <w:t xml:space="preserve"> </w:t>
      </w:r>
      <w:r>
        <w:t xml:space="preserve">‘Efeitos Duradouros’</w:t>
      </w:r>
      <w:r>
        <w:t xml:space="preserve">, a análise está correta ao considerar que não se aplica, dado que o critério</w:t>
      </w:r>
      <w:r>
        <w:t xml:space="preserve"> </w:t>
      </w:r>
      <w:r>
        <w:t xml:space="preserve">‘Foco Causa’</w:t>
      </w:r>
      <w:r>
        <w:t xml:space="preserve"> </w:t>
      </w:r>
      <w:r>
        <w:t xml:space="preserve">não foi atendido.</w:t>
      </w:r>
    </w:p>
    <w:p>
      <w:pPr>
        <w:pStyle w:val="937"/>
      </w:pPr>
      <w:r>
        <w:t xml:space="preserve">Análise Foco Causa: Concordo</w:t>
      </w:r>
    </w:p>
    <w:p>
      <w:pPr>
        <w:pStyle w:val="937"/>
      </w:pPr>
      <w:r>
        <w:t xml:space="preserve">Análise Efeitos Duradouros: Concordo</w:t>
      </w:r>
    </w:p>
    <w:bookmarkEnd w:id="675"/>
    <w:bookmarkStart w:id="676" w:name="auditoria-19595-constatação-nº-674269-1"/>
    <w:p>
      <w:pPr>
        <w:pStyle w:val="907"/>
      </w:pPr>
      <w:r>
        <w:t xml:space="preserve">17.0.5.6 Auditoria 19595, Constatação Nº 674269 (#1)</w:t>
      </w:r>
    </w:p>
    <w:p>
      <w:pPr>
        <w:pStyle w:val="937"/>
      </w:pPr>
      <w:r>
        <w:rPr>
          <w:b/>
          <w:bCs/>
        </w:rPr>
        <w:t xml:space="preserve">Finalidade</w:t>
      </w:r>
      <w:r>
        <w:t xml:space="preserve">: Avaliar os indicadores de desempenho do programa Previne Brasil no município de Pontal do Paraná.</w:t>
      </w:r>
    </w:p>
    <w:p>
      <w:pPr>
        <w:pStyle w:val="937"/>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p>
    <w:p>
      <w:pPr>
        <w:pStyle w:val="937"/>
      </w:pPr>
      <w:r>
        <w:rPr>
          <w:b/>
          <w:bCs/>
        </w:rPr>
        <w:t xml:space="preserve">Recomendação</w:t>
      </w:r>
      <w:r>
        <w:t xml:space="preserve">: Registrar no SISAB, por competência, os dados relacionados à cobertura vacinal do indicador nº 5, regularmente, até o 10º dia útil subsequente a cada competência, de acordo com o preconizado na Nota Técnica nº 22/2022-SAPS/MS e pela Portaria SAPS/MS nº 4, de 28/1/2021.</w:t>
      </w:r>
    </w:p>
    <w:p>
      <w:pPr>
        <w:pStyle w:val="937"/>
      </w:pPr>
      <w:r>
        <w:rPr>
          <w:b/>
          <w:bCs/>
        </w:rPr>
        <w:t xml:space="preserve">Análise Codificação</w:t>
      </w:r>
      <w:r>
        <w:t xml:space="preserve">: Em relação ao foco, a recomendação propõe apenas o registro regular dos dados no SISAB dentro de um prazo específico, sem abordar as causas subjacentes da discrepância entre os sistemas (como problemas de integração, capacitação da equipe ou inconsistências nos processos de coleta de dados). Portanto, ela se concentra na correção da condição atual (dados desatualizados) e não na prevenção de futuras ocorrências. Como o critério</w:t>
      </w:r>
      <w:r>
        <w:t xml:space="preserve"> </w:t>
      </w:r>
      <w:r>
        <w:t xml:space="preserve">‘Foco Causa’</w:t>
      </w:r>
      <w:r>
        <w:t xml:space="preserve"> </w:t>
      </w:r>
      <w:r>
        <w:t xml:space="preserve">não foi atendido, a avaliação de</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concentra na correção da condição atual (registro pontual e regular dos dados) sem abordar as causas subjacentes da discrepância entre sistemas. Quanto ao critério</w:t>
      </w:r>
      <w:r>
        <w:t xml:space="preserve"> </w:t>
      </w:r>
      <w:r>
        <w:t xml:space="preserve">‘Efeitos Duradouros’</w:t>
      </w:r>
      <w:r>
        <w:t xml:space="preserve">, a não aplicação é coerente, dado que o primeiro critério não foi atendido.</w:t>
      </w:r>
    </w:p>
    <w:p>
      <w:pPr>
        <w:pStyle w:val="937"/>
      </w:pPr>
      <w:r>
        <w:t xml:space="preserve">Análise Foco Causa: Concordo</w:t>
      </w:r>
    </w:p>
    <w:p>
      <w:pPr>
        <w:pStyle w:val="937"/>
      </w:pPr>
      <w:r>
        <w:t xml:space="preserve">Análise Efeitos Duradouros: Concordo</w:t>
      </w:r>
    </w:p>
    <w:bookmarkEnd w:id="676"/>
    <w:bookmarkStart w:id="677" w:name="auditoria-19753-constatação-nº-694444-1"/>
    <w:p>
      <w:pPr>
        <w:pStyle w:val="907"/>
      </w:pPr>
      <w:r>
        <w:t xml:space="preserve">17.0.5.7 Auditoria 19753, Constatação Nº 694444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p>
    <w:p>
      <w:pPr>
        <w:pStyle w:val="937"/>
      </w:pPr>
      <w:r>
        <w:rPr>
          <w:b/>
          <w:bCs/>
        </w:rPr>
        <w:t xml:space="preserve">Recomendação</w:t>
      </w:r>
      <w:r>
        <w:t xml:space="preserve">: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p>
    <w:p>
      <w:pPr>
        <w:pStyle w:val="937"/>
      </w:pPr>
      <w:r>
        <w:rPr>
          <w:b/>
          <w:bCs/>
        </w:rPr>
        <w:t xml:space="preserve">Análise Codificação</w:t>
      </w:r>
      <w:r>
        <w:t xml:space="preserv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concordo com a avaliação de que não há foco na causa, o que torna o critério de efeitos duradouros não aplicável.</w:t>
      </w:r>
    </w:p>
    <w:p>
      <w:pPr>
        <w:pStyle w:val="937"/>
      </w:pPr>
      <w:r>
        <w:t xml:space="preserve">Análise Foco Causa: Concordo</w:t>
      </w:r>
    </w:p>
    <w:p>
      <w:pPr>
        <w:pStyle w:val="937"/>
      </w:pPr>
      <w:r>
        <w:t xml:space="preserve">Análise Efeitos Duradouros: Concordo</w:t>
      </w:r>
    </w:p>
    <w:bookmarkEnd w:id="677"/>
    <w:bookmarkStart w:id="678" w:name="auditoria-19767-constatação-nº-693754-1"/>
    <w:p>
      <w:pPr>
        <w:pStyle w:val="907"/>
      </w:pPr>
      <w:r>
        <w:t xml:space="preserve">17.0.5.8 Auditoria 19767, Constatação Nº 693754 (#1)</w:t>
      </w:r>
    </w:p>
    <w:p>
      <w:pPr>
        <w:pStyle w:val="937"/>
      </w:pPr>
      <w:r>
        <w:rPr>
          <w:b/>
          <w:bCs/>
        </w:rPr>
        <w:t xml:space="preserve">Finalidade</w:t>
      </w:r>
      <w:r>
        <w:t xml:space="preserve">: Verificar o funcionamento do CEREST - Blumenau</w:t>
      </w:r>
    </w:p>
    <w:p>
      <w:pPr>
        <w:pStyle w:val="937"/>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p>
    <w:p>
      <w:pPr>
        <w:pStyle w:val="937"/>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3.7 (pag. 48)</w:t>
      </w:r>
      <w:r>
        <w:t xml:space="preserve"> </w:t>
      </w:r>
      <w:r>
        <w:t xml:space="preserve">“COMO ELABORAR UMA ATA”</w:t>
      </w:r>
      <w:r>
        <w:t xml:space="preserve">, A não apresentação de documentos válidos está em desacordo com o Art. 11 do Decreto nº 1.651, de 28 de setembro de 1995 que diz que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facilitando-lhes o acesso a documentos, pessoas e instalações.</w:t>
      </w:r>
    </w:p>
    <w:p>
      <w:pPr>
        <w:pStyle w:val="937"/>
      </w:pPr>
      <w:r>
        <w:rPr>
          <w:b/>
          <w:bCs/>
        </w:rPr>
        <w:t xml:space="preserve">Análise Codificação</w:t>
      </w:r>
      <w:r>
        <w:t xml:space="preserve">: A recomendação se limita a orientar o atendimento às normas existentes sobre elaboração de atas, sem propor ações específicas para tratar a causa subjacente da não assinatura dos participantes (como falta de procedimentos, capacitação ou controle). Portanto, não há ação proposta que trate da causa do problema.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pois a recomendação apenas cita normas existentes sem propor ações específicas para abordar a causa raiz da não assinatura das atas.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p>
    <w:p>
      <w:pPr>
        <w:pStyle w:val="937"/>
      </w:pPr>
      <w:r>
        <w:t xml:space="preserve">Análise Foco Causa: Concordo</w:t>
      </w:r>
    </w:p>
    <w:p>
      <w:pPr>
        <w:pStyle w:val="937"/>
      </w:pPr>
      <w:r>
        <w:t xml:space="preserve">Análise Efeitos Duradouros: Concordo</w:t>
      </w:r>
    </w:p>
    <w:bookmarkEnd w:id="678"/>
    <w:bookmarkStart w:id="679" w:name="auditoria-19826-constatação-nº-694765-1"/>
    <w:p>
      <w:pPr>
        <w:pStyle w:val="907"/>
      </w:pPr>
      <w:r>
        <w:t xml:space="preserve">17.0.5.9 Auditoria 19826, Constatação Nº 694765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Secretaria Municipal de Saúde de Auriflama não possui a documentação comprobatória das solicitações do procedimento</w:t>
      </w:r>
      <w:r>
        <w:t xml:space="preserve"> </w:t>
      </w:r>
      <w:r>
        <w:t xml:space="preserve">“Unidade de Remuneração para Deslocamento de Paciente por Transporte Terrestre (cada 50 km) - TFD”</w:t>
      </w:r>
      <w:r>
        <w:t xml:space="preserve"> </w:t>
      </w:r>
      <w:r>
        <w:t xml:space="preserve">(Código Sigtap 08.03.01.012-5), conforme determina a legislação.</w:t>
      </w:r>
    </w:p>
    <w:p>
      <w:pPr>
        <w:pStyle w:val="937"/>
      </w:pPr>
      <w:r>
        <w:rPr>
          <w:b/>
          <w:bCs/>
        </w:rPr>
        <w:t xml:space="preserve">Recomendação</w:t>
      </w:r>
      <w:r>
        <w:t xml:space="preserve">: Cumprir o que determina os artigos 145 e 146 da Portaria de Consolidação nº 01 SAES/MS de 22 de fevereiro de 2022,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que determina o art. 140 da Portaria de Consolidação nº 01 SAES/MS de 22 de fevereiro de 2022, que a solicitação de TFD deverá ser feita pelo médico assistente do paciente nas unidades assistenciais vinculadas ao SUS e autorizada por comissão nomeada pelo respectivo gestor municipal/estadual, que solicitará, se necessário, exames ou documentos que complementem a análise de cada caso.</w:t>
      </w:r>
    </w:p>
    <w:p>
      <w:pPr>
        <w:pStyle w:val="937"/>
      </w:pPr>
      <w:r>
        <w:rPr>
          <w:b/>
          <w:bCs/>
        </w:rPr>
        <w:t xml:space="preserve">Análise Codificação</w:t>
      </w:r>
      <w:r>
        <w:t xml:space="preserve">: Em relação ao foco, a recomendação se limita a exigir o cumprimento de dispositivos legais específicos que tratam da organização e disponibilização da documentação comprobatória e do processo de solicitação/autorização do TFD, sem propor ações que abordem as causas subjacentes que levaram à ausência dessa documentação (como falta de capacitação, recursos insuficientes, falhas no processo interno, etc.). Já em relação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se limita a exigir o cumprimento de normas legais existentes sem propor ações específicas para tratar as causas subjacentes da ausência de documentação. Quanto ao critério</w:t>
      </w:r>
      <w:r>
        <w:t xml:space="preserve"> </w:t>
      </w:r>
      <w:r>
        <w:t xml:space="preserve">‘Efeitos Duradouros’</w:t>
      </w:r>
      <w:r>
        <w:t xml:space="preserve">, a resposta</w:t>
      </w:r>
      <w:r>
        <w:t xml:space="preserve"> </w:t>
      </w:r>
      <w:r>
        <w:t xml:space="preserve">‘Não se aplica’</w:t>
      </w:r>
      <w:r>
        <w:t xml:space="preserve"> </w:t>
      </w:r>
      <w:r>
        <w:t xml:space="preserve">é adequada uma vez que o critério</w:t>
      </w:r>
      <w:r>
        <w:t xml:space="preserve"> </w:t>
      </w:r>
      <w:r>
        <w:t xml:space="preserve">‘Foco Causa’</w:t>
      </w:r>
      <w:r>
        <w:t xml:space="preserve"> </w:t>
      </w:r>
      <w:r>
        <w:t xml:space="preserve">foi classificado como</w:t>
      </w:r>
      <w:r>
        <w:t xml:space="preserve"> </w:t>
      </w:r>
      <w:r>
        <w:t xml:space="preserve">‘Não’</w:t>
      </w:r>
      <w:r>
        <w:t xml:space="preserve">.</w:t>
      </w:r>
    </w:p>
    <w:p>
      <w:pPr>
        <w:pStyle w:val="937"/>
      </w:pPr>
      <w:r>
        <w:t xml:space="preserve">Análise Foco Causa: Concordo</w:t>
      </w:r>
    </w:p>
    <w:p>
      <w:pPr>
        <w:pStyle w:val="937"/>
      </w:pPr>
      <w:r>
        <w:t xml:space="preserve">Análise Efeitos Duradouros: Concordo</w:t>
      </w:r>
    </w:p>
    <w:bookmarkEnd w:id="679"/>
    <w:bookmarkStart w:id="680" w:name="auditoria-19863-constatação-nº-703516-1"/>
    <w:p>
      <w:pPr>
        <w:pStyle w:val="907"/>
      </w:pPr>
      <w:r>
        <w:t xml:space="preserve">17.0.5.10 Auditoria 19863, Constatação Nº 703516 (#1)</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A SES/TO não comprovou a revisão do Regimento Interno do Hospital Regional de Arraias.</w:t>
      </w:r>
    </w:p>
    <w:p>
      <w:pPr>
        <w:pStyle w:val="937"/>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o compromisso assumido para revisão do Regimento Interno do Hospital Regional de Arraias.</w:t>
      </w:r>
    </w:p>
    <w:p>
      <w:pPr>
        <w:pStyle w:val="937"/>
      </w:pPr>
      <w:r>
        <w:rPr>
          <w:b/>
          <w:bCs/>
        </w:rPr>
        <w:t xml:space="preserve">Análise Codificação</w:t>
      </w:r>
      <w:r>
        <w:t xml:space="preserve">: Em relação ao foco, a recomendação apenas repete o compromisso já assumido no plano de ação, sem propor ações específicas para tratar a causa subjacente da não revisão do regimento interno. Não há menção a medidas que abordem as razões pelas quais a SES/TO não cumpriu o prazo, como falhas de gestão, falta de recursos ou capacitação. Já em relação aos efeitos duradouros, como o critério</w:t>
      </w:r>
      <w:r>
        <w:t xml:space="preserve"> </w:t>
      </w:r>
      <w:r>
        <w:t xml:space="preserve">‘Foco Causa’</w:t>
      </w:r>
      <w:r>
        <w:t xml:space="preserve"> </w:t>
      </w:r>
      <w:r>
        <w:t xml:space="preserve">não foi atendido, esta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está correta ao identificar que a recomendação apenas repete o compromisso existente sem propor ações que abordem as causas subjacentes da não revisão do regimento interno, como falhas de gestão ou falta de recursos. Para o critério</w:t>
      </w:r>
      <w:r>
        <w:t xml:space="preserve"> </w:t>
      </w:r>
      <w:r>
        <w:t xml:space="preserve">‘Efeitos Duradouros’</w:t>
      </w:r>
      <w:r>
        <w:t xml:space="preserve">, como o</w:t>
      </w:r>
      <w:r>
        <w:t xml:space="preserve"> </w:t>
      </w:r>
      <w:r>
        <w:t xml:space="preserve">‘Foco Causa’</w:t>
      </w:r>
      <w:r>
        <w:t xml:space="preserve"> </w:t>
      </w:r>
      <w:r>
        <w:t xml:space="preserve">foi avaliado como</w:t>
      </w:r>
      <w:r>
        <w:t xml:space="preserve"> </w:t>
      </w:r>
      <w:r>
        <w:t xml:space="preserve">‘Não’</w:t>
      </w:r>
      <w:r>
        <w:t xml:space="preserve">, a resposta</w:t>
      </w:r>
      <w:r>
        <w:t xml:space="preserve"> </w:t>
      </w:r>
      <w:r>
        <w:t xml:space="preserve">‘Não se aplica’</w:t>
      </w:r>
      <w:r>
        <w:t xml:space="preserve"> </w:t>
      </w:r>
      <w:r>
        <w:t xml:space="preserve">está adequada.</w:t>
      </w:r>
    </w:p>
    <w:p>
      <w:pPr>
        <w:pStyle w:val="937"/>
      </w:pPr>
      <w:r>
        <w:t xml:space="preserve">Análise Foco Causa: Concordo</w:t>
      </w:r>
    </w:p>
    <w:p>
      <w:pPr>
        <w:pStyle w:val="937"/>
      </w:pPr>
      <w:r>
        <w:t xml:space="preserve">Análise Efeitos Duradouros: Concordo</w:t>
      </w:r>
    </w:p>
    <w:bookmarkEnd w:id="680"/>
    <w:bookmarkEnd w:id="681"/>
    <w:bookmarkStart w:id="685" w:name="Xede5fa6fdb6225882078bd54d3b4370a2f8c3bf"/>
    <w:p>
      <w:pPr>
        <w:pStyle w:val="906"/>
      </w:pPr>
      <w:r>
        <w:t xml:space="preserve">17.0.6 Foco: Não, Efeitos: Não se aplica, Concordância Foco: Concordo, Concordância Efeitos: Não se aplica</w:t>
      </w:r>
    </w:p>
    <w:bookmarkStart w:id="682" w:name="auditoria-18885-constatação-nº-664805-1"/>
    <w:p>
      <w:pPr>
        <w:pStyle w:val="907"/>
      </w:pPr>
      <w:r>
        <w:t xml:space="preserve">17.0.6.1 Auditoria 18885, Constatação Nº 664805 (#1)</w:t>
      </w:r>
    </w:p>
    <w:p>
      <w:pPr>
        <w:pStyle w:val="937"/>
      </w:pPr>
      <w:r>
        <w:rPr>
          <w:b/>
          <w:bCs/>
        </w:rPr>
        <w:t xml:space="preserve">Finalidade</w:t>
      </w:r>
      <w:r>
        <w:t xml:space="preserve">: Auditar a SMS de Catanduva/SP, focando Contrato de Gestão n°. 01/2015, com OSCIP Mahatma Gandhi</w:t>
      </w:r>
    </w:p>
    <w:p>
      <w:pPr>
        <w:pStyle w:val="937"/>
      </w:pPr>
      <w:r>
        <w:rPr>
          <w:b/>
          <w:bCs/>
        </w:rPr>
        <w:t xml:space="preserve">Constatação</w:t>
      </w:r>
      <w:r>
        <w:t xml:space="preserve">: Foram realizados pagamentos decorrentes do Contrato de Gestão nº 01/2015, firmado entre o Município de Catanduva e o Hospital Psiquiátrico Mahatma Gandhi, para empregado da contratada a título de serviços prestados de enfermagem e gerenciamento, em desacordo com a legislação.</w:t>
      </w:r>
    </w:p>
    <w:p>
      <w:pPr>
        <w:pStyle w:val="937"/>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 que a liquidação da despesa por fornecimentos feitos ou serviços prestados terá por base, os comprovantes da entrega de material ou da prestação efetiva do serviços, contraria também o Artigo 76, combinado com o artigo 116 da Lei Federal nº 8.666, de 21 de junho de 1993, que estabelece que a Administração rejeitará, no todo ou em parte, obra, serviço ou fornecimento executado em desacordo com o contrato, e, ainda, o artigo 42 da Portaria Interministerial MP/MF/CGU nº 127 de 29 de maio de 2008, que regulamenta o Decreto federal nº 6.170 de 25 de julho de 2007, que estabelece que a liberação de recursos obedecerá ao cronograma de desembolso previsto no Plano de Trabalho e guardará consonância com as metas e fases ou etapas de execução do objeto do instrumento. Também cumprir o disposto no art. 18, X e XI da Lei Federal nº 8.080 de 19 de setembro de 1990, o qual dispõe que compete à direção municipal do sistema único de Saúde (SUS) controlar, fiscalizar e avaliar os procedimentos dos serviços privados de saúde.</w:t>
      </w:r>
    </w:p>
    <w:p>
      <w:pPr>
        <w:pStyle w:val="937"/>
      </w:pPr>
      <w:r>
        <w:rPr>
          <w:b/>
          <w:bCs/>
        </w:rPr>
        <w:t xml:space="preserve">Análise Codificação</w:t>
      </w:r>
      <w:r>
        <w:t xml:space="preserve">: A recomendação enfatiza a necessidade de pagar apenas por serviços comprovados e alinhados com a legislação, focando na correção imediata da condição de pagamentos indevidos, sem propor ações para abordar as causas subjacentes, como falhas nos sistemas de controle ou fiscalização.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está correta ao identificar que a recomendação se concentra na correção imediata da condição de pagamentos indevidos, sem propor ações para abordar causas subjacentes, como falhas em sistemas de controle ou fiscalização. No entanto, a recomendação também inclui elementos de conformidade legal que, se implementados, poderiam ter efeitos preventivos, mas não são explicitamente direcionados à causa raiz.</w:t>
      </w:r>
    </w:p>
    <w:p>
      <w:pPr>
        <w:pStyle w:val="937"/>
      </w:pPr>
      <w:r>
        <w:t xml:space="preserve">Análise Foco Causa: Concordo</w:t>
      </w:r>
    </w:p>
    <w:p>
      <w:pPr>
        <w:pStyle w:val="937"/>
      </w:pPr>
      <w:r>
        <w:t xml:space="preserve">Análise Efeitos Duradouros: Não se aplica</w:t>
      </w:r>
    </w:p>
    <w:bookmarkEnd w:id="682"/>
    <w:bookmarkStart w:id="683" w:name="auditoria-19488-constatação-nº-671390-2"/>
    <w:p>
      <w:pPr>
        <w:pStyle w:val="907"/>
      </w:pPr>
      <w:r>
        <w:t xml:space="preserve">17.0.6.2 Auditoria 19488, Constatação Nº 671390 (#2)</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Os veículos recebidos em doação do Ministério da Saúde não foram incorporados ao patrimônio do município de Cajazeiras/PB.</w:t>
      </w:r>
    </w:p>
    <w:p>
      <w:pPr>
        <w:pStyle w:val="937"/>
      </w:pPr>
      <w:r>
        <w:rPr>
          <w:b/>
          <w:bCs/>
        </w:rPr>
        <w:t xml:space="preserve">Recomendação</w:t>
      </w:r>
      <w:r>
        <w:t xml:space="preserve">: Requerer ao Departamento Estadual de Trânsito da Paraíba (DETRAN/PB) a disponibilização de Autorização para Transferência de Propriedade de Veículo em meio digital (ATPV-e) das unidades móveis doados ao Município de Cajazeiras/PB antes de 04/01/2021, nos termos do Inciso II do art. 13 da Resolução CONTRAN nº 809, de 15/12/2020; Registrar no portal de serviços do DETRAN/PB a Autorização para Transferência de Propriedade de Veículo em meio digital (ATPV-e) para todas as unidades móveis doadas ao Município de Cajazeiras/PB que ainda não completaram o processo de transferência de propriedade para o referido município.</w:t>
      </w:r>
    </w:p>
    <w:p>
      <w:pPr>
        <w:pStyle w:val="937"/>
      </w:pPr>
      <w:r>
        <w:rPr>
          <w:b/>
          <w:bCs/>
        </w:rPr>
        <w:t xml:space="preserve">Análise Codificação</w:t>
      </w:r>
      <w:r>
        <w:t xml:space="preserve">: A recomendação propõe ações específicas para regularizar a transferência de propriedade dos veículos doados, como solicitar e registrar a ATPV-e junto ao DETRAN/PB. No entanto, essas ações focam na correção da condição atual (veículos não incorporados ao patrimônio) e não abordam as causas subjacentes que levaram à não incorporação, como possíveis falhas nos processos de gestão patrimonial, falta de capacitação da equipe ou deficiências na comunicação com o Ministério da Saúde. Assim, a recomendação é condition-based, pois visa resolver o problema imediato sem tratar de suas causas fundamentais. Quanto aos efeitos duradouros, como o critério</w:t>
      </w:r>
      <w:r>
        <w:t xml:space="preserve"> </w:t>
      </w:r>
      <w:r>
        <w:t xml:space="preserve">‘Foco Causa’</w:t>
      </w:r>
      <w:r>
        <w:t xml:space="preserve"> </w:t>
      </w:r>
      <w:r>
        <w:t xml:space="preserve">não foi atendido, essa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fornecida avalia corretamente que a recomendação se concentra na correção da condição imediata de não incorporação dos veículos ao patrimônio, sem abordar causas subjacentes, como falhas processuais ou de capacitação. No entanto, a avaliação do critério</w:t>
      </w:r>
      <w:r>
        <w:t xml:space="preserve"> </w:t>
      </w:r>
      <w:r>
        <w:t xml:space="preserve">‘Foco Causa’</w:t>
      </w:r>
      <w:r>
        <w:t xml:space="preserve"> </w:t>
      </w:r>
      <w:r>
        <w:t xml:space="preserve">poderia ser mais precisa, pois a recomendação inclui ações que, embora direcionadas à regularização, podem indiretamente influenciar a causa ao estabelecer um procedimento padrão para futuras transferências.</w:t>
      </w:r>
    </w:p>
    <w:p>
      <w:pPr>
        <w:pStyle w:val="937"/>
      </w:pPr>
      <w:r>
        <w:t xml:space="preserve">Análise Foco Causa: Concordo</w:t>
      </w:r>
    </w:p>
    <w:p>
      <w:pPr>
        <w:pStyle w:val="937"/>
      </w:pPr>
      <w:r>
        <w:t xml:space="preserve">Análise Efeitos Duradouros: Não se aplica</w:t>
      </w:r>
    </w:p>
    <w:bookmarkEnd w:id="683"/>
    <w:bookmarkStart w:id="684" w:name="auditoria-19848-constatação-nº-701972-1"/>
    <w:p>
      <w:pPr>
        <w:pStyle w:val="907"/>
      </w:pPr>
      <w:r>
        <w:t xml:space="preserve">17.0.6.3 Auditoria 19848, Constatação Nº 701972 (#1)</w:t>
      </w:r>
    </w:p>
    <w:p>
      <w:pPr>
        <w:pStyle w:val="937"/>
      </w:pPr>
      <w:r>
        <w:rPr>
          <w:b/>
          <w:bCs/>
        </w:rPr>
        <w:t xml:space="preserve">Finalidade</w:t>
      </w:r>
      <w:r>
        <w:t xml:space="preserve">: Verificar a gestão e o gerenciamento dos Centros de Referência em Saúde do Trabalhador - CERESTs</w:t>
      </w:r>
    </w:p>
    <w:p>
      <w:pPr>
        <w:pStyle w:val="937"/>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p>
    <w:p>
      <w:pPr>
        <w:pStyle w:val="937"/>
      </w:pPr>
      <w:r>
        <w:rPr>
          <w:b/>
          <w:bCs/>
        </w:rPr>
        <w:t xml:space="preserve">Recomendação</w:t>
      </w:r>
      <w:r>
        <w:t xml:space="preserve">: Alimentar regularmente, com a atuação do CEREST Regional, o Sistema de Informação de Agravos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949"/>
        </w:rPr>
        <w:t xml:space="preserve">h</w:t>
      </w:r>
      <w:r>
        <w:t xml:space="preserve">, inciso II, art. 9º, Capítulo III, do Anexo XV, da Portaria de Consolidação GM/MS n.º 02, de 28 setembro 2017, e com o tópico Ações de Responsabilidade das Regiões e dos Municípios, Anexo 1, do Anexo X, da Portaria de Consolidação GM/MS n.º 03, de 28 setembro 2017.</w:t>
      </w:r>
    </w:p>
    <w:p>
      <w:pPr>
        <w:pStyle w:val="937"/>
      </w:pPr>
      <w:r>
        <w:rPr>
          <w:b/>
          <w:bCs/>
        </w:rPr>
        <w:t xml:space="preserve">Análise Codificação</w:t>
      </w:r>
      <w:r>
        <w:t xml:space="preserve">: Em relação ao foco, a recomendação propõe a ação de</w:t>
      </w:r>
      <w:r>
        <w:t xml:space="preserve"> </w:t>
      </w:r>
      <w:r>
        <w:t xml:space="preserve">‘alimentar regularmente’</w:t>
      </w:r>
      <w:r>
        <w:t xml:space="preserve"> </w:t>
      </w:r>
      <w:r>
        <w:t xml:space="preserve">o sistema SINAN com informações documentadas sobre notificações compulsórias, o que visa corrigir diretamente a condição encontrada de ausência de comprovação dos atendimentos, sem abordar as causas subjacentes que levaram a essa falha (como falta de capacitação, recursos humanos insuficientes ou problemas de processo).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fornecida avalia corretamente que a recomendação se concentra em corrigir a condição imediata de não comprovação dos atendimentos, sem abordar causas subjacentes como falta de treinamento ou recursos. No entanto, ao considerar a definição de recomendações baseadas em causa, que visam prevenir a recorrência do problema, a recomendação de</w:t>
      </w:r>
      <w:r>
        <w:t xml:space="preserve"> </w:t>
      </w:r>
      <w:r>
        <w:t xml:space="preserve">‘alimentar regularmente’</w:t>
      </w:r>
      <w:r>
        <w:t xml:space="preserve"> </w:t>
      </w:r>
      <w:r>
        <w:t xml:space="preserve">pode ser interpretada como uma ação que, se implementada de forma sistemática, poderia abordar parcialmente a causa ao estabelecer um processo contínuo, embora não especifique mudanças estruturais. Portanto, há uma ambiguidade que justifica uma revisão cuidadosa.</w:t>
      </w:r>
    </w:p>
    <w:p>
      <w:pPr>
        <w:pStyle w:val="937"/>
      </w:pPr>
      <w:r>
        <w:t xml:space="preserve">Análise Foco Causa: Concordo</w:t>
      </w:r>
    </w:p>
    <w:p>
      <w:pPr>
        <w:pStyle w:val="937"/>
      </w:pPr>
      <w:r>
        <w:t xml:space="preserve">Análise Efeitos Duradouros: Não se aplica</w:t>
      </w:r>
    </w:p>
    <w:bookmarkEnd w:id="684"/>
    <w:bookmarkEnd w:id="685"/>
    <w:bookmarkStart w:id="696" w:name="X2679442458623f6df3aee2e239d9e7cc41c7b8e"/>
    <w:p>
      <w:pPr>
        <w:pStyle w:val="906"/>
      </w:pPr>
      <w:r>
        <w:t xml:space="preserve">17.0.7 Foco: Não, Efeitos: Não se aplica, Concordância Foco: Discordo, Concordância Efeitos: Concordo</w:t>
      </w:r>
    </w:p>
    <w:bookmarkStart w:id="686" w:name="auditoria-19179-constatação-nº-666966-1"/>
    <w:p>
      <w:pPr>
        <w:pStyle w:val="907"/>
      </w:pPr>
      <w:r>
        <w:t xml:space="preserve">17.0.7.1 Auditoria 19179, Constatação Nº 666966 (#1)</w:t>
      </w:r>
    </w:p>
    <w:p>
      <w:pPr>
        <w:pStyle w:val="937"/>
      </w:pPr>
      <w:r>
        <w:rPr>
          <w:b/>
          <w:bCs/>
        </w:rPr>
        <w:t xml:space="preserve">Finalidade</w:t>
      </w:r>
      <w:r>
        <w:t xml:space="preserve">: Verificar prestação dos serviços e aplicação dos recursos federais no Hosp. Mun. de Imperatriz</w:t>
      </w:r>
    </w:p>
    <w:p>
      <w:pPr>
        <w:pStyle w:val="937"/>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p>
    <w:p>
      <w:pPr>
        <w:pStyle w:val="937"/>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6.2 do Anexo da Portaria GM/MS nº 354, de 10 de março de 2014, assim como os Art. 7º, Art. 36 e Art. 42 da Resolução da Diretoria Colegiada - RDC/ANVISA/MS nº 63, de 25 de novembro de 2011, que trata dos equipamentos e sua manutenção, da unidade de urgência.</w:t>
      </w:r>
    </w:p>
    <w:p>
      <w:pPr>
        <w:pStyle w:val="937"/>
      </w:pPr>
      <w:r>
        <w:rPr>
          <w:b/>
          <w:bCs/>
        </w:rPr>
        <w:t xml:space="preserve">Análise Codificação</w:t>
      </w:r>
      <w:r>
        <w:t xml:space="preserve">: Em relação ao foco, a recomendação se limita a citar o cumprimento de dispositivos normativos específicos sobre estrutura física, dependências e equipamentos, sem propor ações que tratem diretamente das causas subjacentes à não conformidade, como falhas de gestão, planejamento ou alocação de recursos. Quanto aos efeitos duradouros, como o critério</w:t>
      </w:r>
      <w:r>
        <w:t xml:space="preserve"> </w:t>
      </w:r>
      <w:r>
        <w:t xml:space="preserve">‘Foco Causa’</w:t>
      </w:r>
      <w:r>
        <w:t xml:space="preserve"> </w:t>
      </w:r>
      <w:r>
        <w:t xml:space="preserve">não foi atendido, não se aplica a análise.</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apenas cita o cumprimento de normas sem propor ações que tratem causas subjacentes, como falhas de gestão ou planejamento. No entanto, a recomendação especifica dispositivos normativos que estabelecem requisitos mínimos para estrutura física, dependências e equipamentos, os quais, se implementados, podem abordar causas estruturais e organizacionais da não conformidade.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avaliação de</w:t>
      </w:r>
      <w:r>
        <w:t xml:space="preserve"> </w:t>
      </w:r>
      <w:r>
        <w:t xml:space="preserve">‘Não se aplica’</w:t>
      </w:r>
      <w:r>
        <w:t xml:space="preserve"> </w:t>
      </w:r>
      <w:r>
        <w:t xml:space="preserve">também pode ser reconsiderada, mas a recomendação em si não detalha mecanismos para garantir a sustentabilidade das mudanças.</w:t>
      </w:r>
    </w:p>
    <w:p>
      <w:pPr>
        <w:pStyle w:val="937"/>
      </w:pPr>
      <w:r>
        <w:t xml:space="preserve">Análise Foco Causa: Discordo</w:t>
      </w:r>
    </w:p>
    <w:p>
      <w:pPr>
        <w:pStyle w:val="937"/>
      </w:pPr>
      <w:r>
        <w:t xml:space="preserve">Análise Efeitos Duradouros: Concordo</w:t>
      </w:r>
    </w:p>
    <w:bookmarkEnd w:id="686"/>
    <w:bookmarkStart w:id="687" w:name="auditoria-19335-constatação-nº-665590-1"/>
    <w:p>
      <w:pPr>
        <w:pStyle w:val="907"/>
      </w:pPr>
      <w:r>
        <w:t xml:space="preserve">17.0.7.2 Auditoria 19335, Constatação Nº 665590 (#1)</w:t>
      </w:r>
    </w:p>
    <w:p>
      <w:pPr>
        <w:pStyle w:val="937"/>
      </w:pPr>
      <w:r>
        <w:rPr>
          <w:b/>
          <w:bCs/>
        </w:rPr>
        <w:t xml:space="preserve">Finalidade</w:t>
      </w:r>
      <w:r>
        <w:t xml:space="preserve">: Verificar a regularidade da utilização de Dispositivos Médicos Implantáveis - DMI.</w:t>
      </w:r>
    </w:p>
    <w:p>
      <w:pPr>
        <w:pStyle w:val="937"/>
      </w:pPr>
      <w:r>
        <w:rPr>
          <w:b/>
          <w:bCs/>
        </w:rPr>
        <w:t xml:space="preserve">Constatação</w:t>
      </w:r>
      <w:r>
        <w:t xml:space="preserve">: A Comissão de Revisão de Prontuários (CRP) do Hospital de Caridade e Beneficência (HCB) não estava formalmente constituída em parte do período auditado.</w:t>
      </w:r>
    </w:p>
    <w:p>
      <w:pPr>
        <w:pStyle w:val="937"/>
      </w:pPr>
      <w:r>
        <w:rPr>
          <w:b/>
          <w:bCs/>
        </w:rPr>
        <w:t xml:space="preserve">Recomendação</w:t>
      </w:r>
      <w:r>
        <w:t xml:space="preserve">: Organizar e manter os documentos que comprovem a manutenção e atuação da Comissão de Revisão de Prontuário (CRP).</w:t>
      </w:r>
    </w:p>
    <w:p>
      <w:pPr>
        <w:pStyle w:val="937"/>
      </w:pPr>
      <w:r>
        <w:rPr>
          <w:b/>
          <w:bCs/>
        </w:rPr>
        <w:t xml:space="preserve">Análise Codificação</w:t>
      </w:r>
      <w:r>
        <w:t xml:space="preserve">: A recomendação propõe a organização e manutenção de documentos para comprovar a atuação da Comissão de Revisão de Prontuários (CRP), o que visa corrigir a condição específica de falta de formalização da comissão, sem abordar as causas subjacentes, como possíveis falhas na gestão ou na definição de responsabilidades. Portanto, o foco está na condição imediata,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visa corrigir a condição imediata de falta de formalização da CRP, sem abordar causas subjacentes como falhas na gestão ou definição de responsabilidades. No entanto, a recomendação de organizar e manter documentos pode ser interpretada como uma ação que, ao estabelecer um processo documental, trata da causa raiz da falta de formalização, que é a ausência de um sistema de registro e comprovação contínua. Portanto, há ambiguidade na classificação. Para o critério</w:t>
      </w:r>
      <w:r>
        <w:t xml:space="preserve"> </w:t>
      </w:r>
      <w:r>
        <w:t xml:space="preserve">‘Efeitos Duradouros’</w:t>
      </w:r>
      <w:r>
        <w:t xml:space="preserve">, como a análise original concluiu que</w:t>
      </w:r>
      <w:r>
        <w:t xml:space="preserve"> </w:t>
      </w:r>
      <w:r>
        <w:t xml:space="preserve">‘Foco Causa’</w:t>
      </w:r>
      <w:r>
        <w:t xml:space="preserve"> </w:t>
      </w:r>
      <w:r>
        <w:t xml:space="preserve">é</w:t>
      </w:r>
      <w:r>
        <w:t xml:space="preserve"> </w:t>
      </w:r>
      <w:r>
        <w:t xml:space="preserve">‘Não’</w:t>
      </w:r>
      <w:r>
        <w:t xml:space="preserve">, a resposta</w:t>
      </w:r>
      <w:r>
        <w:t xml:space="preserve"> </w:t>
      </w:r>
      <w:r>
        <w:t xml:space="preserve">‘Não se aplica’</w:t>
      </w:r>
      <w:r>
        <w:t xml:space="preserve"> </w:t>
      </w:r>
      <w:r>
        <w:t xml:space="preserve">está correta, mas se houver discordância no primeiro critério, isso poderia afetar o segundo.</w:t>
      </w:r>
    </w:p>
    <w:p>
      <w:pPr>
        <w:pStyle w:val="937"/>
      </w:pPr>
      <w:r>
        <w:t xml:space="preserve">Análise Foco Causa: Discordo</w:t>
      </w:r>
    </w:p>
    <w:p>
      <w:pPr>
        <w:pStyle w:val="937"/>
      </w:pPr>
      <w:r>
        <w:t xml:space="preserve">Análise Efeitos Duradouros: Concordo</w:t>
      </w:r>
    </w:p>
    <w:bookmarkEnd w:id="687"/>
    <w:bookmarkStart w:id="688" w:name="auditoria-19388-constatação-nº-662599-2"/>
    <w:p>
      <w:pPr>
        <w:pStyle w:val="907"/>
      </w:pPr>
      <w:r>
        <w:t xml:space="preserve">17.0.7.3 Auditoria 19388, Constatação Nº 662599 (#2)</w:t>
      </w:r>
    </w:p>
    <w:p>
      <w:pPr>
        <w:pStyle w:val="937"/>
      </w:pPr>
      <w:r>
        <w:rPr>
          <w:b/>
          <w:bCs/>
        </w:rPr>
        <w:t xml:space="preserve">Finalidade</w:t>
      </w:r>
      <w:r>
        <w:t xml:space="preserve">: Verificar a regularidade da produção inserida nos sistemas do SUS com incremento nos tetos MAC e PAB</w:t>
      </w:r>
    </w:p>
    <w:p>
      <w:pPr>
        <w:pStyle w:val="937"/>
      </w:pPr>
      <w:r>
        <w:rPr>
          <w:b/>
          <w:bCs/>
        </w:rPr>
        <w:t xml:space="preserve">Constatação</w:t>
      </w:r>
      <w:r>
        <w:t xml:space="preserve">: Os instrumentos de gestão do SUS referente ao município de Barra do Corda apresentaram divergências relativas às metas, diretrizes e objetivos, no tocante a assistência de saúde especializada, especialmente quanto às quantidades de procedimentos informados no Relatório de Gestão Anual - 2021 e no Sistema de Informação Ambulatorial (SIA/SUS), no exercício de 2021.</w:t>
      </w:r>
    </w:p>
    <w:p>
      <w:pPr>
        <w:pStyle w:val="937"/>
      </w:pPr>
      <w:r>
        <w:rPr>
          <w:b/>
          <w:bCs/>
        </w:rPr>
        <w:t xml:space="preserve">Recomendação</w:t>
      </w:r>
      <w:r>
        <w:t xml:space="preserve">: Cumprir o disposto nos Arts. 95, 96, 97 e 99, todos da Portaria de Consolidação GM/MS nº 1, de 28/09/2017, que preveem que os instrumentos para o planejamento no âmbito do SUS são o Plano de Saúde (PS), as respectivas Programações Anuais de Saúde (PAS) e o Relatório Anual de Gestão (RAG) que se interligam compondo um processo cíclico de planejamento para operacionalização integrada, solidária e sistêmica do SUS. Preveem ainda, que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937"/>
      </w:pPr>
      <w:r>
        <w:rPr>
          <w:b/>
          <w:bCs/>
        </w:rPr>
        <w:t xml:space="preserve">Análise Codificação</w:t>
      </w:r>
      <w:r>
        <w:t xml:space="preserve">: A recomendação se limita a citar dispositivos normativos que estabelecem a obrigatoriedade de interligação entre os instrumentos de planejamento do SUS (Plano de Saúde, Programação Anual de Saúde e Relatório Anual de Gestão), sem propor ações específicas para tratar a causa das divergências identificadas nos dados. Não há menção a medidas como revisão de processos de coleta e registro de dados, capacitação de pessoal, implementação de sistemas de controle interno ou outras ações que ataquem a raiz do problema. Portanto, a recomendação não possui foco na causa.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normativos sem propor ações específicas para tratar a causa das divergências, como revisão de processos ou capacitação. No entanto, a recomendação enfatiza explicitamente a necessidade de cumprir a interligação cíclica entre Plano de Saúde, Programação Anual de Saúde e Relatório Anual de Gestão, o que pode ser interpretado como uma ação para abordar a causa subjacente de inconsistências no planejamento e execução.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está correta, mas discordo da classificação inicial.</w:t>
      </w:r>
    </w:p>
    <w:p>
      <w:pPr>
        <w:pStyle w:val="937"/>
      </w:pPr>
      <w:r>
        <w:t xml:space="preserve">Análise Foco Causa: Discordo</w:t>
      </w:r>
    </w:p>
    <w:p>
      <w:pPr>
        <w:pStyle w:val="937"/>
      </w:pPr>
      <w:r>
        <w:t xml:space="preserve">Análise Efeitos Duradouros: Concordo</w:t>
      </w:r>
    </w:p>
    <w:bookmarkEnd w:id="688"/>
    <w:bookmarkStart w:id="689" w:name="X23a9030494b8744fe9d4a00cad708a33c3a9734"/>
    <w:p>
      <w:pPr>
        <w:pStyle w:val="907"/>
      </w:pPr>
      <w:r>
        <w:t xml:space="preserve">17.0.7.4 Auditoria 19484, Constatação Nº 682909 (#2)</w:t>
      </w:r>
    </w:p>
    <w:p>
      <w:pPr>
        <w:pStyle w:val="937"/>
      </w:pPr>
      <w:r>
        <w:rPr>
          <w:b/>
          <w:bCs/>
        </w:rPr>
        <w:t xml:space="preserve">Finalidade</w:t>
      </w:r>
      <w:r>
        <w:t xml:space="preserve">: Verificar regularidade execução contrato SMS Bom Jesus Itabapoana e o Hospital São Vicente de Paula</w:t>
      </w:r>
    </w:p>
    <w:p>
      <w:pPr>
        <w:pStyle w:val="937"/>
      </w:pPr>
      <w:r>
        <w:rPr>
          <w:b/>
          <w:bCs/>
        </w:rPr>
        <w:t xml:space="preserve">Constatação</w:t>
      </w:r>
      <w:r>
        <w:t xml:space="preserve">: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pPr>
        <w:pStyle w:val="937"/>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“CAPÍTULO V DA CONTRATUALIZAÇÃO”</w:t>
      </w:r>
      <w:r>
        <w:t xml:space="preserve">, Seção III, art. 28</w:t>
      </w:r>
      <w:r>
        <w:t xml:space="preserve"> </w:t>
      </w:r>
      <w:r>
        <w:t xml:space="preserve">“O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w:t>
      </w:r>
      <w:r>
        <w:t xml:space="preserve">.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“Dispõe sobre o rito de aplicação de penalidades…das infrações praticadas por fornecedores…”</w:t>
      </w:r>
      <w:r>
        <w:t xml:space="preserve">.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pPr>
        <w:pStyle w:val="937"/>
      </w:pPr>
      <w:r>
        <w:rPr>
          <w:b/>
          <w:bCs/>
        </w:rPr>
        <w:t xml:space="preserve">Análise Codificação</w:t>
      </w:r>
      <w:r>
        <w:t xml:space="preserve">: A recomendação é ampla e genérica, focando principalmente em medidas administrativas e legais para assegurar o cumprimento de normas e cláusulas contratuais existentes, sem propor ações específicas para tratar a causa raiz do problema identificado (discrepância entre transferências financeiras e produção informada nos sistemas oficiais). Embora mencione a necessidade de cumprir portarias e leis, não identifica ou aborda diretamente as causas subjacentes que levaram à irregularidade, como possíveis falhas nos processos de verificação, sistemas de controle interno inadequados ou deficiências na capacitação técnica. Portanto, a recomendação não atende ao critério de foco na causa.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é genérica e não aborda causas subjacentes específicas, como falhas em processos de verificação ou controle interno. No entanto, a recomendação inclui medidas que visam prevenir a recorrência da irregularidade, como a implementação de estruturas de controle (Núcleo de Controle Interno) e o cumprimento de normas que condicionam repasses ao desempenho, o que pode ser interpretado como focado na causa. Para</w:t>
      </w:r>
      <w:r>
        <w:t xml:space="preserve"> </w:t>
      </w:r>
      <w:r>
        <w:t xml:space="preserve">‘Efeitos Duradouros’</w:t>
      </w:r>
      <w:r>
        <w:t xml:space="preserve">, a análise não se aplica devido à resposta</w:t>
      </w:r>
      <w:r>
        <w:t xml:space="preserve"> </w:t>
      </w:r>
      <w:r>
        <w:t xml:space="preserve">‘Não’</w:t>
      </w:r>
      <w:r>
        <w:t xml:space="preserve"> </w:t>
      </w:r>
      <w:r>
        <w:t xml:space="preserve">no primeiro critério, mas há inconsistência na avaliação inicial.</w:t>
      </w:r>
    </w:p>
    <w:p>
      <w:pPr>
        <w:pStyle w:val="937"/>
      </w:pPr>
      <w:r>
        <w:t xml:space="preserve">Análise Foco Causa: Discordo</w:t>
      </w:r>
    </w:p>
    <w:p>
      <w:pPr>
        <w:pStyle w:val="937"/>
      </w:pPr>
      <w:r>
        <w:t xml:space="preserve">Análise Efeitos Duradouros: Concordo</w:t>
      </w:r>
    </w:p>
    <w:bookmarkEnd w:id="689"/>
    <w:bookmarkStart w:id="690" w:name="auditoria-19624-constatação-nº-685595-1"/>
    <w:p>
      <w:pPr>
        <w:pStyle w:val="907"/>
      </w:pPr>
      <w:r>
        <w:t xml:space="preserve">17.0.7.5 Auditoria 19624, Constatação Nº 685595 (#1)</w:t>
      </w:r>
    </w:p>
    <w:p>
      <w:pPr>
        <w:pStyle w:val="937"/>
      </w:pPr>
      <w:r>
        <w:rPr>
          <w:b/>
          <w:bCs/>
        </w:rPr>
        <w:t xml:space="preserve">Finalidade</w:t>
      </w:r>
      <w:r>
        <w:t xml:space="preserve">: Verificar a execução do convênio do DSEI Interior Sul</w:t>
      </w:r>
    </w:p>
    <w:p>
      <w:pPr>
        <w:pStyle w:val="937"/>
      </w:pPr>
      <w:r>
        <w:rPr>
          <w:b/>
          <w:bCs/>
        </w:rPr>
        <w:t xml:space="preserve">Constatação</w:t>
      </w:r>
      <w:r>
        <w:t xml:space="preserve">: Atraso na inserção dos Relatórios de Monitoramento trimestrais dos eixos Saneamento Ambiental e Edificações de Saúde Indígena, no TransfereGov, referentes ao exercício de 2022.</w:t>
      </w:r>
    </w:p>
    <w:p>
      <w:pPr>
        <w:pStyle w:val="937"/>
      </w:pPr>
      <w:r>
        <w:rPr>
          <w:b/>
          <w:bCs/>
        </w:rPr>
        <w:t xml:space="preserve">Recomendação</w:t>
      </w:r>
      <w:r>
        <w:t xml:space="preserve">: 1 - Notificar o DEAMB para que insira os relatórios de monitoramento das ações relativas aos Eixos de Saneamento e Edificações na periodicidade estabelecida no § 2º do art. 6º, da Portaria de Consolidação nº 1 SESAI/MS/2020. 2 - Fiscalizar os atos praticados pela Entidade durante a execução do presente Termo de Convênio e cumprir o que determina o previsto no art. 4º, § 2º do art. 55 e inciso III do art. 56 da Portaria Interministerial MP/MF/CGU nº 424/2016, quanto ao acompanhamento e registros no TransfereGov.</w:t>
      </w:r>
    </w:p>
    <w:p>
      <w:pPr>
        <w:pStyle w:val="937"/>
      </w:pPr>
      <w:r>
        <w:rPr>
          <w:b/>
          <w:bCs/>
        </w:rPr>
        <w:t xml:space="preserve">Análise Codificação</w:t>
      </w:r>
      <w:r>
        <w:t xml:space="preserve">: Em relação ao foco, a recomendação propõe notificar o DEAMB para inserir os relatórios na periodicidade correta e fiscalizar os atos durante a execução do convênio, o que visa tratar a condição imediata do atraso, mas não aborda explicitamente a causa raiz do problema (como falta de capacitação, recursos ou processos inadequados). Portanto, não há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a causa raiz do problema, como falta de capacitação, recursos ou processos inadequados, focando apenas na condição imediata do atraso. No entanto, a recomendação inclui ações de fiscalização e cumprimento de prazos estabelecidos em portarias, que podem ser interpretadas como medidas para prevenir a recorrência do atraso ao reforçar a conformidade com normas existentes. Quanto ao critério</w:t>
      </w:r>
      <w:r>
        <w:t xml:space="preserve"> </w:t>
      </w:r>
      <w:r>
        <w:t xml:space="preserve">‘Efeitos Duradouros’</w:t>
      </w:r>
      <w:r>
        <w:t xml:space="preserve">, como o modelo classificou</w:t>
      </w:r>
      <w:r>
        <w:t xml:space="preserve"> </w:t>
      </w:r>
      <w:r>
        <w:t xml:space="preserve">‘Foco Causa’</w:t>
      </w:r>
      <w:r>
        <w:t xml:space="preserve"> </w:t>
      </w:r>
      <w:r>
        <w:t xml:space="preserve">como</w:t>
      </w:r>
      <w:r>
        <w:t xml:space="preserve"> </w:t>
      </w:r>
      <w:r>
        <w:t xml:space="preserve">‘Não’</w:t>
      </w:r>
      <w:r>
        <w:t xml:space="preserve">, a resposta</w:t>
      </w:r>
      <w:r>
        <w:t xml:space="preserve"> </w:t>
      </w:r>
      <w:r>
        <w:t xml:space="preserve">‘Não se aplica’</w:t>
      </w:r>
      <w:r>
        <w:t xml:space="preserve"> </w:t>
      </w:r>
      <w:r>
        <w:t xml:space="preserve">é consistente com a definição do critério.</w:t>
      </w:r>
    </w:p>
    <w:p>
      <w:pPr>
        <w:pStyle w:val="937"/>
      </w:pPr>
      <w:r>
        <w:t xml:space="preserve">Análise Foco Causa: Discordo</w:t>
      </w:r>
    </w:p>
    <w:p>
      <w:pPr>
        <w:pStyle w:val="937"/>
      </w:pPr>
      <w:r>
        <w:t xml:space="preserve">Análise Efeitos Duradouros: Concordo</w:t>
      </w:r>
    </w:p>
    <w:bookmarkEnd w:id="690"/>
    <w:bookmarkStart w:id="691" w:name="auditoria-19692-constatação-nº-686827-1"/>
    <w:p>
      <w:pPr>
        <w:pStyle w:val="907"/>
      </w:pPr>
      <w:r>
        <w:t xml:space="preserve">17.0.7.6 Auditoria 19692, Constatação Nº 686827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p>
    <w:p>
      <w:pPr>
        <w:pStyle w:val="937"/>
      </w:pPr>
      <w:r>
        <w:rPr>
          <w:b/>
          <w:bCs/>
        </w:rPr>
        <w:t xml:space="preserve">Recomendação</w:t>
      </w:r>
      <w:r>
        <w:t xml:space="preserve">: Atentar-se para os códigos de classificação das ocupações do mercado de trabalho dos profissionais de saúde, que aptos a realizar o procedimento consulta médica em atenção especializada (código SIGTAP 03.01.01.007-2) conforme descreve o Anexo I da Portaria nº 436 de 10/07/2010 que descreve, dentre os atributos gerais dos procedimentos que compõem a tabela de procedimentos, medicamentos e OPM no SUS, a Classificação Brasileira de Ocupações - CBO, correspondendo aos códigos da classificação das ocupações do mercado de trabalho, especificando os profissionais de saúde, que poderão realizar o procedimento.</w:t>
      </w:r>
    </w:p>
    <w:p>
      <w:pPr>
        <w:pStyle w:val="937"/>
      </w:pPr>
      <w:r>
        <w:rPr>
          <w:b/>
          <w:bCs/>
        </w:rPr>
        <w:t xml:space="preserve">Análise Codificação</w:t>
      </w:r>
      <w:r>
        <w:t xml:space="preserve">: A recomendação sugere que o gestor atente-se aos códigos de CBO conforme a portaria, mas não propõe ações específicas para tratar a causa raiz do problema, como a implementação de um sistema de verificação de CBOs ou treinamento para os profissionais. Em vez disso, foca em conscientização geral, o que é mais condizente com uma abordagem de correção imediata da condição observada.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discordo da análise original, pois a recomendação, ao enfatizar a necessidade de atentar-se aos códigos de CBO conforme a portaria, pode ser interpretada como uma ação voltada à causa raiz do problema, que é a falta de conformidade com as exigências normativas para a realização do procedimento. Quanto ao critério</w:t>
      </w:r>
      <w:r>
        <w:t xml:space="preserve"> </w:t>
      </w:r>
      <w:r>
        <w:t xml:space="preserve">‘Efeitos Duradouros’</w:t>
      </w:r>
      <w:r>
        <w:t xml:space="preserve">, a análise original está correta em considerar que não se aplica, dado que o critério</w:t>
      </w:r>
      <w:r>
        <w:t xml:space="preserve"> </w:t>
      </w:r>
      <w:r>
        <w:t xml:space="preserve">‘Foco Causa’</w:t>
      </w:r>
      <w:r>
        <w:t xml:space="preserve"> </w:t>
      </w:r>
      <w:r>
        <w:t xml:space="preserve">foi avaliado como</w:t>
      </w:r>
      <w:r>
        <w:t xml:space="preserve"> </w:t>
      </w:r>
      <w:r>
        <w:t xml:space="preserve">‘Não’</w:t>
      </w:r>
      <w:r>
        <w:t xml:space="preserve"> </w:t>
      </w:r>
      <w:r>
        <w:t xml:space="preserve">na análise original, mas, como discordo dessa avaliação, a análise de</w:t>
      </w:r>
      <w:r>
        <w:t xml:space="preserve"> </w:t>
      </w:r>
      <w:r>
        <w:t xml:space="preserve">‘Efeitos Duradouros’</w:t>
      </w:r>
      <w:r>
        <w:t xml:space="preserve"> </w:t>
      </w:r>
      <w:r>
        <w:t xml:space="preserve">deveria ser reconsiderada se</w:t>
      </w:r>
      <w:r>
        <w:t xml:space="preserve"> </w:t>
      </w:r>
      <w:r>
        <w:t xml:space="preserve">‘Foco Causa’</w:t>
      </w:r>
      <w:r>
        <w:t xml:space="preserve"> </w:t>
      </w:r>
      <w:r>
        <w:t xml:space="preserve">fosse</w:t>
      </w:r>
      <w:r>
        <w:t xml:space="preserve"> </w:t>
      </w:r>
      <w:r>
        <w:t xml:space="preserve">‘Sim’</w:t>
      </w:r>
      <w:r>
        <w:t xml:space="preserve">.</w:t>
      </w:r>
    </w:p>
    <w:p>
      <w:pPr>
        <w:pStyle w:val="937"/>
      </w:pPr>
      <w:r>
        <w:t xml:space="preserve">Análise Foco Causa: Discordo</w:t>
      </w:r>
    </w:p>
    <w:p>
      <w:pPr>
        <w:pStyle w:val="937"/>
      </w:pPr>
      <w:r>
        <w:t xml:space="preserve">Análise Efeitos Duradouros: Concordo</w:t>
      </w:r>
    </w:p>
    <w:bookmarkEnd w:id="691"/>
    <w:bookmarkStart w:id="692" w:name="auditoria-19758-constatação-nº-693062-1"/>
    <w:p>
      <w:pPr>
        <w:pStyle w:val="907"/>
      </w:pPr>
      <w:r>
        <w:t xml:space="preserve">17.0.7.7 Auditoria 19758, Constatação Nº 693062 (#1)</w:t>
      </w:r>
    </w:p>
    <w:p>
      <w:pPr>
        <w:pStyle w:val="937"/>
      </w:pPr>
      <w:r>
        <w:rPr>
          <w:b/>
          <w:bCs/>
        </w:rPr>
        <w:t xml:space="preserve">Finalidade</w:t>
      </w:r>
      <w:r>
        <w:t xml:space="preserve">: Verificar se CMRFs possuem controles internos capazes de assegurar adequadamente a Cadeia de Frio.</w:t>
      </w:r>
    </w:p>
    <w:p>
      <w:pPr>
        <w:pStyle w:val="937"/>
      </w:pPr>
      <w:r>
        <w:rPr>
          <w:b/>
          <w:bCs/>
        </w:rPr>
        <w:t xml:space="preserve">Constatação</w:t>
      </w:r>
      <w:r>
        <w:t xml:space="preserve">: O transporte dos imunobiológicos realizado pela CMRF de Maranguape não ocorre de acordo com as orientações preconizadas pelo PNI.</w:t>
      </w:r>
    </w:p>
    <w:p>
      <w:pPr>
        <w:pStyle w:val="937"/>
      </w:pPr>
      <w:r>
        <w:rPr>
          <w:b/>
          <w:bCs/>
        </w:rPr>
        <w:t xml:space="preserve">Recomendação</w:t>
      </w:r>
      <w:r>
        <w:t xml:space="preserve">: Promover a adequação do transporte de imunobiológicos, com a implementação de controle de temperatura nos veículos utilizados e registro do monitoramento contínuo da temperatura durante o transporte, em conformidade com as orientações preconizadas no subitem 4.6-Transporte de imunobiológicos do Manual de Rede Frio do Programa Nacional de Imunizações, Ministério da Saúde, 2017, e com o disposto no Art. 61, Título XII, da Lei nº 6.360, de 23/09/1976, combinado com os Arts. 83 e 84, Seção IX, da RDC ANVISA/MS nº 430, de 08/10/2020.</w:t>
      </w:r>
    </w:p>
    <w:p>
      <w:pPr>
        <w:pStyle w:val="937"/>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inadequado, mas não aborda explicitamente as causas subjacentes, como falhas de capacitação, supervisão ou recursos. Portanto, a ação proposta é mais direcionada à condição encontrada do que à causa raiz. Já em relação aos efeitos duradouros, como o critério</w:t>
      </w:r>
      <w:r>
        <w:t xml:space="preserve"> </w:t>
      </w:r>
      <w:r>
        <w:t xml:space="preserve">‘Foco Causa’</w:t>
      </w:r>
      <w:r>
        <w:t xml:space="preserve"> </w:t>
      </w:r>
      <w:r>
        <w:t xml:space="preserve">não foi atendido, essa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causas subjacentes, como falhas de capacitação, supervisão ou recursos, focando apenas na correção da condição específica de transporte inadequado. No entanto, a recomendação propõe a implementação de controle de temperatura e registro contínuo, que podem ser interpretados como medidas para tratar a causa raiz da falta de monitoramento adequado, estabelecendo um sistema permanente. Para</w:t>
      </w:r>
      <w:r>
        <w:t xml:space="preserve"> </w:t>
      </w:r>
      <w:r>
        <w:t xml:space="preserve">‘Efeitos Duradouros’</w:t>
      </w:r>
      <w:r>
        <w:t xml:space="preserve">, como a análise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há discordância na premissa inicial.</w:t>
      </w:r>
    </w:p>
    <w:p>
      <w:pPr>
        <w:pStyle w:val="937"/>
      </w:pPr>
      <w:r>
        <w:t xml:space="preserve">Análise Foco Causa: Discordo</w:t>
      </w:r>
    </w:p>
    <w:p>
      <w:pPr>
        <w:pStyle w:val="937"/>
      </w:pPr>
      <w:r>
        <w:t xml:space="preserve">Análise Efeitos Duradouros: Concordo</w:t>
      </w:r>
    </w:p>
    <w:bookmarkEnd w:id="692"/>
    <w:bookmarkStart w:id="693" w:name="auditoria-19777-constatação-nº-691656-1"/>
    <w:p>
      <w:pPr>
        <w:pStyle w:val="907"/>
      </w:pPr>
      <w:r>
        <w:t xml:space="preserve">17.0.7.8 Auditoria 19777, Constatação Nº 691656 (#1)</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transporte dos imunobiológicos retirados diretamente pela Instância municipal não é realizado de acordo com as orientações preconizadas pelo PNI.</w:t>
      </w:r>
    </w:p>
    <w:p>
      <w:pPr>
        <w:pStyle w:val="937"/>
      </w:pPr>
      <w:r>
        <w:rPr>
          <w:b/>
          <w:bCs/>
        </w:rPr>
        <w:t xml:space="preserve">Recomendação</w:t>
      </w:r>
      <w:r>
        <w:t xml:space="preserve">: Monitorar a temperatura de transporte dos imunobiológicos retirados diretamente pela Instância municipal, conforme estabelecido no Subitem 6.16.2, Item 6, pág. 70, do Manual da Rede de Frio do PNI/2017; e no Subitem 4.6.3., Item 4, pág. 30, do Manual da Rede de Frio do PNI/2017.</w:t>
      </w:r>
    </w:p>
    <w:p>
      <w:pPr>
        <w:pStyle w:val="937"/>
      </w:pPr>
      <w:r>
        <w:rPr>
          <w:b/>
          <w:bCs/>
        </w:rPr>
        <w:t xml:space="preserve">Análise Codificação</w:t>
      </w:r>
      <w:r>
        <w:t xml:space="preserve">: Em relação ao foco, a recomendação propõe monitorar a temperatura de transporte dos imunobiológicos, o que constitui uma ação para verificar e controlar a condição identificada (transporte inadequado), mas não aborda as causas subjacentes que levam ao não cumprimento das orientações do PNI, como falta de capacitação, recursos inadequados ou falhas nos processos. Portanto, a recomendação é focada na condição, não na causa. Quanto aos efeitos duradouros, como o critério</w:t>
      </w:r>
      <w:r>
        <w:t xml:space="preserve"> </w:t>
      </w:r>
      <w:r>
        <w:t xml:space="preserve">‘Foco Causa’</w:t>
      </w:r>
      <w:r>
        <w:t xml:space="preserve"> </w:t>
      </w:r>
      <w:r>
        <w:t xml:space="preserve">não foi atendido,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de monitorar a temperatura do transporte é focada na condição e não aborda causas subjacentes, como falta de capacitação ou recursos. No entanto, monitorar a temperatura pode ser visto como uma ação preventiva que visa identificar e corrigir falhas no processo de transporte, potencialmente tratando causas como falhas operacionais ou de supervisão. Quanto ao critério</w:t>
      </w:r>
      <w:r>
        <w:t xml:space="preserve"> </w:t>
      </w:r>
      <w:r>
        <w:t xml:space="preserve">‘Efeitos Duradouros’</w:t>
      </w:r>
      <w:r>
        <w:t xml:space="preserve">, a análise depende da avaliação do</w:t>
      </w:r>
      <w:r>
        <w:t xml:space="preserve"> </w:t>
      </w:r>
      <w:r>
        <w:t xml:space="preserve">‘Foco Causa’</w:t>
      </w:r>
      <w:r>
        <w:t xml:space="preserve">; se</w:t>
      </w:r>
      <w:r>
        <w:t xml:space="preserve"> </w:t>
      </w:r>
      <w:r>
        <w:t xml:space="preserve">‘Foco Causa’</w:t>
      </w:r>
      <w:r>
        <w:t xml:space="preserve"> </w:t>
      </w:r>
      <w:r>
        <w:t xml:space="preserve">for</w:t>
      </w:r>
      <w:r>
        <w:t xml:space="preserve"> </w:t>
      </w:r>
      <w:r>
        <w:t xml:space="preserve">‘Não’</w:t>
      </w:r>
      <w:r>
        <w:t xml:space="preserve">, então</w:t>
      </w:r>
      <w:r>
        <w:t xml:space="preserve"> </w:t>
      </w:r>
      <w:r>
        <w:t xml:space="preserve">‘Efeitos Duradouros’</w:t>
      </w:r>
      <w:r>
        <w:t xml:space="preserve"> </w:t>
      </w:r>
      <w:r>
        <w:t xml:space="preserve">não se aplica, conforme as regras definidas.</w:t>
      </w:r>
    </w:p>
    <w:p>
      <w:pPr>
        <w:pStyle w:val="937"/>
      </w:pPr>
      <w:r>
        <w:t xml:space="preserve">Análise Foco Causa: Discordo</w:t>
      </w:r>
    </w:p>
    <w:p>
      <w:pPr>
        <w:pStyle w:val="937"/>
      </w:pPr>
      <w:r>
        <w:t xml:space="preserve">Análise Efeitos Duradouros: Concordo</w:t>
      </w:r>
    </w:p>
    <w:bookmarkEnd w:id="693"/>
    <w:bookmarkStart w:id="694" w:name="auditoria-19816-constatação-nº-693839-1"/>
    <w:p>
      <w:pPr>
        <w:pStyle w:val="907"/>
      </w:pPr>
      <w:r>
        <w:t xml:space="preserve">17.0.7.9 Auditoria 19816, Constatação Nº 693839 (#1)</w:t>
      </w:r>
    </w:p>
    <w:p>
      <w:pPr>
        <w:pStyle w:val="937"/>
      </w:pPr>
      <w:r>
        <w:rPr>
          <w:b/>
          <w:bCs/>
        </w:rPr>
        <w:t xml:space="preserve">Finalidade</w:t>
      </w:r>
      <w:r>
        <w:t xml:space="preserve">: Auditoria na PNSMAD - 2024</w:t>
      </w:r>
    </w:p>
    <w:p>
      <w:pPr>
        <w:pStyle w:val="937"/>
      </w:pPr>
      <w:r>
        <w:rPr>
          <w:b/>
          <w:bCs/>
        </w:rPr>
        <w:t xml:space="preserve">Constatação</w:t>
      </w:r>
      <w:r>
        <w:t xml:space="preserve">: As UBS visitadas não comprovaram a realização de ações contínuas do Programa Saúde na Escola relacionadas à saúde mental.</w:t>
      </w:r>
    </w:p>
    <w:p>
      <w:pPr>
        <w:pStyle w:val="937"/>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p>
    <w:p>
      <w:pPr>
        <w:pStyle w:val="937"/>
      </w:pPr>
      <w:r>
        <w:rPr>
          <w:b/>
          <w:bCs/>
        </w:rPr>
        <w:t xml:space="preserve">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comprovação das ações contínuas, como falhas em processos de documentação, capacitação de pessoal ou mecanismos de monitoramento. Portanto, a recomendação é voltada para corrigir a condição imediata (falta de ações) sem tratar da causa raiz.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não aborda causas subjacentes, como falhas em documentação ou capacitação, focando apenas na execução imediata das ações. No entanto, a recomendação exige o cumprimento de normas técnicas e legais específicas, o que pode implicar a institucionalização de práticas regulares e, portanto, abordar causas estruturais. Para o critério</w:t>
      </w:r>
      <w:r>
        <w:t xml:space="preserve"> </w:t>
      </w:r>
      <w:r>
        <w:t xml:space="preserve">‘Efeitos Duradouros’</w:t>
      </w:r>
      <w:r>
        <w:t xml:space="preserve">, como a análise original considera</w:t>
      </w:r>
      <w:r>
        <w:t xml:space="preserve"> </w:t>
      </w:r>
      <w:r>
        <w:t xml:space="preserve">‘Foco Causa’</w:t>
      </w:r>
      <w:r>
        <w:t xml:space="preserve"> </w:t>
      </w:r>
      <w:r>
        <w:t xml:space="preserve">como</w:t>
      </w:r>
      <w:r>
        <w:t xml:space="preserve"> </w:t>
      </w:r>
      <w:r>
        <w:t xml:space="preserve">‘Não’</w:t>
      </w:r>
      <w:r>
        <w:t xml:space="preserve">, ela corretamente declara</w:t>
      </w:r>
      <w:r>
        <w:t xml:space="preserve"> </w:t>
      </w:r>
      <w:r>
        <w:t xml:space="preserve">‘Não se aplica’</w:t>
      </w:r>
      <w:r>
        <w:t xml:space="preserve">, mas essa conclusão depende da avaliação anterior.</w:t>
      </w:r>
    </w:p>
    <w:p>
      <w:pPr>
        <w:pStyle w:val="937"/>
      </w:pPr>
      <w:r>
        <w:t xml:space="preserve">Análise Foco Causa: Discordo</w:t>
      </w:r>
    </w:p>
    <w:p>
      <w:pPr>
        <w:pStyle w:val="937"/>
      </w:pPr>
      <w:r>
        <w:t xml:space="preserve">Análise Efeitos Duradouros: Concordo</w:t>
      </w:r>
    </w:p>
    <w:bookmarkEnd w:id="694"/>
    <w:bookmarkStart w:id="695" w:name="auditoria-19863-constatação-nº-703373-1"/>
    <w:p>
      <w:pPr>
        <w:pStyle w:val="907"/>
      </w:pPr>
      <w:r>
        <w:t xml:space="preserve">17.0.7.10 Auditoria 19863, Constatação Nº 703373 (#1)</w:t>
      </w:r>
    </w:p>
    <w:p>
      <w:pPr>
        <w:pStyle w:val="937"/>
      </w:pPr>
      <w:r>
        <w:rPr>
          <w:b/>
          <w:bCs/>
        </w:rPr>
        <w:t xml:space="preserve">Finalidade</w:t>
      </w:r>
      <w:r>
        <w:t xml:space="preserve">: Verificar o cumprimento do Plano de Ação da SES ref. à ACP nº 10058- 73.2015.4.01.4300 da 1ª VF.</w:t>
      </w:r>
    </w:p>
    <w:p>
      <w:pPr>
        <w:pStyle w:val="937"/>
      </w:pPr>
      <w:r>
        <w:rPr>
          <w:b/>
          <w:bCs/>
        </w:rPr>
        <w:t xml:space="preserve">Constatação</w:t>
      </w:r>
      <w:r>
        <w:t xml:space="preserve">: A SES/TO não comprovou a revisão do Regimento Interno do Hospital Geral de Palmas.</w:t>
      </w:r>
    </w:p>
    <w:p>
      <w:pPr>
        <w:pStyle w:val="937"/>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conforme compromisso assumido para revisão do Regimento Interno do Hospital Geral de Palmas.</w:t>
      </w:r>
    </w:p>
    <w:p>
      <w:pPr>
        <w:pStyle w:val="937"/>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menção a medidas que abordem as razões fundamentais para a não revisão do regimento, como falhas nos processos de gestão, falta de recursos, deficiências na governança ou outros fatores causais. Portanto, a recomendação não possui foco na causa do problema.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do modelo está correta em identificar que a recomendação não aborda a causa subjacente do problema, mas incorre ao afirmar que não há foco na causa, pois a recomendação, embora genérica, pode ser interpretada como uma ação para tratar a causa, que é a ausência de revisão do regimento interno. No entanto, a falta de especificidade e foco em fatores causais mais profundos justifica a discordância parcial. Para o critério de efeitos duradouros, a resposta</w:t>
      </w:r>
      <w:r>
        <w:t xml:space="preserve"> </w:t>
      </w:r>
      <w:r>
        <w:t xml:space="preserve">‘Não se aplica’</w:t>
      </w:r>
      <w:r>
        <w:t xml:space="preserve"> </w:t>
      </w:r>
      <w:r>
        <w:t xml:space="preserve">está correta, pois o critério</w:t>
      </w:r>
      <w:r>
        <w:t xml:space="preserve"> </w:t>
      </w:r>
      <w:r>
        <w:t xml:space="preserve">‘Foco Causa’</w:t>
      </w:r>
      <w:r>
        <w:t xml:space="preserve"> </w:t>
      </w:r>
      <w:r>
        <w:t xml:space="preserve">foi avaliado como</w:t>
      </w:r>
      <w:r>
        <w:t xml:space="preserve"> </w:t>
      </w:r>
      <w:r>
        <w:t xml:space="preserve">‘Não’</w:t>
      </w:r>
      <w:r>
        <w:t xml:space="preserve">.</w:t>
      </w:r>
    </w:p>
    <w:p>
      <w:pPr>
        <w:pStyle w:val="937"/>
      </w:pPr>
      <w:r>
        <w:t xml:space="preserve">Análise Foco Causa: Discordo</w:t>
      </w:r>
    </w:p>
    <w:p>
      <w:pPr>
        <w:pStyle w:val="937"/>
      </w:pPr>
      <w:r>
        <w:t xml:space="preserve">Análise Efeitos Duradouros: Concordo</w:t>
      </w:r>
    </w:p>
    <w:bookmarkEnd w:id="695"/>
    <w:bookmarkEnd w:id="696"/>
    <w:bookmarkStart w:id="707" w:name="X3c0f7736c0aeb7e9eafe347f4d0471c794525ec"/>
    <w:p>
      <w:pPr>
        <w:pStyle w:val="906"/>
      </w:pPr>
      <w:r>
        <w:t xml:space="preserve">17.0.8 Foco: Não, Efeitos: Não se aplica, Concordância Foco: Discordo, Concordância Efeitos: Não se aplica</w:t>
      </w:r>
    </w:p>
    <w:bookmarkStart w:id="697" w:name="auditoria-19197-constatação-nº-654772-1"/>
    <w:p>
      <w:pPr>
        <w:pStyle w:val="907"/>
      </w:pPr>
      <w:r>
        <w:t xml:space="preserve">17.0.8.1 Auditoria 19197, Constatação Nº 654772 (#1)</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Inadequação no fluxo de distribuição e dispensação de OPME.</w:t>
      </w:r>
    </w:p>
    <w:p>
      <w:pPr>
        <w:pStyle w:val="937"/>
      </w:pPr>
      <w:r>
        <w:rPr>
          <w:b/>
          <w:bCs/>
        </w:rPr>
        <w:t xml:space="preserve">Recomendação</w:t>
      </w:r>
      <w:r>
        <w:t xml:space="preserve">: Cumprir as determinações sobre o recebimento de objetos licitados expressas no art. 140 c/c art. 104, inciso II,</w:t>
      </w:r>
      <w:r>
        <w:t xml:space="preserve"> </w:t>
      </w:r>
      <w:r>
        <w:t xml:space="preserve">“b”</w:t>
      </w:r>
      <w:r>
        <w:t xml:space="preserve"> </w:t>
      </w:r>
      <w:r>
        <w:t xml:space="preserve">e art. 104, § 1° da Lei n° 14.133/2021.</w:t>
      </w:r>
    </w:p>
    <w:p>
      <w:pPr>
        <w:pStyle w:val="937"/>
      </w:pPr>
      <w:r>
        <w:rPr>
          <w:b/>
          <w:bCs/>
        </w:rPr>
        <w:t xml:space="preserve">Análise Codificação</w:t>
      </w:r>
      <w:r>
        <w:t xml:space="preserve">: A recomendação se limita a citar dispositivos legais sem propor ações específicas para tratar a causa da inadequação no fluxo de distribuição e dispensação de OPME. Não há menção a medidas como revisão de processos, capacitação de pessoal, implementação de controles ou outras ações que ataquem a raiz do problema. Portanto, não atende ao critério de foco na causa.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apenas cita dispositivos legais sem propor ações específicas para tratar a causa da inadequação no fluxo. No entanto, a recomendação de</w:t>
      </w:r>
      <w:r>
        <w:t xml:space="preserve"> </w:t>
      </w:r>
      <w:r>
        <w:t xml:space="preserve">‘Cumprir as determinações’</w:t>
      </w:r>
      <w:r>
        <w:t xml:space="preserve"> </w:t>
      </w:r>
      <w:r>
        <w:t xml:space="preserve">pode ser interpretada como uma ação direcionada à causa subjacente, que é o não cumprimento de normas legais, potencialmente exigindo mudanças sistêmicas. Para o critério</w:t>
      </w:r>
      <w:r>
        <w:t xml:space="preserve"> </w:t>
      </w:r>
      <w:r>
        <w:t xml:space="preserve">‘Efeitos Duradouros’</w:t>
      </w:r>
      <w:r>
        <w:t xml:space="preserve">, a análise depende da resposta ao</w:t>
      </w:r>
      <w:r>
        <w:t xml:space="preserve"> </w:t>
      </w:r>
      <w:r>
        <w:t xml:space="preserve">‘Foco Causa’</w:t>
      </w:r>
      <w:r>
        <w:t xml:space="preserve">, e uma reavaliação pode levar a uma conclusão diferente.</w:t>
      </w:r>
    </w:p>
    <w:p>
      <w:pPr>
        <w:pStyle w:val="937"/>
      </w:pPr>
      <w:r>
        <w:t xml:space="preserve">Análise Foco Causa: Discordo</w:t>
      </w:r>
    </w:p>
    <w:p>
      <w:pPr>
        <w:pStyle w:val="937"/>
      </w:pPr>
      <w:r>
        <w:t xml:space="preserve">Análise Efeitos Duradouros: Não se aplica</w:t>
      </w:r>
    </w:p>
    <w:bookmarkEnd w:id="697"/>
    <w:bookmarkStart w:id="698" w:name="auditoria-19197-constatação-nº-654780-1"/>
    <w:p>
      <w:pPr>
        <w:pStyle w:val="907"/>
      </w:pPr>
      <w:r>
        <w:t xml:space="preserve">17.0.8.2 Auditoria 19197, Constatação Nº 654780 (#1)</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As etiquetas das OPME fixadas nos prontuários não seguem plenamente as exigências constantes nas normativas vigentes.</w:t>
      </w:r>
    </w:p>
    <w:p>
      <w:pPr>
        <w:pStyle w:val="937"/>
      </w:pPr>
      <w:r>
        <w:rPr>
          <w:b/>
          <w:bCs/>
        </w:rPr>
        <w:t xml:space="preserve">Recomendação</w:t>
      </w:r>
      <w:r>
        <w:t xml:space="preserve">: Cumprir as diretrizes constantes na Resolução da Diretoria Colegiada da Anvisa - RDC 14, de 05 de abril de 2011 que</w:t>
      </w:r>
      <w:r>
        <w:t xml:space="preserve"> </w:t>
      </w:r>
      <w:r>
        <w:t xml:space="preserve">“Institui o regulamento técnico com os requisitos para agrupamento de materiais de uso em saúde para fins de registro e cadastro na ANVISA e adota etiquetas de rastreabilidade para produtos implantáveis”</w:t>
      </w:r>
      <w:r>
        <w:t xml:space="preserve">, mais especificamente no item IV do art. 4º que define que a etiqueta de rastreabilidade é o</w:t>
      </w:r>
      <w:r>
        <w:t xml:space="preserve"> </w:t>
      </w:r>
      <w:r>
        <w:t xml:space="preserve">“documento complementar a ser fornecido com o material de uso em saúde, contendo campo para inserção das seguintes informações: a) nome ou modelo comercial; b) identificação do fabricante ou importador; c) código do produto ou do componente do sistema; e d) número de lote e número de registro na ANVISA”</w:t>
      </w:r>
      <w:r>
        <w:t xml:space="preserve"> </w:t>
      </w:r>
      <w:r>
        <w:t xml:space="preserve">c/c as diretrizes constantes no capítulo 6</w:t>
      </w:r>
      <w:r>
        <w:t xml:space="preserve"> </w:t>
      </w:r>
      <w:r>
        <w:t xml:space="preserve">“UTILIZAÇÃO, CONTROLE E RASTREABILIDADE”</w:t>
      </w:r>
      <w:r>
        <w:t xml:space="preserve"> </w:t>
      </w:r>
      <w:r>
        <w:t xml:space="preserve">do Manual de Boas Práticas de Gestão das Órteses e Próteses e Materiais Especiais (OPME), do Ministério da Saúde cujo item 6.4 Rastreabilidade determina que</w:t>
      </w:r>
      <w:r>
        <w:t xml:space="preserve"> </w:t>
      </w:r>
      <w:r>
        <w:t xml:space="preserve">“As informações que devem constar na etiqueta de rastreabilidade do produto implantado são: nome ou modelo comercial, identificação do fabricante ou importador, código do produto ou do componente do sistema, número de lote e número de registro na Anvisa, conforme a RDC n°14 Anvisa, de 5 de abril de 2011.”</w:t>
      </w:r>
    </w:p>
    <w:p>
      <w:pPr>
        <w:pStyle w:val="937"/>
      </w:pPr>
      <w:r>
        <w:rPr>
          <w:b/>
          <w:bCs/>
        </w:rPr>
        <w:t xml:space="preserve">Análise Codificação</w:t>
      </w:r>
      <w:r>
        <w:t xml:space="preserve">: Em relação ao foco, a recomendação propõe o cumprimento de diretrizes normativas específicas para a etiquetagem de OPME, o que visa corrigir a condição atual de não conformidade, mas não identifica ou aborda ações para tratar a causa subjacente do problema, como falhas em processos de treinamento ou controle de qualidade. Já em relação aos efeitos pretendidos pela recomendação, como o critério</w:t>
      </w:r>
      <w:r>
        <w:t xml:space="preserve"> </w:t>
      </w:r>
      <w:r>
        <w:t xml:space="preserve">‘Foco Causa’</w:t>
      </w:r>
      <w:r>
        <w:t xml:space="preserve"> </w:t>
      </w:r>
      <w:r>
        <w:t xml:space="preserve">não é atendido, essa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do modelo está bem fundamentada, mas merece uma avaliação mais detalhada sobre a natureza da recomendação e sua relação com as causas subjacentes.</w:t>
      </w:r>
    </w:p>
    <w:p>
      <w:pPr>
        <w:pStyle w:val="937"/>
      </w:pPr>
      <w:r>
        <w:t xml:space="preserve">Análise Foco Causa: Discordo</w:t>
      </w:r>
    </w:p>
    <w:p>
      <w:pPr>
        <w:pStyle w:val="937"/>
      </w:pPr>
      <w:r>
        <w:t xml:space="preserve">Análise Efeitos Duradouros: Não se aplica</w:t>
      </w:r>
    </w:p>
    <w:bookmarkEnd w:id="698"/>
    <w:bookmarkStart w:id="699" w:name="auditoria-19238-constatação-nº-654678-1"/>
    <w:p>
      <w:pPr>
        <w:pStyle w:val="907"/>
      </w:pPr>
      <w:r>
        <w:t xml:space="preserve">17.0.8.3 Auditoria 19238, Constatação Nº 654678 (#1)</w:t>
      </w:r>
    </w:p>
    <w:p>
      <w:pPr>
        <w:pStyle w:val="937"/>
      </w:pPr>
      <w:r>
        <w:rPr>
          <w:b/>
          <w:bCs/>
        </w:rPr>
        <w:t xml:space="preserve">Finalidade</w:t>
      </w:r>
      <w:r>
        <w:t xml:space="preserve">: Monitorar as recomendações da Auditoria nº 16936 ref a execução da PNAISP</w:t>
      </w:r>
    </w:p>
    <w:p>
      <w:pPr>
        <w:pStyle w:val="937"/>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p>
    <w:p>
      <w:pPr>
        <w:pStyle w:val="937"/>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instalações, conforme determina o art. 11 do Decreto nº 1.651/1995. Prover as unidades prisionais de medicamentos e insumos previstos nos anexos I e IV da RENAME, conforme determina o inciso II do art. 579 da Portaria de Consolidação GM/MS nº 06, de 28/9/2017.</w:t>
      </w:r>
    </w:p>
    <w:p>
      <w:pPr>
        <w:pStyle w:val="937"/>
      </w:pPr>
      <w:r>
        <w:rPr>
          <w:b/>
          <w:bCs/>
        </w:rPr>
        <w:t xml:space="preserve">Análise Codificação</w:t>
      </w:r>
      <w:r>
        <w:t xml:space="preserve">: A recomendação possui duas partes distintas. A primeira parte trata do fornecimento de informações ao pessoal do SNA, o que pode ser considerado como uma ação voltada para a causa da falta de transparência, mas não diretamente relacionada à carência de medicamentos. A segunda parte recomenda prover as unidades prisionais de medicamentos e insumos, o que é uma ação direta para corrigir a condição encontrada (carência de medicamentos), sem abordar as causas subjacentes, como falhas na gestão de suprimentos ou alocação de recursos. Portanto, não há uma ação clara que trate da causa do problema que gerou a condição encontrada.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do modelo identificou corretamente que a recomendação possui duas partes distintas e avaliou adequadamente o foco de cada uma. No entanto, a conclusão sobre o critério</w:t>
      </w:r>
      <w:r>
        <w:t xml:space="preserve"> </w:t>
      </w:r>
      <w:r>
        <w:t xml:space="preserve">‘Foco Causa’</w:t>
      </w:r>
      <w:r>
        <w:t xml:space="preserve"> </w:t>
      </w:r>
      <w:r>
        <w:t xml:space="preserve">merece uma análise mais aprofundada sobre qual é a causa raiz do problema identificado na constatação.</w:t>
      </w:r>
    </w:p>
    <w:p>
      <w:pPr>
        <w:pStyle w:val="937"/>
      </w:pPr>
      <w:r>
        <w:t xml:space="preserve">Análise Foco Causa: Discordo</w:t>
      </w:r>
    </w:p>
    <w:p>
      <w:pPr>
        <w:pStyle w:val="937"/>
      </w:pPr>
      <w:r>
        <w:t xml:space="preserve">Análise Efeitos Duradouros: Não se aplica</w:t>
      </w:r>
    </w:p>
    <w:bookmarkEnd w:id="699"/>
    <w:bookmarkStart w:id="700" w:name="auditoria-19496-constatação-nº-670139-1"/>
    <w:p>
      <w:pPr>
        <w:pStyle w:val="907"/>
      </w:pPr>
      <w:r>
        <w:t xml:space="preserve">17.0.8.4 Auditoria 19496, Constatação Nº 670139 (#1)</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Irregularidades nos cupons e receitas médicas disponibilizadas pela empresa.</w:t>
      </w:r>
    </w:p>
    <w:p>
      <w:pPr>
        <w:pStyle w:val="937"/>
      </w:pPr>
      <w:r>
        <w:rPr>
          <w:b/>
          <w:bCs/>
        </w:rPr>
        <w:t xml:space="preserve">Recomendação</w:t>
      </w:r>
      <w:r>
        <w:t xml:space="preserve">: Em caso de restabelecimento da conexão ao Sistema de Vendas do PFPB, comercializar e dispensar medicamentos e/ou correlatos em observância às regras de execução do Programa Farmácia Popular do Brasil, a fim de não incorrer em práticas irregulares, conforme o preconizado no inciso I e II, Art. 21, § 1º, da subseção II - Da autorização de comercialização e da dispensação dos medicamentos e correlatos, Capítulo II, Anexo LXXVII da Portaria de Consolidação nº 05 de 28 de setembro de 2017, atualmente em vigor, bem como consta no Art. 22 dessa Portaria, alterado pela Portaria GM/MS Nº 2.898/2021, de 03 de novembro de 2021, em consonância com as regras para comercialização e dispensação de medicamentos e/ou correlatos no âmbito do PFPB</w:t>
      </w:r>
    </w:p>
    <w:p>
      <w:pPr>
        <w:pStyle w:val="937"/>
      </w:pPr>
      <w:r>
        <w:rPr>
          <w:b/>
          <w:bCs/>
        </w:rPr>
        <w:t xml:space="preserve">Análise Codificação</w:t>
      </w:r>
      <w:r>
        <w:t xml:space="preserve">: A recomendação propõe que, em caso de restabelecimento da conexão ao Sistema de Vendas do PFPB, a empresa comercialize e dispense medicamentos em observância às regras do programa para evitar práticas irregulares. No entanto, a ação sugerida é focada em corrigir a condição atual (práticas irregulares) por meio do cumprimento das regras existentes, sem propor medidas que abordem a causa raiz que levou às irregularidades, como falhas nos processos internos, capacitação inadequada ou controle insuficiente.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apenas corrige a condição atual (práticas irregulares) sem abordar a causa raiz, como falhas processuais ou de capacitação. No entanto, a recomendação especifica que a ação deve ser tomada</w:t>
      </w:r>
      <w:r>
        <w:t xml:space="preserve"> </w:t>
      </w:r>
      <w:r>
        <w:t xml:space="preserve">‘em caso de restabelecimento da conexão ao Sistema de Vendas do PFPB’</w:t>
      </w:r>
      <w:r>
        <w:t xml:space="preserve">, o que sugere que a desconexão do sistema pode ser uma causa subjacente das irregularidades, e a recomendação visa prevenir a recorrência ao assegurar a conformidade após o restabelecimento. Quanto ao critério</w:t>
      </w:r>
      <w:r>
        <w:t xml:space="preserve"> </w:t>
      </w:r>
      <w:r>
        <w:t xml:space="preserve">‘Efeitos Duradouros’</w:t>
      </w:r>
      <w:r>
        <w:t xml:space="preserve">, como discordo da classificação de</w:t>
      </w:r>
      <w:r>
        <w:t xml:space="preserve"> </w:t>
      </w:r>
      <w:r>
        <w:t xml:space="preserve">‘Foco Causa’</w:t>
      </w:r>
      <w:r>
        <w:t xml:space="preserve">, a análise de</w:t>
      </w:r>
      <w:r>
        <w:t xml:space="preserve"> </w:t>
      </w:r>
      <w:r>
        <w:t xml:space="preserve">‘Não se aplica’</w:t>
      </w:r>
      <w:r>
        <w:t xml:space="preserve"> </w:t>
      </w:r>
      <w:r>
        <w:t xml:space="preserve">também é questionável, mas não é avaliada diretamente aqui.</w:t>
      </w:r>
    </w:p>
    <w:p>
      <w:pPr>
        <w:pStyle w:val="937"/>
      </w:pPr>
      <w:r>
        <w:t xml:space="preserve">Análise Foco Causa: Discordo</w:t>
      </w:r>
    </w:p>
    <w:p>
      <w:pPr>
        <w:pStyle w:val="937"/>
      </w:pPr>
      <w:r>
        <w:t xml:space="preserve">Análise Efeitos Duradouros: Não se aplica</w:t>
      </w:r>
    </w:p>
    <w:bookmarkEnd w:id="700"/>
    <w:bookmarkStart w:id="701" w:name="auditoria-19617-constatação-nº-675252-1"/>
    <w:p>
      <w:pPr>
        <w:pStyle w:val="907"/>
      </w:pPr>
      <w:r>
        <w:t xml:space="preserve">17.0.8.5 Auditoria 19617, Constatação Nº 675252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Existência de vínculo societário entre empresas que participaram do mesmo procedimento de cotação de preço.</w:t>
      </w:r>
    </w:p>
    <w:p>
      <w:pPr>
        <w:pStyle w:val="937"/>
      </w:pPr>
      <w:r>
        <w:rPr>
          <w:b/>
          <w:bCs/>
        </w:rPr>
        <w:t xml:space="preserve">Recomendação</w:t>
      </w:r>
      <w:r>
        <w:t xml:space="preserve">: Notificar a convenente para apresentação de justificativas quanto ao constatado, tendo em vista a inobservância ao preconizado no art. 45 da Portaria MP/MF/CGU nº 424/2016. Além disso, observar o cumprimento do requisitos formais, a fim de evitar impropriedades nos processos de execução da subcontratação, atendendo o preconizado no inciso IV, art. 5º, da IN SEGES /ME nº 65, de 07/07/2021, inciso II, § 2º, art. 5º, da IN SEGES /ME nº 65, de 07/07/2021, inciso VI, art. 3º, da IN SEGES /ME nº 65, de 07/07/2021, incisos IV e IV, art. 5º, da INSEGES /ME nº 65, de 07/07/2021, também observar o disposto no inciso V, art. 19, da Portaria Interministerial MP/MF/CGU nº 424/2016.</w:t>
      </w:r>
    </w:p>
    <w:p>
      <w:pPr>
        <w:pStyle w:val="937"/>
      </w:pPr>
      <w:r>
        <w:rPr>
          <w:b/>
          <w:bCs/>
        </w:rPr>
        <w:t xml:space="preserve">Análise Codificação</w:t>
      </w:r>
      <w:r>
        <w:t xml:space="preserve">: A recomendação propõe notificar a convenente para apresentar justificativas sobre a constatação e observar o cumprimento de requisitos formais para evitar impropriedades. No entanto, essas ações são reativas e focam em corrigir a condição atual (vínculo societário) e garantir conformidade normativa, sem propor medidas para abordar a causa subjacente, como a falta de procedimentos de verificação de conflitos de interesse ou treinamento para prevenir tais situações.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é reativa e focada em corrigir a condição atual, sem abordar a causa subjacente, como a falta de procedimentos de verificação de conflitos de interesse. No entanto, a recomendação inclui a observação do cumprimento de requisitos formais para evitar impropriedades futuras, o que pode ser interpretado como uma ação preventiva que visa tratar a causa (ex: falhas nos processos de subcontratação). Portanto, há uma ambiguidade que justifica uma revisão. Para o critério</w:t>
      </w:r>
      <w:r>
        <w:t xml:space="preserve"> </w:t>
      </w:r>
      <w:r>
        <w:t xml:space="preserve">‘Efeitos Duradouros’</w:t>
      </w:r>
      <w:r>
        <w:t xml:space="preserve">, como discordo da classificação do</w:t>
      </w:r>
      <w:r>
        <w:t xml:space="preserve"> </w:t>
      </w:r>
      <w:r>
        <w:t xml:space="preserve">‘Foco Causa’</w:t>
      </w:r>
      <w:r>
        <w:t xml:space="preserve">, a análise não se aplica diretamente, mas a ação de observar requisitos formais poderia ter efeitos duradouros se institucionalizada.</w:t>
      </w:r>
    </w:p>
    <w:p>
      <w:pPr>
        <w:pStyle w:val="937"/>
      </w:pPr>
      <w:r>
        <w:t xml:space="preserve">Análise Foco Causa: Discordo</w:t>
      </w:r>
    </w:p>
    <w:p>
      <w:pPr>
        <w:pStyle w:val="937"/>
      </w:pPr>
      <w:r>
        <w:t xml:space="preserve">Análise Efeitos Duradouros: Não se aplica</w:t>
      </w:r>
    </w:p>
    <w:bookmarkEnd w:id="701"/>
    <w:bookmarkStart w:id="702" w:name="auditoria-19669-constatação-nº-684468-1"/>
    <w:p>
      <w:pPr>
        <w:pStyle w:val="907"/>
      </w:pPr>
      <w:r>
        <w:t xml:space="preserve">17.0.8.6 Auditoria 19669, Constatação Nº 684468 (#1)</w:t>
      </w:r>
    </w:p>
    <w:p>
      <w:pPr>
        <w:pStyle w:val="937"/>
      </w:pPr>
      <w:r>
        <w:rPr>
          <w:b/>
          <w:bCs/>
        </w:rPr>
        <w:t xml:space="preserve">Finalidade</w:t>
      </w:r>
      <w:r>
        <w:t xml:space="preserve">: Verificar a regularidade da produção inserida no SIASUS e no SIHSUS.</w:t>
      </w:r>
    </w:p>
    <w:p>
      <w:pPr>
        <w:pStyle w:val="937"/>
      </w:pPr>
      <w:r>
        <w:rPr>
          <w:b/>
          <w:bCs/>
        </w:rPr>
        <w:t xml:space="preserve">Constatação</w:t>
      </w:r>
      <w:r>
        <w:t xml:space="preserve">: A SMS não apresentou documentos que comprovem que o Cadastro Nacional de Estabelecimentos de Saúde (CNES) do EAS está atualizado.</w:t>
      </w:r>
    </w:p>
    <w:p>
      <w:pPr>
        <w:pStyle w:val="937"/>
      </w:pPr>
      <w:r>
        <w:rPr>
          <w:b/>
          <w:bCs/>
        </w:rPr>
        <w:t xml:space="preserve">Recomendação</w:t>
      </w:r>
      <w:r>
        <w:t xml:space="preserve">: Cumprir com o inciso III, do Art. 369, da Portaria de Consolidação GM/MS n.º 1, de 28 de setembro de 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e Portaria SAS/MS nº 134/2011, art 1º, que diz que constitui responsabilidade dos gestores municipais, estaduais e do Distrito Federal (DF), bem como dos gerentes de todos os estabelecimentos de saúde na correta inserção, manutenção e atualização sistemática dos cadastros no SCNES dos profissionais de saúde em exercício nos seus respectivos serviços de saúde, públicos e privados.</w:t>
      </w:r>
    </w:p>
    <w:p>
      <w:pPr>
        <w:pStyle w:val="937"/>
      </w:pPr>
      <w:r>
        <w:rPr>
          <w:b/>
          <w:bCs/>
        </w:rPr>
        <w:t xml:space="preserve">Análise Codificação</w:t>
      </w:r>
      <w:r>
        <w:t xml:space="preserve">: A recomendação exige o cumprimento de normas específicas sobre atualização cadastral no CNES, mas não propõe ações concretas para tratar a causa subjacente da falta de documentação, como a implementação de processos internos ou capacitação.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apenas exige o cumprimento de normas sem propor ações concretas para tratar a causa subjacente, como implementação de processos internos ou capacitação. No entanto, a recomendação especifica o cumprimento de dispositivos legais que tratam diretamente das responsabilidades de cadastramento, manutenção e atualização sistemática do CNES, o que pode ser interpretado como uma ação para corrigir a causa raiz da falta de documentação, que é o descumprimento dessas obrigações. Quanto ao critério</w:t>
      </w:r>
      <w:r>
        <w:t xml:space="preserve"> </w:t>
      </w:r>
      <w:r>
        <w:t xml:space="preserve">‘Efeitos Duradouros’</w:t>
      </w:r>
      <w:r>
        <w:t xml:space="preserve">, como a avaliação do</w:t>
      </w:r>
      <w:r>
        <w:t xml:space="preserve"> </w:t>
      </w:r>
      <w:r>
        <w:t xml:space="preserve">‘Foco Causa’</w:t>
      </w:r>
      <w:r>
        <w:t xml:space="preserve"> </w:t>
      </w:r>
      <w:r>
        <w:t xml:space="preserve">foi</w:t>
      </w:r>
      <w:r>
        <w:t xml:space="preserve"> </w:t>
      </w:r>
      <w:r>
        <w:t xml:space="preserve">‘Não’</w:t>
      </w:r>
      <w:r>
        <w:t xml:space="preserve">, a resposta</w:t>
      </w:r>
      <w:r>
        <w:t xml:space="preserve"> </w:t>
      </w:r>
      <w:r>
        <w:t xml:space="preserve">‘Não se aplica’</w:t>
      </w:r>
      <w:r>
        <w:t xml:space="preserve"> </w:t>
      </w:r>
      <w:r>
        <w:t xml:space="preserve">está correta, mas a discordância no primeiro critério afeta essa conclusão.</w:t>
      </w:r>
    </w:p>
    <w:p>
      <w:pPr>
        <w:pStyle w:val="937"/>
      </w:pPr>
      <w:r>
        <w:t xml:space="preserve">Análise Foco Causa: Discordo</w:t>
      </w:r>
    </w:p>
    <w:p>
      <w:pPr>
        <w:pStyle w:val="937"/>
      </w:pPr>
      <w:r>
        <w:t xml:space="preserve">Análise Efeitos Duradouros: Não se aplica</w:t>
      </w:r>
    </w:p>
    <w:bookmarkEnd w:id="702"/>
    <w:bookmarkStart w:id="703" w:name="auditoria-19671-constatação-nº-688498-2"/>
    <w:p>
      <w:pPr>
        <w:pStyle w:val="907"/>
      </w:pPr>
      <w:r>
        <w:t xml:space="preserve">17.0.8.7 Auditoria 19671, Constatação Nº 688498 (#2)</w:t>
      </w:r>
    </w:p>
    <w:p>
      <w:pPr>
        <w:pStyle w:val="937"/>
      </w:pPr>
      <w:r>
        <w:rPr>
          <w:b/>
          <w:bCs/>
        </w:rPr>
        <w:t xml:space="preserve">Finalidade</w:t>
      </w:r>
      <w:r>
        <w:t xml:space="preserve">: Verificar a Política Nacional de Atenção ao Portador de Doença Renal Crônica em tratamento dialítico</w:t>
      </w:r>
    </w:p>
    <w:p>
      <w:pPr>
        <w:pStyle w:val="937"/>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p>
    <w:p>
      <w:pPr>
        <w:pStyle w:val="937"/>
      </w:pPr>
      <w:r>
        <w:rPr>
          <w:b/>
          <w:bCs/>
        </w:rPr>
        <w:t xml:space="preserve">Recomendação</w:t>
      </w:r>
      <w:r>
        <w:t xml:space="preserve">: Monitorar o planejamento e a execução da Política Nacional de Atenção ao Portador de Doença Renal Crônica no Município de Itabaiana/SE, considerando que compete à SAES/MS, nos termos dos incisos I e V, art. 26 do Decreto nº 11.798, de 28 de novembro de 2023: I - participar da formulação e da implementação da política de atenção especializada à saúde, observados os princípios e as diretrizes do SUS; e V - desenvolver mecanismos de gestão, controle, monitoramento e de avaliação das ações destinadas à organização e à implementação das políticas estruturantes para o fortalecimento e a qualificação da atenção especializada à saúde.</w:t>
      </w:r>
    </w:p>
    <w:p>
      <w:pPr>
        <w:pStyle w:val="937"/>
      </w:pPr>
      <w:r>
        <w:rPr>
          <w:b/>
          <w:bCs/>
        </w:rPr>
        <w:t xml:space="preserve">Análise Codificação</w:t>
      </w:r>
      <w:r>
        <w:t xml:space="preserve">: Em relação ao foco, a recomendação propõe monitorar o planejamento e a execução da política, o que pode abordar a causa subjacente de falta de planejamento e implementação inadequada, mas não especifica ações diretas para tratar a causa raiz, como a criação de instrumentos de planejamento. Portanto, não há uma ação clara focada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discordo da análise original, pois a recomendação de monitorar o planejamento e execução da política visa abordar diretamente a causa da falta de informações nos instrumentos de planejamento, promovendo ações corretivas contínuas. Quanto ao critério</w:t>
      </w:r>
      <w:r>
        <w:t xml:space="preserve"> </w:t>
      </w:r>
      <w:r>
        <w:t xml:space="preserve">‘Efeitos Duradouros’</w:t>
      </w:r>
      <w:r>
        <w:t xml:space="preserve">, como discordo da classificação anterior para</w:t>
      </w:r>
      <w:r>
        <w:t xml:space="preserve"> </w:t>
      </w:r>
      <w:r>
        <w:t xml:space="preserve">‘Foco Causa’</w:t>
      </w:r>
      <w:r>
        <w:t xml:space="preserve">, a análise não se aplica corretamente, mas se considerada, os efeitos seriam duradouros devido ao estabelecimento de mecanismos permanentes de monitoramento.</w:t>
      </w:r>
    </w:p>
    <w:p>
      <w:pPr>
        <w:pStyle w:val="937"/>
      </w:pPr>
      <w:r>
        <w:t xml:space="preserve">Análise Foco Causa: Discordo</w:t>
      </w:r>
    </w:p>
    <w:p>
      <w:pPr>
        <w:pStyle w:val="937"/>
      </w:pPr>
      <w:r>
        <w:t xml:space="preserve">Análise Efeitos Duradouros: Não se aplica</w:t>
      </w:r>
    </w:p>
    <w:bookmarkEnd w:id="703"/>
    <w:bookmarkStart w:id="704" w:name="auditoria-19722-constatação-nº-694116-1"/>
    <w:p>
      <w:pPr>
        <w:pStyle w:val="907"/>
      </w:pPr>
      <w:r>
        <w:t xml:space="preserve">17.0.8.8 Auditoria 19722, Constatação Nº 694116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Não foi possível evidenciar a capacidade instalada de oferta, correspondente à série histórica de produção registrada no SIA/SUS.</w:t>
      </w:r>
    </w:p>
    <w:p>
      <w:pPr>
        <w:pStyle w:val="937"/>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dos anexos, quando existentes, considerando que a inexecução parcial do contrato pode resultar em sanções administrativas, como advertências, multas, e até mesmo a suspensão temporária de participar de licitações futuras (Lei 14.133/2021, arts. 155 e 156).</w:t>
      </w:r>
    </w:p>
    <w:p>
      <w:pPr>
        <w:pStyle w:val="937"/>
      </w:pPr>
      <w:r>
        <w:rPr>
          <w:b/>
          <w:bCs/>
        </w:rPr>
        <w:t xml:space="preserve">Análise Codificação</w:t>
      </w:r>
      <w:r>
        <w:t xml:space="preserve">: A recomendação enfatiza o cumprimento de obrigações contratuais e legais, como a vinculação ao edital e o preenchimento de anexos, o que pode abordar parcialmente a causa subjacente de não evidenciar a capacidade instalada, ao promover conformidade. No entanto, ela não propõe ações específicas para tratar diretamente a causa raiz, como a implementação de sistemas de monitoramento ou capacitação para garantir a documentação adequada da capacidade instalada, focando mais na condição de não conformidade atual. Quanto aos efeitos duradouros, como a recomendação não trata claramente da causa, essa avaliação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do modelo identifica corretamente que a recomendação enfatiza o cumprimento de obrigações contratuais e legais, mas não propõe ações específicas para tratar a causa raiz da falta de evidência da capacidade instalada. No entanto, a avaliação do critério</w:t>
      </w:r>
      <w:r>
        <w:t xml:space="preserve"> </w:t>
      </w:r>
      <w:r>
        <w:t xml:space="preserve">‘Foco Causa’</w:t>
      </w:r>
      <w:r>
        <w:t xml:space="preserve"> </w:t>
      </w:r>
      <w:r>
        <w:t xml:space="preserve">como</w:t>
      </w:r>
      <w:r>
        <w:t xml:space="preserve"> </w:t>
      </w:r>
      <w:r>
        <w:t xml:space="preserve">‘Não’</w:t>
      </w:r>
      <w:r>
        <w:t xml:space="preserve"> </w:t>
      </w:r>
      <w:r>
        <w:t xml:space="preserve">pode ser questionada, pois a recomendação, ao exigir o cumprimento de vinculação ao edital e preenchimento de anexos, pode ser interpretada como uma ação que aborda a causa subjacente de inconsistências na documentação e registros.</w:t>
      </w:r>
    </w:p>
    <w:p>
      <w:pPr>
        <w:pStyle w:val="937"/>
      </w:pPr>
      <w:r>
        <w:t xml:space="preserve">Análise Foco Causa: Discordo</w:t>
      </w:r>
    </w:p>
    <w:p>
      <w:pPr>
        <w:pStyle w:val="937"/>
      </w:pPr>
      <w:r>
        <w:t xml:space="preserve">Análise Efeitos Duradouros: Não se aplica</w:t>
      </w:r>
    </w:p>
    <w:bookmarkEnd w:id="704"/>
    <w:bookmarkStart w:id="705" w:name="X3c17add1e9c1ee16767ecf3603d4f5f6cc17610"/>
    <w:p>
      <w:pPr>
        <w:pStyle w:val="907"/>
      </w:pPr>
      <w:r>
        <w:t xml:space="preserve">17.0.8.9 Auditoria 19727, Constatação Nº 692082 (#1)</w:t>
      </w:r>
    </w:p>
    <w:p>
      <w:pPr>
        <w:pStyle w:val="937"/>
      </w:pPr>
      <w:r>
        <w:rPr>
          <w:b/>
          <w:bCs/>
        </w:rPr>
        <w:t xml:space="preserve">Finalidade</w:t>
      </w:r>
      <w:r>
        <w:t xml:space="preserve">: Avaliar a gestão e funcionamento do Serviço de Atendimento Móvel de Urgência - SAMU 192</w:t>
      </w:r>
    </w:p>
    <w:p>
      <w:pPr>
        <w:pStyle w:val="937"/>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p>
    <w:p>
      <w:pPr>
        <w:pStyle w:val="937"/>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pPr>
        <w:pStyle w:val="937"/>
      </w:pPr>
      <w:r>
        <w:rPr>
          <w:b/>
          <w:bCs/>
        </w:rPr>
        <w:t xml:space="preserve">Análise Codificação</w:t>
      </w:r>
      <w:r>
        <w:t xml:space="preserve">: Em relação ao foco, a recomendação propõe a distribuição das motolâncias conforme proporção estabelecida em legislação e o registro e manutenção dos dados no CNES, o que visa corrigir a condição específica de falta de comprovação da capacidade instalada, mas não aborda as causas subjacentes, como possíveis deficiências na aquisição, planejamento ou alocação de recursos. Portanto, a recomendação é focada na condição, não na causa. Quanto aos efeitos duradouros, como o critério</w:t>
      </w:r>
      <w:r>
        <w:t xml:space="preserve"> </w:t>
      </w:r>
      <w:r>
        <w:t xml:space="preserve">‘Foco Causa’</w:t>
      </w:r>
      <w:r>
        <w:t xml:space="preserve"> </w:t>
      </w:r>
      <w:r>
        <w:t xml:space="preserve">não foi atendido,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aborda causas subjacentes como deficiências na aquisição, planejamento ou alocação de recursos, focando apenas na correção da condição específica de falta de comprovação da capacidade instalada. No entanto, a recomendação inclui ações que visam estabelecer uma distribuição padronizada e permanente de motolâncias conforme legislação, o que pode ser interpretado como uma medida para prevenir a reincidência do problema, tratando assim a causa raiz da inadequação na distribuição. Quanto ao critério</w:t>
      </w:r>
      <w:r>
        <w:t xml:space="preserve"> </w:t>
      </w:r>
      <w:r>
        <w:t xml:space="preserve">‘Efeitos Duradouros’</w:t>
      </w:r>
      <w:r>
        <w:t xml:space="preserve">, a análise depende da avaliação do</w:t>
      </w:r>
      <w:r>
        <w:t xml:space="preserve"> </w:t>
      </w:r>
      <w:r>
        <w:t xml:space="preserve">‘Foco Causa’</w:t>
      </w:r>
      <w:r>
        <w:t xml:space="preserve">.</w:t>
      </w:r>
    </w:p>
    <w:p>
      <w:pPr>
        <w:pStyle w:val="937"/>
      </w:pPr>
      <w:r>
        <w:t xml:space="preserve">Análise Foco Causa: Discordo</w:t>
      </w:r>
    </w:p>
    <w:p>
      <w:pPr>
        <w:pStyle w:val="937"/>
      </w:pPr>
      <w:r>
        <w:t xml:space="preserve">Análise Efeitos Duradouros: Não se aplica</w:t>
      </w:r>
    </w:p>
    <w:bookmarkEnd w:id="705"/>
    <w:bookmarkStart w:id="706" w:name="auditoria-19889-constatação-nº-703702-1"/>
    <w:p>
      <w:pPr>
        <w:pStyle w:val="907"/>
      </w:pPr>
      <w:r>
        <w:t xml:space="preserve">17.0.8.10 Auditoria 19889, Constatação Nº 703702 (#1)</w:t>
      </w:r>
    </w:p>
    <w:p>
      <w:pPr>
        <w:pStyle w:val="937"/>
      </w:pPr>
      <w:r>
        <w:rPr>
          <w:b/>
          <w:bCs/>
        </w:rPr>
        <w:t xml:space="preserve">Finalidade</w:t>
      </w:r>
      <w:r>
        <w:t xml:space="preserve">: Realizar auditoria de oncologia, PAMDAS, na Santa Casa de Montes Claros/MG</w:t>
      </w:r>
    </w:p>
    <w:p>
      <w:pPr>
        <w:pStyle w:val="937"/>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p>
    <w:p>
      <w:pPr>
        <w:pStyle w:val="937"/>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Ambulatoriais (SIA/SUS). 30ª edição, Brasil: Ministério da Saúde/SAES, 2022. pág. 45, o qual recomenda para aprovação de AIH com o procedimento 04.16.09.013-3 RESSECÇÃO DE TUMOR DE PARTES MOLES EM ONCOLOGIA, seja precedida de verificação do prontuário do respectivo caso (perícia pós-operatória); corroborado com o Manual Técnico Operacional SIH, versão 2017 - pág. 88 que estabelece que o CID terá que ser compatível com a principal patologia referente ao procedimento informado na primeira linha de realizados.</w:t>
      </w:r>
    </w:p>
    <w:p>
      <w:pPr>
        <w:pStyle w:val="937"/>
      </w:pPr>
      <w:r>
        <w:rPr>
          <w:b/>
          <w:bCs/>
        </w:rPr>
        <w:t xml:space="preserve">Análise Codificação</w:t>
      </w:r>
      <w:r>
        <w:t xml:space="preserve">: Em relação ao foco, a recomendação propõe que os profissionais realizem o lançamento do código do procedimento atentando para os atributos prévios relacionados ao CID Principal, o que visa corrigir a prática operacional que gerou a incompatibilidade observada. No entanto, essa ação é direcionada à correção do processo de registro em si, sem abordar as causas subjacentes que levam à incompatibilidade, como possíveis lacunas na capacitação, falta de verificações sistemáticas ou deficiências nos sistemas de informação. Portanto, a recomendação tem foco na condição (corrigir o registro incorreto) e não na causa (prevenir a ocorrência de registros incompatíveis). Como o critério</w:t>
      </w:r>
      <w:r>
        <w:t xml:space="preserve"> </w:t>
      </w:r>
      <w:r>
        <w:t xml:space="preserve">‘Foco Causa’</w:t>
      </w:r>
      <w:r>
        <w:t xml:space="preserve"> </w:t>
      </w:r>
      <w:r>
        <w:t xml:space="preserve">não foi atendido, a análise de</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p>
    <w:p>
      <w:pPr>
        <w:pStyle w:val="937"/>
      </w:pPr>
      <w:r>
        <w:t xml:space="preserve">Análise Foco Causa: Discordo</w:t>
      </w:r>
    </w:p>
    <w:p>
      <w:pPr>
        <w:pStyle w:val="937"/>
      </w:pPr>
      <w:r>
        <w:t xml:space="preserve">Análise Efeitos Duradouros: Não se aplica</w:t>
      </w:r>
    </w:p>
    <w:bookmarkEnd w:id="706"/>
    <w:bookmarkEnd w:id="707"/>
    <w:bookmarkStart w:id="711" w:name="X3b1ece96e4efca48d0400d5466f964aa6961c53"/>
    <w:p>
      <w:pPr>
        <w:pStyle w:val="906"/>
      </w:pPr>
      <w:r>
        <w:t xml:space="preserve">17.0.9 Foco: Não, Efeitos: Não se aplica, Concordância Foco: Concordo, Concordância Efeitos: Discordo</w:t>
      </w:r>
    </w:p>
    <w:bookmarkStart w:id="708" w:name="auditoria-19264-constatação-nº-656913-2"/>
    <w:p>
      <w:pPr>
        <w:pStyle w:val="907"/>
      </w:pPr>
      <w:r>
        <w:t xml:space="preserve">17.0.9.1 Auditoria 19264, Constatação Nº 656913 (#2)</w:t>
      </w:r>
    </w:p>
    <w:p>
      <w:pPr>
        <w:pStyle w:val="937"/>
      </w:pPr>
      <w:r>
        <w:rPr>
          <w:b/>
          <w:bCs/>
        </w:rPr>
        <w:t xml:space="preserve">Finalidade</w:t>
      </w:r>
      <w:r>
        <w:t xml:space="preserve">: Verificar a regular utilização de DMIs em cirurgias de coluna vertebral pelos prestadores do SUS.</w:t>
      </w:r>
    </w:p>
    <w:p>
      <w:pPr>
        <w:pStyle w:val="937"/>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p>
    <w:p>
      <w:pPr>
        <w:pStyle w:val="937"/>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635, de 1º/6/2016, que estabelece que os espelhos de AIH devem ser conferidos e assinados pelo Diretor Geral, ou Diretor Clínico, ou Diretor Técnico do Hospital ou outro profissional médico designado pelo Diretor Geral. Anexar cópia da Nota fiscal das OPME-DMI ao prontuário do paciente, conforme item 23.1 do Manual Técnico Operacional do SIH/SUS, versão 2017 (p.40). Seguir as orientações do Manual de Boas Práticas de Gestão das Órteses, Próteses e Materiais Especiais (OPME) do Ministério da Saúde (2016), como a de que</w:t>
      </w:r>
      <w:r>
        <w:t xml:space="preserve"> </w:t>
      </w:r>
      <w:r>
        <w:t xml:space="preserve">“III. Após a alta do paciente, o setor responsável pelo faturamento realizará, obrigatoriamente, o lançamento e a conferência final da AIH, compatibilizando as informações constantes na descrição cirúrgica e no registro de consumo da sala cirúrgica com as OPME utilizadas no procedimento, bem como anexará cópia da nota fiscal no prontuário do paciente”</w:t>
      </w:r>
      <w:r>
        <w:t xml:space="preserve">. Prestar, quando exigida, ao pessoal em exercício no SNA - Sistema Nacional de Auditoria, toda informação necessária ao desempenho das atividades de controle, avaliação e auditoria, facilitando-lhes o acesso a documentos, pessoas e instalações, conforme artigo 11 do Decreto nº 1.651, de 28/9/1995. Acrescenta-se que ao serviço de saúde cabe responsabilizar-se pela guarda do prontuário devendo obedecer às normas vigentes; assegurar a guarda dos prontuários no que se refere à confidencialidade e integridade; manter os prontuários em local seguro, em boas condições de conservação e organização, permitindo o seu acesso sempre que necessário; garantir que o prontuário contenha registros relativos à identificação e a todos os procedimentos prestados ao paciente. (§ 1º e § 2º do art. 25 e art. 26 da Resolução (RDC) nº 63, de 25/11/2011), tomando como base as atribuições estabelecidas na legislação arquivística brasileira, que normatiza a guarda, a temporalidade e a classificação dos documentos, inclusive dos prontuários médicos. Neste contexto, cabe ressaltar que, de acordo com a Lei nº 8.159, de 8 de janeiro de 1991, que dispõe sobre a política nacional de arquivos públicos e privados, é dever do Poder Público a gestão documental e a proteção especial dos documentos de arquivo, bem como, é de sua responsabilidade manter acessíveis e organizados os documentos produzidos no exercício de suas atividades, podendo ocasionar em responsabilização penal, civil e administrativa, na forma da legislação em vigor, caso ocorra a desfiguração ou destruição de documentos de valor permanente ou considerado como de interesse público e social (Art. 25, Lei nº 8.159, de 8/1/1991).</w:t>
      </w:r>
    </w:p>
    <w:p>
      <w:pPr>
        <w:pStyle w:val="937"/>
      </w:pPr>
      <w:r>
        <w:rPr>
          <w:b/>
          <w:bCs/>
        </w:rPr>
        <w:t xml:space="preserve">Análise Codificação</w:t>
      </w:r>
      <w:r>
        <w:t xml:space="preserve">: A recomendação é extensa e detalhada, focando principalmente em ações corretivas para a condição específica de documentação inadequada, como anexar documentos faltantes (espelho de AIH, notas fiscais) e seguir procedimentos de guarda e acesso. Embora mencione aspectos de conformidade legal e organizacional, não propõe ações que tratem diretamente da causa raiz do problema, como falhas sistêmicas em processos, capacitação de pessoal ou implementação de controles preventivos. Portanto, não atende ao critério de foco na causa. Quanto aos efeitos duradouros, como o foco na causa não é atendido, não se aplica a análise.</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do modelo identificou corretamente que a recomendação se concentra em ações corretivas para a documentação inadequada, sem abordar causas sistêmicas subjacentes. No entanto, a avaliação do critério</w:t>
      </w:r>
      <w:r>
        <w:t xml:space="preserve"> </w:t>
      </w:r>
      <w:r>
        <w:t xml:space="preserve">‘Efeitos Duradouros’</w:t>
      </w:r>
      <w:r>
        <w:t xml:space="preserve"> </w:t>
      </w:r>
      <w:r>
        <w:t xml:space="preserve">poderia ser mais precisa, considerando que algumas ações recomendadas, embora não tratem da causa raiz, têm caráter permanente.</w:t>
      </w:r>
    </w:p>
    <w:p>
      <w:pPr>
        <w:pStyle w:val="937"/>
      </w:pPr>
      <w:r>
        <w:t xml:space="preserve">Análise Foco Causa: Concordo</w:t>
      </w:r>
    </w:p>
    <w:p>
      <w:pPr>
        <w:pStyle w:val="937"/>
      </w:pPr>
      <w:r>
        <w:t xml:space="preserve">Análise Efeitos Duradouros: Discordo</w:t>
      </w:r>
    </w:p>
    <w:bookmarkEnd w:id="708"/>
    <w:bookmarkStart w:id="709" w:name="auditoria-19336-constatação-nº-659808-1"/>
    <w:p>
      <w:pPr>
        <w:pStyle w:val="907"/>
      </w:pPr>
      <w:r>
        <w:t xml:space="preserve">17.0.9.2 Auditoria 19336, Constatação Nº 659808 (#1)</w:t>
      </w:r>
    </w:p>
    <w:p>
      <w:pPr>
        <w:pStyle w:val="937"/>
      </w:pPr>
      <w:r>
        <w:rPr>
          <w:b/>
          <w:bCs/>
        </w:rPr>
        <w:t xml:space="preserve">Finalidade</w:t>
      </w:r>
      <w:r>
        <w:t xml:space="preserve">: Verificar a regular utilização de DMIs em cirurgias de coluna vertebral pelos prestadores do SUS</w:t>
      </w:r>
    </w:p>
    <w:p>
      <w:pPr>
        <w:pStyle w:val="937"/>
      </w:pPr>
      <w:r>
        <w:rPr>
          <w:b/>
          <w:bCs/>
        </w:rPr>
        <w:t xml:space="preserve">Constatação</w:t>
      </w:r>
      <w:r>
        <w:t xml:space="preserve">: Não foram localizados nos prontuários as etiquetas de rastreabilidade das OPM/DMI utilizadas, no período auditado.</w:t>
      </w:r>
    </w:p>
    <w:p>
      <w:pPr>
        <w:pStyle w:val="937"/>
      </w:pPr>
      <w:r>
        <w:rPr>
          <w:b/>
          <w:bCs/>
        </w:rPr>
        <w:t xml:space="preserve">Recomendação</w:t>
      </w:r>
      <w:r>
        <w:t xml:space="preserve">: Cumprir com o disposto no subitem no 23.2 Registro de Fornecedores de OPM e Cadastro ANVISA, do Manual Técnico Operacional do Sistema de Informação Hospitalar (versão 2017), onde se lê,</w:t>
      </w:r>
      <w:r>
        <w:t xml:space="preserve"> </w:t>
      </w:r>
      <w:r>
        <w:t xml:space="preserve">“[… ] etiquetas devem ser retiradas das embalagens e coladas no prontuário do paciente na folha de descrição da cirurgia ou em formulário próprio do hospital onde são informadas as OPM utilizadas na cirurgia”</w:t>
      </w:r>
      <w:r>
        <w:t xml:space="preserve">; e art. 3°, da Resolução CFM 1804, de 09/11/2006, que estabelece que</w:t>
      </w:r>
      <w:r>
        <w:t xml:space="preserve"> </w:t>
      </w:r>
      <w:r>
        <w:t xml:space="preserve">“As etiquetas de identificação dos produtos, que deverão conter seus dados completos de fabricação, bem como a declaração de origem firmada pelo distribuidor, corresponsável pelos mesmos, passarão a fazer parte obrigatória do prontuário do paciente, onde ficarão arquivadas pelo tempo legal exigido”</w:t>
      </w:r>
      <w:r>
        <w:t xml:space="preserve">.</w:t>
      </w:r>
    </w:p>
    <w:p>
      <w:pPr>
        <w:pStyle w:val="937"/>
      </w:pPr>
      <w:r>
        <w:rPr>
          <w:b/>
          <w:bCs/>
        </w:rPr>
        <w:t xml:space="preserve">Análise Codificação</w:t>
      </w:r>
      <w:r>
        <w:t xml:space="preserve">: Em relação ao foco, a recomendação se limita a exigir o cumprimento de normas existentes sobre a colagem de etiquetas nos prontuários, sem propor ações que abordem as causas subjacentes da não localização dessas etiquetas, como falhas em processos de treinamento, supervisão ou sistemas de controle. Portanto, não há foco na causa. Já em relação aos efeitos pretendidos, como o critério</w:t>
      </w:r>
      <w:r>
        <w:t xml:space="preserve"> </w:t>
      </w:r>
      <w:r>
        <w:t xml:space="preserve">‘Foco Causa’</w:t>
      </w:r>
      <w:r>
        <w:t xml:space="preserve"> </w:t>
      </w:r>
      <w:r>
        <w:t xml:space="preserve">não foi atendido, essa avaliação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está correta em identificar que a recomendação se limita ao cumprimento de normas existentes, sem abordar causas subjacentes como falhas em processos ou treinamento. No entanto, a classificação de</w:t>
      </w:r>
      <w:r>
        <w:t xml:space="preserve"> </w:t>
      </w:r>
      <w:r>
        <w:t xml:space="preserve">‘Efeitos Duradouros’</w:t>
      </w:r>
      <w:r>
        <w:t xml:space="preserve"> </w:t>
      </w:r>
      <w:r>
        <w:t xml:space="preserve">como</w:t>
      </w:r>
      <w:r>
        <w:t xml:space="preserve"> </w:t>
      </w:r>
      <w:r>
        <w:t xml:space="preserve">‘Não se aplica’</w:t>
      </w:r>
      <w:r>
        <w:t xml:space="preserve"> </w:t>
      </w:r>
      <w:r>
        <w:t xml:space="preserve">é questionável, pois mesmo recomendações focadas na condição podem ter efeitos duradouros se implementadas adequadamente.</w:t>
      </w:r>
    </w:p>
    <w:p>
      <w:pPr>
        <w:pStyle w:val="937"/>
      </w:pPr>
      <w:r>
        <w:t xml:space="preserve">Análise Foco Causa: Concordo</w:t>
      </w:r>
    </w:p>
    <w:p>
      <w:pPr>
        <w:pStyle w:val="937"/>
      </w:pPr>
      <w:r>
        <w:t xml:space="preserve">Análise Efeitos Duradouros: Discordo</w:t>
      </w:r>
    </w:p>
    <w:bookmarkEnd w:id="709"/>
    <w:bookmarkStart w:id="710" w:name="auditoria-19559-constatação-nº-681717-1"/>
    <w:p>
      <w:pPr>
        <w:pStyle w:val="907"/>
      </w:pPr>
      <w:r>
        <w:t xml:space="preserve">17.0.9.3 Auditoria 19559, Constatação Nº 681717 (#1)</w:t>
      </w:r>
    </w:p>
    <w:p>
      <w:pPr>
        <w:pStyle w:val="937"/>
      </w:pPr>
      <w:r>
        <w:rPr>
          <w:b/>
          <w:bCs/>
        </w:rPr>
        <w:t xml:space="preserve">Finalidade</w:t>
      </w:r>
      <w:r>
        <w:t xml:space="preserve">: Verificar a implementação da Política Nacional de Atenção ao Portador de Doença Renal Estágios 4 e 5</w:t>
      </w:r>
    </w:p>
    <w:p>
      <w:pPr>
        <w:pStyle w:val="937"/>
      </w:pPr>
      <w:r>
        <w:rPr>
          <w:b/>
          <w:bCs/>
        </w:rPr>
        <w:t xml:space="preserve">Constatação</w:t>
      </w:r>
      <w:r>
        <w:t xml:space="preserve">: O Cenefron não mantém todos os registros completos e atualizados nos prontuários.</w:t>
      </w:r>
    </w:p>
    <w:p>
      <w:pPr>
        <w:pStyle w:val="937"/>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prontuário de todas as informações referentes à evolução clínica e assistência prestada, pelos profissionais envolvidos na assistência, combinado com o Inciso XI do Art. 67 da Portaria de Consolidação n.º 3 de 28/9/2017 (alterada pela Portaria n.º 1.675 de 7/6/2018), que dispõe para os estabelecimentos habilitados em DRC o dever de registrar os atendimentos, mantendo-os atualizados, assim como o Art.27 da RDC/ANVISA n.º 65, de 25/11/2011, que preconiza registros com aposição de assinatura e carimbo identificador.</w:t>
      </w:r>
    </w:p>
    <w:p>
      <w:pPr>
        <w:pStyle w:val="937"/>
      </w:pPr>
      <w:r>
        <w:rPr>
          <w:b/>
          <w:bCs/>
        </w:rPr>
        <w:t xml:space="preserve">Análise Codificação</w:t>
      </w:r>
      <w:r>
        <w:t xml:space="preserve">: A recomendação propõe uma ação de monitoramento e garantia de que os registros sejam mantidos completos e atualizados, o que visa corrigir a condição encontrada de registros incompletos. No entanto, não identifica ou trata as causas subjacentes que levam à manutenção inadequada dos registros, como possíveis falhas de processo, capacitação insuficiente dos profissionais ou falta de recursos.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da codificação argumenta que a recomendação não trata das causas subjacentes da manutenção inadequada dos registros, focando apenas na correção da condição atual. Quanto ao critério</w:t>
      </w:r>
      <w:r>
        <w:t xml:space="preserve"> </w:t>
      </w:r>
      <w:r>
        <w:t xml:space="preserve">‘Efeitos Duradouros’</w:t>
      </w:r>
      <w:r>
        <w:t xml:space="preserve">, a análise considera que não se aplica devido à resposta negativa no primeiro critério. Após revisão, concordo que a recomendação não aborda explicitamente causas como falhas de processo ou capacitação, mas discordo quanto aos efeitos duradouros, pois ações de monitoramento contínuo podem gerar impactos sustentáveis.</w:t>
      </w:r>
    </w:p>
    <w:p>
      <w:pPr>
        <w:pStyle w:val="937"/>
      </w:pPr>
      <w:r>
        <w:t xml:space="preserve">Análise Foco Causa: Concordo</w:t>
      </w:r>
    </w:p>
    <w:p>
      <w:pPr>
        <w:pStyle w:val="937"/>
      </w:pPr>
      <w:r>
        <w:t xml:space="preserve">Análise Efeitos Duradouros: Discordo</w:t>
      </w:r>
    </w:p>
    <w:bookmarkEnd w:id="710"/>
    <w:bookmarkEnd w:id="711"/>
    <w:bookmarkStart w:id="722" w:name="Xb00506164b1ab327f5cd8b17755a998877270dc"/>
    <w:p>
      <w:pPr>
        <w:pStyle w:val="906"/>
      </w:pPr>
      <w:r>
        <w:t xml:space="preserve">17.0.10 Foco: Não, Efeitos: Não se aplica, Concordância Foco: Discordo, Concordância Efeitos: Discordo</w:t>
      </w:r>
    </w:p>
    <w:bookmarkStart w:id="712" w:name="auditoria-19469-constatação-nº-675823-1"/>
    <w:p>
      <w:pPr>
        <w:pStyle w:val="907"/>
      </w:pPr>
      <w:r>
        <w:t xml:space="preserve">17.0.10.1 Auditoria 19469, Constatação Nº 675823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Os recursos financeiros destinados ao SAMU 192 Belém/PA, para custeio e manutenção das atividades do Serviço, não foram utilizados conforme preconiza a legislação vigente.</w:t>
      </w:r>
    </w:p>
    <w:p>
      <w:pPr>
        <w:pStyle w:val="937"/>
      </w:pPr>
      <w:r>
        <w:rPr>
          <w:b/>
          <w:bCs/>
        </w:rPr>
        <w:t xml:space="preserve">Recomendação</w:t>
      </w:r>
      <w:r>
        <w:t xml:space="preserve">: Aplicar os recursos financeiros destinados ao custeio do SAMU em conformidade ao disposto nos normativos legais (art. 40, Seção I, Capítulo I, Título II, Livro II do Anexo III da Portaria de Consolidação GM/MS nº 3 de 28/09/17, combinado com art. 935, Seção IV, Capítulo II, Título VIII, Livro II, Anexo III da Portaria de Consolidação GM/MS nº 6 de 28/09/17), visando o regular e contínuo funcionamento do Serviço, por meio do custeio e manutenção dos objetos necessários (bens e serviços) à finalidade do serviço.</w:t>
      </w:r>
    </w:p>
    <w:p>
      <w:pPr>
        <w:pStyle w:val="937"/>
      </w:pPr>
      <w:r>
        <w:rPr>
          <w:b/>
          <w:bCs/>
        </w:rPr>
        <w:t xml:space="preserve">Análise Codificação</w:t>
      </w:r>
      <w:r>
        <w:t xml:space="preserve">: A recomendação propõe a aplicação dos recursos financeiros em conformidade com os normativos legais, visando o funcionamento regular do serviço. No entanto, não identifica ações específicas para tratar a causa subjacente do problema, como falhas nos processos de gestão ou controle interno que permitiram o uso inadequado dos recursos. A recomendação foca na correção da condição atual (uso inadequado) sem abordar medidas preventivas para evitar recorrência. Portanto, não há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identifica ações específicas para tratar a causa subjacente do problema, focando apenas na correção da condição atual. No entanto, a recomendação não se limita a corrigir o uso inadequado pontual, mas estabelece a aplicação contínua dos recursos em conformidade com normativos legais, o que implica a adoção de processos e controles alinhados à legislação. Isso pode ser interpretado como uma ação que trata a causa raiz (falta de conformidade com procedimentos estabelecidos), promovendo mudanças estruturais na gestão.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ações que institucionalizam a conformidade com normativos tendem a produzir efeitos sustentáveis independentemente de mudanças de atores.</w:t>
      </w:r>
    </w:p>
    <w:p>
      <w:pPr>
        <w:pStyle w:val="937"/>
      </w:pPr>
      <w:r>
        <w:t xml:space="preserve">Análise Foco Causa: Discordo</w:t>
      </w:r>
    </w:p>
    <w:p>
      <w:pPr>
        <w:pStyle w:val="937"/>
      </w:pPr>
      <w:r>
        <w:t xml:space="preserve">Análise Efeitos Duradouros: Discordo</w:t>
      </w:r>
    </w:p>
    <w:bookmarkEnd w:id="712"/>
    <w:bookmarkStart w:id="713" w:name="Xeb65a76078e19599d1d3c0e3e3c832305c60499"/>
    <w:p>
      <w:pPr>
        <w:pStyle w:val="907"/>
      </w:pPr>
      <w:r>
        <w:t xml:space="preserve">17.0.10.2 Auditoria 19488, Constatação Nº 673871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A infraestrutura física da Central de Regulação das Urgências (CRU) do SAMU 192 de Cajazeiras/PB não está compatível com os critérios legais.</w:t>
      </w:r>
    </w:p>
    <w:p>
      <w:pPr>
        <w:pStyle w:val="937"/>
      </w:pPr>
      <w:r>
        <w:rPr>
          <w:b/>
          <w:bCs/>
        </w:rPr>
        <w:t xml:space="preserve">Recomendação</w:t>
      </w:r>
      <w:r>
        <w:t xml:space="preserve">: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pPr>
        <w:pStyle w:val="937"/>
      </w:pPr>
      <w:r>
        <w:rPr>
          <w:b/>
          <w:bCs/>
        </w:rPr>
        <w:t xml:space="preserve">Análise Codificação</w:t>
      </w:r>
      <w:r>
        <w:t xml:space="preserve">: Em relação ao foco, a recomendação propõe ações para eliminar problemas físicos específicos (mofo, cupim, paredes deterioradas, falta de isolamento acústico, sistemas inadequados de iluminação e temperatura, e esgoto a céu aberto), que são as condições observadas na constatação. No entanto, não há menção a ações que tratem das causas subjacentes que levaram a esses problemas, como falhas em processos de manutenção preventiva, planejamento inadequado da infraestrutura, ou deficiências na gestão de recursos. Portanto, a recomendação é focada na correção das condições atuais,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trata apenas das condições físicas observadas (mofo, cupim, paredes deterioradas, etc.) sem abordar causas subjacentes como falhas em processos de manutenção preventiva ou planejamento inadequado. No entanto, a recomendação inclui ações de</w:t>
      </w:r>
      <w:r>
        <w:t xml:space="preserve"> </w:t>
      </w:r>
      <w:r>
        <w:t xml:space="preserve">‘renovação e manutenção’</w:t>
      </w:r>
      <w:r>
        <w:t xml:space="preserve"> </w:t>
      </w:r>
      <w:r>
        <w:t xml:space="preserve">que, embora não detalhem processos específicos, podem ser interpretadas como medidas para prevenir a recorrência dos problemas, indo além da mera correção temporária. Portanto, há margem para discordância na classificação. Quanto ao critério</w:t>
      </w:r>
      <w:r>
        <w:t xml:space="preserve"> </w:t>
      </w:r>
      <w:r>
        <w:t xml:space="preserve">‘Efeitos Duradouros’</w:t>
      </w:r>
      <w:r>
        <w:t xml:space="preserve">, como a análise do</w:t>
      </w:r>
      <w:r>
        <w:t xml:space="preserve"> </w:t>
      </w:r>
      <w:r>
        <w:t xml:space="preserve">‘Foco Causa’</w:t>
      </w:r>
      <w:r>
        <w:t xml:space="preserve"> </w:t>
      </w:r>
      <w:r>
        <w:t xml:space="preserve">é questionável, a aplicabilidade deste critério também pode ser reconsiderada.</w:t>
      </w:r>
    </w:p>
    <w:p>
      <w:pPr>
        <w:pStyle w:val="937"/>
      </w:pPr>
      <w:r>
        <w:t xml:space="preserve">Análise Foco Causa: Discordo</w:t>
      </w:r>
    </w:p>
    <w:p>
      <w:pPr>
        <w:pStyle w:val="937"/>
      </w:pPr>
      <w:r>
        <w:t xml:space="preserve">Análise Efeitos Duradouros: Discordo</w:t>
      </w:r>
    </w:p>
    <w:bookmarkEnd w:id="713"/>
    <w:bookmarkStart w:id="714" w:name="auditoria-19559-constatação-nº-681715-1"/>
    <w:p>
      <w:pPr>
        <w:pStyle w:val="907"/>
      </w:pPr>
      <w:r>
        <w:t xml:space="preserve">17.0.10.3 Auditoria 19559, Constatação Nº 681715 (#1)</w:t>
      </w:r>
    </w:p>
    <w:p>
      <w:pPr>
        <w:pStyle w:val="937"/>
      </w:pPr>
      <w:r>
        <w:rPr>
          <w:b/>
          <w:bCs/>
        </w:rPr>
        <w:t xml:space="preserve">Finalidade</w:t>
      </w:r>
      <w:r>
        <w:t xml:space="preserve">: Verificar a implementação da Política Nacional de Atenção ao Portador de Doença Renal Estágios 4 e 5</w:t>
      </w:r>
    </w:p>
    <w:p>
      <w:pPr>
        <w:pStyle w:val="937"/>
      </w:pPr>
      <w:r>
        <w:rPr>
          <w:b/>
          <w:bCs/>
        </w:rPr>
        <w:t xml:space="preserve">Constatação</w:t>
      </w:r>
      <w:r>
        <w:t xml:space="preserve">: Os arquivos digitalizados de Controle de Frequências Individuais de Tratamento Dialítico (CFID) estão armazenados fora do ambiente do prontuário eletrônico utilizado no Cenefron.</w:t>
      </w:r>
    </w:p>
    <w:p>
      <w:pPr>
        <w:pStyle w:val="937"/>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p>
    <w:p>
      <w:pPr>
        <w:pStyle w:val="937"/>
      </w:pPr>
      <w:r>
        <w:rPr>
          <w:b/>
          <w:bCs/>
        </w:rPr>
        <w:t xml:space="preserve">Análise Codificação</w:t>
      </w:r>
      <w:r>
        <w:t xml:space="preserve">: A recomendação propõe a fiscalização para assegurar que a unidade cumpra a normativa de arquivar o CFID no prontuário do paciente, focando na correção imediata da condição de armazenamento inadequado, sem sugerir ações para abordar as causas subjacentes, como falhas em processos ou capacitação. Como o critério</w:t>
      </w:r>
      <w:r>
        <w:t xml:space="preserve"> </w:t>
      </w:r>
      <w:r>
        <w:t xml:space="preserve">‘Foco Causa’</w:t>
      </w:r>
      <w:r>
        <w:t xml:space="preserve"> </w:t>
      </w:r>
      <w:r>
        <w:t xml:space="preserve">não é atendido, a avaliação de efeitos duradouros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original argumenta que a recomendação se concentra na correção imediata da condição de armazenamento inadequado, sem abordar causas subjacentes, como falhas em processos ou capacitação. No entanto, a recomendação exige que a unidade cumpra a normativa específica (Art. 424 da Portaria de Consolidação SAES/MS n.º 1), o que pode ser interpretado como uma ação para tratar a causa raiz, que é o descumprimento de uma exigência legal. Isso sugere que a recomendação visa prevenir a recorrência ao assegurar a adesão permanente à norma, indo além de uma correção temporária. Portanto, discordo da classificação original para</w:t>
      </w:r>
      <w:r>
        <w:t xml:space="preserve"> </w:t>
      </w:r>
      <w:r>
        <w:t xml:space="preserve">‘Foco Causa’</w:t>
      </w:r>
      <w:r>
        <w:t xml:space="preserve">. Para</w:t>
      </w:r>
      <w:r>
        <w:t xml:space="preserve"> </w:t>
      </w:r>
      <w:r>
        <w:t xml:space="preserve">‘Efeitos Duradouros’</w:t>
      </w:r>
      <w:r>
        <w:t xml:space="preserve">, como discordo da avaliação de</w:t>
      </w:r>
      <w:r>
        <w:t xml:space="preserve"> </w:t>
      </w:r>
      <w:r>
        <w:t xml:space="preserve">‘Foco Causa’</w:t>
      </w:r>
      <w:r>
        <w:t xml:space="preserve">, a análise original de</w:t>
      </w:r>
      <w:r>
        <w:t xml:space="preserve"> </w:t>
      </w:r>
      <w:r>
        <w:t xml:space="preserve">‘Não se aplica’</w:t>
      </w:r>
      <w:r>
        <w:t xml:space="preserve"> </w:t>
      </w:r>
      <w:r>
        <w:t xml:space="preserve">é inválida; se a recomendação for reclassificada como focada na causa, os efeitos duradouros dependeriam da implementação contínua da fiscalização e conformidade, mas a recomendação em si não especifica mecanismos sustentáveis para garantir permanência além da ação imediata.</w:t>
      </w:r>
    </w:p>
    <w:p>
      <w:pPr>
        <w:pStyle w:val="937"/>
      </w:pPr>
      <w:r>
        <w:t xml:space="preserve">Análise Foco Causa: Discordo</w:t>
      </w:r>
    </w:p>
    <w:p>
      <w:pPr>
        <w:pStyle w:val="937"/>
      </w:pPr>
      <w:r>
        <w:t xml:space="preserve">Análise Efeitos Duradouros: Discordo</w:t>
      </w:r>
    </w:p>
    <w:bookmarkEnd w:id="714"/>
    <w:bookmarkStart w:id="715" w:name="auditoria-19611-constatação-nº-674455-1"/>
    <w:p>
      <w:pPr>
        <w:pStyle w:val="907"/>
      </w:pPr>
      <w:r>
        <w:t xml:space="preserve">17.0.10.4 Auditoria 19611, Constatação Nº 674455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atuação do fiscal financeiro vinculado ao Convênio nº 878454/2018.</w:t>
      </w:r>
    </w:p>
    <w:p>
      <w:pPr>
        <w:pStyle w:val="937"/>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p>
    <w:p>
      <w:pPr>
        <w:pStyle w:val="937"/>
      </w:pPr>
      <w:r>
        <w:rPr>
          <w:b/>
          <w:bCs/>
        </w:rPr>
        <w:t xml:space="preserve">Análise Codificação</w:t>
      </w:r>
      <w:r>
        <w:t xml:space="preserve">: A recomendação propõe apenas uma ação de comunicação para que o Fundo Nacional de Saúde se manifeste sobre sua competência de acompanhamento, sem propor medidas concretas para tratar a causa raiz da ausência de atuação do fiscal financeiro. Não há ações direcionadas a resolver as causas subjacentes, como falhas na designação, capacitação ou responsabilização do fiscal. Portanto, não atende ao critério de foco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p>
    <w:p>
      <w:pPr>
        <w:pStyle w:val="937"/>
      </w:pPr>
      <w:r>
        <w:t xml:space="preserve">Análise Foco Causa: Discordo</w:t>
      </w:r>
    </w:p>
    <w:p>
      <w:pPr>
        <w:pStyle w:val="937"/>
      </w:pPr>
      <w:r>
        <w:t xml:space="preserve">Análise Efeitos Duradouros: Discordo</w:t>
      </w:r>
    </w:p>
    <w:bookmarkEnd w:id="715"/>
    <w:bookmarkStart w:id="716" w:name="auditoria-19615-constatação-nº-675101-2"/>
    <w:p>
      <w:pPr>
        <w:pStyle w:val="907"/>
      </w:pPr>
      <w:r>
        <w:t xml:space="preserve">17.0.10.5 Auditoria 19615, Constatação Nº 675101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aos relatórios mensais de acompanhamento do Subeixo de Educação Permanente.</w:t>
      </w:r>
    </w:p>
    <w:p>
      <w:pPr>
        <w:pStyle w:val="937"/>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937"/>
      </w:pPr>
      <w:r>
        <w:rPr>
          <w:b/>
          <w:bCs/>
        </w:rPr>
        <w:t xml:space="preserve">Análise Codificação</w:t>
      </w:r>
      <w:r>
        <w:t xml:space="preserve">: A recomendação propõe a elaboração de documentos de acompanhamento observando leis específicas e características de documentos arquivísticos, focando na correção da condição atual de impropriedades nos relatórios. Não há menção a ações que tratem da causa subjacente que levou à produção inadequada dos relatórios, como possíveis deficiências em processos, capacitação ou sistemas. Portanto, a recomendação é focada na condição, não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trata da causa subjacente das impropriedades nos relatórios, focando apenas na correção da condição atual. No entanto, a recomendação vai além de simplesmente corrigir documentos existentes, ao estabelecer diretrizes legais e princípios arquivísticos que podem prevenir futuras impropriedades.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w:t>
      </w:r>
    </w:p>
    <w:p>
      <w:pPr>
        <w:pStyle w:val="937"/>
      </w:pPr>
      <w:r>
        <w:t xml:space="preserve">Análise Foco Causa: Discordo</w:t>
      </w:r>
    </w:p>
    <w:p>
      <w:pPr>
        <w:pStyle w:val="937"/>
      </w:pPr>
      <w:r>
        <w:t xml:space="preserve">Análise Efeitos Duradouros: Discordo</w:t>
      </w:r>
    </w:p>
    <w:bookmarkEnd w:id="716"/>
    <w:bookmarkStart w:id="717" w:name="Xd8ad15655f93c97cc4a716c53236662792d03e7"/>
    <w:p>
      <w:pPr>
        <w:pStyle w:val="907"/>
      </w:pPr>
      <w:r>
        <w:t xml:space="preserve">17.0.10.6 Auditoria 19627, Constatação Nº 685076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discriminação das despesas administrativas estabelecidas no Plano de Trabalho de 2018, relacionadas ao cumprimento do objeto do convênio com memória de cálculo.</w:t>
      </w:r>
    </w:p>
    <w:p>
      <w:pPr>
        <w:pStyle w:val="937"/>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‘Quadro de Detalhamento da Despesa’</w:t>
      </w:r>
      <w:r>
        <w:t xml:space="preserve">, identificando os valores, o quantitativo e a descrição de itens, os parâmetros e as justificativas para o custeio dessas despesas pelo convênio, bem 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pPr>
        <w:pStyle w:val="937"/>
      </w:pPr>
      <w:r>
        <w:rPr>
          <w:b/>
          <w:bCs/>
        </w:rPr>
        <w:t xml:space="preserve">Análise Codificação</w:t>
      </w:r>
      <w:r>
        <w:t xml:space="preserve">: A recomendação propõe que a organização inclua no Plano de Trabalho e anexe no Transferegov a especificação e detalhamento das despesas administrativas, com valores, quantitativos, descrições, parâmetros, justificativas, identificação de compartilhamento com outros convênios e memória de cálculos do rateio, para atender a normativos específicos. Isso visa corrigir diretamente a ausência de discriminação das despesas administrativas, focando na condição atual de falta de documentação, sem propor ações para evitar que a causa raiz (como falhas em processos internos de controle ou capacitação) volte a ocorrer. Portanto, não há foco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corrige a condição atual de falta de documentação, mas não aborda a causa raiz, como falhas em processos internos ou capacitação. No entanto, a recomendação exige a inclusão permanente de especificações detalhadas no Plano de Trabalho e anexos no Transferegov, o que pode ser interpretado como uma ação para prevenir a recorrência, ao estabelecer um padrão documental. Quanto ao critério</w:t>
      </w:r>
      <w:r>
        <w:t xml:space="preserve"> </w:t>
      </w:r>
      <w:r>
        <w:t xml:space="preserve">‘Efeitos Duradouros’</w:t>
      </w:r>
      <w:r>
        <w:t xml:space="preserve">, como discordo da classificação do</w:t>
      </w:r>
      <w:r>
        <w:t xml:space="preserve"> </w:t>
      </w:r>
      <w:r>
        <w:t xml:space="preserve">‘Foco Causa’</w:t>
      </w:r>
      <w:r>
        <w:t xml:space="preserve">, a análise sobre efeitos duradouros também precisa ser reconsiderada, pois a recomendação visa criar um procedimento contínuo que pode persistir independentemente de mudanças de atores.</w:t>
      </w:r>
    </w:p>
    <w:p>
      <w:pPr>
        <w:pStyle w:val="937"/>
      </w:pPr>
      <w:r>
        <w:t xml:space="preserve">Análise Foco Causa: Discordo</w:t>
      </w:r>
    </w:p>
    <w:p>
      <w:pPr>
        <w:pStyle w:val="937"/>
      </w:pPr>
      <w:r>
        <w:t xml:space="preserve">Análise Efeitos Duradouros: Discordo</w:t>
      </w:r>
    </w:p>
    <w:bookmarkEnd w:id="717"/>
    <w:bookmarkStart w:id="718" w:name="auditoria-19657-constatação-nº-685644-1"/>
    <w:p>
      <w:pPr>
        <w:pStyle w:val="907"/>
      </w:pPr>
      <w:r>
        <w:t xml:space="preserve">17.0.10.7 Auditoria 19657, Constatação Nº 685644 (#1)</w:t>
      </w:r>
    </w:p>
    <w:p>
      <w:pPr>
        <w:pStyle w:val="937"/>
      </w:pPr>
      <w:r>
        <w:rPr>
          <w:b/>
          <w:bCs/>
        </w:rPr>
        <w:t xml:space="preserve">Finalidade</w:t>
      </w:r>
      <w:r>
        <w:t xml:space="preserve">: Auditoria no PREVINE - PAA/2024</w:t>
      </w:r>
    </w:p>
    <w:p>
      <w:pPr>
        <w:pStyle w:val="937"/>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p>
    <w:p>
      <w:pPr>
        <w:pStyle w:val="937"/>
      </w:pPr>
      <w:r>
        <w:rPr>
          <w:b/>
          <w:bCs/>
        </w:rPr>
        <w:t xml:space="preserve">Recomendação</w:t>
      </w:r>
      <w:r>
        <w:t xml:space="preserve">: Desenvolver ações e estratégias para melhoria do Indicador 2, conforme Nota Técnica nº14/2022-SAPS/MS, tais como:Solicitar a primeira bateria de exames para Sífilis e HIV mesmo sem a confirmação de Gravidez, Preferir testes rápidos e criar fluxo facilitado para marcação desses exames e acompanhar as Gestantes.</w:t>
      </w:r>
    </w:p>
    <w:p>
      <w:pPr>
        <w:pStyle w:val="937"/>
      </w:pPr>
      <w:r>
        <w:rPr>
          <w:b/>
          <w:bCs/>
        </w:rPr>
        <w:t xml:space="preserve">Análise Codificação</w:t>
      </w:r>
      <w:r>
        <w:t xml:space="preserve">: A recomendação propõe ações específicas para melhorar o indicador, como solicitar exames sem confirmação de gravidez, preferir testes rápidos e criar fluxo facilitado. Essas medidas visam corrigir a condição imediata de não comprovação das ações, mas não abordam explicitamente as causas subjacentes do problema, como possíveis falhas na capacitação da equipe, recursos insuficientes ou questões culturais que impedem a adesão aos exames. Portanto, o foco está mais na condição do que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discordo da análise original, pois as ações propostas na recomendação, como criar fluxo facilitado para marcação de exames, podem ser interpretadas como abordando causas estruturais ou processuais que levaram à não comprovação das ações. Em relação ao critério</w:t>
      </w:r>
      <w:r>
        <w:t xml:space="preserve"> </w:t>
      </w:r>
      <w:r>
        <w:t xml:space="preserve">‘Efeitos Duradouros’</w:t>
      </w:r>
      <w:r>
        <w:t xml:space="preserve">, como discordo da classificação do</w:t>
      </w:r>
      <w:r>
        <w:t xml:space="preserve"> </w:t>
      </w:r>
      <w:r>
        <w:t xml:space="preserve">‘Foco Causa’</w:t>
      </w:r>
      <w:r>
        <w:t xml:space="preserve">, a análise de</w:t>
      </w:r>
      <w:r>
        <w:t xml:space="preserve"> </w:t>
      </w:r>
      <w:r>
        <w:t xml:space="preserve">‘Não se aplica’</w:t>
      </w:r>
      <w:r>
        <w:t xml:space="preserve"> </w:t>
      </w:r>
      <w:r>
        <w:t xml:space="preserve">também é questionável, mas não é possível avaliar diretamente sem uma reclassificação adequada do primeiro critério.</w:t>
      </w:r>
    </w:p>
    <w:p>
      <w:pPr>
        <w:pStyle w:val="937"/>
      </w:pPr>
      <w:r>
        <w:t xml:space="preserve">Análise Foco Causa: Discordo</w:t>
      </w:r>
    </w:p>
    <w:p>
      <w:pPr>
        <w:pStyle w:val="937"/>
      </w:pPr>
      <w:r>
        <w:t xml:space="preserve">Análise Efeitos Duradouros: Discordo</w:t>
      </w:r>
    </w:p>
    <w:bookmarkEnd w:id="718"/>
    <w:bookmarkStart w:id="719" w:name="auditoria-19693-constatação-nº-686246-1"/>
    <w:p>
      <w:pPr>
        <w:pStyle w:val="907"/>
      </w:pPr>
      <w:r>
        <w:t xml:space="preserve">17.0.10.8 Auditoria 19693, Constatação Nº 686246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p>
    <w:p>
      <w:pPr>
        <w:pStyle w:val="937"/>
      </w:pPr>
      <w:r>
        <w:rPr>
          <w:b/>
          <w:bCs/>
        </w:rPr>
        <w:t xml:space="preserve">Recomendação</w:t>
      </w:r>
      <w:r>
        <w:t xml:space="preserve">: Cumprir o que estabelece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 item 2.3 do Manual de Operação do Sistema de Informações Ambulatoriais (2016 e alterações) que delimita as esferas de utilização do SIA, competindo ao gestor municipal e estadual o controle e avaliação da produção ambulatorial processada e enviada para o gestor federal.</w:t>
      </w:r>
    </w:p>
    <w:p>
      <w:pPr>
        <w:pStyle w:val="937"/>
      </w:pPr>
      <w:r>
        <w:rPr>
          <w:b/>
          <w:bCs/>
        </w:rPr>
        <w:t xml:space="preserve">Análise Codificação</w:t>
      </w:r>
      <w:r>
        <w:t xml:space="preserve">: A recomendação se limita a citar dispositivos legais e normativos que estabelecem atribuições genéricas de controle, avaliação e fiscalização, sem propor ações específicas para tratar a causa da inexistência do serviço de acompanhamento. Não há menção a medidas concretas como criação de estrutura, alocação de recursos, capacitação de pessoal ou implementação de processos que ataquem diretamente a raiz do problema. Portanto, a recomendação não possui foco na causa.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apenas cita dispositivos legais sem propor ações específicas para tratar a causa da inexistência do serviço de acompanhamento. No entanto, a recomendação não apenas cita as leis, mas direciona explicitamente o gestor municipal a cumprir as atribuições legais de planejar, organizar, controlar e avaliar as ações de saúde, o que implica a necessidade de estabelecer estruturas e processos para o acompanhamento da produção. Isso pode ser interpretado como uma ação para tratar a causa subjacente da falta de serviço, que é a não conformidade com obrigações legais e a ausência de mecanismos de controle. Portanto, discordo da classificação</w:t>
      </w:r>
      <w:r>
        <w:t xml:space="preserve"> </w:t>
      </w:r>
      <w:r>
        <w:t xml:space="preserve">‘Não’</w:t>
      </w:r>
      <w:r>
        <w:t xml:space="preserve"> </w:t>
      </w:r>
      <w:r>
        <w:t xml:space="preserve">para</w:t>
      </w:r>
      <w:r>
        <w:t xml:space="preserve"> </w:t>
      </w:r>
      <w:r>
        <w:t xml:space="preserve">‘Foco Causa’</w:t>
      </w:r>
      <w:r>
        <w:t xml:space="preserve">. Para</w:t>
      </w:r>
      <w:r>
        <w:t xml:space="preserve"> </w:t>
      </w:r>
      <w:r>
        <w:t xml:space="preserve">‘Efeitos Duradouros’</w:t>
      </w:r>
      <w:r>
        <w:t xml:space="preserve">, como discordo da classificação anterior, a resposta</w:t>
      </w:r>
      <w:r>
        <w:t xml:space="preserve"> </w:t>
      </w:r>
      <w:r>
        <w:t xml:space="preserve">‘Não se aplica’</w:t>
      </w:r>
      <w:r>
        <w:t xml:space="preserve"> </w:t>
      </w:r>
      <w:r>
        <w:t xml:space="preserve">não é adequada, mas como a análise do modelo seguiu a lógica de que</w:t>
      </w:r>
      <w:r>
        <w:t xml:space="preserve"> </w:t>
      </w:r>
      <w:r>
        <w:t xml:space="preserve">‘Foco Causa’</w:t>
      </w:r>
      <w:r>
        <w:t xml:space="preserve"> </w:t>
      </w:r>
      <w:r>
        <w:t xml:space="preserve">é</w:t>
      </w:r>
      <w:r>
        <w:t xml:space="preserve"> </w:t>
      </w:r>
      <w:r>
        <w:t xml:space="preserve">‘Não’</w:t>
      </w:r>
      <w:r>
        <w:t xml:space="preserve">, mantenho</w:t>
      </w:r>
      <w:r>
        <w:t xml:space="preserve"> </w:t>
      </w:r>
      <w:r>
        <w:t xml:space="preserve">‘Discordo’</w:t>
      </w:r>
      <w:r>
        <w:t xml:space="preserve"> </w:t>
      </w:r>
      <w:r>
        <w:t xml:space="preserve">para consistência.</w:t>
      </w:r>
    </w:p>
    <w:p>
      <w:pPr>
        <w:pStyle w:val="937"/>
      </w:pPr>
      <w:r>
        <w:t xml:space="preserve">Análise Foco Causa: Discordo</w:t>
      </w:r>
    </w:p>
    <w:p>
      <w:pPr>
        <w:pStyle w:val="937"/>
      </w:pPr>
      <w:r>
        <w:t xml:space="preserve">Análise Efeitos Duradouros: Discordo</w:t>
      </w:r>
    </w:p>
    <w:bookmarkEnd w:id="719"/>
    <w:bookmarkStart w:id="720" w:name="auditoria-19778-constatação-nº-692807-1"/>
    <w:p>
      <w:pPr>
        <w:pStyle w:val="907"/>
      </w:pPr>
      <w:r>
        <w:t xml:space="preserve">17.0.10.9 Auditoria 19778, Constatação Nº 692807 (#1)</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p>
    <w:p>
      <w:pPr>
        <w:pStyle w:val="937"/>
      </w:pPr>
      <w:r>
        <w:rPr>
          <w:b/>
          <w:bCs/>
        </w:rPr>
        <w:t xml:space="preserve">Recomendação</w:t>
      </w:r>
      <w:r>
        <w:t xml:space="preserve">: Realizar os devidos ajustes e reformas nas instalações físicas da edificação, com observância do disposto nos Subitens 7.1 (pág. 75/76), 8.7.2 e 8.7.3 (pág. 88 a 116), do Manual de Rede de Frio do PNI, 5ª ed. (2017), bem como nas Alíneas</w:t>
      </w:r>
      <w:r>
        <w:t xml:space="preserve"> </w:t>
      </w:r>
      <w:r>
        <w:t xml:space="preserve">“b”</w:t>
      </w:r>
      <w:r>
        <w:t xml:space="preserve"> </w:t>
      </w:r>
      <w:r>
        <w:t xml:space="preserve">e</w:t>
      </w:r>
      <w:r>
        <w:t xml:space="preserve"> </w:t>
      </w:r>
      <w:r>
        <w:t xml:space="preserve">“c”</w:t>
      </w:r>
      <w:r>
        <w:t xml:space="preserve">, Inciso II, no Art. 7º, da Seção I, o Art. 17, da Seção III, Art. 36, da Seção VI e o Art. 42, da Seção VI, do Capítulo II da RDC n.º 63, de 25 de novembro de 2011.</w:t>
      </w:r>
    </w:p>
    <w:p>
      <w:pPr>
        <w:pStyle w:val="937"/>
      </w:pPr>
      <w:r>
        <w:rPr>
          <w:b/>
          <w:bCs/>
        </w:rPr>
        <w:t xml:space="preserve">Análise Codificação</w:t>
      </w:r>
      <w:r>
        <w:t xml:space="preserve">: Em relação ao foco, a recomendação propõe ajustes e reformas na estrutura física da CMRF para adequá-la aos requisitos normativos, o que visa corrigir a condição atual de inadequação, mas não aborda explicitamente as causas subjacentes que levaram à não conformidade, como falhas em processos de manutenção, planejamento ou gestão. Já em relação aos efeitos duradouros, como o critério</w:t>
      </w:r>
      <w:r>
        <w:t xml:space="preserve"> </w:t>
      </w:r>
      <w:r>
        <w:t xml:space="preserve">‘Foco Causa’</w:t>
      </w:r>
      <w:r>
        <w:t xml:space="preserve"> </w:t>
      </w:r>
      <w:r>
        <w:t xml:space="preserve">não foi atendido, essa análise 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recomendação de realizar ajustes e reformas na estrutura física da CMRF para adequá-la aos requisitos normativos visa diretamente corrigir a condição de inadequação identificada na constatação. Embora a análise do modelo aponte que não aborda explicitamente causas subjacentes como falhas em processos de manutenção ou gestão, a recomendação trata da causa raiz do problema, que é a estrutura física inadequada, conforme evidenciado pela não conformidade com os requisitos mínimos do PNI. Portanto, a classificação do modelo para</w:t>
      </w:r>
      <w:r>
        <w:t xml:space="preserve"> </w:t>
      </w:r>
      <w:r>
        <w:t xml:space="preserve">‘Foco Causa’</w:t>
      </w:r>
      <w:r>
        <w:t xml:space="preserve"> </w:t>
      </w:r>
      <w:r>
        <w:t xml:space="preserve">como</w:t>
      </w:r>
      <w:r>
        <w:t xml:space="preserve"> </w:t>
      </w:r>
      <w:r>
        <w:t xml:space="preserve">‘Não’</w:t>
      </w:r>
      <w:r>
        <w:t xml:space="preserve"> </w:t>
      </w:r>
      <w:r>
        <w:t xml:space="preserve">é questionável, pois a ação proposta visa resolver a causa fundamental da condição encontrada. Para</w:t>
      </w:r>
      <w:r>
        <w:t xml:space="preserve"> </w:t>
      </w:r>
      <w:r>
        <w:t xml:space="preserve">‘Efeitos Duradouros’</w:t>
      </w:r>
      <w:r>
        <w:t xml:space="preserve">, como discordo da classificação de</w:t>
      </w:r>
      <w:r>
        <w:t xml:space="preserve"> </w:t>
      </w:r>
      <w:r>
        <w:t xml:space="preserve">‘Foco Causa’</w:t>
      </w:r>
      <w:r>
        <w:t xml:space="preserve">, a análise deveria considerar se os ajustes físicos, uma vez implementados, proporcionariam efeitos duradouros independentemente de mudanças de atores, o que provavelmente seria</w:t>
      </w:r>
      <w:r>
        <w:t xml:space="preserve"> </w:t>
      </w:r>
      <w:r>
        <w:t xml:space="preserve">‘Sim’</w:t>
      </w:r>
      <w:r>
        <w:t xml:space="preserve">, dado que reformas estruturais tendem a ser permanentes.</w:t>
      </w:r>
    </w:p>
    <w:p>
      <w:pPr>
        <w:pStyle w:val="937"/>
      </w:pPr>
      <w:r>
        <w:t xml:space="preserve">Análise Foco Causa: Discordo</w:t>
      </w:r>
    </w:p>
    <w:p>
      <w:pPr>
        <w:pStyle w:val="937"/>
      </w:pPr>
      <w:r>
        <w:t xml:space="preserve">Análise Efeitos Duradouros: Discordo</w:t>
      </w:r>
    </w:p>
    <w:bookmarkEnd w:id="720"/>
    <w:bookmarkStart w:id="721" w:name="auditoria-19780-constatação-nº-692596-1"/>
    <w:p>
      <w:pPr>
        <w:pStyle w:val="907"/>
      </w:pPr>
      <w:r>
        <w:t xml:space="preserve">17.0.10.10 Auditoria 19780, Constatação Nº 692596 (#1)</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p>
    <w:p>
      <w:pPr>
        <w:pStyle w:val="937"/>
      </w:pPr>
      <w:r>
        <w:rPr>
          <w:b/>
          <w:bCs/>
        </w:rPr>
        <w:t xml:space="preserve">Recomendação</w:t>
      </w:r>
      <w:r>
        <w:t xml:space="preserve">: Realizar as adequações necessárias na estrutura física da CMRF, em conformidade com o item 8 do Manual de Rede de Frio do PNI (2017) e com a Resolução - RDC ANVISA Nº 63, de 25/11/2011. A Resolução estabelece, no Capítulo II, Seção I, Art. 7º, Inciso II, Alíneas</w:t>
      </w:r>
      <w:r>
        <w:t xml:space="preserve"> </w:t>
      </w:r>
      <w:r>
        <w:t xml:space="preserve">“b”</w:t>
      </w:r>
      <w:r>
        <w:t xml:space="preserve"> </w:t>
      </w:r>
      <w:r>
        <w:t xml:space="preserve">e</w:t>
      </w:r>
      <w:r>
        <w:t xml:space="preserve"> </w:t>
      </w:r>
      <w:r>
        <w:t xml:space="preserve">“c”</w:t>
      </w:r>
      <w:r>
        <w:t xml:space="preserve">, que</w:t>
      </w:r>
      <w:r>
        <w:t xml:space="preserve"> </w:t>
      </w:r>
      <w:r>
        <w:t xml:space="preserve">“As Boas Práticas de Funcionamento determinam que o serviço de saúde deve fornecer todos os recursos necessários, incluindo ambientes identificados, equipamentos, materiais e suporte logístico”</w:t>
      </w:r>
      <w:r>
        <w:t xml:space="preserve">. Adicionalmente, o Art. 36 reforça que</w:t>
      </w:r>
      <w:r>
        <w:t xml:space="preserve"> </w:t>
      </w:r>
      <w:r>
        <w:t xml:space="preserve">“O serviço de saúde deve manter as instalações físicas dos ambientes externos e internos em boas condições de conservação, segurança, organização, conforto e limpeza”</w:t>
      </w:r>
      <w:r>
        <w:t xml:space="preserve">, enquanto o Art. 42 orienta que</w:t>
      </w:r>
      <w:r>
        <w:t xml:space="preserve"> </w:t>
      </w:r>
      <w:r>
        <w:t xml:space="preserve">“O serviço de saúde deve realizar ações de manutenção preventiva e corretiva das instalações prediais,de forma própria ou terceirizada”</w:t>
      </w:r>
      <w:r>
        <w:t xml:space="preserve">.</w:t>
      </w:r>
    </w:p>
    <w:p>
      <w:pPr>
        <w:pStyle w:val="937"/>
      </w:pPr>
      <w:r>
        <w:rPr>
          <w:b/>
          <w:bCs/>
        </w:rPr>
        <w:t xml:space="preserve">Análise Codificação</w:t>
      </w:r>
      <w:r>
        <w:t xml:space="preserve">: Em relação ao foco, a recomendação propõe adequações na estrutura física da Central Municipal de Rede de Frio para atender aos requisitos do PNI e da RDC ANVISA, o que visa corrigir a condição encontrada de inadequação da estrutura, mas não aborda explicitamente as causas subjacentes que levaram a essa condição (como falhas em processos de manutenção, planejamento ou gestão). Portanto, a recomendação é focada na condição, não na causa. Como o critério</w:t>
      </w:r>
      <w:r>
        <w:t xml:space="preserve"> </w:t>
      </w:r>
      <w:r>
        <w:t xml:space="preserve">‘Foco Causa’</w:t>
      </w:r>
      <w:r>
        <w:t xml:space="preserve"> </w:t>
      </w:r>
      <w:r>
        <w:t xml:space="preserve">não foi atendido, o critério</w:t>
      </w:r>
      <w:r>
        <w:t xml:space="preserve"> </w:t>
      </w:r>
      <w:r>
        <w:t xml:space="preserve">‘Efeitos Duradouros’</w:t>
      </w:r>
      <w:r>
        <w:t xml:space="preserve"> </w:t>
      </w:r>
      <w:r>
        <w:t xml:space="preserve">não se aplica.</w:t>
      </w:r>
    </w:p>
    <w:p>
      <w:pPr>
        <w:pStyle w:val="937"/>
      </w:pPr>
      <w:r>
        <w:t xml:space="preserve">Foco Causa: Não</w:t>
      </w:r>
    </w:p>
    <w:p>
      <w:pPr>
        <w:pStyle w:val="937"/>
      </w:pPr>
      <w:r>
        <w:t xml:space="preserve">Efeitos Duradouros: Não se aplica</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a recomendação não aborda explicitamente causas subjacentes, como falhas em processos de manutenção, planejamento ou gestão, focando apenas na correção da condição física inadequada. No entanto, a recomendação cita especificamente a necessidade de conformidade com a RDC ANVISA, que inclui requisitos para manutenção preventiva e corretiva (Art. 42), o que pode ser interpretado como uma ação que trata da causa ao estabelecer processos sistemáticos para evitar a deterioração da estrutura. Para</w:t>
      </w:r>
      <w:r>
        <w:t xml:space="preserve"> </w:t>
      </w:r>
      <w:r>
        <w:t xml:space="preserve">‘Efeitos Duradouros’</w:t>
      </w:r>
      <w:r>
        <w:t xml:space="preserve">, como discordo da classificação de</w:t>
      </w:r>
      <w:r>
        <w:t xml:space="preserve"> </w:t>
      </w:r>
      <w:r>
        <w:t xml:space="preserve">‘Foco Causa’</w:t>
      </w:r>
      <w:r>
        <w:t xml:space="preserve">, a análise se torna relevante, pois a implementação de manutenção preventiva e adequação contínua pode gerar efeitos duradouros independentemente de mudanças de atores.</w:t>
      </w:r>
    </w:p>
    <w:p>
      <w:pPr>
        <w:pStyle w:val="937"/>
      </w:pPr>
      <w:r>
        <w:t xml:space="preserve">Análise Foco Causa: Discordo</w:t>
      </w:r>
    </w:p>
    <w:p>
      <w:pPr>
        <w:pStyle w:val="937"/>
      </w:pPr>
      <w:r>
        <w:t xml:space="preserve">Análise Efeitos Duradouros: Discordo</w:t>
      </w:r>
    </w:p>
    <w:bookmarkEnd w:id="721"/>
    <w:bookmarkEnd w:id="722"/>
    <w:bookmarkStart w:id="728" w:name="X62b542f63a3f55051e13ab5c056a71dccffceef"/>
    <w:p>
      <w:pPr>
        <w:pStyle w:val="906"/>
      </w:pPr>
      <w:r>
        <w:t xml:space="preserve">17.0.11 Foco: Não se aplica, Efeitos: Não se aplica, Concordância Foco: Concordo, Concordância Efeitos: Concordo</w:t>
      </w:r>
    </w:p>
    <w:bookmarkStart w:id="723" w:name="X00acce9a62b6b4ef407191f39a597f36d1190fc"/>
    <w:p>
      <w:pPr>
        <w:pStyle w:val="907"/>
      </w:pPr>
      <w:r>
        <w:t xml:space="preserve">17.0.11.1 Auditoria 19496, Constatação Nº 670139 (#2)</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Irregularidades nos cupons e receitas médicas disponibilizadas pela empresa.</w:t>
      </w:r>
    </w:p>
    <w:p>
      <w:pPr>
        <w:pStyle w:val="937"/>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937"/>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irregularidades nos cupons e receitas médicas. Não há menção a medidas corretivas, preventivas ou de melhoria que abordem a origem do problema.</w:t>
      </w:r>
    </w:p>
    <w:p>
      <w:pPr>
        <w:pStyle w:val="937"/>
      </w:pPr>
      <w:r>
        <w:t xml:space="preserve">Foco Causa: Não se aplica</w:t>
      </w:r>
    </w:p>
    <w:p>
      <w:pPr>
        <w:pStyle w:val="937"/>
      </w:pPr>
      <w:r>
        <w:t xml:space="preserve">Efeitos Duradouros: Não se aplica</w:t>
      </w:r>
    </w:p>
    <w:p>
      <w:pPr>
        <w:pStyle w:val="937"/>
      </w:pPr>
      <w:r>
        <w:rPr>
          <w:b/>
          <w:bCs/>
        </w:rPr>
        <w:t xml:space="preserve">Análise Crítica</w:t>
      </w:r>
      <w:r>
        <w:t xml:space="preserve">: A análise crítica considera a adequação da classificação dos critérios</w:t>
      </w:r>
      <w:r>
        <w:t xml:space="preserve"> </w:t>
      </w:r>
      <w:r>
        <w:t xml:space="preserve">‘Foco Causa’</w:t>
      </w:r>
      <w:r>
        <w:t xml:space="preserve"> </w:t>
      </w:r>
      <w:r>
        <w:t xml:space="preserve">e</w:t>
      </w:r>
      <w:r>
        <w:t xml:space="preserve"> </w:t>
      </w:r>
      <w:r>
        <w:t xml:space="preserve">‘Efeitos Duradouros’</w:t>
      </w:r>
      <w:r>
        <w:t xml:space="preserve"> </w:t>
      </w:r>
      <w:r>
        <w:t xml:space="preserve">com base na recomendação fornecida. A recomendação limita-se a encaminhar a constatação para conhecimento do departamento competente, sem propor ações específicas para tratar a causa das irregularidades ou implementar medidas corretivas.</w:t>
      </w:r>
    </w:p>
    <w:p>
      <w:pPr>
        <w:pStyle w:val="937"/>
      </w:pPr>
      <w:r>
        <w:t xml:space="preserve">Análise Foco Causa: Concordo</w:t>
      </w:r>
    </w:p>
    <w:p>
      <w:pPr>
        <w:pStyle w:val="937"/>
      </w:pPr>
      <w:r>
        <w:t xml:space="preserve">Análise Efeitos Duradouros: Concordo</w:t>
      </w:r>
    </w:p>
    <w:bookmarkEnd w:id="723"/>
    <w:bookmarkStart w:id="724" w:name="auditoria-19590-constatação-nº-684816-1"/>
    <w:p>
      <w:pPr>
        <w:pStyle w:val="907"/>
      </w:pPr>
      <w:r>
        <w:t xml:space="preserve">17.0.11.2 Auditoria 19590, Constatação Nº 684816 (#1)</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937"/>
      </w:pPr>
      <w:r>
        <w:rPr>
          <w:b/>
          <w:bCs/>
        </w:rPr>
        <w:t xml:space="preserve">Recomendação</w:t>
      </w:r>
      <w:r>
        <w:t xml:space="preserve">: Recomendação descrita na Constatação n.° 684813.</w:t>
      </w:r>
    </w:p>
    <w:p>
      <w:pPr>
        <w:pStyle w:val="937"/>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p>
    <w:p>
      <w:pPr>
        <w:pStyle w:val="937"/>
      </w:pPr>
      <w:r>
        <w:t xml:space="preserve">Foco Causa: Não se aplica</w:t>
      </w:r>
    </w:p>
    <w:p>
      <w:pPr>
        <w:pStyle w:val="937"/>
      </w:pPr>
      <w:r>
        <w:t xml:space="preserve">Efeitos Duradouros: Não se aplica</w:t>
      </w:r>
    </w:p>
    <w:p>
      <w:pPr>
        <w:pStyle w:val="937"/>
      </w:pPr>
      <w:r>
        <w:rPr>
          <w:b/>
          <w:bCs/>
        </w:rPr>
        <w:t xml:space="preserve">Análise Crítica</w:t>
      </w:r>
      <w:r>
        <w:t xml:space="preserve">: A análise do modelo está correta, pois a recomendação não foi fornecida diretamente, sendo apenas referenciada a outra constatação (n.° 684813). Sem o conteúdo específico da recomendação, é impossível avaliar adequadamente os critérios de Foco Causa e Efeitos Duradouros.</w:t>
      </w:r>
    </w:p>
    <w:p>
      <w:pPr>
        <w:pStyle w:val="937"/>
      </w:pPr>
      <w:r>
        <w:t xml:space="preserve">Análise Foco Causa: Concordo</w:t>
      </w:r>
    </w:p>
    <w:p>
      <w:pPr>
        <w:pStyle w:val="937"/>
      </w:pPr>
      <w:r>
        <w:t xml:space="preserve">Análise Efeitos Duradouros: Concordo</w:t>
      </w:r>
    </w:p>
    <w:bookmarkEnd w:id="724"/>
    <w:bookmarkStart w:id="725" w:name="X7891af1d2697dad5832337f213e3cfbe1ca3abc"/>
    <w:p>
      <w:pPr>
        <w:pStyle w:val="907"/>
      </w:pPr>
      <w:r>
        <w:t xml:space="preserve">17.0.11.3 Auditoria 19590, Constatação Nº 687133 (#1)</w:t>
      </w:r>
    </w:p>
    <w:p>
      <w:pPr>
        <w:pStyle w:val="937"/>
      </w:pPr>
      <w:r>
        <w:rPr>
          <w:b/>
          <w:bCs/>
        </w:rPr>
        <w:t xml:space="preserve">Finalidade</w:t>
      </w:r>
      <w:r>
        <w:t xml:space="preserve">: Verificar a implementação da Pol. Nac. ao Portador de Doença Ren. Crônica, nos estágios 4 e 5 em TRS</w:t>
      </w:r>
    </w:p>
    <w:p>
      <w:pPr>
        <w:pStyle w:val="937"/>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p>
    <w:p>
      <w:pPr>
        <w:pStyle w:val="937"/>
      </w:pPr>
      <w:r>
        <w:rPr>
          <w:b/>
          <w:bCs/>
        </w:rPr>
        <w:t xml:space="preserve">Recomendação</w:t>
      </w:r>
      <w:r>
        <w:t xml:space="preserve">: Recomendação descrita na Constatação n.° 684803.</w:t>
      </w:r>
    </w:p>
    <w:p>
      <w:pPr>
        <w:pStyle w:val="937"/>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p>
    <w:p>
      <w:pPr>
        <w:pStyle w:val="937"/>
      </w:pPr>
      <w:r>
        <w:t xml:space="preserve">Foco Causa: Não se aplica</w:t>
      </w:r>
    </w:p>
    <w:p>
      <w:pPr>
        <w:pStyle w:val="937"/>
      </w:pPr>
      <w:r>
        <w:t xml:space="preserve">Efeitos Duradouros: Não se aplica</w:t>
      </w:r>
    </w:p>
    <w:p>
      <w:pPr>
        <w:pStyle w:val="937"/>
      </w:pPr>
      <w:r>
        <w:rPr>
          <w:b/>
          <w:bCs/>
        </w:rPr>
        <w:t xml:space="preserve">Análise Crítica</w:t>
      </w:r>
      <w:r>
        <w:t xml:space="preserve">: A análise do modelo está correta, pois a recomendação não foi fornecida diretamente, apenas referenciada a partir de outra constatação. Sem o conteúdo específico da recomendação, é impossível avaliar adequadamente os critérios de</w:t>
      </w:r>
      <w:r>
        <w:t xml:space="preserve"> </w:t>
      </w:r>
      <w:r>
        <w:t xml:space="preserve">‘Foco Causa’</w:t>
      </w:r>
      <w:r>
        <w:t xml:space="preserve"> </w:t>
      </w:r>
      <w:r>
        <w:t xml:space="preserve">e</w:t>
      </w:r>
      <w:r>
        <w:t xml:space="preserve"> </w:t>
      </w:r>
      <w:r>
        <w:t xml:space="preserve">‘Efeitos Duradouros’</w:t>
      </w:r>
      <w:r>
        <w:t xml:space="preserve">.</w:t>
      </w:r>
    </w:p>
    <w:p>
      <w:pPr>
        <w:pStyle w:val="937"/>
      </w:pPr>
      <w:r>
        <w:t xml:space="preserve">Análise Foco Causa: Concordo</w:t>
      </w:r>
    </w:p>
    <w:p>
      <w:pPr>
        <w:pStyle w:val="937"/>
      </w:pPr>
      <w:r>
        <w:t xml:space="preserve">Análise Efeitos Duradouros: Concordo</w:t>
      </w:r>
    </w:p>
    <w:bookmarkEnd w:id="725"/>
    <w:bookmarkStart w:id="726" w:name="X02b48277bf91e974689e4b137f36310d9273c79"/>
    <w:p>
      <w:pPr>
        <w:pStyle w:val="907"/>
      </w:pPr>
      <w:r>
        <w:t xml:space="preserve">17.0.11.4 Auditoria 19591, Constatação Nº 682488 (#1)</w:t>
      </w:r>
    </w:p>
    <w:p>
      <w:pPr>
        <w:pStyle w:val="937"/>
      </w:pPr>
      <w:r>
        <w:rPr>
          <w:b/>
          <w:bCs/>
        </w:rPr>
        <w:t xml:space="preserve">Finalidade</w:t>
      </w:r>
      <w:r>
        <w:t xml:space="preserve">: Verificar a implementação da Política Nac. de Atenção ao Portador de Doença Renal. Estágios 4 e 5</w:t>
      </w:r>
    </w:p>
    <w:p>
      <w:pPr>
        <w:pStyle w:val="937"/>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937"/>
      </w:pPr>
      <w:r>
        <w:rPr>
          <w:b/>
          <w:bCs/>
        </w:rPr>
        <w:t xml:space="preserve">Recomendação</w:t>
      </w:r>
      <w:r>
        <w:t xml:space="preserve">: Recomendação descrita na Constatação n.° 677630.</w:t>
      </w:r>
    </w:p>
    <w:p>
      <w:pPr>
        <w:pStyle w:val="937"/>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p>
    <w:p>
      <w:pPr>
        <w:pStyle w:val="937"/>
      </w:pPr>
      <w:r>
        <w:t xml:space="preserve">Foco Causa: Não se aplica</w:t>
      </w:r>
    </w:p>
    <w:p>
      <w:pPr>
        <w:pStyle w:val="937"/>
      </w:pPr>
      <w:r>
        <w:t xml:space="preserve">Efeitos Duradouros: Não se aplica</w:t>
      </w:r>
    </w:p>
    <w:p>
      <w:pPr>
        <w:pStyle w:val="937"/>
      </w:pPr>
      <w:r>
        <w:rPr>
          <w:b/>
          <w:bCs/>
        </w:rPr>
        <w:t xml:space="preserve">Análise Crítica</w:t>
      </w:r>
      <w:r>
        <w:t xml:space="preserve">: A análise do modelo está correta, pois a recomendação não foi fornecida diretamente, apenas referenciada a partir de outra constatação (n.° 677630). Sem o conteúdo específico da recomendação, é impossível avaliar os critérios</w:t>
      </w:r>
      <w:r>
        <w:t xml:space="preserve"> </w:t>
      </w:r>
      <w:r>
        <w:t xml:space="preserve">‘Foco Causa’</w:t>
      </w:r>
      <w:r>
        <w:t xml:space="preserve"> </w:t>
      </w:r>
      <w:r>
        <w:t xml:space="preserve">e</w:t>
      </w:r>
      <w:r>
        <w:t xml:space="preserve"> </w:t>
      </w:r>
      <w:r>
        <w:t xml:space="preserve">‘Efeitos Duradouros’</w:t>
      </w:r>
      <w:r>
        <w:t xml:space="preserve"> </w:t>
      </w:r>
      <w:r>
        <w:t xml:space="preserve">de forma fundamentada.</w:t>
      </w:r>
    </w:p>
    <w:p>
      <w:pPr>
        <w:pStyle w:val="937"/>
      </w:pPr>
      <w:r>
        <w:t xml:space="preserve">Análise Foco Causa: Concordo</w:t>
      </w:r>
    </w:p>
    <w:p>
      <w:pPr>
        <w:pStyle w:val="937"/>
      </w:pPr>
      <w:r>
        <w:t xml:space="preserve">Análise Efeitos Duradouros: Concordo</w:t>
      </w:r>
    </w:p>
    <w:bookmarkEnd w:id="726"/>
    <w:bookmarkStart w:id="727" w:name="X247699a7d73d5b1fe9096d034dd54fb5eb1dce2"/>
    <w:p>
      <w:pPr>
        <w:pStyle w:val="907"/>
      </w:pPr>
      <w:r>
        <w:t xml:space="preserve">17.0.11.5 Auditoria 19886, Constatação Nº 702258 (#1)</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pPr>
        <w:pStyle w:val="937"/>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pPr>
        <w:pStyle w:val="937"/>
      </w:pPr>
      <w:r>
        <w:rPr>
          <w:b/>
          <w:bCs/>
        </w:rPr>
        <w:t xml:space="preserve">Análise Codificação</w:t>
      </w:r>
      <w:r>
        <w:t xml:space="preserve">: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pPr>
        <w:pStyle w:val="937"/>
      </w:pPr>
      <w:r>
        <w:t xml:space="preserve">Foco Causa: Não se aplica</w:t>
      </w:r>
    </w:p>
    <w:p>
      <w:pPr>
        <w:pStyle w:val="937"/>
      </w:pPr>
      <w:r>
        <w:t xml:space="preserve">Efeitos Duradouros: Não se aplica</w:t>
      </w:r>
    </w:p>
    <w:p>
      <w:pPr>
        <w:pStyle w:val="937"/>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p>
    <w:p>
      <w:pPr>
        <w:pStyle w:val="937"/>
      </w:pPr>
      <w:r>
        <w:t xml:space="preserve">Análise Foco Causa: Concordo</w:t>
      </w:r>
    </w:p>
    <w:p>
      <w:pPr>
        <w:pStyle w:val="937"/>
      </w:pPr>
      <w:r>
        <w:t xml:space="preserve">Análise Efeitos Duradouros: Concordo</w:t>
      </w:r>
    </w:p>
    <w:bookmarkEnd w:id="727"/>
    <w:bookmarkEnd w:id="728"/>
    <w:bookmarkStart w:id="736" w:name="X310aaa7de10299e172a60e3ad4d8245247a6692"/>
    <w:p>
      <w:pPr>
        <w:pStyle w:val="906"/>
      </w:pPr>
      <w:r>
        <w:t xml:space="preserve">17.0.12 Foco: Sim, Efeitos: Não, Concordância Foco: Concordo, Concordância Efeitos: Discordo</w:t>
      </w:r>
    </w:p>
    <w:bookmarkStart w:id="729" w:name="X134bec6e89252125a5b5415a6d73ed65bf25c63"/>
    <w:p>
      <w:pPr>
        <w:pStyle w:val="907"/>
      </w:pPr>
      <w:r>
        <w:t xml:space="preserve">17.0.12.1 Auditoria 19461, Constatação Nº 666982 (#3)</w:t>
      </w:r>
    </w:p>
    <w:p>
      <w:pPr>
        <w:pStyle w:val="937"/>
      </w:pPr>
      <w:r>
        <w:rPr>
          <w:b/>
          <w:bCs/>
        </w:rPr>
        <w:t xml:space="preserve">Finalidade</w:t>
      </w:r>
      <w:r>
        <w:t xml:space="preserve">: verificar a regularidade no faturamento das APACs nos procedimentos de quimioterapia do HSVP</w:t>
      </w:r>
    </w:p>
    <w:p>
      <w:pPr>
        <w:pStyle w:val="937"/>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p>
    <w:p>
      <w:pPr>
        <w:pStyle w:val="937"/>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p>
    <w:p>
      <w:pPr>
        <w:pStyle w:val="937"/>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identificou corretamente que a recomendação aborda a causa do problema ao propor o cumprimento das competências da Comissão de Revisão de Prontuário conforme a resolução, mas a avaliação sobre os efeitos duradouros merece revisão, pois a implementação de normas institucionais tende a criar estruturas mais permanentes.</w:t>
      </w:r>
    </w:p>
    <w:p>
      <w:pPr>
        <w:pStyle w:val="937"/>
      </w:pPr>
      <w:r>
        <w:t xml:space="preserve">Análise Foco Causa: Concordo</w:t>
      </w:r>
    </w:p>
    <w:p>
      <w:pPr>
        <w:pStyle w:val="937"/>
      </w:pPr>
      <w:r>
        <w:t xml:space="preserve">Análise Efeitos Duradouros: Discordo</w:t>
      </w:r>
    </w:p>
    <w:bookmarkEnd w:id="729"/>
    <w:bookmarkStart w:id="730" w:name="X1e8c45844f3271213f89da9f34d692c3e93cd1b"/>
    <w:p>
      <w:pPr>
        <w:pStyle w:val="907"/>
      </w:pPr>
      <w:r>
        <w:t xml:space="preserve">17.0.12.2 Auditoria 19538, Constatação Nº 675868 (#1)</w:t>
      </w:r>
    </w:p>
    <w:p>
      <w:pPr>
        <w:pStyle w:val="937"/>
      </w:pPr>
      <w:r>
        <w:rPr>
          <w:b/>
          <w:bCs/>
        </w:rPr>
        <w:t xml:space="preserve">Finalidade</w:t>
      </w:r>
      <w:r>
        <w:t xml:space="preserve">: Avaliar a gestão da SMS quanto aos indicadores de desempenho do programa Previne Brasil.</w:t>
      </w:r>
    </w:p>
    <w:p>
      <w:pPr>
        <w:pStyle w:val="937"/>
      </w:pPr>
      <w:r>
        <w:rPr>
          <w:b/>
          <w:bCs/>
        </w:rPr>
        <w:t xml:space="preserve">Constatação</w:t>
      </w:r>
      <w:r>
        <w:t xml:space="preserve">: A população adscrita por equipe não atende o recomendado na PNAB.</w:t>
      </w:r>
    </w:p>
    <w:p>
      <w:pPr>
        <w:pStyle w:val="937"/>
      </w:pPr>
      <w:r>
        <w:rPr>
          <w:b/>
          <w:bCs/>
        </w:rPr>
        <w:t xml:space="preserve">Recomendação</w:t>
      </w:r>
      <w:r>
        <w:t xml:space="preserve">: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pPr>
        <w:pStyle w:val="937"/>
      </w:pPr>
      <w:r>
        <w:rPr>
          <w:b/>
          <w:bCs/>
        </w:rPr>
        <w:t xml:space="preserve">Análise Codificação</w:t>
      </w:r>
      <w:r>
        <w:t xml:space="preserve">: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identificou corretamente que a recomendação aborda a causa subjacente ao propor a organização das equipes para atender às normas, mas foi imprecisa ao avaliar a durabilidade dos efeitos, pois a implementação de estruturas e coberturas conforme a PNAB e portarias tende a criar mudanças sistêmicas que persistem independentemente de mudanças de pessoal.</w:t>
      </w:r>
    </w:p>
    <w:p>
      <w:pPr>
        <w:pStyle w:val="937"/>
      </w:pPr>
      <w:r>
        <w:t xml:space="preserve">Análise Foco Causa: Concordo</w:t>
      </w:r>
    </w:p>
    <w:p>
      <w:pPr>
        <w:pStyle w:val="937"/>
      </w:pPr>
      <w:r>
        <w:t xml:space="preserve">Análise Efeitos Duradouros: Discordo</w:t>
      </w:r>
    </w:p>
    <w:bookmarkEnd w:id="730"/>
    <w:bookmarkStart w:id="731" w:name="X2a5f5856b27759948fe4340715910073acade38"/>
    <w:p>
      <w:pPr>
        <w:pStyle w:val="907"/>
      </w:pPr>
      <w:r>
        <w:t xml:space="preserve">17.0.12.3 Auditoria 19566, Constatação Nº 682438 (#1)</w:t>
      </w:r>
    </w:p>
    <w:p>
      <w:pPr>
        <w:pStyle w:val="937"/>
      </w:pPr>
      <w:r>
        <w:rPr>
          <w:b/>
          <w:bCs/>
        </w:rPr>
        <w:t xml:space="preserve">Finalidade</w:t>
      </w:r>
      <w:r>
        <w:t xml:space="preserve">: Verificar a implementação da Política Nacional de Atenção ao Portador de Doença Renal</w:t>
      </w:r>
    </w:p>
    <w:p>
      <w:pPr>
        <w:pStyle w:val="937"/>
      </w:pPr>
      <w:r>
        <w:rPr>
          <w:b/>
          <w:bCs/>
        </w:rPr>
        <w:t xml:space="preserve">Constatação</w:t>
      </w:r>
      <w:r>
        <w:t xml:space="preserve">: Não foi possível comprovar que os pacientes em tratamento na Clinefro, tiveram acesso a realização de exames de imagem em tempo oportuno.</w:t>
      </w:r>
    </w:p>
    <w:p>
      <w:pPr>
        <w:pStyle w:val="937"/>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937"/>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identificou corretamente que a recomendação aborda causas estruturais, mas a avaliação sobre a durabilidade dos efeitos merece uma revisão mais aprofundada.</w:t>
      </w:r>
    </w:p>
    <w:p>
      <w:pPr>
        <w:pStyle w:val="937"/>
      </w:pPr>
      <w:r>
        <w:t xml:space="preserve">Análise Foco Causa: Concordo</w:t>
      </w:r>
    </w:p>
    <w:p>
      <w:pPr>
        <w:pStyle w:val="937"/>
      </w:pPr>
      <w:r>
        <w:t xml:space="preserve">Análise Efeitos Duradouros: Discordo</w:t>
      </w:r>
    </w:p>
    <w:bookmarkEnd w:id="731"/>
    <w:bookmarkStart w:id="732" w:name="auditoria-19610-constatação-nº-674164-1"/>
    <w:p>
      <w:pPr>
        <w:pStyle w:val="907"/>
      </w:pPr>
      <w:r>
        <w:t xml:space="preserve">17.0.12.4 Auditoria 19610, Constatação Nº 674164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Registro de afastamento do trabalho na folha de frequência sem que esteja acompanhado de atestado médico ou justificativa da ocorrência.</w:t>
      </w:r>
    </w:p>
    <w:p>
      <w:pPr>
        <w:pStyle w:val="937"/>
      </w:pPr>
      <w:r>
        <w:rPr>
          <w:b/>
          <w:bCs/>
        </w:rPr>
        <w:t xml:space="preserve">Recomendação</w:t>
      </w:r>
      <w:r>
        <w:t xml:space="preserve">: Orientar os DSEI para que anotem em registro manual, mecânico ou eletrônico, o motivo da ausência dos trabalhadores.</w:t>
      </w:r>
    </w:p>
    <w:p>
      <w:pPr>
        <w:pStyle w:val="937"/>
      </w:pPr>
      <w:r>
        <w:rPr>
          <w:b/>
          <w:bCs/>
        </w:rPr>
        <w:t xml:space="preserve">Análise Codificação</w:t>
      </w:r>
      <w:r>
        <w:t xml:space="preserve">: A recomendação propõe a criação de um registro para documentar o motivo das ausências, o que visa abordar a causa do problema, que é a falta de documentação adequada para afastamentos. No entanto, os efeitos pretendidos dependem da ação contínua dos atores envolvidos, como os DSEI, para manter o registro, e podem não persistir se houver mudanças nesses atores, pois não há menção a sistemas ou políticas permanentes.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fornecida avalia corretamente que a recomendação aborda a causa subjacente da falta de documentação para afastamentos, mas discordo da conclusão sobre os efeitos duradouros, pois a implementação de um registro estruturado pode estabelecer uma prática institucional que persiste independentemente de mudanças de pessoal.</w:t>
      </w:r>
    </w:p>
    <w:p>
      <w:pPr>
        <w:pStyle w:val="937"/>
      </w:pPr>
      <w:r>
        <w:t xml:space="preserve">Análise Foco Causa: Concordo</w:t>
      </w:r>
    </w:p>
    <w:p>
      <w:pPr>
        <w:pStyle w:val="937"/>
      </w:pPr>
      <w:r>
        <w:t xml:space="preserve">Análise Efeitos Duradouros: Discordo</w:t>
      </w:r>
    </w:p>
    <w:bookmarkEnd w:id="732"/>
    <w:bookmarkStart w:id="733" w:name="Xa2f94f586ece7308b7bac7911a4860ce936d79d"/>
    <w:p>
      <w:pPr>
        <w:pStyle w:val="907"/>
      </w:pPr>
      <w:r>
        <w:t xml:space="preserve">17.0.12.5 Auditoria 19612, Constatação Nº 674784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Empresas participantes de processo licitatório possuem o mesmo Sócio Administrador.</w:t>
      </w:r>
    </w:p>
    <w:p>
      <w:pPr>
        <w:pStyle w:val="937"/>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937"/>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podem não ser duradouros se os atores mudarem, pois não há menção a mudanças estruturais internas que perpetuem a correção.</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p>
    <w:p>
      <w:pPr>
        <w:pStyle w:val="937"/>
      </w:pPr>
      <w:r>
        <w:t xml:space="preserve">Análise Foco Causa: Concordo</w:t>
      </w:r>
    </w:p>
    <w:p>
      <w:pPr>
        <w:pStyle w:val="937"/>
      </w:pPr>
      <w:r>
        <w:t xml:space="preserve">Análise Efeitos Duradouros: Discordo</w:t>
      </w:r>
    </w:p>
    <w:bookmarkEnd w:id="733"/>
    <w:bookmarkStart w:id="734" w:name="auditoria-19869-constatação-nº-703643-1"/>
    <w:p>
      <w:pPr>
        <w:pStyle w:val="907"/>
      </w:pPr>
      <w:r>
        <w:t xml:space="preserve">17.0.12.6 Auditoria 19869, Constatação Nº 703643 (#1)</w:t>
      </w:r>
    </w:p>
    <w:p>
      <w:pPr>
        <w:pStyle w:val="937"/>
      </w:pPr>
      <w:r>
        <w:rPr>
          <w:b/>
          <w:bCs/>
        </w:rPr>
        <w:t xml:space="preserve">Finalidade</w:t>
      </w:r>
      <w:r>
        <w:t xml:space="preserve">: Verificar a regularidade na inserção da produção no SIA/SUS</w:t>
      </w:r>
    </w:p>
    <w:p>
      <w:pPr>
        <w:pStyle w:val="937"/>
      </w:pPr>
      <w:r>
        <w:rPr>
          <w:b/>
          <w:bCs/>
        </w:rPr>
        <w:t xml:space="preserve">Constatação</w:t>
      </w:r>
      <w:r>
        <w:t xml:space="preserve">: As informações do Hospital Municipal Raimundo Rodrigues Siqueira no Cadastro Nacional dos Estabelecimentos de Saúde (Cnes) estão desatualizadas.</w:t>
      </w:r>
    </w:p>
    <w:p>
      <w:pPr>
        <w:pStyle w:val="937"/>
      </w:pPr>
      <w:r>
        <w:rPr>
          <w:b/>
          <w:bCs/>
        </w:rPr>
        <w:t xml:space="preserve">Recomendação</w:t>
      </w:r>
      <w:r>
        <w:t xml:space="preserve">: 1. Adotar, juntamente com a direção do HMRRS, providências no sentido de atualizar as informações do sistema Cnes conforme preconiza o disposto nos art. 364 e 370 da Portaria de Consolidação GM/MS nº 1/2017. 2. Fiscalizar, auditar, validar ou alterar, quando necessário, o cadastro dos estabelecimentos de saúde integrantes do SUS que estejam sob seu comando, conforme estabelece o art. 369 da Portaria de Consolidação GM/MS nº 1/2017.</w:t>
      </w:r>
    </w:p>
    <w:p>
      <w:pPr>
        <w:pStyle w:val="937"/>
      </w:pPr>
      <w:r>
        <w:rPr>
          <w:b/>
          <w:bCs/>
        </w:rPr>
        <w:t xml:space="preserve">Análise Codificação</w:t>
      </w:r>
      <w:r>
        <w:t xml:space="preserve">: A recomendação propõe ações para atualizar e manter as informações no sistema CNES, incluindo a adoção de providências com a direção do hospital e a fiscalização contínua do cadastro, o que sugere um foco na causa do problema (falta de processos para manter dados atualizados). No entanto, as ações descritas são genéricas e não especificam medidas institucionais duradouras, como a criação de políticas ou procedimentos permanentes, tornando incerto se os efeitos pretendidos persistiriam com mudanças nos atores envolvidos.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identifica corretamente que a recomendação aborda a causa subjacente (falta de processos para manter dados atualizados) e questiona a durabilidade dos efeitos devido à falta de especificidade em medidas institucionais. No entanto, a avaliação do critério</w:t>
      </w:r>
      <w:r>
        <w:t xml:space="preserve"> </w:t>
      </w:r>
      <w:r>
        <w:t xml:space="preserve">‘Efeitos Duradouros’</w:t>
      </w:r>
      <w:r>
        <w:t xml:space="preserve"> </w:t>
      </w:r>
      <w:r>
        <w:t xml:space="preserve">merece uma revisão mais aprofundada.</w:t>
      </w:r>
    </w:p>
    <w:p>
      <w:pPr>
        <w:pStyle w:val="937"/>
      </w:pPr>
      <w:r>
        <w:t xml:space="preserve">Análise Foco Causa: Concordo</w:t>
      </w:r>
    </w:p>
    <w:p>
      <w:pPr>
        <w:pStyle w:val="937"/>
      </w:pPr>
      <w:r>
        <w:t xml:space="preserve">Análise Efeitos Duradouros: Discordo</w:t>
      </w:r>
    </w:p>
    <w:bookmarkEnd w:id="734"/>
    <w:bookmarkStart w:id="735" w:name="X9495df7b4ee6a9536c266cca932ec52dc72379e"/>
    <w:p>
      <w:pPr>
        <w:pStyle w:val="907"/>
      </w:pPr>
      <w:r>
        <w:t xml:space="preserve">17.0.12.7 Auditoria 19892, Constatação Nº 704024 (#1)</w:t>
      </w:r>
    </w:p>
    <w:p>
      <w:pPr>
        <w:pStyle w:val="937"/>
      </w:pPr>
      <w:r>
        <w:rPr>
          <w:b/>
          <w:bCs/>
        </w:rPr>
        <w:t xml:space="preserve">Finalidade</w:t>
      </w:r>
      <w:r>
        <w:t xml:space="preserve">: Realizar auditoria de oncologia, SIA e SIH, na Santa Casa de Misericórdia de Patos de Minas/MG</w:t>
      </w:r>
    </w:p>
    <w:p>
      <w:pPr>
        <w:pStyle w:val="937"/>
      </w:pPr>
      <w:r>
        <w:rPr>
          <w:b/>
          <w:bCs/>
        </w:rPr>
        <w:t xml:space="preserve">Constatação</w:t>
      </w:r>
      <w:r>
        <w:t xml:space="preserve">: A Santa Casa de Misericórdia de Patos de Minas/MG iniciou o tratamento clínico em oncológia (quimioterapia ou radioterapia) antes da autorização formal da APAC pelo Gestor.</w:t>
      </w:r>
    </w:p>
    <w:p>
      <w:pPr>
        <w:pStyle w:val="937"/>
      </w:pPr>
      <w:r>
        <w:rPr>
          <w:b/>
          <w:bCs/>
        </w:rPr>
        <w:t xml:space="preserve">Recomendação</w:t>
      </w:r>
      <w:r>
        <w:t xml:space="preserve">: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pPr>
        <w:pStyle w:val="937"/>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A análise do modelo identificou corretamente que a recomendação aborda a causa do problema, que é a não conformidade com as regras estabelecidas, mas avaliou incorretamente os efeitos duradouros ao considerar que dependem apenas da adesão contínua dos profissionais, sem levar em conta que a implementação do procedimento normativo como prática institucional pode gerar efeitos mais permanentes.</w:t>
      </w:r>
    </w:p>
    <w:p>
      <w:pPr>
        <w:pStyle w:val="937"/>
      </w:pPr>
      <w:r>
        <w:t xml:space="preserve">Análise Foco Causa: Concordo</w:t>
      </w:r>
    </w:p>
    <w:p>
      <w:pPr>
        <w:pStyle w:val="937"/>
      </w:pPr>
      <w:r>
        <w:t xml:space="preserve">Análise Efeitos Duradouros: Discordo</w:t>
      </w:r>
    </w:p>
    <w:bookmarkEnd w:id="735"/>
    <w:bookmarkEnd w:id="736"/>
    <w:bookmarkStart w:id="742" w:name="X110375a53eb2a627959cea8c218d00dc9d418c1"/>
    <w:p>
      <w:pPr>
        <w:pStyle w:val="906"/>
      </w:pPr>
      <w:r>
        <w:t xml:space="preserve">17.0.13 Foco: Sim, Efeitos: Não, Concordância Foco: Concordo, Concordância Efeitos: Concordo</w:t>
      </w:r>
    </w:p>
    <w:bookmarkStart w:id="737" w:name="X2ae42f7af5fc58a6f3d2cbfee710dfe57c9c873"/>
    <w:p>
      <w:pPr>
        <w:pStyle w:val="907"/>
      </w:pPr>
      <w:r>
        <w:t xml:space="preserve">17.0.13.1 Auditoria 19462, Constatação Nº 671393 (#1)</w:t>
      </w:r>
    </w:p>
    <w:p>
      <w:pPr>
        <w:pStyle w:val="937"/>
      </w:pPr>
      <w:r>
        <w:rPr>
          <w:b/>
          <w:bCs/>
        </w:rPr>
        <w:t xml:space="preserve">Finalidade</w:t>
      </w:r>
      <w:r>
        <w:t xml:space="preserve">: Avaliar acuidade das informações prestada, Munic. de Capixaba, ref. PROGRAMA PREVINE . A.P.S</w:t>
      </w:r>
    </w:p>
    <w:p>
      <w:pPr>
        <w:pStyle w:val="937"/>
      </w:pPr>
      <w:r>
        <w:rPr>
          <w:b/>
          <w:bCs/>
        </w:rPr>
        <w:t xml:space="preserve">Constatação</w:t>
      </w:r>
      <w:r>
        <w:t xml:space="preserve">: O município não realiza o preenchimento adequado dos prontuários físicos, os quais deveriam seguir o padrão de acordo com as orientações do guia de qualificação CDS (Coleta de Dados Simplificada), como meio de suporte para os dados consolidados no SISAB, por indicador de desempenho.</w:t>
      </w:r>
    </w:p>
    <w:p>
      <w:pPr>
        <w:pStyle w:val="937"/>
      </w:pPr>
      <w:r>
        <w:rPr>
          <w:b/>
          <w:bCs/>
        </w:rPr>
        <w:t xml:space="preserve">Recomendação</w:t>
      </w:r>
      <w:r>
        <w:t xml:space="preserve">: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pPr>
        <w:pStyle w:val="937"/>
      </w:pPr>
      <w:r>
        <w:rPr>
          <w:b/>
          <w:bCs/>
        </w:rPr>
        <w:t xml:space="preserve">Análise Codificação</w:t>
      </w:r>
      <w:r>
        <w:t xml:space="preserve">: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Em relação ao critério</w:t>
      </w:r>
      <w:r>
        <w:t xml:space="preserve"> </w:t>
      </w:r>
      <w:r>
        <w:t xml:space="preserve">‘Foco Causa’</w:t>
      </w:r>
      <w:r>
        <w:t xml:space="preserve">, a recomendação sugere a utilização de instrumentos orientativos para qualificar os registros, o que aborda a causa do problema, que é a falta de adesão às diretrizes estabelecidas. Quanto ao critério</w:t>
      </w:r>
      <w:r>
        <w:t xml:space="preserve"> </w:t>
      </w:r>
      <w:r>
        <w:t xml:space="preserve">‘Efeitos Duradouros’</w:t>
      </w:r>
      <w:r>
        <w:t xml:space="preserve">, a recomendação não propõe ações específicas para garantir que os efeitos perdurem independentemente de mudanças nos atores envolvidos, como a implementação de sistemas de monitoramento contínuo ou treinamentos regulares.</w:t>
      </w:r>
    </w:p>
    <w:p>
      <w:pPr>
        <w:pStyle w:val="937"/>
      </w:pPr>
      <w:r>
        <w:t xml:space="preserve">Análise Foco Causa: Concordo</w:t>
      </w:r>
    </w:p>
    <w:p>
      <w:pPr>
        <w:pStyle w:val="937"/>
      </w:pPr>
      <w:r>
        <w:t xml:space="preserve">Análise Efeitos Duradouros: Concordo</w:t>
      </w:r>
    </w:p>
    <w:bookmarkEnd w:id="737"/>
    <w:bookmarkStart w:id="738" w:name="X271ae6488db1692cb1fe7a30d9ed48e1e98d518"/>
    <w:p>
      <w:pPr>
        <w:pStyle w:val="907"/>
      </w:pPr>
      <w:r>
        <w:t xml:space="preserve">17.0.13.2 Auditoria 19611, Constatação Nº 674396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Contratação e pagamento de serviços referentes à Sistema Integrado de Gestão, sem que restasse comprovada a necessidade da contratação e a efetiva prestação dos serviços.</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937"/>
      </w:pPr>
      <w:r>
        <w:rPr>
          <w:b/>
          <w:bCs/>
        </w:rPr>
        <w:t xml:space="preserve">Análise Codificação</w:t>
      </w:r>
      <w:r>
        <w:t xml:space="preserve">: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que visa prevenir a reincidência da irregularidade ao estabelecer um processo de verificação documental, o que caracteriza um foco na causa. Quanto ao critério</w:t>
      </w:r>
      <w:r>
        <w:t xml:space="preserve"> </w:t>
      </w:r>
      <w:r>
        <w:t xml:space="preserve">‘Efeitos Duradouros’</w:t>
      </w:r>
      <w:r>
        <w:t xml:space="preserve">, a ação sugerida depende da execução contínua por fiscais e gestores específicos, sem estabelecer mecanismos institucionais permanentes, o que limita a durabilidade dos efeitos.</w:t>
      </w:r>
    </w:p>
    <w:p>
      <w:pPr>
        <w:pStyle w:val="937"/>
      </w:pPr>
      <w:r>
        <w:t xml:space="preserve">Análise Foco Causa: Concordo</w:t>
      </w:r>
    </w:p>
    <w:p>
      <w:pPr>
        <w:pStyle w:val="937"/>
      </w:pPr>
      <w:r>
        <w:t xml:space="preserve">Análise Efeitos Duradouros: Concordo</w:t>
      </w:r>
    </w:p>
    <w:bookmarkEnd w:id="738"/>
    <w:bookmarkStart w:id="739" w:name="X729c15dfc910aa132aebbc3de88574558f1219a"/>
    <w:p>
      <w:pPr>
        <w:pStyle w:val="907"/>
      </w:pPr>
      <w:r>
        <w:t xml:space="preserve">17.0.13.3 Auditoria 19614, Constatação Nº 676589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pPr>
        <w:pStyle w:val="937"/>
      </w:pPr>
      <w:r>
        <w:rPr>
          <w:b/>
          <w:bCs/>
        </w:rPr>
        <w:t xml:space="preserve">Análise Codificação</w:t>
      </w:r>
      <w:r>
        <w:t xml:space="preserve">: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orientação para conferência documental que visa prevenir a ocorrência de conflitos de interesses, abordando assim a causa subjacente de falta de controle e verificação nos processos de contratação. Quanto ao critério</w:t>
      </w:r>
      <w:r>
        <w:t xml:space="preserve"> </w:t>
      </w:r>
      <w:r>
        <w:t xml:space="preserve">‘Efeitos Duradouros’</w:t>
      </w:r>
      <w:r>
        <w:t xml:space="preserve">, a recomendação depende da ação contínua de fiscais e gestores, e mudanças nesses atores podem afetar a implementação, não garantindo efeitos independentes de pessoas específicas.</w:t>
      </w:r>
    </w:p>
    <w:p>
      <w:pPr>
        <w:pStyle w:val="937"/>
      </w:pPr>
      <w:r>
        <w:t xml:space="preserve">Análise Foco Causa: Concordo</w:t>
      </w:r>
    </w:p>
    <w:p>
      <w:pPr>
        <w:pStyle w:val="937"/>
      </w:pPr>
      <w:r>
        <w:t xml:space="preserve">Análise Efeitos Duradouros: Concordo</w:t>
      </w:r>
    </w:p>
    <w:bookmarkEnd w:id="739"/>
    <w:bookmarkStart w:id="740" w:name="X5627c678d4bb90c058cd10376b82be020908711"/>
    <w:p>
      <w:pPr>
        <w:pStyle w:val="907"/>
      </w:pPr>
      <w:r>
        <w:t xml:space="preserve">17.0.13.4 Auditoria 19627, Constatação Nº 685177 (#2)</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de resultados nos relatórios trimestrais de monitoramento do Eixo Controle Social no Transferegov.</w:t>
      </w:r>
    </w:p>
    <w:p>
      <w:pPr>
        <w:pStyle w:val="937"/>
      </w:pPr>
      <w:r>
        <w:rPr>
          <w:b/>
          <w:bCs/>
        </w:rPr>
        <w:t xml:space="preserve">Recomendação</w:t>
      </w:r>
      <w:r>
        <w:t xml:space="preserve">: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pPr>
        <w:pStyle w:val="937"/>
      </w:pPr>
      <w:r>
        <w:rPr>
          <w:b/>
          <w:bCs/>
        </w:rPr>
        <w:t xml:space="preserve">Análise Codificação</w:t>
      </w:r>
      <w:r>
        <w:t xml:space="preserve">: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Em relação ao critério</w:t>
      </w:r>
      <w:r>
        <w:t xml:space="preserve"> </w:t>
      </w:r>
      <w:r>
        <w:t xml:space="preserve">‘Foco Causa’</w:t>
      </w:r>
      <w:r>
        <w:t xml:space="preserve">, a recomendação propõe ações de apoio, orientação e supervisão para tratar a causa subjacente da ausência de resultados nos relatórios, que pode ser falta de capacitação ou suporte adequado. Quanto ao critério</w:t>
      </w:r>
      <w:r>
        <w:t xml:space="preserve"> </w:t>
      </w:r>
      <w:r>
        <w:t xml:space="preserve">‘Efeitos Duradouros’</w:t>
      </w:r>
      <w:r>
        <w:t xml:space="preserve">, embora as ações possam estabelecer processos contínuos, sua dependência de atores específicos (fiscais e CGPO) e a ausência de mudanças estruturais mais profundas limitam a durabilidade dos efeitos frente a mudanças de pessoal.</w:t>
      </w:r>
    </w:p>
    <w:p>
      <w:pPr>
        <w:pStyle w:val="937"/>
      </w:pPr>
      <w:r>
        <w:t xml:space="preserve">Análise Foco Causa: Concordo</w:t>
      </w:r>
    </w:p>
    <w:p>
      <w:pPr>
        <w:pStyle w:val="937"/>
      </w:pPr>
      <w:r>
        <w:t xml:space="preserve">Análise Efeitos Duradouros: Concordo</w:t>
      </w:r>
    </w:p>
    <w:bookmarkEnd w:id="740"/>
    <w:bookmarkStart w:id="741" w:name="Xcb8d6cb0f8a24fe25ec0aee245aee81690ab902"/>
    <w:p>
      <w:pPr>
        <w:pStyle w:val="907"/>
      </w:pPr>
      <w:r>
        <w:t xml:space="preserve">17.0.13.5 Auditoria 19790, Constatação Nº 694458 (#1)</w:t>
      </w:r>
    </w:p>
    <w:p>
      <w:pPr>
        <w:pStyle w:val="937"/>
      </w:pPr>
      <w:r>
        <w:rPr>
          <w:b/>
          <w:bCs/>
        </w:rPr>
        <w:t xml:space="preserve">Finalidade</w:t>
      </w:r>
      <w:r>
        <w:t xml:space="preserve">: Avaliar se a Atenção Primária exerce as atribuições de coordenadora da Rede de At. Psicossocial-RAPS</w:t>
      </w:r>
    </w:p>
    <w:p>
      <w:pPr>
        <w:pStyle w:val="937"/>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p>
    <w:p>
      <w:pPr>
        <w:pStyle w:val="937"/>
      </w:pPr>
      <w:r>
        <w:rPr>
          <w:b/>
          <w:bCs/>
        </w:rPr>
        <w:t xml:space="preserve">Recomendação</w:t>
      </w:r>
      <w:r>
        <w:t xml:space="preserve">: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pPr>
        <w:pStyle w:val="937"/>
      </w:pPr>
      <w:r>
        <w:rPr>
          <w:b/>
          <w:bCs/>
        </w:rPr>
        <w:t xml:space="preserve">Análise Codificação</w:t>
      </w:r>
      <w:r>
        <w:t xml:space="preserve">: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pPr>
        <w:pStyle w:val="937"/>
      </w:pPr>
      <w:r>
        <w:t xml:space="preserve">Foco Causa: Sim</w:t>
      </w:r>
    </w:p>
    <w:p>
      <w:pPr>
        <w:pStyle w:val="937"/>
      </w:pPr>
      <w:r>
        <w:t xml:space="preserve">Efeitos Duradouros: Não</w:t>
      </w:r>
    </w:p>
    <w:p>
      <w:pPr>
        <w:pStyle w:val="937"/>
      </w:pPr>
      <w:r>
        <w:rPr>
          <w:b/>
          <w:bCs/>
        </w:rPr>
        <w:t xml:space="preserve">Análise Crítica</w:t>
      </w:r>
      <w:r>
        <w:t xml:space="preserve">: Em relação ao critério</w:t>
      </w:r>
      <w:r>
        <w:t xml:space="preserve"> </w:t>
      </w:r>
      <w:r>
        <w:t xml:space="preserve">‘Foco Causa’</w:t>
      </w:r>
      <w:r>
        <w:t xml:space="preserve">, a recomendação propõe a realização de atividades para combater estigmas e preconceitos, o que aborda diretamente a causa da constatação (falta dessas atividades). Quanto ao critério</w:t>
      </w:r>
      <w:r>
        <w:t xml:space="preserve"> </w:t>
      </w:r>
      <w:r>
        <w:t xml:space="preserve">‘Efeitos Duradouros’</w:t>
      </w:r>
      <w:r>
        <w:t xml:space="preserve">, a recomendação foca na execução de atividades sem estabelecer mecanismos permanentes ou mudanças estruturais que assegurem continuidade independentemente de mudanças nos atores envolvidos.</w:t>
      </w:r>
    </w:p>
    <w:p>
      <w:pPr>
        <w:pStyle w:val="937"/>
      </w:pPr>
      <w:r>
        <w:t xml:space="preserve">Análise Foco Causa: Concordo</w:t>
      </w:r>
    </w:p>
    <w:p>
      <w:pPr>
        <w:pStyle w:val="937"/>
      </w:pPr>
      <w:r>
        <w:t xml:space="preserve">Análise Efeitos Duradouros: Concordo</w:t>
      </w:r>
    </w:p>
    <w:bookmarkEnd w:id="741"/>
    <w:bookmarkEnd w:id="742"/>
    <w:bookmarkStart w:id="753" w:name="Xdcc393d8522af989599f55467f8208a067e306e"/>
    <w:p>
      <w:pPr>
        <w:pStyle w:val="906"/>
      </w:pPr>
      <w:r>
        <w:t xml:space="preserve">17.0.14 Foco: Sim, Efeitos: Sim, Concordância Foco: Concordo, Concordância Efeitos: Discordo</w:t>
      </w:r>
    </w:p>
    <w:bookmarkStart w:id="743" w:name="X071e5796a76a1bed7e7174196f0df0cd4e0a9aa"/>
    <w:p>
      <w:pPr>
        <w:pStyle w:val="907"/>
      </w:pPr>
      <w:r>
        <w:t xml:space="preserve">17.0.14.1 Auditoria 19197, Constatação Nº 654791 (#1)</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Disponibilização de processos financeiros de forma incompleta.</w:t>
      </w:r>
    </w:p>
    <w:p>
      <w:pPr>
        <w:pStyle w:val="937"/>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p>
    <w:p>
      <w:pPr>
        <w:pStyle w:val="937"/>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 visando prevenir sua recorrência. Quanto aos efeitos duradouros, a implementação de um processo estruturado de disponibilização de informações tende a persistir independentemente de mudanças nos atores envolvidos, pois se baseia em um procedimento formal.</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diretamente a causa da disponibilização incompleta ao propor a disponibilização completa de informações, o que é correto. Para</w:t>
      </w:r>
      <w:r>
        <w:t xml:space="preserve"> </w:t>
      </w:r>
      <w:r>
        <w:t xml:space="preserve">‘Efeitos Duradouros’</w:t>
      </w:r>
      <w:r>
        <w:t xml:space="preserve">, a recomendação se baseia em um procedimento formal que pode persistir com mudanças de pessoal, mas a análise não considera que a implementação depende de adesão contínua e pode não ser sustentada sem mecanismos adicionais.</w:t>
      </w:r>
    </w:p>
    <w:p>
      <w:pPr>
        <w:pStyle w:val="937"/>
      </w:pPr>
      <w:r>
        <w:t xml:space="preserve">Análise Foco Causa: Concordo</w:t>
      </w:r>
    </w:p>
    <w:p>
      <w:pPr>
        <w:pStyle w:val="937"/>
      </w:pPr>
      <w:r>
        <w:t xml:space="preserve">Análise Efeitos Duradouros: Discordo</w:t>
      </w:r>
    </w:p>
    <w:bookmarkEnd w:id="743"/>
    <w:bookmarkStart w:id="744" w:name="X6755e034d5e2e8fdf352705628090f07454ce21"/>
    <w:p>
      <w:pPr>
        <w:pStyle w:val="907"/>
      </w:pPr>
      <w:r>
        <w:t xml:space="preserve">17.0.14.2 Auditoria 19431, Constatação Nº 663754 (#1)</w:t>
      </w:r>
    </w:p>
    <w:p>
      <w:pPr>
        <w:pStyle w:val="937"/>
      </w:pPr>
      <w:r>
        <w:rPr>
          <w:b/>
          <w:bCs/>
        </w:rPr>
        <w:t xml:space="preserve">Finalidade</w:t>
      </w:r>
      <w:r>
        <w:t xml:space="preserve">: Verificar a regularidade da execução do Programa Farmácia Popular do Brasil/PFPB</w:t>
      </w:r>
    </w:p>
    <w:p>
      <w:pPr>
        <w:pStyle w:val="937"/>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p>
    <w:p>
      <w:pPr>
        <w:pStyle w:val="937"/>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“Manual de Orientações às Farmácias e Drogarias Credenciadas no Aqui Tem Farmácia Popular”</w:t>
      </w:r>
      <w:r>
        <w:t xml:space="preserve"> </w:t>
      </w:r>
      <w:r>
        <w:t xml:space="preserve">na página eletrônica do PFPB, conforme estabelece o § 2º do artigo 62 do Anexo LXXVII da Portaria de Consolidação GM/MS nº 5 de 28/09/2017.</w:t>
      </w:r>
    </w:p>
    <w:p>
      <w:pPr>
        <w:pStyle w:val="937"/>
      </w:pPr>
      <w:r>
        <w:rPr>
          <w:b/>
          <w:bCs/>
        </w:rPr>
        <w:t xml:space="preserve">Análise Codificação</w:t>
      </w:r>
      <w:r>
        <w:t xml:space="preserve">: A recomendação 1 trata da manutenção de documentos fiscais, que é uma medida de controle para evitar a repetição da condição encontrada (ausência de comprovação de aquisições), focando na causa do problema ao estabelecer procedimentos de arquivamento. A recomendação 2 propõe a dispensação eletrônica em tempo real com validação por código de barras, o que ataca diretamente a causa da irregularidade ao implementar um sistema de controle que previne dispensação sem comprovação. Ambas as ações têm efeitos duradouros, pois os procedimentos de arquivamento e o sistema eletrônico de controle permanecem independentemente de mudanças nos atores envolvidos. As recomendações 3 e 4 são genéricas e focam no cumprimento de normas existentes, sem propor ações específicas para tratar a causa.</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concordo que as recomendações 1 e 2 abordam a causa do problema, mas discordo da avaliação sobre os</w:t>
      </w:r>
      <w:r>
        <w:t xml:space="preserve"> </w:t>
      </w:r>
      <w:r>
        <w:t xml:space="preserve">‘Efeitos Duradouros’</w:t>
      </w:r>
      <w:r>
        <w:t xml:space="preserve"> </w:t>
      </w:r>
      <w:r>
        <w:t xml:space="preserve">para a recomendação 2, que depende de implementação e manutenção contínua. As recomendações 3 e 4 são corretamente classificadas como não focadas na causa.</w:t>
      </w:r>
    </w:p>
    <w:p>
      <w:pPr>
        <w:pStyle w:val="937"/>
      </w:pPr>
      <w:r>
        <w:t xml:space="preserve">Análise Foco Causa: Concordo</w:t>
      </w:r>
    </w:p>
    <w:p>
      <w:pPr>
        <w:pStyle w:val="937"/>
      </w:pPr>
      <w:r>
        <w:t xml:space="preserve">Análise Efeitos Duradouros: Discordo</w:t>
      </w:r>
    </w:p>
    <w:bookmarkEnd w:id="744"/>
    <w:bookmarkStart w:id="745" w:name="auditoria-19544-constatação-nº-676958-1"/>
    <w:p>
      <w:pPr>
        <w:pStyle w:val="907"/>
      </w:pPr>
      <w:r>
        <w:t xml:space="preserve">17.0.14.3 Auditoria 19544, Constatação Nº 676958 (#1)</w:t>
      </w:r>
    </w:p>
    <w:p>
      <w:pPr>
        <w:pStyle w:val="937"/>
      </w:pPr>
      <w:r>
        <w:rPr>
          <w:b/>
          <w:bCs/>
        </w:rPr>
        <w:t xml:space="preserve">Finalidade</w:t>
      </w:r>
      <w:r>
        <w:t xml:space="preserve">: Avaliar acuidade das informações prestada pelo Munic. de Feijó, ref. ao Prog. Previne Brasil. A.P</w:t>
      </w:r>
    </w:p>
    <w:p>
      <w:pPr>
        <w:pStyle w:val="937"/>
      </w:pPr>
      <w:r>
        <w:rPr>
          <w:b/>
          <w:bCs/>
        </w:rPr>
        <w:t xml:space="preserve">Constatação</w:t>
      </w:r>
      <w:r>
        <w:t xml:space="preserve">: Não atendimento aos critérios do quantitativo potencial de pessoas cadastradas por equipe - de acordo com a classificação geográfica do município (IBGE).</w:t>
      </w:r>
    </w:p>
    <w:p>
      <w:pPr>
        <w:pStyle w:val="937"/>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p>
    <w:p>
      <w:pPr>
        <w:pStyle w:val="937"/>
      </w:pPr>
      <w:r>
        <w:rPr>
          <w:b/>
          <w:bCs/>
        </w:rPr>
        <w:t xml:space="preserve">Análise Codificação</w:t>
      </w:r>
      <w:r>
        <w:t xml:space="preserve">: A recomendação propõe a adoção de medidas para cumprir a metodologia de cálculo da captação ponderada estabelecida na PRC nº 06/2017, focando na implementação de um procedimento normativo específico. Isso aborda a causa subjacente do problema, que é a não conformidade com os critérios de quantitativo potencial, ao estabelecer um processo estruturado para o cálculo. Quanto aos efeitos duradouros, a implementação dessa metodologia cria um mecanismo permanente de cálculo, que permanece válido independentemente de mudanças nos atores envolvidos, garantindo continuidade na conformidade.</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identificou corretamente que a recomendação aborda a causa subjacente ao propor a implementação de uma metodologia normativa específica, mas pode ter superestimado os efeitos duradouros ao assumir automaticamente que a implementação garante permanência sem considerar possíveis lacunas na recomendação.</w:t>
      </w:r>
    </w:p>
    <w:p>
      <w:pPr>
        <w:pStyle w:val="937"/>
      </w:pPr>
      <w:r>
        <w:t xml:space="preserve">Análise Foco Causa: Concordo</w:t>
      </w:r>
    </w:p>
    <w:p>
      <w:pPr>
        <w:pStyle w:val="937"/>
      </w:pPr>
      <w:r>
        <w:t xml:space="preserve">Análise Efeitos Duradouros: Discordo</w:t>
      </w:r>
    </w:p>
    <w:bookmarkEnd w:id="745"/>
    <w:bookmarkStart w:id="746" w:name="Xf7ae671daa487f22c72a949e6411cb439f46d80"/>
    <w:p>
      <w:pPr>
        <w:pStyle w:val="907"/>
      </w:pPr>
      <w:r>
        <w:t xml:space="preserve">17.0.14.4 Auditoria 19595, Constatação Nº 674275 (#1)</w:t>
      </w:r>
    </w:p>
    <w:p>
      <w:pPr>
        <w:pStyle w:val="937"/>
      </w:pPr>
      <w:r>
        <w:rPr>
          <w:b/>
          <w:bCs/>
        </w:rPr>
        <w:t xml:space="preserve">Finalidade</w:t>
      </w:r>
      <w:r>
        <w:t xml:space="preserve">: Avaliar os indicadores de desempenho do programa Previne Brasil no município de Pontal do Paraná.</w:t>
      </w:r>
    </w:p>
    <w:p>
      <w:pPr>
        <w:pStyle w:val="937"/>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1 - Proporção de gestantes com pelo menos 6 (seis) consultas pré-natal realizadas, sendo a primeira até a 12ª semana de gestação, no exercício de 2022.</w:t>
      </w:r>
    </w:p>
    <w:p>
      <w:pPr>
        <w:pStyle w:val="937"/>
      </w:pPr>
      <w:r>
        <w:rPr>
          <w:b/>
          <w:bCs/>
        </w:rPr>
        <w:t xml:space="preserve">Recomendação</w:t>
      </w:r>
      <w:r>
        <w:t xml:space="preserve">: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937"/>
      </w:pPr>
      <w:r>
        <w:rPr>
          <w:b/>
          <w:bCs/>
        </w:rPr>
        <w:t xml:space="preserve">Análise Codificação</w:t>
      </w:r>
      <w:r>
        <w:t xml:space="preserve">: Em relação ao foco, a recomendação 1 propõe capacitar profissionais de saúde para melhorar a abordagem integral e a qualidade do pré-natal, o que pode abordar causas subjacentes, como falta de conhecimento ou práticas inadequadas, que levaram à não adoção das ações do Documento Orientador. A recomendação 2, por sua vez, foca em assegurar o cumprimento de normas de cálculo de incentivo financeiro, o que é mais relacionado à condição específica de conformidade com a portaria. Considerando a recomendação como um todo, há elementos que tratam de causas, especialmente na capacitação. Quanto aos efeitos duradouros, a capacitação visa mudanças sustentáveis nas práticas profissionais, que podem persistir independentemente de mudanças nos atores, desde que integradas à rotina.</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1 aborda causas subjacentes, como falta de conhecimento ou práticas inadequadas, que podem ter levado à não adoção das ações do Documento Orientador. No entanto, a recomendação 2 é claramente focada na condição imediata de conformidade com a portaria, sem tratar causas profundas. Considerando a recomendação como um todo, há elementos que tratam de causas, mas a análise poderia ser mais precisa ao diferenciar as duas partes. Para o critério</w:t>
      </w:r>
      <w:r>
        <w:t xml:space="preserve"> </w:t>
      </w:r>
      <w:r>
        <w:t xml:space="preserve">‘Efeitos Duradouros’</w:t>
      </w:r>
      <w:r>
        <w:t xml:space="preserve">, a análise do modelo assumiu que a capacitação geraria mudanças sustentáveis, mas isso depende da implementação e manutenção contínua, o que não é garantido apenas pela recomendação.</w:t>
      </w:r>
    </w:p>
    <w:p>
      <w:pPr>
        <w:pStyle w:val="937"/>
      </w:pPr>
      <w:r>
        <w:t xml:space="preserve">Análise Foco Causa: Concordo</w:t>
      </w:r>
    </w:p>
    <w:p>
      <w:pPr>
        <w:pStyle w:val="937"/>
      </w:pPr>
      <w:r>
        <w:t xml:space="preserve">Análise Efeitos Duradouros: Discordo</w:t>
      </w:r>
    </w:p>
    <w:bookmarkEnd w:id="746"/>
    <w:bookmarkStart w:id="747" w:name="auditoria-19605-constatação-nº-681287-2"/>
    <w:p>
      <w:pPr>
        <w:pStyle w:val="907"/>
      </w:pPr>
      <w:r>
        <w:t xml:space="preserve">17.0.14.5 Auditoria 19605, Constatação Nº 681287 (#2)</w:t>
      </w:r>
    </w:p>
    <w:p>
      <w:pPr>
        <w:pStyle w:val="937"/>
      </w:pPr>
      <w:r>
        <w:rPr>
          <w:b/>
          <w:bCs/>
        </w:rPr>
        <w:t xml:space="preserve">Finalidade</w:t>
      </w:r>
      <w:r>
        <w:t xml:space="preserve">: Verificar a implementação da Política Nacional de Atenção ao Portador de Doença Renal</w:t>
      </w:r>
    </w:p>
    <w:p>
      <w:pPr>
        <w:pStyle w:val="937"/>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p>
    <w:p>
      <w:pPr>
        <w:pStyle w:val="937"/>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capacidade de realização de protocolos de morte encefálica e realização de campanhas educativas sobre doação de órgãos. Conforme previsto no art. 7º, inciso II, da Seção II do Capítulo I do Anexo I da Portaria de Consolidação GM/MS n.º 4, de 28 de setembro de 2017.</w:t>
      </w:r>
    </w:p>
    <w:p>
      <w:pPr>
        <w:pStyle w:val="937"/>
      </w:pPr>
      <w:r>
        <w:rPr>
          <w:b/>
          <w:bCs/>
        </w:rPr>
        <w:t xml:space="preserve">Análise Codificação</w:t>
      </w:r>
      <w:r>
        <w:t xml:space="preserve">: Em relação ao foco, a recomendação propõe ações estruturais como qualificação da fila de espera, fornecimento de insumos, aquisição de equipamentos e realização de campanhas educativas, que visam tratar as causas das dificuldades estruturais enfrentadas pela Central de Transplante, não apenas corrigir sintomas imediatos. Já em relação aos efeitos pretendidos pela recomendação, as ações estruturais e de capacitação institucional tendem a produzir melhorias duradouras que permaneceriam mesmo com mudanças nos atores envolvidos, pois estão focadas em fortalecer a infraestrutura e processos da instituição.</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estruturais que visam tratar as causas subjacentes das dificuldades enfrentadas pela Central de Transplante, como a falta de recursos e infraestrutura, o que está correto. Quanto ao critério</w:t>
      </w:r>
      <w:r>
        <w:t xml:space="preserve"> </w:t>
      </w:r>
      <w:r>
        <w:t xml:space="preserve">‘Efeitos Duradouros’</w:t>
      </w:r>
      <w:r>
        <w:t xml:space="preserve">, as ações estruturais e de capacitação institucional têm o potencial de gerar melhorias sustentáveis, mas a análise original pode ter superestimado a durabilidade, pois mudanças na gestão ou cortes orçamentários futuros poderiam comprometer a continuidade, tornando a resposta</w:t>
      </w:r>
      <w:r>
        <w:t xml:space="preserve"> </w:t>
      </w:r>
      <w:r>
        <w:t xml:space="preserve">‘Sim’</w:t>
      </w:r>
      <w:r>
        <w:t xml:space="preserve"> </w:t>
      </w:r>
      <w:r>
        <w:t xml:space="preserve">questionável.</w:t>
      </w:r>
    </w:p>
    <w:p>
      <w:pPr>
        <w:pStyle w:val="937"/>
      </w:pPr>
      <w:r>
        <w:t xml:space="preserve">Análise Foco Causa: Concordo</w:t>
      </w:r>
    </w:p>
    <w:p>
      <w:pPr>
        <w:pStyle w:val="937"/>
      </w:pPr>
      <w:r>
        <w:t xml:space="preserve">Análise Efeitos Duradouros: Discordo</w:t>
      </w:r>
    </w:p>
    <w:bookmarkEnd w:id="747"/>
    <w:bookmarkStart w:id="748" w:name="auditoria-19658-constatação-nº-684758-1"/>
    <w:p>
      <w:pPr>
        <w:pStyle w:val="907"/>
      </w:pPr>
      <w:r>
        <w:t xml:space="preserve">17.0.14.6 Auditoria 19658, Constatação Nº 684758 (#1)</w:t>
      </w:r>
    </w:p>
    <w:p>
      <w:pPr>
        <w:pStyle w:val="937"/>
      </w:pPr>
      <w:r>
        <w:rPr>
          <w:b/>
          <w:bCs/>
        </w:rPr>
        <w:t xml:space="preserve">Finalidade</w:t>
      </w:r>
      <w:r>
        <w:t xml:space="preserve">: Avaliar o desempenho dos municípios com os maiores Indicadores Sintéticos Finais (ISFs), no PREVINE.</w:t>
      </w:r>
    </w:p>
    <w:p>
      <w:pPr>
        <w:pStyle w:val="937"/>
      </w:pPr>
      <w:r>
        <w:rPr>
          <w:b/>
          <w:bCs/>
        </w:rPr>
        <w:t xml:space="preserve">Constatação</w:t>
      </w:r>
      <w:r>
        <w:t xml:space="preserve">: Os dados consolidados no SISAB, por indicador de desempenho, não são suportados em sua integralidade pelas informações constantes dos prontuários dos pacientes.</w:t>
      </w:r>
    </w:p>
    <w:p>
      <w:pPr>
        <w:pStyle w:val="937"/>
      </w:pPr>
      <w:r>
        <w:rPr>
          <w:b/>
          <w:bCs/>
        </w:rPr>
        <w:t xml:space="preserve">Recomendação</w:t>
      </w:r>
      <w:r>
        <w:t xml:space="preserve">: Alimentar, analisar e verificar a qualidade e a consistência dos dados inseridos nos sistemas nacionais de informação, conforme estabelecido no art. 10, inciso XVII, do Anexo XXII, Política Nacional da Atenção Básica, da Portaria de Consolidação nº 2/2017.</w:t>
      </w:r>
    </w:p>
    <w:p>
      <w:pPr>
        <w:pStyle w:val="937"/>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visam tratar a causa do problema (dados inconsistentes nos sistemas) e não apenas corrigir a condição atual de dados não suportados pelos prontuários. Já em relação aos efeitos pretendidos pela recomendação, as ações sugeridas (como verificação contínua da qualidade dos dados) estabelecem processos que podem persistir independentemente de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que visam melhorar a qualidade e consistência dos dados inseridos nos sistemas, o que pode ser interpretado como um tratamento da causa raiz do problema (dados inconsistentes), em vez de apenas corrigir a condição atual. No entanto, a recomendação é genérica e não especifica ações diretas para evitar a recorrência, como revisão de processos de entrada de dados ou capacitação de pessoal. Para o critério</w:t>
      </w:r>
      <w:r>
        <w:t xml:space="preserve"> </w:t>
      </w:r>
      <w:r>
        <w:t xml:space="preserve">‘Efeitos Duradouros’</w:t>
      </w:r>
      <w:r>
        <w:t xml:space="preserve">, ações como verificação contínua da qualidade dos dados podem estabelecer processos duradouros, mas a falta de detalhamento sobre implementação e sustentabilidade torna a avaliação incerta.</w:t>
      </w:r>
    </w:p>
    <w:p>
      <w:pPr>
        <w:pStyle w:val="937"/>
      </w:pPr>
      <w:r>
        <w:t xml:space="preserve">Análise Foco Causa: Concordo</w:t>
      </w:r>
    </w:p>
    <w:p>
      <w:pPr>
        <w:pStyle w:val="937"/>
      </w:pPr>
      <w:r>
        <w:t xml:space="preserve">Análise Efeitos Duradouros: Discordo</w:t>
      </w:r>
    </w:p>
    <w:bookmarkEnd w:id="748"/>
    <w:bookmarkStart w:id="749" w:name="auditoria-19660-constatação-nº-685147-1"/>
    <w:p>
      <w:pPr>
        <w:pStyle w:val="907"/>
      </w:pPr>
      <w:r>
        <w:t xml:space="preserve">17.0.14.7 Auditoria 19660, Constatação Nº 685147 (#1)</w:t>
      </w:r>
    </w:p>
    <w:p>
      <w:pPr>
        <w:pStyle w:val="937"/>
      </w:pPr>
      <w:r>
        <w:rPr>
          <w:b/>
          <w:bCs/>
        </w:rPr>
        <w:t xml:space="preserve">Finalidade</w:t>
      </w:r>
      <w:r>
        <w:t xml:space="preserve">: Auditoria PREVINE 2024</w:t>
      </w:r>
    </w:p>
    <w:p>
      <w:pPr>
        <w:pStyle w:val="937"/>
      </w:pPr>
      <w:r>
        <w:rPr>
          <w:b/>
          <w:bCs/>
        </w:rPr>
        <w:t xml:space="preserve">Constatação</w:t>
      </w:r>
      <w:r>
        <w:t xml:space="preserve">: A Equipe de Saúde da Família (INE 16489) do Centro de Saúde Noeme Tereza de Jesus não possuía a composição mínima obrigatória exigida na legislação, bem como a SEMSA não comprovou o cumprimento, por parte das equipes, da carga horária ora contratada, no exercício de 2022.</w:t>
      </w:r>
    </w:p>
    <w:p>
      <w:pPr>
        <w:pStyle w:val="937"/>
      </w:pPr>
      <w:r>
        <w:rPr>
          <w:b/>
          <w:bCs/>
        </w:rPr>
        <w:t xml:space="preserve">Recomendação</w:t>
      </w:r>
      <w:r>
        <w:t xml:space="preserve">: A SEMSA deverá adotar providências com vistas ao cumprimento da composição das eSF, assim como, quanto ao cumprimento da obrigatoriedade da carga horária de 40 (quarenta) horas semanais para todos os profissionais de saúde membros das equipes, conforme determinado na Política Nacional da Atenção Básica (PNAB), Tópico 3.4 - Tipos de Equipes - Item 1, Inciso IX, do Art. 10, e Anexo 1, do Anexo XXII, da Portaria de Consolidação GM/MS nº 02, de 28 de setembro de 2017; e Portaria SAPS/MS nº 60, de 26 de novembro de 2020. Ademais, quanto ao registro de frequência dos profissionais das eSF, é fundamental o aperfeiçoamento dos mecanismos de controle ora utilizados, de modo que sugestiona-se a adoção de um Sistema de Ponto Eletrônico, ou ferramenta afim, para a efetiva gestão dos aspectos de carga horária e preenchimento/homologação das frequências dos profissionais. Outrossim, faz-se necessária a adoção de providências administrativas, no âmbito desta secretaria, quanto aos casos de descumprimento de carga horária obrigatória identificados, em atendimento aos Inciso V, do Art. 6º, Alínea a, do Art. 13, do Decreto-Lei nº 200, de 25 de fevereiro de 1967; e Art. 37, da Constituição Federal do Brasil, promulgada em 05 de outubro de 1988. Cabe informar que os fatos ora descritos serão levados ao conhecimento da área finalística para providências a seu cargo, conforme o Anexo C do Capítulo III, da Portaria de Consolidação GM/MS nº 06, de 28 de setembro de 2017 e Inciso IV, do Art. 2º da Portaria GM/MS nº 885, de 4 de maio de 2021.</w:t>
      </w:r>
    </w:p>
    <w:p>
      <w:pPr>
        <w:pStyle w:val="937"/>
      </w:pPr>
      <w:r>
        <w:rPr>
          <w:b/>
          <w:bCs/>
        </w:rPr>
        <w:t xml:space="preserve">Análise Codificação</w:t>
      </w:r>
      <w:r>
        <w:t xml:space="preserve">: Em relação ao foco, a recomendação propõe ações que vão além da simples correção da condição encontrada (falta de composição mínima e controle de carga horária), incluindo a implementação de sistemas de controle (ponto eletrônico) e providências administrativas que visam prevenir a recorrência do problema, tratando assim da causa. Já em relação aos efeitos pretendidos pela recomendação, a adoção de sistemas de controle estruturados e procedimentos administrativos permanentes tende a produzir efeitos duradouros, independentemente da mudança de atores envolvidos.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inclui ações que visam prevenir a recorrência do problema, como a implementação de sistemas de controle e providências administrativas, o que justifica a classificação como</w:t>
      </w:r>
      <w:r>
        <w:t xml:space="preserve"> </w:t>
      </w:r>
      <w:r>
        <w:t xml:space="preserve">‘Sim’</w:t>
      </w:r>
      <w:r>
        <w:t xml:space="preserve">. No entanto, para o critério</w:t>
      </w:r>
      <w:r>
        <w:t xml:space="preserve"> </w:t>
      </w:r>
      <w:r>
        <w:t xml:space="preserve">‘Efeitos Duradouros’</w:t>
      </w:r>
      <w:r>
        <w:t xml:space="preserve">, a recomendação não especifica claramente a criação de políticas ou procedimentos permanentes que garantam a sustentabilidade das mudanças independentemente da rotatividade de pessoal, tornando a classificação</w:t>
      </w:r>
      <w:r>
        <w:t xml:space="preserve"> </w:t>
      </w:r>
      <w:r>
        <w:t xml:space="preserve">‘Sim’</w:t>
      </w:r>
      <w:r>
        <w:t xml:space="preserve"> </w:t>
      </w:r>
      <w:r>
        <w:t xml:space="preserve">questionável.</w:t>
      </w:r>
    </w:p>
    <w:p>
      <w:pPr>
        <w:pStyle w:val="937"/>
      </w:pPr>
      <w:r>
        <w:t xml:space="preserve">Análise Foco Causa: Concordo</w:t>
      </w:r>
    </w:p>
    <w:p>
      <w:pPr>
        <w:pStyle w:val="937"/>
      </w:pPr>
      <w:r>
        <w:t xml:space="preserve">Análise Efeitos Duradouros: Discordo</w:t>
      </w:r>
    </w:p>
    <w:bookmarkEnd w:id="749"/>
    <w:bookmarkStart w:id="750" w:name="auditoria-19683-constatação-nº-697245-2"/>
    <w:p>
      <w:pPr>
        <w:pStyle w:val="907"/>
      </w:pPr>
      <w:r>
        <w:t xml:space="preserve">17.0.14.8 Auditoria 19683, Constatação Nº 697245 (#2)</w:t>
      </w:r>
    </w:p>
    <w:p>
      <w:pPr>
        <w:pStyle w:val="937"/>
      </w:pPr>
      <w:r>
        <w:rPr>
          <w:b/>
          <w:bCs/>
        </w:rPr>
        <w:t xml:space="preserve">Finalidade</w:t>
      </w:r>
      <w:r>
        <w:t xml:space="preserve">: Realizar auditoria no Convênio 878444/2018 com a Santa Casa de Misericórdia de Sabará</w:t>
      </w:r>
    </w:p>
    <w:p>
      <w:pPr>
        <w:pStyle w:val="937"/>
      </w:pPr>
      <w:r>
        <w:rPr>
          <w:b/>
          <w:bCs/>
        </w:rPr>
        <w:t xml:space="preserve">Constatação</w:t>
      </w:r>
      <w:r>
        <w:t xml:space="preserve">: Ausência de critérios para as contratações dos profissionais do Apoio à Gestão Administrativa do Convênio nº 878444/2018 (DSEI Altamira).</w:t>
      </w:r>
    </w:p>
    <w:p>
      <w:pPr>
        <w:pStyle w:val="937"/>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pPr>
        <w:pStyle w:val="937"/>
      </w:pPr>
      <w:r>
        <w:rPr>
          <w:b/>
          <w:bCs/>
        </w:rPr>
        <w:t xml:space="preserve">Análise Codificação</w:t>
      </w:r>
      <w:r>
        <w:t xml:space="preserve">: Em relação ao foco, a recomendação propõe estabelecer critérios para contratações e definir despesas necessárias, o que visa tratar a causa raiz da ausência de critérios que gerou a condição encontrada, sendo portanto uma ação preventiva de longo prazo. Já em relação aos efeitos pretendidos pela recomendação, a instituição de critérios formais e controles permanentes (como controle de frequência) tende a persistir independentemente de mudanças nos atores envolvidos, pois se baseia em procedimentos estruturados.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estabelece critérios para contratações e define despesas necessárias, o que aborda diretamente a causa da ausência de critérios, sendo uma ação preventiva. Para o critério</w:t>
      </w:r>
      <w:r>
        <w:t xml:space="preserve"> </w:t>
      </w:r>
      <w:r>
        <w:t xml:space="preserve">‘Efeitos Duradouros’</w:t>
      </w:r>
      <w:r>
        <w:t xml:space="preserve">, a implementação de critérios formais e controles de frequência cria estruturas que podem persistir além de mudanças de pessoal, mas a dependência de solicitações à convenente e a natureza específica do convênio podem limitar a durabilidade universal.</w:t>
      </w:r>
    </w:p>
    <w:p>
      <w:pPr>
        <w:pStyle w:val="937"/>
      </w:pPr>
      <w:r>
        <w:t xml:space="preserve">Análise Foco Causa: Concordo</w:t>
      </w:r>
    </w:p>
    <w:p>
      <w:pPr>
        <w:pStyle w:val="937"/>
      </w:pPr>
      <w:r>
        <w:t xml:space="preserve">Análise Efeitos Duradouros: Discordo</w:t>
      </w:r>
    </w:p>
    <w:bookmarkEnd w:id="750"/>
    <w:bookmarkStart w:id="751" w:name="auditoria-19779-constatação-nº-691475-1"/>
    <w:p>
      <w:pPr>
        <w:pStyle w:val="907"/>
      </w:pPr>
      <w:r>
        <w:t xml:space="preserve">17.0.14.9 Auditoria 19779, Constatação Nº 691475 (#1)</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p>
    <w:p>
      <w:pPr>
        <w:pStyle w:val="937"/>
      </w:pPr>
      <w:r>
        <w:rPr>
          <w:b/>
          <w:bCs/>
        </w:rPr>
        <w:t xml:space="preserve">Recomendação</w:t>
      </w:r>
      <w:r>
        <w:t xml:space="preserve">: Elaborar POP específico para as atividades de inspeção de entrada e saída com descrição suficientemente detalhadas das atividades, contemplando instrumentos de suporte para as atividades e ações a serem tomadas em caso perda de integridade física e das condições de temperatura de forma a atender o disposto nos Incisos I, II e III, Art. 56 , Seção VI, da Resolução de Diretoria Colegiada - RDC N.º 430, de 08/10/2020, o qual cita que cada operação de recebimento deve verificar e registrar: I - as condições de transporte e armazenagem aplicáveis, incluindo requerimentos especiais de temperatura, umidade ou exposição a luz; II - os números de lote, data de validade, e quantidades recebidas frente aos pedidos efetuados e notas fiscais recebidas; e III - a integridade da carga e com o item 6.16.2 Caixa térmica do Manual de Rede de Frio do Programa Nacional de Imunizações / Ministério da Saúde - 5ª edição, que orienta que todas as instâncias de Rede de Frio que transportam estes insumos, a validação dos processos que serão adotados para o transporte dos imunobiológicos, testando e qualificando o método de embalagem para promover a garantia da conservação do imunobiológico na faixa de temperatura adequada, a depender do produto e da instância (+2°C a +8°C, ou -25°C a -15°C).</w:t>
      </w:r>
    </w:p>
    <w:p>
      <w:pPr>
        <w:pStyle w:val="937"/>
      </w:pPr>
      <w:r>
        <w:rPr>
          <w:b/>
          <w:bCs/>
        </w:rPr>
        <w:t xml:space="preserve">Análise Codificação</w:t>
      </w:r>
      <w:r>
        <w:t xml:space="preserve">: Em relação ao foco, a recomendação propõe a elaboração de um Procedimento Operacional Padrão (POP) específico para as atividades de inspeção de entrada e saída, com descrição detalhada das atividades, instrumentos de suporte e ações a serem tomadas em caso de perda de integridade física ou de temperatura. Esta ação visa estabelecer um processo estruturado e documentado para garantir a preservação da integridade física e das condições de temperatura dos imunobiológicos, tratando assim a causa do problema, que é a falta de um processo formalizado e adequado para as inspeções. Já em relação aos efeitos pretendidos pela recomendação, o POP, uma vez implementado, estabelece um procedimento padrão que permanece válido independentemente de mudanças nos atores envolvidos, pois se trata de uma documentação formal que guia as atividades de forma consistente,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identificou corretamente que a recomendação propõe a criação de um POP para estruturar o processo de inspeção, tratando a causa raiz da falta de procedimentos formalizados. No entanto, a avaliação sobre efeitos duradouros merece uma análise mais aprofundada sobre a sustentabilidade da implementação.</w:t>
      </w:r>
    </w:p>
    <w:p>
      <w:pPr>
        <w:pStyle w:val="937"/>
      </w:pPr>
      <w:r>
        <w:t xml:space="preserve">Análise Foco Causa: Concordo</w:t>
      </w:r>
    </w:p>
    <w:p>
      <w:pPr>
        <w:pStyle w:val="937"/>
      </w:pPr>
      <w:r>
        <w:t xml:space="preserve">Análise Efeitos Duradouros: Discordo</w:t>
      </w:r>
    </w:p>
    <w:bookmarkEnd w:id="751"/>
    <w:bookmarkStart w:id="752" w:name="auditoria-19809-constatação-nº-694568-1"/>
    <w:p>
      <w:pPr>
        <w:pStyle w:val="907"/>
      </w:pPr>
      <w:r>
        <w:t xml:space="preserve">17.0.14.10 Auditoria 19809, Constatação Nº 694568 (#1)</w:t>
      </w:r>
    </w:p>
    <w:p>
      <w:pPr>
        <w:pStyle w:val="937"/>
      </w:pPr>
      <w:r>
        <w:rPr>
          <w:b/>
          <w:bCs/>
        </w:rPr>
        <w:t xml:space="preserve">Finalidade</w:t>
      </w:r>
      <w:r>
        <w:t xml:space="preserve">: Verificar se a Atenção Primária à Saúde está exercendo as atribuições de coordenadora da RAPS</w:t>
      </w:r>
    </w:p>
    <w:p>
      <w:pPr>
        <w:pStyle w:val="937"/>
      </w:pPr>
      <w:r>
        <w:rPr>
          <w:b/>
          <w:bCs/>
        </w:rPr>
        <w:t xml:space="preserve">Constatação</w:t>
      </w:r>
      <w:r>
        <w:t xml:space="preserve">: As UBSs visitadas não realizam acolhimento em casos de urgência ou emergência de pacientes de saúde mental.</w:t>
      </w:r>
    </w:p>
    <w:p>
      <w:pPr>
        <w:pStyle w:val="937"/>
      </w:pPr>
      <w:r>
        <w:rPr>
          <w:b/>
          <w:bCs/>
        </w:rPr>
        <w:t xml:space="preserve">Recomendação</w:t>
      </w:r>
      <w:r>
        <w:t xml:space="preserve">: Adotar as seguintes medidas visando atender o estabelecido no Inciso XVII, Subitem 4.1, Item 4; e na Alínea a, Inciso VI, Item 5, Anexo 1 do Anexo XXII da Portaria de Consolidação GM/MS nº 2, de 28/09/2017: - Elaborar e implementar protocolos e fluxos de atendimento nas UBSs para o primeiro atendimento às urgências e/ou emergências dos pacientes de saúde mental, acolhimento, organização do escopo de ações e do processo de trabalho de acordo com demandas e necessidades da população adstrita; - Capacitar os profissionais das UBSs quanto ao uso dos protocolos, diretrizes clínicas, linhas de cuidado e fluxos de encaminhamento dos pacientes de saúde mental para outros pontos de atenção da RAPS; e - Estruturar a RAPS no município de Cuiabá, de modo a implementar estratégias para que as equipes das UBSs acompanhem o percurso dos pacientes de saúde mental após referenciamento, assegurando a continuidade do cuidado.</w:t>
      </w:r>
    </w:p>
    <w:p>
      <w:pPr>
        <w:pStyle w:val="937"/>
      </w:pPr>
      <w:r>
        <w:rPr>
          <w:b/>
          <w:bCs/>
        </w:rPr>
        <w:t xml:space="preserve">Análise Codificação</w:t>
      </w:r>
      <w:r>
        <w:t xml:space="preserve">: Em relação ao foco, a recomendação propõe ações que tratam da causa do problema, como a elaboração e implementação de protocolos e fluxos de atendimento, capacitação de profissionais e estruturação da RAPS, visando prevenir a recorrência da condição encontrada. Já em relação aos efeitos pretendidos pela recomendação, as ações sugeridas (protocolos, capacitação e estruturação da RAPS) são institucionais e permanecem mesmo com mudanças de atores envolvidos, pois se baseiam em sistemas e processos estabelecidos.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que efetivamente tratam das causas subjacentes da constatação, como a falta de protocolos, capacitação e estruturação da RAPS. Quanto ao critério</w:t>
      </w:r>
      <w:r>
        <w:t xml:space="preserve"> </w:t>
      </w:r>
      <w:r>
        <w:t xml:space="preserve">‘Efeitos Duradouros’</w:t>
      </w:r>
      <w:r>
        <w:t xml:space="preserve">, as ações sugeridas são institucionais e baseadas em sistemas, mas a implementação e manutenção dependem de fatores como recursos, priorização política e adesão contínua, o que pode variar com mudanças de atores.</w:t>
      </w:r>
    </w:p>
    <w:p>
      <w:pPr>
        <w:pStyle w:val="937"/>
      </w:pPr>
      <w:r>
        <w:t xml:space="preserve">Análise Foco Causa: Concordo</w:t>
      </w:r>
    </w:p>
    <w:p>
      <w:pPr>
        <w:pStyle w:val="937"/>
      </w:pPr>
      <w:r>
        <w:t xml:space="preserve">Análise Efeitos Duradouros: Discordo</w:t>
      </w:r>
    </w:p>
    <w:bookmarkEnd w:id="752"/>
    <w:bookmarkEnd w:id="753"/>
    <w:bookmarkStart w:id="764" w:name="Xfe34d267705ff70dfa4996add6a5ef6292216fc"/>
    <w:p>
      <w:pPr>
        <w:pStyle w:val="906"/>
      </w:pPr>
      <w:r>
        <w:t xml:space="preserve">17.0.15 Foco: Sim, Efeitos: Sim, Concordância Foco: Concordo, Concordância Efeitos: Concordo</w:t>
      </w:r>
    </w:p>
    <w:bookmarkStart w:id="754" w:name="auditoria-19197-constatação-nº-658344-3"/>
    <w:p>
      <w:pPr>
        <w:pStyle w:val="907"/>
      </w:pPr>
      <w:r>
        <w:t xml:space="preserve">17.0.15.1 Auditoria 19197, Constatação Nº 658344 (#3)</w:t>
      </w:r>
    </w:p>
    <w:p>
      <w:pPr>
        <w:pStyle w:val="937"/>
      </w:pPr>
      <w:r>
        <w:rPr>
          <w:b/>
          <w:bCs/>
        </w:rPr>
        <w:t xml:space="preserve">Finalidade</w:t>
      </w:r>
      <w:r>
        <w:t xml:space="preserve">: Verificar a regularidade nos proc. de adesão às Atas de Registro de Preços p/ aq. de OPME pelo HFI</w:t>
      </w:r>
    </w:p>
    <w:p>
      <w:pPr>
        <w:pStyle w:val="937"/>
      </w:pPr>
      <w:r>
        <w:rPr>
          <w:b/>
          <w:bCs/>
        </w:rPr>
        <w:t xml:space="preserve">Constatação</w:t>
      </w:r>
      <w:r>
        <w:t xml:space="preserve">: Fragilidade na atuação do controle interno da Unidade</w:t>
      </w:r>
    </w:p>
    <w:p>
      <w:pPr>
        <w:pStyle w:val="937"/>
      </w:pPr>
      <w:r>
        <w:rPr>
          <w:b/>
          <w:bCs/>
        </w:rPr>
        <w:t xml:space="preserve">Recomendação</w:t>
      </w:r>
      <w:r>
        <w:t xml:space="preserve">: Promover o fortalecimento Núcleo de Controle Interno do HFI, de forma que sua atuação esteja em conformidade com o disposto no art. 14 da Seção I Dos Princípios da Gestão de Riscos do Capítulo III DA GESTÃO DE RISCOS da Instrução Normativa Conjunta MP- CGU nº 01, de 10/05/2016;</w:t>
      </w:r>
    </w:p>
    <w:p>
      <w:pPr>
        <w:pStyle w:val="937"/>
      </w:pPr>
      <w:r>
        <w:rPr>
          <w:b/>
          <w:bCs/>
        </w:rPr>
        <w:t xml:space="preserve">Análise Codificação</w:t>
      </w:r>
      <w:r>
        <w:t xml:space="preserve">: Em relação ao foco, a recomendação propõe o fortalecimento do Núcleo de Controle Interno para garantir conformidade com normas específicas, o que visa tratar a causa subjacente da fragilidade na atuação do controle interno, em vez de apenas corrigir a condição atual. Já em relação aos efeitos pretendidos pela recomendação, o fortalecimento institucional do núcleo, baseado em princípios normativos, tende a produzir efeitos duradouros que persistem independentemente de mudanças nos atores envolvidos, pois está ancorado em estruturas e processos formais.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fortalecer o Núcleo de Controle Interno para garantir conformidade com normas, o que aborda a causa subjacente da fragilidade identificada. Para o critério</w:t>
      </w:r>
      <w:r>
        <w:t xml:space="preserve"> </w:t>
      </w:r>
      <w:r>
        <w:t xml:space="preserve">‘Efeitos Duradouros’</w:t>
      </w:r>
      <w:r>
        <w:t xml:space="preserve">, o fortalecimento institucional baseado em princípios normativos sugere que os efeitos podem persistir independentemente de mudanças de pessoal, pois se baseia em estruturas formais.</w:t>
      </w:r>
    </w:p>
    <w:p>
      <w:pPr>
        <w:pStyle w:val="937"/>
      </w:pPr>
      <w:r>
        <w:t xml:space="preserve">Análise Foco Causa: Concordo</w:t>
      </w:r>
    </w:p>
    <w:p>
      <w:pPr>
        <w:pStyle w:val="937"/>
      </w:pPr>
      <w:r>
        <w:t xml:space="preserve">Análise Efeitos Duradouros: Concordo</w:t>
      </w:r>
    </w:p>
    <w:bookmarkEnd w:id="754"/>
    <w:bookmarkStart w:id="755" w:name="auditoria-19293-constatação-nº-683527-1"/>
    <w:p>
      <w:pPr>
        <w:pStyle w:val="907"/>
      </w:pPr>
      <w:r>
        <w:t xml:space="preserve">17.0.15.2 Auditoria 19293, Constatação Nº 683527 (#1)</w:t>
      </w:r>
    </w:p>
    <w:p>
      <w:pPr>
        <w:pStyle w:val="937"/>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p>
    <w:p>
      <w:pPr>
        <w:pStyle w:val="937"/>
      </w:pPr>
      <w:r>
        <w:rPr>
          <w:b/>
          <w:bCs/>
        </w:rPr>
        <w:t xml:space="preserve">Constatação</w:t>
      </w:r>
      <w:r>
        <w:t xml:space="preserve">: Não comprovação de cumprimento da carga horária de 18,62% dos servidores cedidos com ônus para a Secretaria de Estado da Saúde do Tocantins (SES/TO).</w:t>
      </w:r>
    </w:p>
    <w:p>
      <w:pPr>
        <w:pStyle w:val="937"/>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 entidades para as quais são cedidos servidores, medidas de monitoramento do cumprimento da carga horária referente ao cargo que o servidor ocupa na SES/TO. Tais medidas fazem-se necessárias para que haja o cumprimento dos artigos 19 e 132 da Lei Estadual n.º 1.818, de 23/8/2007, os quais preveem, respectivamente, a obrigatoriedade do cumprimento da carga horária referente a cargo que ocupam, e que a conduta do servidor público deve pautar-se pela legalidade, moralidade na Administração Pública, verdade, pelo bem comum, pela celeridade, responsabilidade e eficácia de seus atos e disciplina; e o atendimento ao item 3.2, Auditoria 2, Plano de Ação da SES/TO, de 28/9/2022, que prevê a readequação aos critérios de cessão de servidores com ônus para a Secretaria.</w:t>
      </w:r>
    </w:p>
    <w:p>
      <w:pPr>
        <w:pStyle w:val="937"/>
      </w:pPr>
      <w:r>
        <w:rPr>
          <w:b/>
          <w:bCs/>
        </w:rPr>
        <w:t xml:space="preserve">Análise Codificação</w:t>
      </w:r>
      <w:r>
        <w:t xml:space="preserve">: Em relação ao foco, a recomendação propõe ações que tratam da causa do problema, como qualificar informações no sistema de cadastro e estabelecer medidas de monitoramento, visando prevenir a reincidência da não comprovação da carga horária. Já em relação aos efeitos pretendidos pela recomendação, as ações sugeridas, como a qualificação de informações em sistema nacional e o estabelecimento de medidas de monitoramento, criam estruturas e processos que podem persistir independentemente de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efetivamente propõe ações que visam tratar a causa raiz do problema, que é a falta de registro adequado e monitoramento da carga horária dos servidores cedidos. Quanto ao critério</w:t>
      </w:r>
      <w:r>
        <w:t xml:space="preserve"> </w:t>
      </w:r>
      <w:r>
        <w:t xml:space="preserve">‘Efeitos Duradouros’</w:t>
      </w:r>
      <w:r>
        <w:t xml:space="preserve">, as ações sugeridas criam estruturas e processos sistêmicos que podem perdurar independentemente de mudanças nos atores envolvidos.</w:t>
      </w:r>
    </w:p>
    <w:p>
      <w:pPr>
        <w:pStyle w:val="937"/>
      </w:pPr>
      <w:r>
        <w:t xml:space="preserve">Análise Foco Causa: Concordo</w:t>
      </w:r>
    </w:p>
    <w:p>
      <w:pPr>
        <w:pStyle w:val="937"/>
      </w:pPr>
      <w:r>
        <w:t xml:space="preserve">Análise Efeitos Duradouros: Concordo</w:t>
      </w:r>
    </w:p>
    <w:bookmarkEnd w:id="755"/>
    <w:bookmarkStart w:id="756" w:name="auditoria-19294-constatação-nº-687240-1"/>
    <w:p>
      <w:pPr>
        <w:pStyle w:val="907"/>
      </w:pPr>
      <w:r>
        <w:t xml:space="preserve">17.0.15.3 Auditoria 19294, Constatação Nº 687240 (#1)</w:t>
      </w:r>
    </w:p>
    <w:p>
      <w:pPr>
        <w:pStyle w:val="937"/>
      </w:pPr>
      <w:r>
        <w:rPr>
          <w:b/>
          <w:bCs/>
        </w:rPr>
        <w:t xml:space="preserve">Finalidade</w:t>
      </w:r>
      <w:r>
        <w:t xml:space="preserve">: Verificar a implementação da</w:t>
      </w:r>
      <w:r>
        <w:t xml:space="preserve"> </w:t>
      </w:r>
      <w:r>
        <w:t xml:space="preserve">“Auditoria 5”</w:t>
      </w:r>
      <w:r>
        <w:t xml:space="preserve"> </w:t>
      </w:r>
      <w:r>
        <w:t xml:space="preserve">do Plano de Ação da SES do Tocantins, elaborado em 2022.</w:t>
      </w:r>
    </w:p>
    <w:p>
      <w:pPr>
        <w:pStyle w:val="937"/>
      </w:pPr>
      <w:r>
        <w:rPr>
          <w:b/>
          <w:bCs/>
        </w:rPr>
        <w:t xml:space="preserve">Constatação</w:t>
      </w:r>
      <w:r>
        <w:t xml:space="preserve">: Os pagamentos referentes ao sistema informatizado de gestão hospitalar (Contrato n.º 260/2014 - Soul MV - MV Sistemas Ltda.) não foram realizados conforme previsão contratual.</w:t>
      </w:r>
    </w:p>
    <w:p>
      <w:pPr>
        <w:pStyle w:val="937"/>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p>
    <w:p>
      <w:pPr>
        <w:pStyle w:val="937"/>
      </w:pPr>
      <w:r>
        <w:rPr>
          <w:b/>
          <w:bCs/>
        </w:rPr>
        <w:t xml:space="preserve">Análise Codificação</w:t>
      </w:r>
      <w:r>
        <w:t xml:space="preserve">: Em relação ao foco, a recomendação propõe a revisão do ato administrativo do contrato com apuração e complementação para saneamento da inexecução contratual, o que visa tratar a causa do problema (inexecução contratual) por meio de um procedimento administrativo formal, e não apenas corrigir a condição imediata de pagamentos irregulares. Já em relação aos efeitos pretendidos pela recomendação, a implementação de um ato administrativo revisado e saneado estabelece um marco formal que permanece válido independentemente de mudanças nos atores envolvidos, conferindo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revisão do ato administrativo com apuração e complementação para saneamento da inexecução contratual, o que sugere uma abordagem para tratar a causa subjacente (inexecução contratual) e não apenas a condição imediata de pagamentos irregulares. Para o critério</w:t>
      </w:r>
      <w:r>
        <w:t xml:space="preserve"> </w:t>
      </w:r>
      <w:r>
        <w:t xml:space="preserve">‘Efeitos Duradouros’</w:t>
      </w:r>
      <w:r>
        <w:t xml:space="preserve">, a implementação de um ato administrativo revisado e saneado estabelece um marco formal que pode persistir independentemente de mudanças nos atores, indicando efeitos duradouros.</w:t>
      </w:r>
    </w:p>
    <w:p>
      <w:pPr>
        <w:pStyle w:val="937"/>
      </w:pPr>
      <w:r>
        <w:t xml:space="preserve">Análise Foco Causa: Concordo</w:t>
      </w:r>
    </w:p>
    <w:p>
      <w:pPr>
        <w:pStyle w:val="937"/>
      </w:pPr>
      <w:r>
        <w:t xml:space="preserve">Análise Efeitos Duradouros: Concordo</w:t>
      </w:r>
    </w:p>
    <w:bookmarkEnd w:id="756"/>
    <w:bookmarkStart w:id="757" w:name="auditoria-19711-constatação-nº-691914-2"/>
    <w:p>
      <w:pPr>
        <w:pStyle w:val="907"/>
      </w:pPr>
      <w:r>
        <w:t xml:space="preserve">17.0.15.4 Auditoria 19711, Constatação Nº 691914 (#2)</w:t>
      </w:r>
    </w:p>
    <w:p>
      <w:pPr>
        <w:pStyle w:val="937"/>
      </w:pPr>
      <w:r>
        <w:rPr>
          <w:b/>
          <w:bCs/>
        </w:rPr>
        <w:t xml:space="preserve">Finalidade</w:t>
      </w:r>
      <w:r>
        <w:t xml:space="preserve">: Verificar a regularidade da produção inserida nos sistemas do SUS no município de Patos/PB.</w:t>
      </w:r>
    </w:p>
    <w:p>
      <w:pPr>
        <w:pStyle w:val="937"/>
      </w:pPr>
      <w:r>
        <w:rPr>
          <w:b/>
          <w:bCs/>
        </w:rPr>
        <w:t xml:space="preserve">Constatação</w:t>
      </w:r>
      <w:r>
        <w:t xml:space="preserve">: Não há definição das instâncias e mecanismos de controle, avaliação e de fiscalização das ações e serviços de saúde.</w:t>
      </w:r>
    </w:p>
    <w:p>
      <w:pPr>
        <w:pStyle w:val="937"/>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completa; b) Criação de mecanismos de acompanhamento e controle que permitam o monitoramento contínuo dos dados de produção ambulatorial, facilitando a identificação de tendências e a tomada de decisões baseadas em evidências; c) Capacitação das equipes de gestão e operação para assegurar que todos os envolvidos compreendam a importância do registro preciso dos dados e estejam aptos a utilizá-los de maneira eficaz; d)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pPr>
        <w:pStyle w:val="937"/>
      </w:pPr>
      <w:r>
        <w:rPr>
          <w:b/>
          <w:bCs/>
        </w:rPr>
        <w:t xml:space="preserve">Análise Codificação</w:t>
      </w:r>
      <w:r>
        <w:t xml:space="preserve">: Em relação ao foco, a recomendação propõe ações que tratam da causa do problema, como a informatização e padronização da coleta de dados, criação de mecanismos de acompanhamento, capacitação das equipes e auditorias regulares, visando resolver a falta de definição de instâncias e mecanismos de controle. Já em relação aos efeitos pretendidos pela recomendação, as ações sugeridas, como sistemas informatizados, mecanismos de controle estruturados e processos de capacitação e auditoria, tendem a permanecer mesmo com mudanças nos atores envolvidos, pois são baseados em processos e sistemas institucionalizados.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diretamente a causa raiz da constatação, que é a ausência de definição de instâncias e mecanismos de controle, avaliação e fiscalização, por meio de ações como informatização, padronização, criação de mecanismos de acompanhamento, capacitação e auditorias regulares. Quanto ao critério</w:t>
      </w:r>
      <w:r>
        <w:t xml:space="preserve"> </w:t>
      </w:r>
      <w:r>
        <w:t xml:space="preserve">‘Efeitos Duradouros’</w:t>
      </w:r>
      <w:r>
        <w:t xml:space="preserve">, as ações propostas, como sistemas informatizados, mecanismos estruturados e processos de capacitação, são institucionalizadas e não dependem de indivíduos específicos, promovendo sustentabilidade.</w:t>
      </w:r>
    </w:p>
    <w:p>
      <w:pPr>
        <w:pStyle w:val="937"/>
      </w:pPr>
      <w:r>
        <w:t xml:space="preserve">Análise Foco Causa: Concordo</w:t>
      </w:r>
    </w:p>
    <w:p>
      <w:pPr>
        <w:pStyle w:val="937"/>
      </w:pPr>
      <w:r>
        <w:t xml:space="preserve">Análise Efeitos Duradouros: Concordo</w:t>
      </w:r>
    </w:p>
    <w:bookmarkEnd w:id="757"/>
    <w:bookmarkStart w:id="758" w:name="auditoria-19717-constatação-nº-689033-1"/>
    <w:p>
      <w:pPr>
        <w:pStyle w:val="907"/>
      </w:pPr>
      <w:r>
        <w:t xml:space="preserve">17.0.15.5 Auditoria 19717, Constatação Nº 689033 (#1)</w:t>
      </w:r>
    </w:p>
    <w:p>
      <w:pPr>
        <w:pStyle w:val="937"/>
      </w:pPr>
      <w:r>
        <w:rPr>
          <w:b/>
          <w:bCs/>
        </w:rPr>
        <w:t xml:space="preserve">Finalidade</w:t>
      </w:r>
      <w:r>
        <w:t xml:space="preserve">: Verificar indícios de irregularidades no do Programa Farmácia Popular do Brasil/PFPB</w:t>
      </w:r>
    </w:p>
    <w:p>
      <w:pPr>
        <w:pStyle w:val="937"/>
      </w:pPr>
      <w:r>
        <w:rPr>
          <w:b/>
          <w:bCs/>
        </w:rPr>
        <w:t xml:space="preserve">Constatação</w:t>
      </w:r>
      <w:r>
        <w:t xml:space="preserve">: O estabelecimento auditado não apresentou documentos que permitissem identificar a posição do estoque em 31/12/2018.</w:t>
      </w:r>
    </w:p>
    <w:p>
      <w:pPr>
        <w:pStyle w:val="937"/>
      </w:pPr>
      <w:r>
        <w:rPr>
          <w:b/>
          <w:bCs/>
        </w:rPr>
        <w:t xml:space="preserve">Recomendação</w:t>
      </w:r>
      <w:r>
        <w:t xml:space="preserve">: Apresentar todos os documentos solicitados pelos órgãos de controle do SUS em observância à determinação contida no Art. 11 do Decreto nº 1.651, de 28/09/1995 e no Art. 36 do Anexo LXXVII da Portaria de Consolidação GM/MS nº 05, de 28/09/2017 e, em caso de restabelecimento da conexão ao Sistema de Informação do PFPB, manter por um prazo de 10 (dez) anos para apresentação, sempre que necessário, as vias assinadas dos cupons vinculados, do documento fiscal, da prescrição médica, laudo ou atestado médico e do documento oficial apresentado no ato da compra, em ordem cronológica de emissão, com arquivamento de 2 (duas) cópias, uma em meio físico e outra em meio magnético e/ou arquivo digitalizado em atendimento ao Art. 22 do Anexo LXXVII da Portaria de Consolidação GM/MS nº 05, de 28/09/2017, alterado pela PRT GM/MS nº 2.898, de 03/11/2021.</w:t>
      </w:r>
    </w:p>
    <w:p>
      <w:pPr>
        <w:pStyle w:val="937"/>
      </w:pPr>
      <w:r>
        <w:rPr>
          <w:b/>
          <w:bCs/>
        </w:rPr>
        <w:t xml:space="preserve">Análise Codificação</w:t>
      </w:r>
      <w:r>
        <w:t xml:space="preserve">: A recomendação propõe a apresentação imediata dos documentos solicitados e estabelece procedimentos para manutenção e arquivamento adequado dos documentos por um período de 10 anos, incluindo cópias física e digital. Essas ações visam garantir a disponibilidade e rastreabilidade dos documentos no futuro, abordando a causa do problema (falta de documentação adequada) ao implementar um sistema de gestão documental que previne a reincidência da condição encontrada. Os efeitos pretendidos, como a organização e preservação dos documentos, são duradouros, pois independem de mudanças nos atores envolvidos, uma vez que os procedimentos estão formalizados e baseados em normativos.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diretamente a causa do problema ao propor a apresentação imediata dos documentos e estabelecer um sistema de gestão documental que previne a reincidência da falta de documentação. Para o critério</w:t>
      </w:r>
      <w:r>
        <w:t xml:space="preserve"> </w:t>
      </w:r>
      <w:r>
        <w:t xml:space="preserve">‘Efeitos Duradouros’</w:t>
      </w:r>
      <w:r>
        <w:t xml:space="preserve">, a recomendação estabelece procedimentos formalizados e baseados em normativos, que devem persistir independentemente de mudanças nos atores envolvidos, garantindo efeitos duradouros.</w:t>
      </w:r>
    </w:p>
    <w:p>
      <w:pPr>
        <w:pStyle w:val="937"/>
      </w:pPr>
      <w:r>
        <w:t xml:space="preserve">Análise Foco Causa: Concordo</w:t>
      </w:r>
    </w:p>
    <w:p>
      <w:pPr>
        <w:pStyle w:val="937"/>
      </w:pPr>
      <w:r>
        <w:t xml:space="preserve">Análise Efeitos Duradouros: Concordo</w:t>
      </w:r>
    </w:p>
    <w:bookmarkEnd w:id="758"/>
    <w:bookmarkStart w:id="759" w:name="auditoria-19763-constatação-nº-692943-1"/>
    <w:p>
      <w:pPr>
        <w:pStyle w:val="907"/>
      </w:pPr>
      <w:r>
        <w:t xml:space="preserve">17.0.15.6 Auditoria 19763, Constatação Nº 692943 (#1)</w:t>
      </w:r>
    </w:p>
    <w:p>
      <w:pPr>
        <w:pStyle w:val="937"/>
      </w:pPr>
      <w:r>
        <w:rPr>
          <w:b/>
          <w:bCs/>
        </w:rPr>
        <w:t xml:space="preserve">Finalidade</w:t>
      </w:r>
      <w:r>
        <w:t xml:space="preserve">: Verificar se as Centrais Municipais de Rede de Frios (CMRFs) possuem controles internos</w:t>
      </w:r>
    </w:p>
    <w:p>
      <w:pPr>
        <w:pStyle w:val="937"/>
      </w:pPr>
      <w:r>
        <w:rPr>
          <w:b/>
          <w:bCs/>
        </w:rPr>
        <w:t xml:space="preserve">Constatação</w:t>
      </w:r>
      <w:r>
        <w:t xml:space="preserve">: A SMS não possui rotina estabelecida para verificação diária do perfeito funcionamento das câmaras frias da CMRF.</w:t>
      </w:r>
    </w:p>
    <w:p>
      <w:pPr>
        <w:pStyle w:val="937"/>
      </w:pPr>
      <w:r>
        <w:rPr>
          <w:b/>
          <w:bCs/>
        </w:rPr>
        <w:t xml:space="preserve">Recomendação</w:t>
      </w:r>
      <w:r>
        <w:t xml:space="preserve">: Considerando o que determinam itens 6.6.2, 6.13 e 7.1 do Manual de Rede Frio do PNI, 5ª edição/2017; e o inciso XVIII do art.23 e o art.51 da RDC Anvisa nº 63/2011, recomenda-se: - Elaboração e Implementar Procedimentos Operacionais Padrão (POPs): Desenvolver procedimentos escritos para o monitoramento das câmaras frias, incluindo a verificação diária de todos os parâmetros relevantes; - Treinamento da Equipe Técnica: Capacitar a equipe técnica da CMRF sobre a importância do monitoramento adequado e sobre a execução dos novos procedimentos operacionais padrão. Essas recomendações visam garantir a integridade e a segurança dos imunobiológicos armazenados, assegurando que a CMRF atenda às normas regulatórias e minimize o risco de perdas devido a falhas nos sistemas de refrigeração.</w:t>
      </w:r>
    </w:p>
    <w:p>
      <w:pPr>
        <w:pStyle w:val="937"/>
      </w:pPr>
      <w:r>
        <w:rPr>
          <w:b/>
          <w:bCs/>
        </w:rPr>
        <w:t xml:space="preserve">Análise Codificação</w:t>
      </w:r>
      <w:r>
        <w:t xml:space="preserve">: Em relação ao foco, a recomendação propõe a elaboração e implementação de POPs para o monitoramento das câmaras frias e o treinamento da equipe, ações que visam estabelecer uma rotina estruturada e permanente para verificação do funcionamento das câmaras, tratando assim a causa da ausência de rotina estabelecida. Já em relação aos efeitos pretendidos pela recomendação, a criação de POPs e a capacitação da equipe estabelecem processos e conhecimentos que permanecem independentemente de mudanças nos atores envolvidos, garantindo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diretamente a causa da constatação, que é a ausência de rotina estabelecida para verificação diária das câmaras frias, por meio da elaboração e implementação de POPs e treinamento da equipe. Quanto ao critério</w:t>
      </w:r>
      <w:r>
        <w:t xml:space="preserve"> </w:t>
      </w:r>
      <w:r>
        <w:t xml:space="preserve">‘Efeitos Duradouros’</w:t>
      </w:r>
      <w:r>
        <w:t xml:space="preserve">, a implementação de POPs e treinamento estabelece processos e conhecimentos que podem persistir mesmo com mudanças na equipe, garantindo efeitos duradouros.</w:t>
      </w:r>
    </w:p>
    <w:p>
      <w:pPr>
        <w:pStyle w:val="937"/>
      </w:pPr>
      <w:r>
        <w:t xml:space="preserve">Análise Foco Causa: Concordo</w:t>
      </w:r>
    </w:p>
    <w:p>
      <w:pPr>
        <w:pStyle w:val="937"/>
      </w:pPr>
      <w:r>
        <w:t xml:space="preserve">Análise Efeitos Duradouros: Concordo</w:t>
      </w:r>
    </w:p>
    <w:bookmarkEnd w:id="759"/>
    <w:bookmarkStart w:id="760" w:name="auditoria-19780-constatação-nº-692351-1"/>
    <w:p>
      <w:pPr>
        <w:pStyle w:val="907"/>
      </w:pPr>
      <w:r>
        <w:t xml:space="preserve">17.0.15.7 Auditoria 19780, Constatação Nº 692351 (#1)</w:t>
      </w:r>
    </w:p>
    <w:p>
      <w:pPr>
        <w:pStyle w:val="937"/>
      </w:pPr>
      <w:r>
        <w:rPr>
          <w:b/>
          <w:bCs/>
        </w:rPr>
        <w:t xml:space="preserve">Finalidade</w:t>
      </w:r>
      <w:r>
        <w:t xml:space="preserve">: Verificar se a SMS possui controles internos capazes de assegurar adequadamente a Cadeia de Frio.</w:t>
      </w:r>
    </w:p>
    <w:p>
      <w:pPr>
        <w:pStyle w:val="937"/>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p>
    <w:p>
      <w:pPr>
        <w:pStyle w:val="937"/>
      </w:pPr>
      <w:r>
        <w:rPr>
          <w:b/>
          <w:bCs/>
        </w:rPr>
        <w:t xml:space="preserve">Recomendação</w:t>
      </w:r>
      <w:r>
        <w:t xml:space="preserve">: Estabelecer procedimentos formais para monitoramento contínuo dos imunobiológicos durante o transporte, com registros dos controles necessários a assegurar a preservação da integridade física e das condições de temperatura adequadas para manutenção da sua eficácia, em conformidade com o disposto no Art. 84, Seção IX, RDC ANVISA Nº 430, de 08/10/2020, e com o disposto no item 4.6.4 do Manual de Rede de Frio do PNI (5ª edição, 2017).</w:t>
      </w:r>
    </w:p>
    <w:p>
      <w:pPr>
        <w:pStyle w:val="937"/>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específicas observadas. Já em relação aos efeitos pretendidos pela recomendação, a implementação de procedimentos formais criaria uma estrutura permanente de controle que permaneceria efetiva mesmo com mudanças nos profissionais responsáveis pelo transporte.</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estabelece procedimentos formais para monitoramento contínuo, o que efetivamente visa tratar a causa raiz (ausência de procedimentos padronizados) e não apenas corrigir condições específicas. Quanto ao critério</w:t>
      </w:r>
      <w:r>
        <w:t xml:space="preserve"> </w:t>
      </w:r>
      <w:r>
        <w:t xml:space="preserve">‘Efeitos Duradouros’</w:t>
      </w:r>
      <w:r>
        <w:t xml:space="preserve">, a implementação de procedimentos formais cria uma estrutura permanente que independe de indivíduos específicos, garantindo continuidade.</w:t>
      </w:r>
    </w:p>
    <w:p>
      <w:pPr>
        <w:pStyle w:val="937"/>
      </w:pPr>
      <w:r>
        <w:t xml:space="preserve">Análise Foco Causa: Concordo</w:t>
      </w:r>
    </w:p>
    <w:p>
      <w:pPr>
        <w:pStyle w:val="937"/>
      </w:pPr>
      <w:r>
        <w:t xml:space="preserve">Análise Efeitos Duradouros: Concordo</w:t>
      </w:r>
    </w:p>
    <w:bookmarkEnd w:id="760"/>
    <w:bookmarkStart w:id="761" w:name="auditoria-19803-constatação-nº-693818-1"/>
    <w:p>
      <w:pPr>
        <w:pStyle w:val="907"/>
      </w:pPr>
      <w:r>
        <w:t xml:space="preserve">17.0.15.8 Auditoria 19803, Constatação Nº 693818 (#1)</w:t>
      </w:r>
    </w:p>
    <w:p>
      <w:pPr>
        <w:pStyle w:val="937"/>
      </w:pPr>
      <w:r>
        <w:rPr>
          <w:b/>
          <w:bCs/>
        </w:rPr>
        <w:t xml:space="preserve">Finalidade</w:t>
      </w:r>
      <w:r>
        <w:t xml:space="preserve">: Auditoria na PNSMAD - 2024</w:t>
      </w:r>
    </w:p>
    <w:p>
      <w:pPr>
        <w:pStyle w:val="937"/>
      </w:pPr>
      <w:r>
        <w:rPr>
          <w:b/>
          <w:bCs/>
        </w:rPr>
        <w:t xml:space="preserve">Constatação</w:t>
      </w:r>
      <w:r>
        <w:t xml:space="preserve">: As Unidades Básicas de Saúde visitadas não realizam, de forma sistemática, ações de prevenção e promoção relacionadas à temática da saúde mental.</w:t>
      </w:r>
    </w:p>
    <w:p>
      <w:pPr>
        <w:pStyle w:val="937"/>
      </w:pPr>
      <w:r>
        <w:rPr>
          <w:b/>
          <w:bCs/>
        </w:rPr>
        <w:t xml:space="preserve">Recomendação</w:t>
      </w:r>
      <w:r>
        <w:t xml:space="preserve">: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artigo 6º, § 1º, do Anexo V, da Portaria de Consolidação n.° 3, de 28/9/2017.</w:t>
      </w:r>
    </w:p>
    <w:p>
      <w:pPr>
        <w:pStyle w:val="937"/>
      </w:pPr>
      <w:r>
        <w:rPr>
          <w:b/>
          <w:bCs/>
        </w:rPr>
        <w:t xml:space="preserve">Análise Codificação</w:t>
      </w:r>
      <w:r>
        <w:t xml:space="preserve">: Em relação ao foco, a recomendação propõe o desenvolvimento sistemático de ações de prevenção, promoção e cuidado, o que visa implementar um processo contínuo para tratar a causa subjacente da falta de ações sistemáticas, em vez de apenas corrigir uma condição pontual. Já em relação aos efeitos pretendidos pela recomendação, a implementação de ações sistemáticas estabelece estruturas e processos que podem persistir independentemente de mudanças nos atores envolvidos, como profissionais de saúde,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o desenvolvimento sistemático de ações de prevenção e promoção, o que sugere uma abordagem para tratar a causa da falta de ações sistemáticas, e não apenas a condição imediata. Para o critério</w:t>
      </w:r>
      <w:r>
        <w:t xml:space="preserve"> </w:t>
      </w:r>
      <w:r>
        <w:t xml:space="preserve">‘Efeitos Duradouros’</w:t>
      </w:r>
      <w:r>
        <w:t xml:space="preserve">, a implementação de ações sistemáticas visa estabelecer processos contínuos que podem persistir independentemente de mudanças de pessoal, indicando efeitos duradouros.</w:t>
      </w:r>
    </w:p>
    <w:p>
      <w:pPr>
        <w:pStyle w:val="937"/>
      </w:pPr>
      <w:r>
        <w:t xml:space="preserve">Análise Foco Causa: Concordo</w:t>
      </w:r>
    </w:p>
    <w:p>
      <w:pPr>
        <w:pStyle w:val="937"/>
      </w:pPr>
      <w:r>
        <w:t xml:space="preserve">Análise Efeitos Duradouros: Concordo</w:t>
      </w:r>
    </w:p>
    <w:bookmarkEnd w:id="761"/>
    <w:bookmarkStart w:id="762" w:name="auditoria-19827-constatação-nº-693967-1"/>
    <w:p>
      <w:pPr>
        <w:pStyle w:val="907"/>
      </w:pPr>
      <w:r>
        <w:t xml:space="preserve">17.0.15.9 Auditoria 19827, Constatação Nº 693967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p>
    <w:p>
      <w:pPr>
        <w:pStyle w:val="937"/>
      </w:pPr>
      <w:r>
        <w:rPr>
          <w:b/>
          <w:bCs/>
        </w:rPr>
        <w:t xml:space="preserve">Recomendação</w:t>
      </w:r>
      <w:r>
        <w:t xml:space="preserve">: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pPr>
        <w:pStyle w:val="937"/>
      </w:pPr>
      <w:r>
        <w:rPr>
          <w:b/>
          <w:bCs/>
        </w:rPr>
        <w:t xml:space="preserve">Análise Codificação</w:t>
      </w:r>
      <w:r>
        <w:t xml:space="preserve">: Em relação ao foco, a recomendação propõe fiscalizar, auditar, validar ou alterar o cadastro dos estabelecimentos de saúde para garantir que a capacidade profissional seja adequada, o que aborda a causa do problema (cadastro inadequado ou falta de fiscalização que leva à capacidade insuficiente). Já em relação aos efeitos pretendidos pela recomendação, as ações de fiscalização e ajuste de cadastro criam um mecanismo contínuo que permanece mesmo com mudanças nos atores envolvidos, pois estabelecem processos formais de verificação.</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que visam corrigir a capacidade profissional insuficiente através de fiscalização e ajuste de cadastro, o que aborda a causa subjacente (cadastro inadequado ou falta de fiscalização). Para o critério</w:t>
      </w:r>
      <w:r>
        <w:t xml:space="preserve"> </w:t>
      </w:r>
      <w:r>
        <w:t xml:space="preserve">‘Efeitos Duradouros’</w:t>
      </w:r>
      <w:r>
        <w:t xml:space="preserve">, as ações estabelecem processos contínuos que podem persistir independentemente de mudanças nos atores, desde que os procedimentos sejam institucionalizados.</w:t>
      </w:r>
    </w:p>
    <w:p>
      <w:pPr>
        <w:pStyle w:val="937"/>
      </w:pPr>
      <w:r>
        <w:t xml:space="preserve">Análise Foco Causa: Concordo</w:t>
      </w:r>
    </w:p>
    <w:p>
      <w:pPr>
        <w:pStyle w:val="937"/>
      </w:pPr>
      <w:r>
        <w:t xml:space="preserve">Análise Efeitos Duradouros: Concordo</w:t>
      </w:r>
    </w:p>
    <w:bookmarkEnd w:id="762"/>
    <w:bookmarkStart w:id="763" w:name="auditoria-19848-constatação-nº-701969-1"/>
    <w:p>
      <w:pPr>
        <w:pStyle w:val="907"/>
      </w:pPr>
      <w:r>
        <w:t xml:space="preserve">17.0.15.10 Auditoria 19848, Constatação Nº 701969 (#1)</w:t>
      </w:r>
    </w:p>
    <w:p>
      <w:pPr>
        <w:pStyle w:val="937"/>
      </w:pPr>
      <w:r>
        <w:rPr>
          <w:b/>
          <w:bCs/>
        </w:rPr>
        <w:t xml:space="preserve">Finalidade</w:t>
      </w:r>
      <w:r>
        <w:t xml:space="preserve">: Verificar a gestão e o gerenciamento dos Centros de Referência em Saúde do Trabalhador - CERESTs</w:t>
      </w:r>
    </w:p>
    <w:p>
      <w:pPr>
        <w:pStyle w:val="937"/>
      </w:pPr>
      <w:r>
        <w:rPr>
          <w:b/>
          <w:bCs/>
        </w:rPr>
        <w:t xml:space="preserve">Constatação</w:t>
      </w:r>
      <w:r>
        <w:t xml:space="preserve">: O Conselho Municipal de Saúde-CMS de Aracati/CE não comprovou a fiscalização dos recursos federais que foram destinados ao município para os anos de 2023 e 2024.</w:t>
      </w:r>
    </w:p>
    <w:p>
      <w:pPr>
        <w:pStyle w:val="937"/>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específicos, a fiscalização dos recursos federais que foram repassados do Fundo Nacional de Saúde para o Fundo Municipal de Saúde, de acordo com o disposto no § 2º, art. 1.097, Capítulo V, da Portaria de Consolidação GM/MS n.º 06, de 28 de setembro de 2017.</w:t>
      </w:r>
    </w:p>
    <w:p>
      <w:pPr>
        <w:pStyle w:val="937"/>
      </w:pPr>
      <w:r>
        <w:rPr>
          <w:b/>
          <w:bCs/>
        </w:rPr>
        <w:t xml:space="preserve">Análise Codificação</w:t>
      </w:r>
      <w:r>
        <w:t xml:space="preserve">: Em relação ao foco, a recomendação propõe a implementação de um processo formal de registro e documentação da fiscalização dos recursos, o que visa estabelecer um mecanismo permanente para garantir que a fiscalização seja realizada e documentada adequadamente, tratando assim da causa subjacente da falta de comprovação. Já em relação aos efeitos pretendidos pela recomendação, a criação de registros sistemáticos nas atas e relatórios assegura que a fiscalização continue a ser documentada independentemente de mudanças nos membros do conselho, proporcionando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estabelece um processo formal de registro e documentação da fiscalização, o que aborda a causa da falta de comprovação ao criar um mecanismo sistemático para garantir que a fiscalização seja realizada e documentada. Para o critério</w:t>
      </w:r>
      <w:r>
        <w:t xml:space="preserve"> </w:t>
      </w:r>
      <w:r>
        <w:t xml:space="preserve">‘Efeitos Duradouros’</w:t>
      </w:r>
      <w:r>
        <w:t xml:space="preserve">, a implementação de registros permanentes nas atas e relatórios assegura que a prática continue independentemente de mudanças nos membros do conselho, promovendo sustentabilidade.</w:t>
      </w:r>
    </w:p>
    <w:p>
      <w:pPr>
        <w:pStyle w:val="937"/>
      </w:pPr>
      <w:r>
        <w:t xml:space="preserve">Análise Foco Causa: Concordo</w:t>
      </w:r>
    </w:p>
    <w:p>
      <w:pPr>
        <w:pStyle w:val="937"/>
      </w:pPr>
      <w:r>
        <w:t xml:space="preserve">Análise Efeitos Duradouros: Concordo</w:t>
      </w:r>
    </w:p>
    <w:bookmarkEnd w:id="763"/>
    <w:bookmarkEnd w:id="764"/>
    <w:bookmarkStart w:id="775" w:name="Xde6634f9482e595102477c9c57d29c91e4f33d4"/>
    <w:p>
      <w:pPr>
        <w:pStyle w:val="906"/>
      </w:pPr>
      <w:r>
        <w:t xml:space="preserve">17.0.16 Foco: Sim, Efeitos: Sim, Concordância Foco: Discordo, Concordância Efeitos: Concordo</w:t>
      </w:r>
    </w:p>
    <w:bookmarkStart w:id="765" w:name="X91a737e65cad5387fda337627aef02a8b31c4b3"/>
    <w:p>
      <w:pPr>
        <w:pStyle w:val="907"/>
      </w:pPr>
      <w:r>
        <w:t xml:space="preserve">17.0.16.1 Auditoria 19238, Constatação Nº 654962 (#1)</w:t>
      </w:r>
    </w:p>
    <w:p>
      <w:pPr>
        <w:pStyle w:val="937"/>
      </w:pPr>
      <w:r>
        <w:rPr>
          <w:b/>
          <w:bCs/>
        </w:rPr>
        <w:t xml:space="preserve">Finalidade</w:t>
      </w:r>
      <w:r>
        <w:t xml:space="preserve">: Monitorar as recomendações da Auditoria nº 16936 ref a execução da PNAISP</w:t>
      </w:r>
    </w:p>
    <w:p>
      <w:pPr>
        <w:pStyle w:val="937"/>
      </w:pPr>
      <w:r>
        <w:rPr>
          <w:b/>
          <w:bCs/>
        </w:rPr>
        <w:t xml:space="preserve">Constatação</w:t>
      </w:r>
      <w:r>
        <w:t xml:space="preserve">: Nos RAG de 2020 e 2021 estão registradas as ações relativas à execução da PNAISP, enquanto o RAG de 2019 não contempla a execução de nenhuma ação voltada à essa política.</w:t>
      </w:r>
    </w:p>
    <w:p>
      <w:pPr>
        <w:pStyle w:val="937"/>
      </w:pPr>
      <w:r>
        <w:rPr>
          <w:b/>
          <w:bCs/>
        </w:rPr>
        <w:t xml:space="preserve">Recomendação</w:t>
      </w:r>
      <w:r>
        <w:t xml:space="preserve">: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pPr>
        <w:pStyle w:val="937"/>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consistente nos RAGs. Já em relação aos efeitos pretendidos pela recomendação, a implementação de um sistema padronizado de relatórios tende a criar uma estrutura que persiste independentemente de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 utilização do RAG para apresentar resultados da PAS, o que pode ser visto como uma medida para garantir o registro consistente, mas não aborda diretamente as causas que levaram à inconsistência nos registros anteriores, como falta de capacitação, recursos ou processos definidos. Quanto ao critério</w:t>
      </w:r>
      <w:r>
        <w:t xml:space="preserve"> </w:t>
      </w:r>
      <w:r>
        <w:t xml:space="preserve">‘Efeitos Duradouros’</w:t>
      </w:r>
      <w:r>
        <w:t xml:space="preserve">, a recomendação estabelece um processo padronizado que pode persistir com mudanças de atores, mas sua efetividade depende da implementação e adesão contínua.</w:t>
      </w:r>
    </w:p>
    <w:p>
      <w:pPr>
        <w:pStyle w:val="937"/>
      </w:pPr>
      <w:r>
        <w:t xml:space="preserve">Análise Foco Causa: Discordo</w:t>
      </w:r>
    </w:p>
    <w:p>
      <w:pPr>
        <w:pStyle w:val="937"/>
      </w:pPr>
      <w:r>
        <w:t xml:space="preserve">Análise Efeitos Duradouros: Concordo</w:t>
      </w:r>
    </w:p>
    <w:bookmarkEnd w:id="765"/>
    <w:bookmarkStart w:id="766" w:name="auditoria-19475-constatação-nº-666128-1"/>
    <w:p>
      <w:pPr>
        <w:pStyle w:val="907"/>
      </w:pPr>
      <w:r>
        <w:t xml:space="preserve">17.0.16.2 Auditoria 19475, Constatação Nº 666128 (#1)</w:t>
      </w:r>
    </w:p>
    <w:p>
      <w:pPr>
        <w:pStyle w:val="937"/>
      </w:pPr>
      <w:r>
        <w:rPr>
          <w:b/>
          <w:bCs/>
        </w:rPr>
        <w:t xml:space="preserve">Finalidade</w:t>
      </w:r>
      <w:r>
        <w:t xml:space="preserve">: Verificar a regularidade da gestão e funcionamento do Serviço de Atendimento Móvel de Urgência 192.</w:t>
      </w:r>
    </w:p>
    <w:p>
      <w:pPr>
        <w:pStyle w:val="937"/>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p>
    <w:p>
      <w:pPr>
        <w:pStyle w:val="937"/>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Estabeleça procedimentos (Check list, POP, etc) que assegurem que a prestação de contas dos recursos Federais, Estaduais, bem como a contrapartida municipal, seja prestada no instrumento legal preconizado pela legislação vigente, o Relatório Anual de Gestão (RAG).</w:t>
      </w:r>
    </w:p>
    <w:p>
      <w:pPr>
        <w:pStyle w:val="937"/>
      </w:pPr>
      <w:r>
        <w:rPr>
          <w:b/>
          <w:bCs/>
        </w:rPr>
        <w:t xml:space="preserve">Análise Codificação</w:t>
      </w:r>
      <w:r>
        <w:t xml:space="preserve">: Em relação ao foco, a recomendação possui duas partes distintas: a primeira trata da correção imediata da condição encontrada (ajustes no RAG), sendo portanto focada na condição; a segunda parte propõe a criação de procedimentos (checklist, POP) para assegurar que a prestação de contas seja feita corretamente no futuro, o que constitui uma ação voltada para a causa do problema. Já em relação aos efeitos duradouros, os procedimentos estabelecidos (checklist, POP) criam mecanismos formais que permanecerão independentemente de mudanças nos atores envolvidos, garantindo continuidade no processo correto de prestação de contas.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análise do modelo identificou corretamente que a recomendação possui uma parte focada na causa (estabelecimento de procedimentos para assegurar prestação de contas correta no futuro) e outra focada na condição (ajustes no RAG). No entanto, a classificação binária</w:t>
      </w:r>
      <w:r>
        <w:t xml:space="preserve"> </w:t>
      </w:r>
      <w:r>
        <w:t xml:space="preserve">‘Sim’</w:t>
      </w:r>
      <w:r>
        <w:t xml:space="preserve"> </w:t>
      </w:r>
      <w:r>
        <w:t xml:space="preserve">ou</w:t>
      </w:r>
      <w:r>
        <w:t xml:space="preserve"> </w:t>
      </w:r>
      <w:r>
        <w:t xml:space="preserve">‘Não’</w:t>
      </w:r>
      <w:r>
        <w:t xml:space="preserve"> </w:t>
      </w:r>
      <w:r>
        <w:t xml:space="preserve">não capta adequadamente essa dualidade, pois a recomendação contém ambos os focos. Quanto ao critério</w:t>
      </w:r>
      <w:r>
        <w:t xml:space="preserve"> </w:t>
      </w:r>
      <w:r>
        <w:t xml:space="preserve">‘Efeitos Duradouros’</w:t>
      </w:r>
      <w:r>
        <w:t xml:space="preserve">, a análise está correta ao considerar que os procedimentos formais criados (checklist, POP) tendem a persistir independentemente de mudanças de pessoal.</w:t>
      </w:r>
    </w:p>
    <w:p>
      <w:pPr>
        <w:pStyle w:val="937"/>
      </w:pPr>
      <w:r>
        <w:t xml:space="preserve">Análise Foco Causa: Discordo</w:t>
      </w:r>
    </w:p>
    <w:p>
      <w:pPr>
        <w:pStyle w:val="937"/>
      </w:pPr>
      <w:r>
        <w:t xml:space="preserve">Análise Efeitos Duradouros: Concordo</w:t>
      </w:r>
    </w:p>
    <w:bookmarkEnd w:id="766"/>
    <w:bookmarkStart w:id="767" w:name="auditoria-19499-constatação-nº-675036-1"/>
    <w:p>
      <w:pPr>
        <w:pStyle w:val="907"/>
      </w:pPr>
      <w:r>
        <w:t xml:space="preserve">17.0.16.3 Auditoria 19499, Constatação Nº 675036 (#1)</w:t>
      </w:r>
    </w:p>
    <w:p>
      <w:pPr>
        <w:pStyle w:val="937"/>
      </w:pPr>
      <w:r>
        <w:rPr>
          <w:b/>
          <w:bCs/>
        </w:rPr>
        <w:t xml:space="preserve">Finalidade</w:t>
      </w:r>
      <w:r>
        <w:t xml:space="preserve">: Avaliar os indicadores de desempenho do programa Previne Brasil no município de Santa Cecília/SC</w:t>
      </w:r>
    </w:p>
    <w:p>
      <w:pPr>
        <w:pStyle w:val="937"/>
      </w:pPr>
      <w:r>
        <w:rPr>
          <w:b/>
          <w:bCs/>
        </w:rPr>
        <w:t xml:space="preserve">Constatação</w:t>
      </w:r>
      <w:r>
        <w:t xml:space="preserve">: O Município não adotou as ações como forma de atingir a meta para o indicador 7 - Percentual de diabéticos com solicitação de hemoglobina glicada.</w:t>
      </w:r>
    </w:p>
    <w:p>
      <w:pPr>
        <w:pStyle w:val="937"/>
      </w:pPr>
      <w:r>
        <w:rPr>
          <w:b/>
          <w:bCs/>
        </w:rPr>
        <w:t xml:space="preserve">Recomendação</w:t>
      </w:r>
      <w:r>
        <w:t xml:space="preserve">: Estabelecer ações elencadas no Documento Orientador do Previne Brasil para alcançar a meta proposta para o indicador nº 7 e realizar registros das ações programadas e realizadas, para atendimento ao disposto na Nota Técnica nº 23 DESF-SAPS/MS e na Portaria GM/MS nº 2.979/2019.</w:t>
      </w:r>
    </w:p>
    <w:p>
      <w:pPr>
        <w:pStyle w:val="937"/>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lacunas na implementação de diretrizes. Quanto aos efeitos duradouros, a implementação dessas ações e registros pode estabelecer processos contínuos que persistem independentemente de mudanças nos atores envolvidos, desde que integrados às práticas municipais.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estabelece ações para alcançar a meta do indicador, mas não aborda explicitamente a causa raiz da não consecução (como falta de capacitação ou recursos). Para</w:t>
      </w:r>
      <w:r>
        <w:t xml:space="preserve"> </w:t>
      </w:r>
      <w:r>
        <w:t xml:space="preserve">‘Efeitos Duradouros’</w:t>
      </w:r>
      <w:r>
        <w:t xml:space="preserve">, a implementação de processos e registros pode ser duradoura, mas depende da integração contínua.</w:t>
      </w:r>
    </w:p>
    <w:p>
      <w:pPr>
        <w:pStyle w:val="937"/>
      </w:pPr>
      <w:r>
        <w:t xml:space="preserve">Análise Foco Causa: Discordo</w:t>
      </w:r>
    </w:p>
    <w:p>
      <w:pPr>
        <w:pStyle w:val="937"/>
      </w:pPr>
      <w:r>
        <w:t xml:space="preserve">Análise Efeitos Duradouros: Concordo</w:t>
      </w:r>
    </w:p>
    <w:bookmarkEnd w:id="767"/>
    <w:bookmarkStart w:id="768" w:name="auditoria-19511-constatação-nº-677209-1"/>
    <w:p>
      <w:pPr>
        <w:pStyle w:val="907"/>
      </w:pPr>
      <w:r>
        <w:t xml:space="preserve">17.0.16.4 Auditoria 19511, Constatação Nº 677209 (#1)</w:t>
      </w:r>
    </w:p>
    <w:p>
      <w:pPr>
        <w:pStyle w:val="937"/>
      </w:pPr>
      <w:r>
        <w:rPr>
          <w:b/>
          <w:bCs/>
        </w:rPr>
        <w:t xml:space="preserve">Finalidade</w:t>
      </w:r>
      <w:r>
        <w:t xml:space="preserve">: Verificar regularidade de recebimento, armazenamento, saída, dispensação e utilização das OPME</w:t>
      </w:r>
    </w:p>
    <w:p>
      <w:pPr>
        <w:pStyle w:val="937"/>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p>
    <w:p>
      <w:pPr>
        <w:pStyle w:val="937"/>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p>
    <w:p>
      <w:pPr>
        <w:pStyle w:val="937"/>
      </w:pPr>
      <w:r>
        <w:rPr>
          <w:b/>
          <w:bCs/>
        </w:rPr>
        <w:t xml:space="preserve">Análise Codificação</w:t>
      </w:r>
      <w:r>
        <w:t xml:space="preserve">: Em relação ao foco, a recomendação propõe estabelecer medidas para assegurar a atuação de uma comissão específica (Comissão de Gestão de OPME), o que visa abordar a causa subjacente da falta de anexação dos exames de imagem nos prontuários, ao criar uma estrutura organizacional permanente para supervisionar e melhorar os processos relacionados a OPME. Já em relação aos efeitos pretendidos pela recomendação, a criação e atuação de uma comissão formal tendem a produzir efeitos duradouros, pois a estrutura permanece mesmo com mudanças nos indivíduos envolvidos, assegurando continuidade na gestão e controle das OPME.</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estabelece medidas para assegurar a atuação de uma comissão específica, o que pode ser interpretado como uma ação para tratar a causa organizacional do problema (falta de estrutura de gestão para OPME), mas não aborda diretamente a causa imediata da falta de anexação dos exames (como falhas processuais ou de treinamento). Para o critério</w:t>
      </w:r>
      <w:r>
        <w:t xml:space="preserve"> </w:t>
      </w:r>
      <w:r>
        <w:t xml:space="preserve">‘Efeitos Duradouros’</w:t>
      </w:r>
      <w:r>
        <w:t xml:space="preserve">, a criação de uma comissão formal tende a gerar efeitos duradouros, pois a estrutura institucional persiste independentemente de mudanças de pessoal.</w:t>
      </w:r>
    </w:p>
    <w:p>
      <w:pPr>
        <w:pStyle w:val="937"/>
      </w:pPr>
      <w:r>
        <w:t xml:space="preserve">Análise Foco Causa: Discordo</w:t>
      </w:r>
    </w:p>
    <w:p>
      <w:pPr>
        <w:pStyle w:val="937"/>
      </w:pPr>
      <w:r>
        <w:t xml:space="preserve">Análise Efeitos Duradouros: Concordo</w:t>
      </w:r>
    </w:p>
    <w:bookmarkEnd w:id="768"/>
    <w:bookmarkStart w:id="769" w:name="auditoria-19565-constatação-nº-677635-1"/>
    <w:p>
      <w:pPr>
        <w:pStyle w:val="907"/>
      </w:pPr>
      <w:r>
        <w:t xml:space="preserve">17.0.16.5 Auditoria 19565, Constatação Nº 677635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Estado crítico dos equipamentos de proteção individual para os motociclistas do SAMU 192 Teresina.</w:t>
      </w:r>
    </w:p>
    <w:p>
      <w:pPr>
        <w:pStyle w:val="937"/>
      </w:pPr>
      <w:r>
        <w:rPr>
          <w:b/>
          <w:bCs/>
        </w:rPr>
        <w:t xml:space="preserve">Recomendação</w:t>
      </w:r>
      <w:r>
        <w:t xml:space="preserve">: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pPr>
        <w:pStyle w:val="937"/>
      </w:pPr>
      <w:r>
        <w:rPr>
          <w:b/>
          <w:bCs/>
        </w:rPr>
        <w:t xml:space="preserve">Análise Codificação</w:t>
      </w:r>
      <w:r>
        <w:t xml:space="preserve">: Em relação ao foco, a recomendação</w:t>
      </w:r>
      <w:r>
        <w:t xml:space="preserve"> </w:t>
      </w:r>
      <w:r>
        <w:t xml:space="preserve">‘a’</w:t>
      </w:r>
      <w:r>
        <w:t xml:space="preserve"> </w:t>
      </w:r>
      <w:r>
        <w:t xml:space="preserve">trata da correção imediata da condição encontrada (substituição ou reparo dos EPIs danificados), sendo portanto focada na condição. A recomendação</w:t>
      </w:r>
      <w:r>
        <w:t xml:space="preserve"> </w:t>
      </w:r>
      <w:r>
        <w:t xml:space="preserve">‘b’</w:t>
      </w:r>
      <w:r>
        <w:t xml:space="preserve"> </w:t>
      </w:r>
      <w:r>
        <w:t xml:space="preserve">propõe a manutenção de estoque de reserva, que é uma ação preventiva para evitar a reocorrência da falta de EPIs em condições adequadas, tratando assim da causa do problema (falta de disponibilidade contínua). Quanto aos efeitos duradouros, a manutenção de estoque de reserva como procedimento institucional permanece independente de mudanças nos atores envolvidos, garantindo disponibilidade contínua de EPIs.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análise do modelo identificou corretamente que a recomendação</w:t>
      </w:r>
      <w:r>
        <w:t xml:space="preserve"> </w:t>
      </w:r>
      <w:r>
        <w:t xml:space="preserve">‘b’</w:t>
      </w:r>
      <w:r>
        <w:t xml:space="preserve"> </w:t>
      </w:r>
      <w:r>
        <w:t xml:space="preserve">trata da causa do problema, mas atribuiu</w:t>
      </w:r>
      <w:r>
        <w:t xml:space="preserve"> </w:t>
      </w:r>
      <w:r>
        <w:t xml:space="preserve">‘Sim’</w:t>
      </w:r>
      <w:r>
        <w:t xml:space="preserve"> </w:t>
      </w:r>
      <w:r>
        <w:t xml:space="preserve">ao critério geral baseando-se apenas nela, desconsiderando que a recomendação</w:t>
      </w:r>
      <w:r>
        <w:t xml:space="preserve"> </w:t>
      </w:r>
      <w:r>
        <w:t xml:space="preserve">‘a’</w:t>
      </w:r>
      <w:r>
        <w:t xml:space="preserve"> </w:t>
      </w:r>
      <w:r>
        <w:t xml:space="preserve">é focada na condição. Quanto ao critério</w:t>
      </w:r>
      <w:r>
        <w:t xml:space="preserve"> </w:t>
      </w:r>
      <w:r>
        <w:t xml:space="preserve">‘Efeitos Duradouros’</w:t>
      </w:r>
      <w:r>
        <w:t xml:space="preserve">, a análise está correta, pois a recomendação</w:t>
      </w:r>
      <w:r>
        <w:t xml:space="preserve"> </w:t>
      </w:r>
      <w:r>
        <w:t xml:space="preserve">‘b’</w:t>
      </w:r>
      <w:r>
        <w:t xml:space="preserve"> </w:t>
      </w:r>
      <w:r>
        <w:t xml:space="preserve">estabelece um procedimento institucional que independe de mudanças de pessoal.</w:t>
      </w:r>
    </w:p>
    <w:p>
      <w:pPr>
        <w:pStyle w:val="937"/>
      </w:pPr>
      <w:r>
        <w:t xml:space="preserve">Análise Foco Causa: Discordo</w:t>
      </w:r>
    </w:p>
    <w:p>
      <w:pPr>
        <w:pStyle w:val="937"/>
      </w:pPr>
      <w:r>
        <w:t xml:space="preserve">Análise Efeitos Duradouros: Concordo</w:t>
      </w:r>
    </w:p>
    <w:bookmarkEnd w:id="769"/>
    <w:bookmarkStart w:id="770" w:name="auditoria-19610-constatação-nº-674211-3"/>
    <w:p>
      <w:pPr>
        <w:pStyle w:val="907"/>
      </w:pPr>
      <w:r>
        <w:t xml:space="preserve">17.0.16.6 Auditoria 19610, Constatação Nº 674211 (#3)</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Ausência dos relatórios mensais de acompanhamento do Subeixo de Educação Permanente no Transferegov, bem como impropriedades relacionadas ao acompanhamento.</w:t>
      </w:r>
    </w:p>
    <w:p>
      <w:pPr>
        <w:pStyle w:val="937"/>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937"/>
      </w:pPr>
      <w:r>
        <w:rPr>
          <w:b/>
          <w:bCs/>
        </w:rPr>
        <w:t xml:space="preserve">Análise Codificação</w:t>
      </w:r>
      <w:r>
        <w:t xml:space="preserve">: Em relação ao foco, a recomendação propõe a elaboração de relatórios mensais baseados em informações fidedignas e a adoção de medidas preventivas ou corretivas em caso de não cumprimento do convênio, indicando ações que visam prevenir a reincidência da ausência de relatórios e impropriedades no acompanhamento, tratando assim da causa do problema. Já em relação aos efeitos pretendidos pela recomendação, as medidas propostas, como a elaboração sistemática de relatórios e a aplicação de ações preventivas/corretivas, são procedimentos institucionais que devem permanecer independentemente de mudanças nos atores envolvidos, garantindo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pode ter superestimado o foco na causa raiz. Quanto ao critério</w:t>
      </w:r>
      <w:r>
        <w:t xml:space="preserve"> </w:t>
      </w:r>
      <w:r>
        <w:t xml:space="preserve">‘Efeitos Duradouros’</w:t>
      </w:r>
      <w:r>
        <w:t xml:space="preserve">, a implementação de procedimentos sistemáticos sugere durabilidade, mas dependem da adesão contínua das unidades.</w:t>
      </w:r>
    </w:p>
    <w:p>
      <w:pPr>
        <w:pStyle w:val="937"/>
      </w:pPr>
      <w:r>
        <w:t xml:space="preserve">Análise Foco Causa: Discordo</w:t>
      </w:r>
    </w:p>
    <w:p>
      <w:pPr>
        <w:pStyle w:val="937"/>
      </w:pPr>
      <w:r>
        <w:t xml:space="preserve">Análise Efeitos Duradouros: Concordo</w:t>
      </w:r>
    </w:p>
    <w:bookmarkEnd w:id="770"/>
    <w:bookmarkStart w:id="771" w:name="auditoria-19611-constatação-nº-674426-1"/>
    <w:p>
      <w:pPr>
        <w:pStyle w:val="907"/>
      </w:pPr>
      <w:r>
        <w:t xml:space="preserve">17.0.16.7 Auditoria 19611, Constatação Nº 674426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Irregularidade na contratação de empresas com atividades idênticas para atendimento ao Convênio nº 878454/2018.</w:t>
      </w:r>
    </w:p>
    <w:p>
      <w:pPr>
        <w:pStyle w:val="937"/>
      </w:pPr>
      <w:r>
        <w:rPr>
          <w:b/>
          <w:bCs/>
        </w:rPr>
        <w:t xml:space="preserve">Recomendação</w:t>
      </w:r>
      <w:r>
        <w:t xml:space="preserve">: Orientar os fiscais técnicos do convênio e/ou gestor do concedente, que atuam no processo de execução, a realizar aconferência da documentação referente à contratualização realizada pela convenente e inserida no sistema, no sentido de evitar desobediência aos normativos e cometimento de irregularidades nos atos praticados pela convenente.</w:t>
      </w:r>
    </w:p>
    <w:p>
      <w:pPr>
        <w:pStyle w:val="937"/>
      </w:pPr>
      <w:r>
        <w:rPr>
          <w:b/>
          <w:bCs/>
        </w:rPr>
        <w:t xml:space="preserve">Análise Codificação</w:t>
      </w:r>
      <w:r>
        <w:t xml:space="preserve">: Em relação ao foco, a recomendação propõe que fiscais e gestores realizem conferência da documentação de contratualização para evitar desobediência a normativos e irregularidades, o que visa prevenir a reocorrência da condição irregular identificada, tratando assim da causa do problema. Já em relação aos efeitos pretendidos pela recomendação, a ação de conferência documental, se implementada como processo contínuo, pode gerar efeitos duradouros independentemente de mudanças nos atores envolvidos, pois estabelece um controle sistemático.</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conferência documental que, embora possa prevenir a reocorrência, não aborda diretamente a causa raiz da irregularidade, que pode envolver falhas em processos de contratação, falta de capacitação ou deficiências normativas. Quanto ao critério</w:t>
      </w:r>
      <w:r>
        <w:t xml:space="preserve"> </w:t>
      </w:r>
      <w:r>
        <w:t xml:space="preserve">‘Efeitos Duradouros’</w:t>
      </w:r>
      <w:r>
        <w:t xml:space="preserve">, a ação de conferência, se implementada como processo contínuo, pode sim gerar efeitos duradouros, mas depende da institucionalização do processo para ser sustentável.</w:t>
      </w:r>
    </w:p>
    <w:p>
      <w:pPr>
        <w:pStyle w:val="937"/>
      </w:pPr>
      <w:r>
        <w:t xml:space="preserve">Análise Foco Causa: Discordo</w:t>
      </w:r>
    </w:p>
    <w:p>
      <w:pPr>
        <w:pStyle w:val="937"/>
      </w:pPr>
      <w:r>
        <w:t xml:space="preserve">Análise Efeitos Duradouros: Concordo</w:t>
      </w:r>
    </w:p>
    <w:bookmarkEnd w:id="771"/>
    <w:bookmarkStart w:id="772" w:name="auditoria-19617-constatação-nº-675250-1"/>
    <w:p>
      <w:pPr>
        <w:pStyle w:val="907"/>
      </w:pPr>
      <w:r>
        <w:t xml:space="preserve">17.0.16.8 Auditoria 19617, Constatação Nº 675250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Contratação de empresas que possuem os mesmos Sócios-Administradores.</w:t>
      </w:r>
    </w:p>
    <w:p>
      <w:pPr>
        <w:pStyle w:val="937"/>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937"/>
      </w:pPr>
      <w:r>
        <w:rPr>
          <w:b/>
          <w:bCs/>
        </w:rPr>
        <w:t xml:space="preserve">Análise Codificação</w:t>
      </w:r>
      <w:r>
        <w:t xml:space="preserve">: Em relação ao foco, a recomendação propõe orientar fiscais e gestores a conferir documentação comprobatória para evitar desobediência a normativos e irregularidades, o que visa prevenir a reincidência do problema de contratação de empresas com os mesmos sócios-administradores, tratando assim da causa subjacente (falta de verificação adequada). Já em relação aos efeitos pretendidos pela recomendação, a orientação para conferência documental estabelece um procedimento que deve permanecer válido independentemente de mudanças nos fiscais ou gestores, indicando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orientação para conferência documental que visa prevenir a reincidência do problema, mas não aborda diretamente a causa raiz da contratação de empresas com os mesmos sócios-administradores, que pode envolver falhas sistêmicas ou intencionalidade. Quanto ao critério</w:t>
      </w:r>
      <w:r>
        <w:t xml:space="preserve"> </w:t>
      </w:r>
      <w:r>
        <w:t xml:space="preserve">‘Efeitos Duradouros’</w:t>
      </w:r>
      <w:r>
        <w:t xml:space="preserve">, a orientação estabelece um procedimento que pode ser mantido com mudanças de pessoal, mas sua efetividade depende da adesão contínua e de possíveis atualizações normativas.</w:t>
      </w:r>
    </w:p>
    <w:p>
      <w:pPr>
        <w:pStyle w:val="937"/>
      </w:pPr>
      <w:r>
        <w:t xml:space="preserve">Análise Foco Causa: Discordo</w:t>
      </w:r>
    </w:p>
    <w:p>
      <w:pPr>
        <w:pStyle w:val="937"/>
      </w:pPr>
      <w:r>
        <w:t xml:space="preserve">Análise Efeitos Duradouros: Concordo</w:t>
      </w:r>
    </w:p>
    <w:bookmarkEnd w:id="772"/>
    <w:bookmarkStart w:id="773" w:name="auditoria-19811-constatação-nº-695637-1"/>
    <w:p>
      <w:pPr>
        <w:pStyle w:val="907"/>
      </w:pPr>
      <w:r>
        <w:t xml:space="preserve">17.0.16.9 Auditoria 19811, Constatação Nº 695637 (#1)</w:t>
      </w:r>
    </w:p>
    <w:p>
      <w:pPr>
        <w:pStyle w:val="937"/>
      </w:pPr>
      <w:r>
        <w:rPr>
          <w:b/>
          <w:bCs/>
        </w:rPr>
        <w:t xml:space="preserve">Finalidade</w:t>
      </w:r>
      <w:r>
        <w:t xml:space="preserve">: Verificar se a At. Primária exerce as atribuições de coordenadora da Rede de Atenção Psicossocial</w:t>
      </w:r>
    </w:p>
    <w:p>
      <w:pPr>
        <w:pStyle w:val="937"/>
      </w:pPr>
      <w:r>
        <w:rPr>
          <w:b/>
          <w:bCs/>
        </w:rPr>
        <w:t xml:space="preserve">Constatação</w:t>
      </w:r>
      <w:r>
        <w:t xml:space="preserve">: As UBSs visitadas não realizam ações contínuas de prevenção e promoção relacionados à temática da saúde mental.</w:t>
      </w:r>
    </w:p>
    <w:p>
      <w:pPr>
        <w:pStyle w:val="937"/>
      </w:pPr>
      <w:r>
        <w:rPr>
          <w:b/>
          <w:bCs/>
        </w:rPr>
        <w:t xml:space="preserve">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práticas baseadas em evidências e sensibiliza a comunidade, fortalecendo a atenção psicossocial e a proteção dos direitos dos usuários, portanto recomendar à SMS que cumpra o Anexo V, art. 6° §1° da Portaria de Consolidação n.° 3, de 28 de setembro de 2017.</w:t>
      </w:r>
    </w:p>
    <w:p>
      <w:pPr>
        <w:pStyle w:val="937"/>
      </w:pPr>
      <w:r>
        <w:rPr>
          <w:b/>
          <w:bCs/>
        </w:rPr>
        <w:t xml:space="preserve">Análise Codificação</w:t>
      </w:r>
      <w:r>
        <w:t xml:space="preserve">: Em relação ao foco, a recomendação propõe que a SMS monitore ações e registros de educação em saúde mental, o que visa assegurar a qualificação contínua dos profissionais e promover práticas baseadas em evidências. Isso aborda a causa subjacente da falta de ações contínuas, que pode ser a ausência de supervisão e monitoramento sistemático, focando em prevenir a recorrência do problema. Já em relação aos efeitos pretendidos pela recomendação, o monitoramento estabelece um processo contínuo que deve persistir independentemente de mudanças nos atores envolvidos, como profissionais ou gestores,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análise do modelo argumenta que o monitoramento pela SMS aborda a causa subjacente da falta de ações contínuas, que seria a ausência de supervisão e monitoramento sistemático. No entanto, a constatação específica é a não realização de ações contínuas de prevenção e promoção em saúde mental pelas UBSs, e a recomendação foca no monitoramento dessas ações e registros, o que pode ser visto como uma medida para verificar e assegurar a conformidade, mas não necessariamente trata a causa raiz (como falta de capacitação, recursos ou diretrizes claras). Quanto ao critério</w:t>
      </w:r>
      <w:r>
        <w:t xml:space="preserve"> </w:t>
      </w:r>
      <w:r>
        <w:t xml:space="preserve">‘Efeitos Duradouros’</w:t>
      </w:r>
      <w:r>
        <w:t xml:space="preserve">, a análise do modelo afirma que o monitoramento estabelece um processo contínuo independente de mudanças nos atores, o que é plausível se o monitoramento for institucionalizado.</w:t>
      </w:r>
    </w:p>
    <w:p>
      <w:pPr>
        <w:pStyle w:val="937"/>
      </w:pPr>
      <w:r>
        <w:t xml:space="preserve">Análise Foco Causa: Discordo</w:t>
      </w:r>
    </w:p>
    <w:p>
      <w:pPr>
        <w:pStyle w:val="937"/>
      </w:pPr>
      <w:r>
        <w:t xml:space="preserve">Análise Efeitos Duradouros: Concordo</w:t>
      </w:r>
    </w:p>
    <w:bookmarkEnd w:id="773"/>
    <w:bookmarkStart w:id="774" w:name="auditoria-19834-constatação-nº-701469-1"/>
    <w:p>
      <w:pPr>
        <w:pStyle w:val="907"/>
      </w:pPr>
      <w:r>
        <w:t xml:space="preserve">17.0.16.10 Auditoria 19834, Constatação Nº 701469 (#1)</w:t>
      </w:r>
    </w:p>
    <w:p>
      <w:pPr>
        <w:pStyle w:val="937"/>
      </w:pPr>
      <w:r>
        <w:rPr>
          <w:b/>
          <w:bCs/>
        </w:rPr>
        <w:t xml:space="preserve">Finalidade</w:t>
      </w:r>
      <w:r>
        <w:t xml:space="preserve">: Realizar auditoria financeira e administrativa no Hospital de Cataguases/Sta Casa de Misericórdia</w:t>
      </w:r>
    </w:p>
    <w:p>
      <w:pPr>
        <w:pStyle w:val="937"/>
      </w:pPr>
      <w:r>
        <w:rPr>
          <w:b/>
          <w:bCs/>
        </w:rPr>
        <w:t xml:space="preserve">Constatação</w:t>
      </w:r>
      <w:r>
        <w:t xml:space="preserve">: Não existem auditorias clínicas periódicas realizadas pela Secretaria Municipal de Saúde (SMS) de Cataguases e nem auditorias internas no Hospital de Cataguases para avaliar a qualidade e eficiência dos serviços médicos no setor de hemodiálise e em outros serviços/especialidades do Hospital em tela.</w:t>
      </w:r>
    </w:p>
    <w:p>
      <w:pPr>
        <w:pStyle w:val="937"/>
      </w:pPr>
      <w:r>
        <w:rPr>
          <w:b/>
          <w:bCs/>
        </w:rPr>
        <w:t xml:space="preserve">Recomendação</w:t>
      </w:r>
      <w:r>
        <w:t xml:space="preserve">: Ao Hospital de Cataguases adotar ações gerenciais estruturadas para garantir a efetiva atuação do Núcleo Interno de Regulação (NIR), conforme protocolos clínicos e padrões éticos, de forma integrada com esta Secretaria Municipal de Saúde (SMS). Essa atuação conjunta visa qualificar o gerenciamento de leitos e fluxos de pacientes, assegurando maior segurança e efetividade no cuidado. Tal recomendação está alinhada à Portaria de Consolidação nº 2, de 28 de setembro de 2017, que institui a Política Nacional de Atenção Hospitalar (PNHOSP) e define o NIR como unidade técnico-administrativa responsável pela gestão de leitos, consultas, exames e articulação com a rede de atenção à saúde. Reforça-se, ainda, que essa portaria determina a implantação do NIR nos hospitais e estabelece que sua atuação deve se dar em interface com as Centrais de Regulação, pautada por protocolos preestabelecidos.</w:t>
      </w:r>
    </w:p>
    <w:p>
      <w:pPr>
        <w:pStyle w:val="937"/>
      </w:pPr>
      <w:r>
        <w:rPr>
          <w:b/>
          <w:bCs/>
        </w:rPr>
        <w:t xml:space="preserve">Análise Codificação</w:t>
      </w:r>
      <w:r>
        <w:t xml:space="preserve">: Em relação ao foco, a recomendação propõe a adoção de ações gerenciais estruturadas para garantir a efetiva atuação do Núcleo Interno de Regulação (NIR), o que visa tratar a causa do problema (ausência de auditorias clínicas periódicas e internas) ao estabelecer um mecanismo permanente de gestão e regulação baseado em protocolos. Já em relação aos efeitos pretendidos pela recomendação, a implementação do NIR com base em protocolos clínicos e padrões éticos cria uma estrutura organizacional que deve persistir independentemente de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identifica corretamente que a recomendação aborda a causa subjacente ao estabelecer um mecanismo permanente de gestão através do NIR, mas superestima a relação direta com a constatação específica sobre auditorias clínicas. Quanto aos efeitos duradouros, a avaliação é adequada considerando a natureza estrutural da recomendação.</w:t>
      </w:r>
    </w:p>
    <w:p>
      <w:pPr>
        <w:pStyle w:val="937"/>
      </w:pPr>
      <w:r>
        <w:t xml:space="preserve">Análise Foco Causa: Discordo</w:t>
      </w:r>
    </w:p>
    <w:p>
      <w:pPr>
        <w:pStyle w:val="937"/>
      </w:pPr>
      <w:r>
        <w:t xml:space="preserve">Análise Efeitos Duradouros: Concordo</w:t>
      </w:r>
    </w:p>
    <w:bookmarkEnd w:id="774"/>
    <w:bookmarkEnd w:id="775"/>
    <w:bookmarkStart w:id="786" w:name="X796d4b1be607b0ca9b03522a2c1cc8957e60c8f"/>
    <w:p>
      <w:pPr>
        <w:pStyle w:val="906"/>
      </w:pPr>
      <w:r>
        <w:t xml:space="preserve">17.0.17 Foco: Sim, Efeitos: Sim, Concordância Foco: Discordo, Concordância Efeitos: Não se aplica</w:t>
      </w:r>
    </w:p>
    <w:bookmarkStart w:id="776" w:name="auditoria-19378-constatação-nº-662383-1"/>
    <w:p>
      <w:pPr>
        <w:pStyle w:val="907"/>
      </w:pPr>
      <w:r>
        <w:t xml:space="preserve">17.0.17.1 Auditoria 19378, Constatação Nº 662383 (#1)</w:t>
      </w:r>
    </w:p>
    <w:p>
      <w:pPr>
        <w:pStyle w:val="937"/>
      </w:pPr>
      <w:r>
        <w:rPr>
          <w:b/>
          <w:bCs/>
        </w:rPr>
        <w:t xml:space="preserve">Finalidade</w:t>
      </w:r>
      <w:r>
        <w:t xml:space="preserve">: Apurar a regularidade da produção inserida nos sistemas do SUS com incremento nos tetos PAB e MAC</w:t>
      </w:r>
    </w:p>
    <w:p>
      <w:pPr>
        <w:pStyle w:val="937"/>
      </w:pPr>
      <w:r>
        <w:rPr>
          <w:b/>
          <w:bCs/>
        </w:rPr>
        <w:t xml:space="preserve">Constatação</w:t>
      </w:r>
      <w:r>
        <w:t xml:space="preserve">: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pPr>
        <w:pStyle w:val="937"/>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937"/>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Anual de Gestão) para operacionalizar de forma integrada e sistêmica o SUS. Esses instrumentos, quando adequadamente implementados, visam estruturar o processo de planejamento e gestão, abordando a causa subjacente da falta de informações sobre procedimentos de média e alta complexidade nos instrumentos de gestão, que é a ausência de um ciclo de planejamento efetivo. Já em relação aos efeitos pretendidos pela recomendação, a implementação desses instrumentos de planejamento cria um processo cíclico e institucionalizado de gestão, cujos efeitos (como a melhoria no registro e monitoramento das ações de saúde) tendem a permanecer independentemente de mudanças nos atores envolvidos, pois estão embasados em normativas e em uma estrutura de planejamento consolidada.</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p>
    <w:p>
      <w:pPr>
        <w:pStyle w:val="937"/>
      </w:pPr>
      <w:r>
        <w:t xml:space="preserve">Análise Foco Causa: Discordo</w:t>
      </w:r>
    </w:p>
    <w:p>
      <w:pPr>
        <w:pStyle w:val="937"/>
      </w:pPr>
      <w:r>
        <w:t xml:space="preserve">Análise Efeitos Duradouros: Não se aplica</w:t>
      </w:r>
    </w:p>
    <w:bookmarkEnd w:id="776"/>
    <w:bookmarkStart w:id="777" w:name="auditoria-19392-constatação-nº-664769-3"/>
    <w:p>
      <w:pPr>
        <w:pStyle w:val="907"/>
      </w:pPr>
      <w:r>
        <w:t xml:space="preserve">17.0.17.2 Auditoria 19392, Constatação Nº 664769 (#3)</w:t>
      </w:r>
    </w:p>
    <w:p>
      <w:pPr>
        <w:pStyle w:val="937"/>
      </w:pPr>
      <w:r>
        <w:rPr>
          <w:b/>
          <w:bCs/>
        </w:rPr>
        <w:t xml:space="preserve">Finalidade</w:t>
      </w:r>
      <w:r>
        <w:t xml:space="preserve">: Verificar regular utilização de DMIs em cirurgias cardíacas realizadas no Hosp. Reg. Hans D.</w:t>
      </w:r>
    </w:p>
    <w:p>
      <w:pPr>
        <w:pStyle w:val="937"/>
      </w:pPr>
      <w:r>
        <w:rPr>
          <w:b/>
          <w:bCs/>
        </w:rPr>
        <w:t xml:space="preserve">Constatação</w:t>
      </w:r>
      <w:r>
        <w:t xml:space="preserve">: Faturamento de OPME sem a comprovação de uso na AIH.</w:t>
      </w:r>
    </w:p>
    <w:p>
      <w:pPr>
        <w:pStyle w:val="937"/>
      </w:pPr>
      <w:r>
        <w:rPr>
          <w:b/>
          <w:bCs/>
        </w:rPr>
        <w:t xml:space="preserve">Recomendação</w:t>
      </w:r>
      <w:r>
        <w:t xml:space="preserve">: Solicitar ao Hospital Regional Hans Dieter Schmidt que confira o lançamento das Notas Fiscais utilizadas no prontuário do paciente no preenchimento de dados do SIH, em atendimento ao Manual Técnico Operacional do Sistema de Informação Hospitalar (versão 2017), Item 23.</w:t>
      </w:r>
    </w:p>
    <w:p>
      <w:pPr>
        <w:pStyle w:val="937"/>
      </w:pPr>
      <w:r>
        <w:rPr>
          <w:b/>
          <w:bCs/>
        </w:rPr>
        <w:t xml:space="preserve">Análise Codificação</w:t>
      </w:r>
      <w:r>
        <w:t xml:space="preserve">: Em relação ao foco, a recomendação propõe que o hospital confira o lançamento das Notas Fiscais no prontuário do paciente e no SIH, conforme o Manual Técnico Operacional. Esta ação visa estabelecer um processo de verificação contínua para garantir que o faturamento de OPME seja sempre acompanhado da comprovação de uso, abordando a causa do problema (falta de verificação sistemática) e não apenas corrigindo casos específicos. Quanto aos efeitos duradouros, a implementação desse processo de conferência, baseado em diretrizes técnicas, tende a persistir independentemente de mudanças nos atores envolvidos, pois se integra aos procedimentos operacionais do hospital.</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conferência pontual do lançamento de Notas Fiscais no prontuário e no SIH, o que parece mais uma correção imediata da condição encontrada (faturamento sem comprovação) do que uma ação que ataque a causa raiz, como a falta de processos sistemáticos ou falhas na capacitação. Quanto ao critério</w:t>
      </w:r>
      <w:r>
        <w:t xml:space="preserve"> </w:t>
      </w:r>
      <w:r>
        <w:t xml:space="preserve">‘Efeitos Duradouros’</w:t>
      </w:r>
      <w:r>
        <w:t xml:space="preserve">, como discordo do</w:t>
      </w:r>
      <w:r>
        <w:t xml:space="preserve"> </w:t>
      </w:r>
      <w:r>
        <w:t xml:space="preserve">‘Foco Causa’</w:t>
      </w:r>
      <w:r>
        <w:t xml:space="preserve">, a análise não se aplica plenamente, mas se considerada, a ação sugerida é específica e não garante mudanças duradouras independentemente de mudanças de pessoal.</w:t>
      </w:r>
    </w:p>
    <w:p>
      <w:pPr>
        <w:pStyle w:val="937"/>
      </w:pPr>
      <w:r>
        <w:t xml:space="preserve">Análise Foco Causa: Discordo</w:t>
      </w:r>
    </w:p>
    <w:p>
      <w:pPr>
        <w:pStyle w:val="937"/>
      </w:pPr>
      <w:r>
        <w:t xml:space="preserve">Análise Efeitos Duradouros: Não se aplica</w:t>
      </w:r>
    </w:p>
    <w:bookmarkEnd w:id="777"/>
    <w:bookmarkStart w:id="778" w:name="auditoria-19554-constatação-nº-673618-1"/>
    <w:p>
      <w:pPr>
        <w:pStyle w:val="907"/>
      </w:pPr>
      <w:r>
        <w:t xml:space="preserve">17.0.17.3 Auditoria 19554, Constatação Nº 673618 (#1)</w:t>
      </w:r>
    </w:p>
    <w:p>
      <w:pPr>
        <w:pStyle w:val="937"/>
      </w:pPr>
      <w:r>
        <w:rPr>
          <w:b/>
          <w:bCs/>
        </w:rPr>
        <w:t xml:space="preserve">Finalidade</w:t>
      </w:r>
      <w:r>
        <w:t xml:space="preserve">: Avaliar a atuação dos municípios através dos indicadores por desempenho do Programa Previne Brasil</w:t>
      </w:r>
    </w:p>
    <w:p>
      <w:pPr>
        <w:pStyle w:val="937"/>
      </w:pPr>
      <w:r>
        <w:rPr>
          <w:b/>
          <w:bCs/>
        </w:rPr>
        <w:t xml:space="preserve">Constatação</w:t>
      </w:r>
      <w:r>
        <w:t xml:space="preserve">: As informações dos profissionais que compõem as eSF, disponibilizadas pela SMS, divergem dos cadastros de profissionais extraídos do SCNES.</w:t>
      </w:r>
    </w:p>
    <w:p>
      <w:pPr>
        <w:pStyle w:val="937"/>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p>
    <w:p>
      <w:pPr>
        <w:pStyle w:val="937"/>
      </w:pPr>
      <w:r>
        <w:rPr>
          <w:b/>
          <w:bCs/>
        </w:rPr>
        <w:t xml:space="preserve">Análise Codificação</w:t>
      </w:r>
      <w:r>
        <w:t xml:space="preserve">: Em relação ao foco, a recomendação propõe uma ação de atualização mensal dos cadastros no SCNES, o que visa corrigir a divergência de informações identificada, tratando diretamente a causa do problema ao estabelecer um processo regular para manter a precisão dos dados, evitando que a condição de divergência volte a ocorrer. Já em relação aos efeitos pretendidos pela recomendação, a implementação de uma atualização mensal sistemática cria um procedimento contínuo que não depende de indivíduos específicos, garantindo que os efeitos de manter os dados atualizados persistam mesmo com mudanças nos atores envolvidos.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atualização mensal dos cadastros no SCNES, que visa estabelecer um processo regular para manter a precisão dos dados, o que pode ser interpretado como uma medida para evitar a recorrência da divergência. No entanto, essa ação não necessariamente trata a causa raiz do problema, que pode envolver falhas nos processos de cadastro inicial, falta de capacitação dos responsáveis ou inconsistências nos sistemas. Quanto ao critério</w:t>
      </w:r>
      <w:r>
        <w:t xml:space="preserve"> </w:t>
      </w:r>
      <w:r>
        <w:t xml:space="preserve">‘Efeitos Duradouros’</w:t>
      </w:r>
      <w:r>
        <w:t xml:space="preserve">, se a ação for considerada como focada na causa, a implementação de um procedimento contínuo e sistemático tende a ser independente de indivíduos específicos, o que poderia garantir efeitos duradouros.</w:t>
      </w:r>
    </w:p>
    <w:p>
      <w:pPr>
        <w:pStyle w:val="937"/>
      </w:pPr>
      <w:r>
        <w:t xml:space="preserve">Análise Foco Causa: Discordo</w:t>
      </w:r>
    </w:p>
    <w:p>
      <w:pPr>
        <w:pStyle w:val="937"/>
      </w:pPr>
      <w:r>
        <w:t xml:space="preserve">Análise Efeitos Duradouros: Não se aplica</w:t>
      </w:r>
    </w:p>
    <w:bookmarkEnd w:id="778"/>
    <w:bookmarkStart w:id="779" w:name="auditoria-19572-constatação-nº-676995-1"/>
    <w:p>
      <w:pPr>
        <w:pStyle w:val="907"/>
      </w:pPr>
      <w:r>
        <w:t xml:space="preserve">17.0.17.4 Auditoria 19572, Constatação Nº 676995 (#1)</w:t>
      </w:r>
    </w:p>
    <w:p>
      <w:pPr>
        <w:pStyle w:val="937"/>
      </w:pPr>
      <w:r>
        <w:rPr>
          <w:b/>
          <w:bCs/>
        </w:rPr>
        <w:t xml:space="preserve">Finalidade</w:t>
      </w:r>
      <w:r>
        <w:t xml:space="preserve">: Verificar a implementação da Política Nac. de Atenção ao Portador de Doença Renal.</w:t>
      </w:r>
    </w:p>
    <w:p>
      <w:pPr>
        <w:pStyle w:val="937"/>
      </w:pPr>
      <w:r>
        <w:rPr>
          <w:b/>
          <w:bCs/>
        </w:rPr>
        <w:t xml:space="preserve">Constatação</w:t>
      </w:r>
      <w:r>
        <w:t xml:space="preserve">: Os mecanismos de controle, avaliação e autorização dos procedimentos de serviços de atenção ao portador de DRC não estão de acordo com as normas.</w:t>
      </w:r>
    </w:p>
    <w:p>
      <w:pPr>
        <w:pStyle w:val="937"/>
      </w:pPr>
      <w:r>
        <w:rPr>
          <w:b/>
          <w:bCs/>
        </w:rPr>
        <w:t xml:space="preserve">Recomendação</w:t>
      </w:r>
      <w:r>
        <w:t xml:space="preserve">: Regular, controlar e avaliar os serviços que prestam atenção à saúde às pessoas com DRC de acordo com os incisos I (avaliação da estrutura e da equipe), II (avaliação da compatibilidade entre o número de casos esperado e o de casos atendidos e faturados), III (Avaliação da qualidade do serviço prestado) do Artigo 87 da Seção VII do Capítulo III, da Portaria PRC nº 03 de 28/09/2017 (alterada pela PT GM/MS n° 1.675 de 07/06/2018).</w:t>
      </w:r>
    </w:p>
    <w:p>
      <w:pPr>
        <w:pStyle w:val="937"/>
      </w:pPr>
      <w:r>
        <w:rPr>
          <w:b/>
          <w:bCs/>
        </w:rPr>
        <w:t xml:space="preserve">Análise Codificação</w:t>
      </w:r>
      <w:r>
        <w:t xml:space="preserve">: A recomendação propõe a implementação de um sistema estruturado de controle e avaliação baseado em critérios normativos específicos, incluindo avaliação da estrutura, equipe, compatibilidade de casos e qualidade do serviço. Essas ações visam estabelecer processos permanentes de supervisão que tratam as causas subjacentes da falta de conformidade, como a ausência de mecanismos sistemáticos de avaliação. Quanto aos efeitos duradouros, a implementação desses mecanismos institucionalizados de controle e avaliação criaria estruturas e processos que persistiriam independentemente de mudanças na equipe ou gestores envolvidos.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p>
    <w:p>
      <w:pPr>
        <w:pStyle w:val="937"/>
      </w:pPr>
      <w:r>
        <w:t xml:space="preserve">Análise Foco Causa: Discordo</w:t>
      </w:r>
    </w:p>
    <w:p>
      <w:pPr>
        <w:pStyle w:val="937"/>
      </w:pPr>
      <w:r>
        <w:t xml:space="preserve">Análise Efeitos Duradouros: Não se aplica</w:t>
      </w:r>
    </w:p>
    <w:bookmarkEnd w:id="779"/>
    <w:bookmarkStart w:id="780" w:name="auditoria-19612-constatação-nº-674982-1"/>
    <w:p>
      <w:pPr>
        <w:pStyle w:val="907"/>
      </w:pPr>
      <w:r>
        <w:t xml:space="preserve">17.0.17.5 Auditoria 19612, Constatação Nº 674982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aos documentos de suporte e relatórios mensais de acompanhamento dos Eixos de Saneamento Ambiental e Edificações de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Análise Codificação</w:t>
      </w:r>
      <w:r>
        <w:t xml:space="preserve">: Em relação ao foco, a recomendação propõe uma ação de conferência da documentação comprobatória no sistema Transferegov para evitar a manutenção de informações incorretas, o que visa tratar a causa do problema (informações incorretas no sistema) e não apenas corrigir as impropriedades já existentes. Já em relação aos efeitos pretendidos pela recomendação, a ação de conferência estabelece um procedimento que, se implementado, pode persistir independentemente de mudanças nos atores envolvidos, pois cria um mecanismo de verificação contínua no sistema.</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crítica considera a adequação da classificação fornecida pelo modelo para os critérios</w:t>
      </w:r>
      <w:r>
        <w:t xml:space="preserve"> </w:t>
      </w:r>
      <w:r>
        <w:t xml:space="preserve">‘Foco Causa’</w:t>
      </w:r>
      <w:r>
        <w:t xml:space="preserve"> </w:t>
      </w:r>
      <w:r>
        <w:t xml:space="preserve">e</w:t>
      </w:r>
      <w:r>
        <w:t xml:space="preserve"> </w:t>
      </w:r>
      <w:r>
        <w:t xml:space="preserve">‘Efeitos Duradouros’</w:t>
      </w:r>
      <w:r>
        <w:t xml:space="preserve">, com base na descrição da finalidade da auditoria, constatação e recomendação.</w:t>
      </w:r>
    </w:p>
    <w:p>
      <w:pPr>
        <w:pStyle w:val="937"/>
      </w:pPr>
      <w:r>
        <w:t xml:space="preserve">Análise Foco Causa: Discordo</w:t>
      </w:r>
    </w:p>
    <w:p>
      <w:pPr>
        <w:pStyle w:val="937"/>
      </w:pPr>
      <w:r>
        <w:t xml:space="preserve">Análise Efeitos Duradouros: Não se aplica</w:t>
      </w:r>
    </w:p>
    <w:bookmarkEnd w:id="780"/>
    <w:bookmarkStart w:id="781" w:name="auditoria-19751-constatação-nº-691354-1"/>
    <w:p>
      <w:pPr>
        <w:pStyle w:val="907"/>
      </w:pPr>
      <w:r>
        <w:t xml:space="preserve">17.0.17.6 Auditoria 19751, Constatação Nº 691354 (#1)</w:t>
      </w:r>
    </w:p>
    <w:p>
      <w:pPr>
        <w:pStyle w:val="937"/>
      </w:pPr>
      <w:r>
        <w:rPr>
          <w:b/>
          <w:bCs/>
        </w:rPr>
        <w:t xml:space="preserve">Finalidade</w:t>
      </w:r>
      <w:r>
        <w:t xml:space="preserve">: Verificar se a CMRF possui controles internos capazes de assegurar adequadamente a Cadeia de Frio.</w:t>
      </w:r>
    </w:p>
    <w:p>
      <w:pPr>
        <w:pStyle w:val="937"/>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p>
    <w:p>
      <w:pPr>
        <w:pStyle w:val="937"/>
      </w:pPr>
      <w:r>
        <w:rPr>
          <w:b/>
          <w:bCs/>
        </w:rPr>
        <w:t xml:space="preserve">Recomendação</w:t>
      </w:r>
      <w:r>
        <w:t xml:space="preserve">: Implementar um programa de treinamento abrangente para as equipes, com foco nos procedimentos de resposta a falhas elétricas, desastres naturais e outras situações que possam comprometer a Cadeia de Frio. Isso deve seguir as diretrizes do Subitem 7.3, Item 7, pág. 78, do Manual de Rede Frio do PNI de 2017, bem como o Art. 80, Seção IX, da Resolução de Diretoria Colegiada (RDC) Nº 430, de 08/10/2020. A efetividade do Plano de Contingência, aliado a treinamentos adequados e oportunos, previne interrupções nos serviços de vacinação, preservando a imagem e credibilidade da Central, além de mitigar riscos legais, regulatórios e garantir conformidade com normas estabelecidas.</w:t>
      </w:r>
    </w:p>
    <w:p>
      <w:pPr>
        <w:pStyle w:val="937"/>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afetam a Cadeia de Frio. Isso aborda a causa subjacente do problema, que é a falta de capacitação e preparo dos funcionários para lidar com situações de contingência, em vez de apenas corrigir a condição imediata (ausência do plano). Já em relação aos efeitos pretendidos pela recomendação, o treinamento visa estabelecer conhecimentos e procedimentos padronizados que, uma vez implementados, devem permanecer efetivos mesmo com mudanças na equipe, desde que o programa seja mantido e atualizado conforme necessário.</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p>
    <w:p>
      <w:pPr>
        <w:pStyle w:val="937"/>
      </w:pPr>
      <w:r>
        <w:t xml:space="preserve">Análise Foco Causa: Discordo</w:t>
      </w:r>
    </w:p>
    <w:p>
      <w:pPr>
        <w:pStyle w:val="937"/>
      </w:pPr>
      <w:r>
        <w:t xml:space="preserve">Análise Efeitos Duradouros: Não se aplica</w:t>
      </w:r>
    </w:p>
    <w:bookmarkEnd w:id="781"/>
    <w:bookmarkStart w:id="782" w:name="auditoria-19805-constatação-nº-693810-1"/>
    <w:p>
      <w:pPr>
        <w:pStyle w:val="907"/>
      </w:pPr>
      <w:r>
        <w:t xml:space="preserve">17.0.17.7 Auditoria 19805, Constatação Nº 693810 (#1)</w:t>
      </w:r>
    </w:p>
    <w:p>
      <w:pPr>
        <w:pStyle w:val="937"/>
      </w:pPr>
      <w:r>
        <w:rPr>
          <w:b/>
          <w:bCs/>
        </w:rPr>
        <w:t xml:space="preserve">Finalidade</w:t>
      </w:r>
      <w:r>
        <w:t xml:space="preserve">: Verificar se a At. Primária exerce as atribuições de coordenadora da Rede de Atenção Psicossocial</w:t>
      </w:r>
    </w:p>
    <w:p>
      <w:pPr>
        <w:pStyle w:val="937"/>
      </w:pPr>
      <w:r>
        <w:rPr>
          <w:b/>
          <w:bCs/>
        </w:rPr>
        <w:t xml:space="preserve">Constatação</w:t>
      </w:r>
      <w:r>
        <w:t xml:space="preserve">: Os atendimentos em saúde mental não estão sendo registrados de forma detalhada e atualizada pelas UBSs visitadas.</w:t>
      </w:r>
    </w:p>
    <w:p>
      <w:pPr>
        <w:pStyle w:val="937"/>
      </w:pPr>
      <w:r>
        <w:rPr>
          <w:b/>
          <w:bCs/>
        </w:rPr>
        <w:t xml:space="preserve">Recomendação</w:t>
      </w:r>
      <w:r>
        <w:t xml:space="preserve">: À SMS, promover a qualificação dos registros atendimentos em saúde mental nos Prontuários Eletrônicos do Cidadão (PEC), tendo como referência as necessidades explicitadas nos Guias para Qualificação da APS (PEC), bem como a Portaria de Consolidação GM/MS nº 2, de 28/09/2017, Anexo 1 do Anexo XXII, Capítulo I, Item 4.1, incisos X e XV, que estabelece como atribuições comuns a todos os membros das Equipes que atuam na Atenção Básica utilizar o Sistema de Informação da Atenção Básica vigente para registro das ações de saúde na AB, visando subsidiar a gestão, planejamento, investigação clínica e epidemiológica, e a avaliação dos serviços de saúde.</w:t>
      </w:r>
    </w:p>
    <w:p>
      <w:pPr>
        <w:pStyle w:val="937"/>
      </w:pPr>
      <w:r>
        <w:rPr>
          <w:b/>
          <w:bCs/>
        </w:rPr>
        <w:t xml:space="preserve">Análise Codificação</w:t>
      </w:r>
      <w:r>
        <w:t xml:space="preserve">: Em relação ao foco, a recomendação propõe a qualificação dos registros de atendimentos em saúde mental, o que visa melhorar a qualidade e precisão dos dados, abordando a causa raiz da falta de detalhamento e atualização, em vez de apenas corrigir registros existentes. Já em relação aos efeitos pretendidos pela recomendação, a ação de qualificação, baseada em guias e portarias, estabelece procedimentos padronizados que devem persistir independentemente de mudanças nos profissionais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 qualificação dos registros, o que pode ser interpretado como uma ação que visa melhorar a qualidade dos processos de registro, potencialmente abordando a causa do problema (falta de capacitação ou procedimentos inadequados). No entanto, não está claro se essa ação trata diretamente da causa raiz, como a falta de treinamento ou recursos, ou se é apenas uma medida para corrigir a condição atual. Para o critério</w:t>
      </w:r>
      <w:r>
        <w:t xml:space="preserve"> </w:t>
      </w:r>
      <w:r>
        <w:t xml:space="preserve">‘Efeitos Duradouros’</w:t>
      </w:r>
      <w:r>
        <w:t xml:space="preserve">, se</w:t>
      </w:r>
      <w:r>
        <w:t xml:space="preserve"> </w:t>
      </w:r>
      <w:r>
        <w:t xml:space="preserve">‘Foco Causa’</w:t>
      </w:r>
      <w:r>
        <w:t xml:space="preserve"> </w:t>
      </w:r>
      <w:r>
        <w:t xml:space="preserve">for considerado</w:t>
      </w:r>
      <w:r>
        <w:t xml:space="preserve"> </w:t>
      </w:r>
      <w:r>
        <w:t xml:space="preserve">‘Sim’</w:t>
      </w:r>
      <w:r>
        <w:t xml:space="preserve">, a padronização baseada em guias e portarias pode promover efeitos duradouros, mas a implementação depende de fatores como adesão contínua e supervisão.</w:t>
      </w:r>
    </w:p>
    <w:p>
      <w:pPr>
        <w:pStyle w:val="937"/>
      </w:pPr>
      <w:r>
        <w:t xml:space="preserve">Análise Foco Causa: Discordo</w:t>
      </w:r>
    </w:p>
    <w:p>
      <w:pPr>
        <w:pStyle w:val="937"/>
      </w:pPr>
      <w:r>
        <w:t xml:space="preserve">Análise Efeitos Duradouros: Não se aplica</w:t>
      </w:r>
    </w:p>
    <w:bookmarkEnd w:id="782"/>
    <w:bookmarkStart w:id="783" w:name="auditoria-19805-constatação-nº-694104-1"/>
    <w:p>
      <w:pPr>
        <w:pStyle w:val="907"/>
      </w:pPr>
      <w:r>
        <w:t xml:space="preserve">17.0.17.8 Auditoria 19805, Constatação Nº 694104 (#1)</w:t>
      </w:r>
    </w:p>
    <w:p>
      <w:pPr>
        <w:pStyle w:val="937"/>
      </w:pPr>
      <w:r>
        <w:rPr>
          <w:b/>
          <w:bCs/>
        </w:rPr>
        <w:t xml:space="preserve">Finalidade</w:t>
      </w:r>
      <w:r>
        <w:t xml:space="preserve">: Verificar se a At. Primária exerce as atribuições de coordenadora da Rede de Atenção Psicossocial</w:t>
      </w:r>
    </w:p>
    <w:p>
      <w:pPr>
        <w:pStyle w:val="937"/>
      </w:pPr>
      <w:r>
        <w:rPr>
          <w:b/>
          <w:bCs/>
        </w:rPr>
        <w:t xml:space="preserve">Constatação</w:t>
      </w:r>
      <w:r>
        <w:t xml:space="preserve">: As equipes avaliadas não realizam acompanhamento dos familiares de usuários com transtorno mental e uso abusivo de álcool e drogas.</w:t>
      </w:r>
    </w:p>
    <w:p>
      <w:pPr>
        <w:pStyle w:val="937"/>
      </w:pPr>
      <w:r>
        <w:rPr>
          <w:b/>
          <w:bCs/>
        </w:rPr>
        <w:t xml:space="preserve">Recomendação</w:t>
      </w:r>
      <w:r>
        <w:t xml:space="preserve">: À SMS, criar e implementar ações específicas voltadas para o apoio e acompanhamento de familiares de usuários com transtornos mentais, bem como promover capacitação contínua na temática para as equipes da Estratégia de Saúde da Família (eSF) e Equipes Multiprofissionais (eMulti) de modo a se ajustar à Portaria de Consolidação nº 2, de 28/09/2017, Anexo 1 do Anexo XXII, Item 4.1, inciso VIII.</w:t>
      </w:r>
    </w:p>
    <w:p>
      <w:pPr>
        <w:pStyle w:val="937"/>
      </w:pPr>
      <w:r>
        <w:rPr>
          <w:b/>
          <w:bCs/>
        </w:rPr>
        <w:t xml:space="preserve">Análise Codificação</w:t>
      </w:r>
      <w:r>
        <w:t xml:space="preserve">: Em relação ao foco, a recomendação propõe a criação e implementação de ações específicas para apoio e acompanhamento de familiares, além de capacitação contínua das equipes, o que visa abordar a causa raiz da falta de acompanhamento, como a ausência de diretrizes estruturadas e treinamento adequado, caracterizando um foco na causa. Já em relação aos efeitos pretendidos pela recomendação, as ações sugeridas, como a criação de políticas e capacitação contínua, são institucionalizadas e não dependem de indivíduos específicos, promovendo mudanças duradouras mesmo com a rotatividade de profissionais.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p>
    <w:p>
      <w:pPr>
        <w:pStyle w:val="937"/>
      </w:pPr>
      <w:r>
        <w:t xml:space="preserve">Análise Foco Causa: Discordo</w:t>
      </w:r>
    </w:p>
    <w:p>
      <w:pPr>
        <w:pStyle w:val="937"/>
      </w:pPr>
      <w:r>
        <w:t xml:space="preserve">Análise Efeitos Duradouros: Não se aplica</w:t>
      </w:r>
    </w:p>
    <w:bookmarkEnd w:id="783"/>
    <w:bookmarkStart w:id="784" w:name="auditoria-19826-constatação-nº-694768-1"/>
    <w:p>
      <w:pPr>
        <w:pStyle w:val="907"/>
      </w:pPr>
      <w:r>
        <w:t xml:space="preserve">17.0.17.9 Auditoria 19826, Constatação Nº 694768 (#1)</w:t>
      </w:r>
    </w:p>
    <w:p>
      <w:pPr>
        <w:pStyle w:val="937"/>
      </w:pPr>
      <w:r>
        <w:rPr>
          <w:b/>
          <w:bCs/>
        </w:rPr>
        <w:t xml:space="preserve">Finalidade</w:t>
      </w:r>
      <w:r>
        <w:t xml:space="preserve">: Verificar a regularidade da produção inserida nos sistemas do SUS.</w:t>
      </w:r>
    </w:p>
    <w:p>
      <w:pPr>
        <w:pStyle w:val="937"/>
      </w:pPr>
      <w:r>
        <w:rPr>
          <w:b/>
          <w:bCs/>
        </w:rPr>
        <w:t xml:space="preserve">Constatação</w:t>
      </w:r>
      <w:r>
        <w:t xml:space="preserve">: A Secretaria Municipal de Saúde de Auriflama inseriu dados no Sistema de Informações Ambulatoriais - SIA/SUS, referentes ao procedimento</w:t>
      </w:r>
      <w:r>
        <w:t xml:space="preserve"> </w:t>
      </w:r>
      <w:r>
        <w:t xml:space="preserve">“Unidade de Remuneração para Deslocamento de Paciente por Transporte Terrestre (cada 50 km) - TFD”</w:t>
      </w:r>
      <w:r>
        <w:t xml:space="preserve"> </w:t>
      </w:r>
      <w:r>
        <w:t xml:space="preserve">(Código Sigtap 08.03.01.012-5), no exercício de 2022, sem comprovar a realização dos procedimentos.</w:t>
      </w:r>
    </w:p>
    <w:p>
      <w:pPr>
        <w:pStyle w:val="937"/>
      </w:pPr>
      <w:r>
        <w:rPr>
          <w:b/>
          <w:bCs/>
        </w:rPr>
        <w:t xml:space="preserve">Recomendação</w:t>
      </w:r>
      <w:r>
        <w:t xml:space="preserve">: Cumprir o que estabelecem os artigos 145 e 146 da Portaria SAES/MS nº 01 de 22/02/2022, que diz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estabelecido no Manual de Operação do Sistema SIA - Sistema de Informação Ambulatorial do SUS/2016, que determina ao gestor municipal e estadual o controle e avaliação da produção ambulatorial processada e enviada para o gestor federal.</w:t>
      </w:r>
    </w:p>
    <w:p>
      <w:pPr>
        <w:pStyle w:val="937"/>
      </w:pPr>
      <w:r>
        <w:rPr>
          <w:b/>
          <w:bCs/>
        </w:rPr>
        <w:t xml:space="preserve">Análise Codificação</w:t>
      </w:r>
      <w:r>
        <w:t xml:space="preserve">: Em relação ao foco, a recomendação propõe o cumprimento de normas específicas (artigos 145 e 146 da Portaria SAES/MS nº 01/2022 e Manual de Operação do SIA) que estabelecem a organização, disponibilização e controle da documentação comprobatória, o que visa tratar a causa do problema (falta de comprovação sistemática) ao instituir processos permanentes de controle. Já em relação aos efeitos pretendidos pela recomendação, a implementação dessas normas cria estruturas e procedimentos formais que devem persistir independentemente de mudanças nos atores envolvidos, pois estão institucionalizados através de portarias e manuais operacionais.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da codificação apresenta argumentos consistentes sobre o cumprimento de normas para tratar a causa subjacente e garantir efeitos duradouros, mas requer uma avaliação mais detalhada da recomendação específica em relação aos critérios estabelecidos.</w:t>
      </w:r>
    </w:p>
    <w:p>
      <w:pPr>
        <w:pStyle w:val="937"/>
      </w:pPr>
      <w:r>
        <w:t xml:space="preserve">Análise Foco Causa: Discordo</w:t>
      </w:r>
    </w:p>
    <w:p>
      <w:pPr>
        <w:pStyle w:val="937"/>
      </w:pPr>
      <w:r>
        <w:t xml:space="preserve">Análise Efeitos Duradouros: Não se aplica</w:t>
      </w:r>
    </w:p>
    <w:bookmarkEnd w:id="784"/>
    <w:bookmarkStart w:id="785" w:name="auditoria-19871-constatação-nº-703485-1"/>
    <w:p>
      <w:pPr>
        <w:pStyle w:val="907"/>
      </w:pPr>
      <w:r>
        <w:t xml:space="preserve">17.0.17.10 Auditoria 19871, Constatação Nº 703485 (#1)</w:t>
      </w:r>
    </w:p>
    <w:p>
      <w:pPr>
        <w:pStyle w:val="937"/>
      </w:pPr>
      <w:r>
        <w:rPr>
          <w:b/>
          <w:bCs/>
        </w:rPr>
        <w:t xml:space="preserve">Finalidade</w:t>
      </w:r>
      <w:r>
        <w:t xml:space="preserve">: Verificar a regularidade do tratamento em oncologia do EAS vinculado ao SUS</w:t>
      </w:r>
    </w:p>
    <w:p>
      <w:pPr>
        <w:pStyle w:val="937"/>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p>
    <w:p>
      <w:pPr>
        <w:pStyle w:val="937"/>
      </w:pPr>
      <w:r>
        <w:rPr>
          <w:b/>
          <w:bCs/>
        </w:rPr>
        <w:t xml:space="preserve">Recomendação</w:t>
      </w:r>
      <w:r>
        <w:t xml:space="preserve">: Acompanhar, fiscalizar, supervisionar e auditar as ações descritas no contrato firmado com o prestador, principalmente no que se refere à adequada codificação do CID, conforme as orientações do Manual Técnico Operacional do SIH (versão 2017, p. 88), que estabelece que</w:t>
      </w:r>
      <w:r>
        <w:t xml:space="preserve"> </w:t>
      </w:r>
      <w:r>
        <w:t xml:space="preserve">“o CID terá que ser compatível com a principal patologia referente ao procedimento informado na primeira linha de realizados”</w:t>
      </w:r>
      <w:r>
        <w:t xml:space="preserve">.</w:t>
      </w:r>
    </w:p>
    <w:p>
      <w:pPr>
        <w:pStyle w:val="937"/>
      </w:pPr>
      <w:r>
        <w:rPr>
          <w:b/>
          <w:bCs/>
        </w:rPr>
        <w:t xml:space="preserve">Análise Codificação</w:t>
      </w:r>
      <w:r>
        <w:t xml:space="preserve">: Em relação ao foco, a recomendação propõe ações de acompanhamento, fiscalização, supervisão e auditoria para garantir a adequada codificação do CID, o que visa prevenir a reincidência da incompatibilidade entre procedimento e CID, tratando assim a causa do problema relacionada à falta de controle e conformidade. Já em relação aos efeitos pretendidos pela recomendação, as ações sugeridas, como a implementação de processos de fiscalização e auditoria contínuos, tendem a criar estruturas e procedimentos que permanecem efetivos mesmo com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crítica considera se a classificação do modelo está correta para ambos os critérios, com base nas definições fornecidas. Para o critério</w:t>
      </w:r>
      <w:r>
        <w:t xml:space="preserve"> </w:t>
      </w:r>
      <w:r>
        <w:t xml:space="preserve">‘Foco Causa’</w:t>
      </w:r>
      <w:r>
        <w:t xml:space="preserve">, a recomendação deve propor ações que tratem da causa do problema, não apenas da condição. Para</w:t>
      </w:r>
      <w:r>
        <w:t xml:space="preserve"> </w:t>
      </w:r>
      <w:r>
        <w:t xml:space="preserve">‘Efeitos Duradouros’</w:t>
      </w:r>
      <w:r>
        <w:t xml:space="preserve">, aplica-se apenas se</w:t>
      </w:r>
      <w:r>
        <w:t xml:space="preserve"> </w:t>
      </w:r>
      <w:r>
        <w:t xml:space="preserve">‘Foco Causa’</w:t>
      </w:r>
      <w:r>
        <w:t xml:space="preserve"> </w:t>
      </w:r>
      <w:r>
        <w:t xml:space="preserve">for</w:t>
      </w:r>
      <w:r>
        <w:t xml:space="preserve"> </w:t>
      </w:r>
      <w:r>
        <w:t xml:space="preserve">‘Sim’</w:t>
      </w:r>
      <w:r>
        <w:t xml:space="preserve">, avaliando se os efeitos persistem com mudanças nos atores.</w:t>
      </w:r>
    </w:p>
    <w:p>
      <w:pPr>
        <w:pStyle w:val="937"/>
      </w:pPr>
      <w:r>
        <w:t xml:space="preserve">Análise Foco Causa: Discordo</w:t>
      </w:r>
    </w:p>
    <w:p>
      <w:pPr>
        <w:pStyle w:val="937"/>
      </w:pPr>
      <w:r>
        <w:t xml:space="preserve">Análise Efeitos Duradouros: Não se aplica</w:t>
      </w:r>
    </w:p>
    <w:bookmarkEnd w:id="785"/>
    <w:bookmarkEnd w:id="786"/>
    <w:bookmarkStart w:id="797" w:name="X656067991e90995e6dfaacddb7a51eae7b33bfb"/>
    <w:p>
      <w:pPr>
        <w:pStyle w:val="906"/>
      </w:pPr>
      <w:r>
        <w:t xml:space="preserve">17.0.18 Foco: Sim, Efeitos: Sim, Concordância Foco: Discordo, Concordância Efeitos: Discordo</w:t>
      </w:r>
    </w:p>
    <w:bookmarkStart w:id="787" w:name="auditoria-19488-constatação-nº-673841-2"/>
    <w:p>
      <w:pPr>
        <w:pStyle w:val="907"/>
      </w:pPr>
      <w:r>
        <w:t xml:space="preserve">17.0.18.1 Auditoria 19488, Constatação Nº 673841 (#2)</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p>
    <w:p>
      <w:pPr>
        <w:pStyle w:val="937"/>
      </w:pPr>
      <w:r>
        <w:rPr>
          <w:b/>
          <w:bCs/>
        </w:rPr>
        <w:t xml:space="preserve">Recomendação</w:t>
      </w:r>
      <w:r>
        <w:t xml:space="preserve">: À SES/PB para realizar uma revisão detalhada de suas obrigações legais com relação ao custeio do SAMU 192, de forma a garantir que esteja cumprindo integralmente os repasses financeiros no Art. 938, Parágrafo único, Seção IV, Capítulo II, Título VIII, Livro II, Anexo III da Portaria de Consolidação nº 6, de 28/09/2017; À SES/PB para realinhar os valores de contrapartida financeira para o custeio do SAMU 192 no Município de Piancó/PB, garantindo o repasse de no mínimo 25% da Despesa; À SES/PB para assegurar que existam mecanismos de controle e fiscalização efetivos para garantir que os repasses estejam sendo feitos regularmente e no valor correto.</w:t>
      </w:r>
    </w:p>
    <w:p>
      <w:pPr>
        <w:pStyle w:val="937"/>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insuficientes. Já em relação aos efeitos pretendidos pela recomendação, os mecanismos de controle e fiscalização propostos têm efeitos duradouros, pois permanecem funcionais mesmo com mudanças nos atores envolvidos, assegurando a continuidade dos repasses adequados.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aborda tanto ações corretivas imediatas quanto preventivas, mas a análise do modelo parece ter considerado apenas as ações preventivas. Quanto ao critério</w:t>
      </w:r>
      <w:r>
        <w:t xml:space="preserve"> </w:t>
      </w:r>
      <w:r>
        <w:t xml:space="preserve">‘Efeitos Duradouros’</w:t>
      </w:r>
      <w:r>
        <w:t xml:space="preserve">, a análise do modelo pode ter superestimado a durabilidade dos efeitos, pois a implementação de mecanismos de controle depende de fatores como adesão contínua e recursos, que podem variar com mudanças na gestão.</w:t>
      </w:r>
    </w:p>
    <w:p>
      <w:pPr>
        <w:pStyle w:val="937"/>
      </w:pPr>
      <w:r>
        <w:t xml:space="preserve">Análise Foco Causa: Discordo</w:t>
      </w:r>
    </w:p>
    <w:p>
      <w:pPr>
        <w:pStyle w:val="937"/>
      </w:pPr>
      <w:r>
        <w:t xml:space="preserve">Análise Efeitos Duradouros: Discordo</w:t>
      </w:r>
    </w:p>
    <w:bookmarkEnd w:id="787"/>
    <w:bookmarkStart w:id="788" w:name="auditoria-19554-constatação-nº-673265-1"/>
    <w:p>
      <w:pPr>
        <w:pStyle w:val="907"/>
      </w:pPr>
      <w:r>
        <w:t xml:space="preserve">17.0.18.2 Auditoria 19554, Constatação Nº 673265 (#1)</w:t>
      </w:r>
    </w:p>
    <w:p>
      <w:pPr>
        <w:pStyle w:val="937"/>
      </w:pPr>
      <w:r>
        <w:rPr>
          <w:b/>
          <w:bCs/>
        </w:rPr>
        <w:t xml:space="preserve">Finalidade</w:t>
      </w:r>
      <w:r>
        <w:t xml:space="preserve">: Avaliar a atuação dos municípios através dos indicadores por desempenho do Programa Previne Brasil</w:t>
      </w:r>
    </w:p>
    <w:p>
      <w:pPr>
        <w:pStyle w:val="937"/>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p>
    <w:p>
      <w:pPr>
        <w:pStyle w:val="937"/>
      </w:pPr>
      <w:r>
        <w:rPr>
          <w:b/>
          <w:bCs/>
        </w:rPr>
        <w:t xml:space="preserve">Recomendação</w:t>
      </w:r>
      <w:r>
        <w:t xml:space="preserve">: Garantir acesso ao apoio diagnóstico e laboratorial necessário ao cuidado resolutivo da população, conforme responsabilidade estabelecida no inciso XVI do art. 10 do Anexo XXII da PRC GM/MS n.º 2/2017 Realizar o monitoramento regular das gestantes reduzindo eventuais regras de acesso ao procedimento a fim de estimular a pessoa a utilizar o serviço, conforme está recomendado no subitem 5.1 da Nota Técnica n.º 14/2022- SAPS/MS</w:t>
      </w:r>
    </w:p>
    <w:p>
      <w:pPr>
        <w:pStyle w:val="937"/>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 ação aborda a causa subjacente de falta de infraestrutura ou recursos, enquanto a segunda foca na causa de gestantes não utilizarem os serviços devido a dificuldades de acesso. Ambas visam prevenir a reocorrência da condição de ausência de testes, caracterizando foco na causa. Quanto aos efeitos duradouros, as ações sugeridas, como garantir acesso e monitoramento contínuo, são projetadas para persistir independentemente de mudanças nos atores envolvidos, pois envolvem estruturas e processos institucionais.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análise original identifica corretamente que a recomendação aborda causas subjacentes, como falta de infraestrutura e barreiras de acesso, mas a classificação como</w:t>
      </w:r>
      <w:r>
        <w:t xml:space="preserve"> </w:t>
      </w:r>
      <w:r>
        <w:t xml:space="preserve">‘Sim’</w:t>
      </w:r>
      <w:r>
        <w:t xml:space="preserve"> </w:t>
      </w:r>
      <w:r>
        <w:t xml:space="preserve">pode ser questionada, pois as ações são genéricas e não especificam medidas diretas para tratar a causa raiz (ex.: por que os testes não estão sendo realizados?). Para</w:t>
      </w:r>
      <w:r>
        <w:t xml:space="preserve"> </w:t>
      </w:r>
      <w:r>
        <w:t xml:space="preserve">‘Efeitos Duradouros’</w:t>
      </w:r>
      <w:r>
        <w:t xml:space="preserve">, a análise assume que as ações são institucionais, mas a recomendação carece de detalhes sobre implementação sustentável, tornando a afirmação de durabilidade prematura.</w:t>
      </w:r>
    </w:p>
    <w:p>
      <w:pPr>
        <w:pStyle w:val="937"/>
      </w:pPr>
      <w:r>
        <w:t xml:space="preserve">Análise Foco Causa: Discordo</w:t>
      </w:r>
    </w:p>
    <w:p>
      <w:pPr>
        <w:pStyle w:val="937"/>
      </w:pPr>
      <w:r>
        <w:t xml:space="preserve">Análise Efeitos Duradouros: Discordo</w:t>
      </w:r>
    </w:p>
    <w:bookmarkEnd w:id="788"/>
    <w:bookmarkStart w:id="789" w:name="auditoria-19565-constatação-nº-679602-1"/>
    <w:p>
      <w:pPr>
        <w:pStyle w:val="907"/>
      </w:pPr>
      <w:r>
        <w:t xml:space="preserve">17.0.18.3 Auditoria 19565, Constatação Nº 679602 (#1)</w:t>
      </w:r>
    </w:p>
    <w:p>
      <w:pPr>
        <w:pStyle w:val="937"/>
      </w:pPr>
      <w:r>
        <w:rPr>
          <w:b/>
          <w:bCs/>
        </w:rPr>
        <w:t xml:space="preserve">Finalidade</w:t>
      </w:r>
      <w:r>
        <w:t xml:space="preserve">: Verificar a gestão e o funcionamento do serviço de Atendimento Móvel de Urgência (SAMU 192).</w:t>
      </w:r>
    </w:p>
    <w:p>
      <w:pPr>
        <w:pStyle w:val="937"/>
      </w:pPr>
      <w:r>
        <w:rPr>
          <w:b/>
          <w:bCs/>
        </w:rPr>
        <w:t xml:space="preserve">Constatação</w:t>
      </w:r>
      <w:r>
        <w:t xml:space="preserve">: A padronização visual dos veículos do SAMU Teresina inspecionados pela equipe não está em conformidade com as diretrizes estabelecidas pelo Ministério da Saúde (MS).</w:t>
      </w:r>
    </w:p>
    <w:p>
      <w:pPr>
        <w:pStyle w:val="937"/>
      </w:pPr>
      <w:r>
        <w:rPr>
          <w:b/>
          <w:bCs/>
        </w:rPr>
        <w:t xml:space="preserve">Recomendação</w:t>
      </w:r>
      <w:r>
        <w:t xml:space="preserve">: Adotar medidas concretas para assegurar a adesão estrita às diretrizes de design visual delineadas no Manual da Marca do Serviço de Atendimento Móvel de Urgência SAMU 192 Versão 1.2/abril 2012, o qual tem por objetivo ordenar e padronizar os elementos visuais que identificam o serviço, incluindo padrões e regras de aplicação da marca.</w:t>
      </w:r>
    </w:p>
    <w:p>
      <w:pPr>
        <w:pStyle w:val="937"/>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padronização inadequada. Em relação aos efeitos duradouros, as medidas sugeridas, como a implementação de padrões de marca, tendem a permanecer efetivas mesmo com mudanças nos atores envolvidos, pois se baseiam em diretrizes documentadas e institucionalizadas.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diretrizes. No entanto, a recomendação é genérica (</w:t>
      </w:r>
      <w:r>
        <w:t xml:space="preserve">‘adotar medidas concretas’</w:t>
      </w:r>
      <w:r>
        <w:t xml:space="preserve">) e não especifica ações que ataquem diretamente a causa raiz, como falhas nos processos de aquisição, aplicação ou fiscalização da identidade visual, o que pode limitar sua efetividade.</w:t>
      </w:r>
    </w:p>
    <w:p>
      <w:pPr>
        <w:pStyle w:val="937"/>
      </w:pPr>
      <w:r>
        <w:t xml:space="preserve">Análise Foco Causa: Discordo</w:t>
      </w:r>
    </w:p>
    <w:p>
      <w:pPr>
        <w:pStyle w:val="937"/>
      </w:pPr>
      <w:r>
        <w:t xml:space="preserve">Análise Efeitos Duradouros: Discordo</w:t>
      </w:r>
    </w:p>
    <w:bookmarkEnd w:id="789"/>
    <w:bookmarkStart w:id="790" w:name="auditoria-19598-constatação-nº-676754-1"/>
    <w:p>
      <w:pPr>
        <w:pStyle w:val="907"/>
      </w:pPr>
      <w:r>
        <w:t xml:space="preserve">17.0.18.4 Auditoria 19598, Constatação Nº 676754 (#1)</w:t>
      </w:r>
    </w:p>
    <w:p>
      <w:pPr>
        <w:pStyle w:val="937"/>
      </w:pPr>
      <w:r>
        <w:rPr>
          <w:b/>
          <w:bCs/>
        </w:rPr>
        <w:t xml:space="preserve">Finalidade</w:t>
      </w:r>
      <w:r>
        <w:t xml:space="preserve">: Averiguar a prestação do serviço da Central de Regulação do Serviço Móvel de Urgência do Estado/RS.</w:t>
      </w:r>
    </w:p>
    <w:p>
      <w:pPr>
        <w:pStyle w:val="937"/>
      </w:pPr>
      <w:r>
        <w:rPr>
          <w:b/>
          <w:bCs/>
        </w:rPr>
        <w:t xml:space="preserve">Constatação</w:t>
      </w:r>
      <w:r>
        <w:t xml:space="preserve">: Espelhos pontos dos profissionais que atuam no SAMU 192 apontam inconsistências.</w:t>
      </w:r>
    </w:p>
    <w:p>
      <w:pPr>
        <w:pStyle w:val="937"/>
      </w:pPr>
      <w:r>
        <w:rPr>
          <w:b/>
          <w:bCs/>
        </w:rPr>
        <w:t xml:space="preserve">Recomendação</w:t>
      </w:r>
      <w:r>
        <w:t xml:space="preserve">: Manter e atualizar, na Central Estadual de Regulação das Urgências, os pontos digitais dos servidores com o correto local de atuação para que a partir do ponto digital seja possível identificar adequadamente a carga horária prevista e a realizada por cada um dos profissionais, conforme as escalas e a necessidade do serviço.</w:t>
      </w:r>
    </w:p>
    <w:p>
      <w:pPr>
        <w:pStyle w:val="937"/>
      </w:pPr>
      <w:r>
        <w:rPr>
          <w:b/>
          <w:bCs/>
        </w:rPr>
        <w:t xml:space="preserve">Análise Codificação</w:t>
      </w:r>
      <w:r>
        <w:t xml:space="preserve">: Em relação ao foco, a recomendação propõe a manutenção e atualização dos pontos digitais dos servidores com o correto local de atuação, o que visa tratar a causa do problema (inconsistências nos registros de ponto) ao estabelecer um processo contínuo de correção e atualização. Já em relação aos efeitos pretendidos pela recomendação, a implementação de um sistema de registro digital preciso e atualizado cria uma estrutura que permanece funcional independentemente de mudanças nos profissionais envolvidos, garantindo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para corrigir a condição imediata (inconsistências nos registros de ponto) por meio da manutenção e atualização dos pontos digitais, mas não aborda explicitamente as causas subjacentes que geram essas inconsistências, como falhas nos processos de registro, falta de treinamento ou deficiências no sistema. Quanto ao critério</w:t>
      </w:r>
      <w:r>
        <w:t xml:space="preserve"> </w:t>
      </w:r>
      <w:r>
        <w:t xml:space="preserve">‘Efeitos Duradouros’</w:t>
      </w:r>
      <w:r>
        <w:t xml:space="preserve">, a análise pressupõe que a estrutura permanecerá funcional com mudanças de pessoal, mas a recomendação não especifica mecanismos institucionais ou sistêmicos que garantam essa durabilidade, dependendo de ações contínuas de atualização.</w:t>
      </w:r>
    </w:p>
    <w:p>
      <w:pPr>
        <w:pStyle w:val="937"/>
      </w:pPr>
      <w:r>
        <w:t xml:space="preserve">Análise Foco Causa: Discordo</w:t>
      </w:r>
    </w:p>
    <w:p>
      <w:pPr>
        <w:pStyle w:val="937"/>
      </w:pPr>
      <w:r>
        <w:t xml:space="preserve">Análise Efeitos Duradouros: Discordo</w:t>
      </w:r>
    </w:p>
    <w:bookmarkEnd w:id="790"/>
    <w:bookmarkStart w:id="791" w:name="Xc284e7338dbc2edbd20b8ae4938faa915be5a32"/>
    <w:p>
      <w:pPr>
        <w:pStyle w:val="907"/>
      </w:pPr>
      <w:r>
        <w:t xml:space="preserve">17.0.18.5 Auditoria 19614, Constatação Nº 676605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Impropriedades relacionadas ao acompanhamento mensal do Eixo de Atenção à Saúde Indígena.</w:t>
      </w:r>
    </w:p>
    <w:p>
      <w:pPr>
        <w:pStyle w:val="937"/>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937"/>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estabelecer um processo contínuo de verificação. Já em relação aos efeitos pretendidos pela recomendação, a ação sugerida visa criar um procedimento sistemático que deve persistir independentemente de mudanças nos atores envolvidos, promovendo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uma ação de conferência da documentação no sistema Transferegov para evitar a manutenção de informações incorretas, o que pode ser interpretado como uma medida para tratar a causa do problema de acompanhamento inadequado, ao estabelecer um processo contínuo de verificação. No entanto, essa ação parece mais focada em corrigir e prevenir a condição imediata (informações incorretas no sistema) do que em abordar a causa raiz subjacente, como falhas nos processos de inserção de dados ou capacitação inadequada. Para o critério</w:t>
      </w:r>
      <w:r>
        <w:t xml:space="preserve"> </w:t>
      </w:r>
      <w:r>
        <w:t xml:space="preserve">‘Efeitos Duradouros’</w:t>
      </w:r>
      <w:r>
        <w:t xml:space="preserve">, se a ação for implementada como um procedimento sistemático, ela poderia persistir independentemente de mudanças nos atores, mas isso depende da institucionalização do processo.</w:t>
      </w:r>
    </w:p>
    <w:p>
      <w:pPr>
        <w:pStyle w:val="937"/>
      </w:pPr>
      <w:r>
        <w:t xml:space="preserve">Análise Foco Causa: Discordo</w:t>
      </w:r>
    </w:p>
    <w:p>
      <w:pPr>
        <w:pStyle w:val="937"/>
      </w:pPr>
      <w:r>
        <w:t xml:space="preserve">Análise Efeitos Duradouros: Discordo</w:t>
      </w:r>
    </w:p>
    <w:bookmarkEnd w:id="791"/>
    <w:bookmarkStart w:id="792" w:name="auditoria-19616-constatação-nº-676203-1"/>
    <w:p>
      <w:pPr>
        <w:pStyle w:val="907"/>
      </w:pPr>
      <w:r>
        <w:t xml:space="preserve">17.0.18.6 Auditoria 19616, Constatação Nº 676203 (#1)</w:t>
      </w:r>
    </w:p>
    <w:p>
      <w:pPr>
        <w:pStyle w:val="937"/>
      </w:pPr>
      <w:r>
        <w:rPr>
          <w:b/>
          <w:bCs/>
        </w:rPr>
        <w:t xml:space="preserve">Finalidade</w:t>
      </w:r>
      <w:r>
        <w:t xml:space="preserve">: Avaliar a execução dos convênios firmados com organizações sociais no âmbito da Saúde Indígena</w:t>
      </w:r>
    </w:p>
    <w:p>
      <w:pPr>
        <w:pStyle w:val="937"/>
      </w:pPr>
      <w:r>
        <w:rPr>
          <w:b/>
          <w:bCs/>
        </w:rPr>
        <w:t xml:space="preserve">Constatação</w:t>
      </w:r>
      <w:r>
        <w:t xml:space="preserve">: Existência de vínculo societário entre empresas que participaram do mesmo procedimento de cotação de preço.</w:t>
      </w:r>
    </w:p>
    <w:p>
      <w:pPr>
        <w:pStyle w:val="937"/>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937"/>
      </w:pPr>
      <w:r>
        <w:rPr>
          <w:b/>
          <w:bCs/>
        </w:rPr>
        <w:t xml:space="preserve">Análise Codificação</w:t>
      </w:r>
      <w:r>
        <w:t xml:space="preserve">: A recomendação propõe notificar a convenente para apresentação de justificativas sobre o vínculo societário constatado, o que se caracteriza como uma ação para investigar e compreender as razões subjacentes ao problema, tratando assim da causa da condição encontrada. Quanto aos efeitos duradouros, a ação de notificação e exigência de justificativas visa estabelecer um procedimento que pode ser aplicado futuramente, independentemente de mudanças nos atores envolvidos, promovendo uma mudança processual duradoura.</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se limita a solicitar justificativas sobre uma situação já constatada, sem propor ações para tratar a causa subjacente que permitiu a existência do vínculo societário irregular. Quanto ao critério</w:t>
      </w:r>
      <w:r>
        <w:t xml:space="preserve"> </w:t>
      </w:r>
      <w:r>
        <w:t xml:space="preserve">‘Efeitos Duradouros’</w:t>
      </w:r>
      <w:r>
        <w:t xml:space="preserve">, como o</w:t>
      </w:r>
      <w:r>
        <w:t xml:space="preserve"> </w:t>
      </w:r>
      <w:r>
        <w:t xml:space="preserve">‘Foco Causa’</w:t>
      </w:r>
      <w:r>
        <w:t xml:space="preserve"> </w:t>
      </w:r>
      <w:r>
        <w:t xml:space="preserve">não se aplica adequadamente, a análise de efeitos duradouros também não se sustenta.</w:t>
      </w:r>
    </w:p>
    <w:p>
      <w:pPr>
        <w:pStyle w:val="937"/>
      </w:pPr>
      <w:r>
        <w:t xml:space="preserve">Análise Foco Causa: Discordo</w:t>
      </w:r>
    </w:p>
    <w:p>
      <w:pPr>
        <w:pStyle w:val="937"/>
      </w:pPr>
      <w:r>
        <w:t xml:space="preserve">Análise Efeitos Duradouros: Discordo</w:t>
      </w:r>
    </w:p>
    <w:bookmarkEnd w:id="792"/>
    <w:bookmarkStart w:id="793" w:name="auditoria-19680-constatação-nº-684842-1"/>
    <w:p>
      <w:pPr>
        <w:pStyle w:val="907"/>
      </w:pPr>
      <w:r>
        <w:t xml:space="preserve">17.0.18.7 Auditoria 19680, Constatação Nº 684842 (#1)</w:t>
      </w:r>
    </w:p>
    <w:p>
      <w:pPr>
        <w:pStyle w:val="937"/>
      </w:pPr>
      <w:r>
        <w:rPr>
          <w:b/>
          <w:bCs/>
        </w:rPr>
        <w:t xml:space="preserve">Finalidade</w:t>
      </w:r>
      <w:r>
        <w:t xml:space="preserve">: Avaliar a atuação do município auditado através dos indicadores de desempenho PREVINE Brasil</w:t>
      </w:r>
    </w:p>
    <w:p>
      <w:pPr>
        <w:pStyle w:val="937"/>
      </w:pPr>
      <w:r>
        <w:rPr>
          <w:b/>
          <w:bCs/>
        </w:rPr>
        <w:t xml:space="preserve">Constatação</w:t>
      </w:r>
      <w:r>
        <w:t xml:space="preserve">: Os instrumentos de gestão (PMS 2022-2025, PAS 2022 e RAG 2022) não apresentam informações quantitativas (recursos financeiros) e qualitativas (ações, metas e o impacto social dos resultados obtidos) referentes aos indicadores de desempenho do Programa Previne Brasil, em sua totalidade.</w:t>
      </w:r>
    </w:p>
    <w:p>
      <w:pPr>
        <w:pStyle w:val="937"/>
      </w:pPr>
      <w:r>
        <w:rPr>
          <w:b/>
          <w:bCs/>
        </w:rPr>
        <w:t xml:space="preserve">Recomendação</w:t>
      </w:r>
      <w:r>
        <w:t xml:space="preserve">: Seguir o estabelecido na alínea</w:t>
      </w:r>
      <w:r>
        <w:t xml:space="preserve"> </w:t>
      </w:r>
      <w:r>
        <w:rPr>
          <w:rStyle w:val="949"/>
        </w:rPr>
        <w:t xml:space="preserve">e</w:t>
      </w:r>
      <w:r>
        <w:t xml:space="preserve"> </w:t>
      </w:r>
      <w:r>
        <w:t xml:space="preserve">do inciso I, e inciso II, do § 3º, do art. 96, e art. 97, ambos da Portaria de Consolidação GM/MS Nº 1/2017, de modo que os instrumentos de gestão (PMS, PAS e RAG) contenham informações quantitativas (recursos financeiros) e qualitativas (ações, metas e o impacto social dos resultados obtidos), referentes aos programas de ações em saúde pública executados pelo Município.</w:t>
      </w:r>
    </w:p>
    <w:p>
      <w:pPr>
        <w:pStyle w:val="937"/>
      </w:pPr>
      <w:r>
        <w:rPr>
          <w:b/>
          <w:bCs/>
        </w:rPr>
        <w:t xml:space="preserve">Análise Codificação</w:t>
      </w:r>
      <w:r>
        <w:t xml:space="preserve">: Em relação ao foco, a recomendação propõe que os instrumentos de gestão (PMS, PAS e RAG) passem a conter informações quantitativas e qualitativas sobre os programas de saúde pública, o que visa tratar a causa da ausência dessas informações nos documentos. Já em relação aos efeitos pretendidos pela recomendação, a implementação de diretrizes normativas para inclusão sistemática dessas informações nos instrumentos de gestão tende a criar um processo estruturado que permanece independente de mudanças nos atores envolvidos, garantindo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se limita a citar o cumprimento de dispositivos normativos sem propor ações específicas para tratar a causa subjacente da ausência de informações nos instrumentos de gestão. Quanto ao critério</w:t>
      </w:r>
      <w:r>
        <w:t xml:space="preserve"> </w:t>
      </w:r>
      <w:r>
        <w:t xml:space="preserve">‘Efeitos Duradouros’</w:t>
      </w:r>
      <w:r>
        <w:t xml:space="preserve">, a análise pressupõe que a mera referência a normas criará um processo estruturado, mas a recomendação não estabelece mecanismos concretos para garantir sua sustentabilidade.</w:t>
      </w:r>
    </w:p>
    <w:p>
      <w:pPr>
        <w:pStyle w:val="937"/>
      </w:pPr>
      <w:r>
        <w:t xml:space="preserve">Análise Foco Causa: Discordo</w:t>
      </w:r>
    </w:p>
    <w:p>
      <w:pPr>
        <w:pStyle w:val="937"/>
      </w:pPr>
      <w:r>
        <w:t xml:space="preserve">Análise Efeitos Duradouros: Discordo</w:t>
      </w:r>
    </w:p>
    <w:bookmarkEnd w:id="793"/>
    <w:bookmarkStart w:id="794" w:name="auditoria-19680-constatação-nº-685155-1"/>
    <w:p>
      <w:pPr>
        <w:pStyle w:val="907"/>
      </w:pPr>
      <w:r>
        <w:t xml:space="preserve">17.0.18.8 Auditoria 19680, Constatação Nº 685155 (#1)</w:t>
      </w:r>
    </w:p>
    <w:p>
      <w:pPr>
        <w:pStyle w:val="937"/>
      </w:pPr>
      <w:r>
        <w:rPr>
          <w:b/>
          <w:bCs/>
        </w:rPr>
        <w:t xml:space="preserve">Finalidade</w:t>
      </w:r>
      <w:r>
        <w:t xml:space="preserve">: Avaliar a atuação do município auditado através dos indicadores de desempenho PREVINE Brasil</w:t>
      </w:r>
    </w:p>
    <w:p>
      <w:pPr>
        <w:pStyle w:val="937"/>
      </w:pPr>
      <w:r>
        <w:rPr>
          <w:b/>
          <w:bCs/>
        </w:rPr>
        <w:t xml:space="preserve">Constatação</w:t>
      </w:r>
      <w:r>
        <w:t xml:space="preserve">: O Município não comprovou ter adotado ações propostas na Nota Técnica Nº 13/2022-SAPS/MS, como forma de atingir a meta para o indicador 1 - Proporção de gestantes com pelo menos 6 (seis) consultas pré-natal realizadas, sendo a primeira até a 12ª semana de gestação.</w:t>
      </w:r>
    </w:p>
    <w:p>
      <w:pPr>
        <w:pStyle w:val="937"/>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p>
    <w:p>
      <w:pPr>
        <w:pStyle w:val="937"/>
      </w:pPr>
      <w:r>
        <w:rPr>
          <w:b/>
          <w:bCs/>
        </w:rPr>
        <w:t xml:space="preserve">Análise Codificação</w:t>
      </w:r>
      <w:r>
        <w:t xml:space="preserve">: Em relação ao foco, a recomendação propõe a adoção de ações de saúde pública específicas para melhorar a proporção de gestantes com consultas pré-natal adequadas, o que sugere um tratamento da causa subjacente à baixa cobertura, como possíveis falhas na organização do serviço ou na captação precoce de gestantes. Já em relação aos efeitos pretendidos pela recomendação, a implementação dessas ações tende a criar processos estruturados que podem perdurar independentemente de mudanças nos profissionais envolvidos, indicando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se limita a sugerir a adoção de ações já previstas em nota técnica, sem especificar quais seriam essas ações ou como elas abordariam diretamente as causas identificadas da não comprovação, como falta de capacitação, recursos ou processos. Quanto ao critério</w:t>
      </w:r>
      <w:r>
        <w:t xml:space="preserve"> </w:t>
      </w:r>
      <w:r>
        <w:t xml:space="preserve">‘Efeitos Duradouros’</w:t>
      </w:r>
      <w:r>
        <w:t xml:space="preserve">, a suposição de que a implementação criará processos estruturados é especulativa, pois a recomendação não detalha mecanismos que garantam a sustentabilidade independente de mudanças de pessoal.</w:t>
      </w:r>
    </w:p>
    <w:p>
      <w:pPr>
        <w:pStyle w:val="937"/>
      </w:pPr>
      <w:r>
        <w:t xml:space="preserve">Análise Foco Causa: Discordo</w:t>
      </w:r>
    </w:p>
    <w:p>
      <w:pPr>
        <w:pStyle w:val="937"/>
      </w:pPr>
      <w:r>
        <w:t xml:space="preserve">Análise Efeitos Duradouros: Discordo</w:t>
      </w:r>
    </w:p>
    <w:bookmarkEnd w:id="794"/>
    <w:bookmarkStart w:id="795" w:name="auditoria-19699-constatação-nº-687382-1"/>
    <w:p>
      <w:pPr>
        <w:pStyle w:val="907"/>
      </w:pPr>
      <w:r>
        <w:t xml:space="preserve">17.0.18.9 Auditoria 19699, Constatação Nº 687382 (#1)</w:t>
      </w:r>
    </w:p>
    <w:p>
      <w:pPr>
        <w:pStyle w:val="937"/>
      </w:pPr>
      <w:r>
        <w:rPr>
          <w:b/>
          <w:bCs/>
        </w:rPr>
        <w:t xml:space="preserve">Finalidade</w:t>
      </w:r>
      <w:r>
        <w:t xml:space="preserve">: Verificar a implementação do PNCH quanto a efetiva prest. de serviços de at. integral à hanseníase</w:t>
      </w:r>
    </w:p>
    <w:p>
      <w:pPr>
        <w:pStyle w:val="937"/>
      </w:pPr>
      <w:r>
        <w:rPr>
          <w:b/>
          <w:bCs/>
        </w:rPr>
        <w:t xml:space="preserve">Constatação</w:t>
      </w:r>
      <w:r>
        <w:t xml:space="preserve">: A Secretaria de Estado da Saúde do Maranhão não realiza o acompanhamento, o controle e a avaliação dos serviços de atenção integral em hanseníase tipos II e III do Maranhão.</w:t>
      </w:r>
    </w:p>
    <w:p>
      <w:pPr>
        <w:pStyle w:val="937"/>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p>
    <w:p>
      <w:pPr>
        <w:pStyle w:val="937"/>
      </w:pPr>
      <w:r>
        <w:rPr>
          <w:b/>
          <w:bCs/>
        </w:rPr>
        <w:t xml:space="preserve">Análise Codificação</w:t>
      </w:r>
      <w:r>
        <w:t xml:space="preserve">: Em relação ao foco, a recomendação propõe ações de acompanhamento, controle e avaliação dos serviços, que visam estabelecer um processo contínuo de monitoramento para prevenir a reocorrência da condição de falta de acompanhamento, caracterizando um foco na causa. Já em relação aos efeitos pretendidos pela recomendação, a implementação de um sistema estruturado de acompanhamento, controle e avaliação tende a criar mecanismos permanentes que independem de atores específicos, promovendo efeitos duradouros mesmo com mudanças de pessoal.</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propõe ações de acompanhamento, controle e avaliação, que podem ser interpretadas como medidas para prevenir a reocorrência da condição, mas não abordam explicitamente a causa raiz do problema, como falta de recursos, capacitação ou estrutura. Quanto ao critério</w:t>
      </w:r>
      <w:r>
        <w:t xml:space="preserve"> </w:t>
      </w:r>
      <w:r>
        <w:t xml:space="preserve">‘Efeitos Duradouros’</w:t>
      </w:r>
      <w:r>
        <w:t xml:space="preserve">, a análise assume que a implementação criará mecanismos permanentes, mas a recomendação é genérica e não especifica se esses mecanismos serão institucionalizados de forma independente de atores.</w:t>
      </w:r>
    </w:p>
    <w:p>
      <w:pPr>
        <w:pStyle w:val="937"/>
      </w:pPr>
      <w:r>
        <w:t xml:space="preserve">Análise Foco Causa: Discordo</w:t>
      </w:r>
    </w:p>
    <w:p>
      <w:pPr>
        <w:pStyle w:val="937"/>
      </w:pPr>
      <w:r>
        <w:t xml:space="preserve">Análise Efeitos Duradouros: Discordo</w:t>
      </w:r>
    </w:p>
    <w:bookmarkEnd w:id="795"/>
    <w:bookmarkStart w:id="796" w:name="auditoria-19852-constatação-nº-703392-1"/>
    <w:p>
      <w:pPr>
        <w:pStyle w:val="907"/>
      </w:pPr>
      <w:r>
        <w:t xml:space="preserve">17.0.18.10 Auditoria 19852, Constatação Nº 703392 (#1)</w:t>
      </w:r>
    </w:p>
    <w:p>
      <w:pPr>
        <w:pStyle w:val="937"/>
      </w:pPr>
      <w:r>
        <w:rPr>
          <w:b/>
          <w:bCs/>
        </w:rPr>
        <w:t xml:space="preserve">Finalidade</w:t>
      </w:r>
      <w:r>
        <w:t xml:space="preserve">: Verificar a gestão e o gerenciamento dos Centros de Referência em Saúde do Trabalhador - CERESTs</w:t>
      </w:r>
    </w:p>
    <w:p>
      <w:pPr>
        <w:pStyle w:val="937"/>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p>
    <w:p>
      <w:pPr>
        <w:pStyle w:val="937"/>
      </w:pPr>
      <w:r>
        <w:rPr>
          <w:b/>
          <w:bCs/>
        </w:rPr>
        <w:t xml:space="preserve">Recomendação</w:t>
      </w:r>
      <w:r>
        <w:t xml:space="preserve">: 1. Subsidiar tecnicamente nas ações de promoção, prevenção, vigilância, diagnóstico, tratamento e reabilitação em saúde dos trabalhadores urbanos e rurais, conforme previsto no art. 20, Capítulo II, Anexo X da Portaria de Consolidação MS/GM nº 3/2017, de 28/9/2017; 2. Cumprir os procedimentos previstos na habilitação, conforme previsto no art. 22, Capítulo II, Anexo X da Portaria de Consolidação MS/GM nº 3/2017, de 28/9/2017.</w:t>
      </w:r>
    </w:p>
    <w:p>
      <w:pPr>
        <w:pStyle w:val="937"/>
      </w:pPr>
      <w:r>
        <w:rPr>
          <w:b/>
          <w:bCs/>
        </w:rPr>
        <w:t xml:space="preserve">Análise Codificação</w:t>
      </w:r>
      <w:r>
        <w:t xml:space="preserve">: Em relação ao foco, a recomendação propõe ações para subsidiar tecnicamente as atividades de saúde do trabalhador e cumprir procedimentos de habilitação, o que aborda diretamente as causas da não conformidade e falta de comprovação de atuação, sendo, portanto, focada na causa. Já em relação aos efeitos pretendidos pela recomendação, as ações sugeridas, como o cumprimento de procedimentos normativos, tendem a estabelecer práticas institucionais que podem persistir independentemente de mudanças nos atores envolvidos, indicando efeitos duradouros.</w:t>
      </w:r>
    </w:p>
    <w:p>
      <w:pPr>
        <w:pStyle w:val="937"/>
      </w:pPr>
      <w:r>
        <w:t xml:space="preserve">Foco Causa: Sim</w:t>
      </w:r>
    </w:p>
    <w:p>
      <w:pPr>
        <w:pStyle w:val="937"/>
      </w:pPr>
      <w:r>
        <w:t xml:space="preserve">Efeitos Duradouros: Sim</w:t>
      </w:r>
    </w:p>
    <w:p>
      <w:pPr>
        <w:pStyle w:val="937"/>
      </w:pPr>
      <w:r>
        <w:rPr>
          <w:b/>
          <w:bCs/>
        </w:rPr>
        <w:t xml:space="preserve">Análise Crítica</w:t>
      </w:r>
      <w:r>
        <w:t xml:space="preserve">: Em relação ao critério</w:t>
      </w:r>
      <w:r>
        <w:t xml:space="preserve"> </w:t>
      </w:r>
      <w:r>
        <w:t xml:space="preserve">‘Foco Causa’</w:t>
      </w:r>
      <w:r>
        <w:t xml:space="preserve">, a recomendação não propõe ações específicas para tratar as causas subjacentes da não conformidade e falta de comprovação de atuação, limitando-se a citar normas existentes sem indicar medidas corretivas concretas. Quanto ao critério</w:t>
      </w:r>
      <w:r>
        <w:t xml:space="preserve"> </w:t>
      </w:r>
      <w:r>
        <w:t xml:space="preserve">‘Efeitos Duradouros’</w:t>
      </w:r>
      <w:r>
        <w:t xml:space="preserve">, como o</w:t>
      </w:r>
      <w:r>
        <w:t xml:space="preserve"> </w:t>
      </w:r>
      <w:r>
        <w:t xml:space="preserve">‘Foco Causa’</w:t>
      </w:r>
      <w:r>
        <w:t xml:space="preserve"> </w:t>
      </w:r>
      <w:r>
        <w:t xml:space="preserve">não é adequadamente atendido, a análise sobre efeitos duradouros não se aplica de forma válida.</w:t>
      </w:r>
    </w:p>
    <w:p>
      <w:pPr>
        <w:pStyle w:val="937"/>
      </w:pPr>
      <w:r>
        <w:t xml:space="preserve">Análise Foco Causa: Discordo</w:t>
      </w:r>
    </w:p>
    <w:p>
      <w:pPr>
        <w:pStyle w:val="937"/>
      </w:pPr>
      <w:r>
        <w:t xml:space="preserve">Análise Efeitos Duradouros: Discordo</w:t>
      </w:r>
    </w:p>
    <w:p>
      <w:r>
        <w:br w:type="page"/>
      </w:r>
    </w:p>
    <w:bookmarkEnd w:id="796"/>
    <w:bookmarkEnd w:id="797"/>
    <w:bookmarkEnd w:id="798"/>
    <w:bookmarkStart w:id="843" w:name="X727361474c23f964ac0043df6ef9720f9559c11"/>
    <w:p>
      <w:pPr>
        <w:pStyle w:val="904"/>
      </w:pPr>
      <w:r>
        <w:t xml:space="preserve">18. Apêndice L — Categorização das discordâncias em efeitos duradouros</w:t>
      </w:r>
    </w:p>
    <w:bookmarkStart w:id="842" w:name="objetivo-e-desenho-da-etapa"/>
    <w:p>
      <w:pPr>
        <w:pStyle w:val="905"/>
      </w:pPr>
      <w:r>
        <w:t xml:space="preserve">18.1 Objetivo e desenho da etapa</w:t>
      </w:r>
    </w:p>
    <w:p>
      <w:pPr>
        <w:pStyle w:val="917"/>
      </w:pPr>
      <w:r>
        <w:t xml:space="preserve">Esta terceira rodada amplia a codificação exploratória das divergências</w:t>
      </w:r>
      <w:r>
        <w:t xml:space="preserve"> </w:t>
      </w:r>
      <w:r>
        <w:t xml:space="preserve">relacionadas ao critério “Efeitos Duradouros”. O corpus é construído a</w:t>
      </w:r>
      <w:r>
        <w:t xml:space="preserve"> </w:t>
      </w:r>
      <w:r>
        <w:t xml:space="preserve">partir dos resultados históricos da codificação e da análise crítica. As</w:t>
      </w:r>
      <w:r>
        <w:t xml:space="preserve"> </w:t>
      </w:r>
      <w:r>
        <w:t xml:space="preserve">categorias identificadas nas rodadas anteriores são informadas ao modelo</w:t>
      </w:r>
      <w:r>
        <w:t xml:space="preserve"> </w:t>
      </w:r>
      <w:r>
        <w:t xml:space="preserve">como taxonomia de referência, mas o modelo pode propor novas categorias</w:t>
      </w:r>
      <w:r>
        <w:t xml:space="preserve"> </w:t>
      </w:r>
      <w:r>
        <w:t xml:space="preserve">quando nenhuma das existentes for adequada.</w:t>
      </w:r>
    </w:p>
    <w:p>
      <w:pPr>
        <w:pStyle w:val="916"/>
      </w:pPr>
      <w:r>
        <w:t xml:space="preserve">De acordo com a regra adotada na dissertação, uma ocorrência é</w:t>
      </w:r>
      <w:r>
        <w:t xml:space="preserve"> </w:t>
      </w:r>
      <w:r>
        <w:t xml:space="preserve">considerada divergente quanto aos efeitos quando a análise crítica não</w:t>
      </w:r>
      <w:r>
        <w:t xml:space="preserve"> </w:t>
      </w:r>
      <w:r>
        <w:t xml:space="preserve">registra</w:t>
      </w:r>
      <w:r>
        <w:t xml:space="preserve"> </w:t>
      </w:r>
      <w:r>
        <w:rPr>
          <w:rStyle w:val="949"/>
        </w:rPr>
        <w:t xml:space="preserve">Concordo</w:t>
      </w:r>
      <w:r>
        <w:t xml:space="preserve">. Essa regra inclui respostas</w:t>
      </w:r>
      <w:r>
        <w:t xml:space="preserve"> </w:t>
      </w:r>
      <w:r>
        <w:rPr>
          <w:rStyle w:val="949"/>
        </w:rPr>
        <w:t xml:space="preserve">Não se aplica</w:t>
      </w:r>
      <w:r>
        <w:t xml:space="preserve">, pois a</w:t>
      </w:r>
      <w:r>
        <w:t xml:space="preserve"> </w:t>
      </w:r>
      <w:r>
        <w:t xml:space="preserve">avaliação dos efeitos depende logicamente do resultado atribuído ao</w:t>
      </w:r>
      <w:r>
        <w:t xml:space="preserve"> </w:t>
      </w:r>
      <w:r>
        <w:t xml:space="preserve">critério “Foco Causa”.</w:t>
      </w:r>
    </w:p>
    <w:p>
      <w:pPr>
        <w:pStyle w:val="916"/>
      </w:pPr>
      <w:r>
        <w:t xml:space="preserve">O sorteio é feito diretamente sobre as recomendações divergentes. Cada</w:t>
      </w:r>
      <w:r>
        <w:t xml:space="preserve"> </w:t>
      </w:r>
      <w:r>
        <w:t xml:space="preserve">recomendação constitui uma unidade de análise independente, ainda que</w:t>
      </w:r>
      <w:r>
        <w:t xml:space="preserve"> </w:t>
      </w:r>
      <w:r>
        <w:t xml:space="preserve">duas ou mais possam eventualmente pertencer à mesma constatação. Para</w:t>
      </w:r>
      <w:r>
        <w:t xml:space="preserve"> </w:t>
      </w:r>
      <w:r>
        <w:t xml:space="preserve">garantir que esta rodada contenha 50 recomendações adicionais sem</w:t>
      </w:r>
      <w:r>
        <w:t xml:space="preserve"> </w:t>
      </w:r>
      <w:r>
        <w:t xml:space="preserve">sobreposição com a primeira, a ordem aleatória reprodutível é gerada</w:t>
      </w:r>
      <w:r>
        <w:t xml:space="preserve"> </w:t>
      </w:r>
      <w:r>
        <w:t xml:space="preserve">para 100 recomendações e a segunda faixa de 50 é utilizada. As</w:t>
      </w:r>
      <w:r>
        <w:t xml:space="preserve"> </w:t>
      </w:r>
      <w:r>
        <w:t xml:space="preserve">recomendações são enviadas em uma única chamada.</w:t>
      </w:r>
    </w:p>
    <w:p>
      <w:pPr>
        <w:pStyle w:val="916"/>
      </w:pPr>
      <w:r>
        <w:t xml:space="preserve">dataset_consolidado &lt;- read_rds(</w:t>
      </w:r>
      <w:r>
        <w:t xml:space="preserve">“./Dados</w:t>
      </w:r>
      <w:r>
        <w:t xml:space="preserve"> </w:t>
      </w:r>
      <w:r>
        <w:t xml:space="preserve">Gerados/dataset_consolidado.rds”</w:t>
      </w:r>
      <w:r>
        <w:t xml:space="preserve">)</w:t>
      </w:r>
    </w:p>
    <w:p>
      <w:pPr>
        <w:pStyle w:val="916"/>
      </w:pPr>
      <w:r>
        <w:t xml:space="preserve">ds_codificacao &lt;- read_rds(</w:t>
      </w:r>
      <w:r>
        <w:br/>
      </w:r>
      <w:r>
        <w:t xml:space="preserve">obtem_nome_arquivo_resultados(</w:t>
      </w:r>
      <w:r>
        <w:br/>
      </w:r>
      <w:r>
        <w:t xml:space="preserve">“cls_cod_2”</w:t>
      </w:r>
      <w:r>
        <w:t xml:space="preserve">,</w:t>
      </w:r>
      <w:r>
        <w:br/>
      </w:r>
      <w:r>
        <w:t xml:space="preserve">modelo = modelo_resultados_historicos))</w:t>
      </w:r>
    </w:p>
    <w:p>
      <w:pPr>
        <w:pStyle w:val="916"/>
      </w:pPr>
      <w:r>
        <w:t xml:space="preserve">ds_critica &lt;- read_rds(</w:t>
      </w:r>
      <w:r>
        <w:br/>
      </w:r>
      <w:r>
        <w:t xml:space="preserve">obtem_nome_arquivo_resultados(</w:t>
      </w:r>
      <w:r>
        <w:br/>
      </w:r>
      <w:r>
        <w:t xml:space="preserve">“cls_crit_2”</w:t>
      </w:r>
      <w:r>
        <w:t xml:space="preserve">,</w:t>
      </w:r>
      <w:r>
        <w:br/>
      </w:r>
      <w:r>
        <w:t xml:space="preserve">modelo = modelo_resultados_historicos))</w:t>
      </w:r>
    </w:p>
    <w:p>
      <w:pPr>
        <w:pStyle w:val="916"/>
      </w:pPr>
      <w:r>
        <w:t xml:space="preserve">dataset_analise &lt;- dataset_consolidado |&gt;</w:t>
      </w:r>
      <w:r>
        <w:br/>
      </w:r>
      <w:r>
        <w:t xml:space="preserve">select(</w:t>
      </w:r>
      <w:r>
        <w:br/>
      </w:r>
      <w:r>
        <w:t xml:space="preserve">`No. Auditoria`,</w:t>
      </w:r>
      <w:r>
        <w:br/>
      </w:r>
      <w:r>
        <w:t xml:space="preserve">Arquivo,</w:t>
      </w:r>
      <w:r>
        <w:br/>
      </w:r>
      <w:r>
        <w:t xml:space="preserve">Finalidade,</w:t>
      </w:r>
      <w:r>
        <w:br/>
      </w:r>
      <w:r>
        <w:t xml:space="preserve">`# Constatação`,</w:t>
      </w:r>
      <w:r>
        <w:br/>
      </w:r>
      <w:r>
        <w:t xml:space="preserve">Constatação,</w:t>
      </w:r>
      <w:r>
        <w:br/>
      </w:r>
      <w:r>
        <w:t xml:space="preserve">Item,</w:t>
      </w:r>
      <w:r>
        <w:br/>
      </w:r>
      <w:r>
        <w:t xml:space="preserve">Grupo,</w:t>
      </w:r>
      <w:r>
        <w:br/>
      </w:r>
      <w:r>
        <w:t xml:space="preserve">Subgrupo,</w:t>
      </w:r>
      <w:r>
        <w:br/>
      </w:r>
      <w:r>
        <w:t xml:space="preserve">`# Recomendação`,</w:t>
      </w:r>
      <w:r>
        <w:br/>
      </w:r>
      <w:r>
        <w:t xml:space="preserve">Recomendação) |&gt;</w:t>
      </w:r>
      <w:r>
        <w:br/>
      </w:r>
      <w:r>
        <w:t xml:space="preserve">adapta_dataframe(</w:t>
      </w:r>
      <w:r>
        <w:br/>
      </w:r>
      <w:r>
        <w:t xml:space="preserve">obtem_pasta(</w:t>
      </w:r>
      <w:r>
        <w:t xml:space="preserve">“cls_cod_2”</w:t>
      </w:r>
      <w:r>
        <w:t xml:space="preserve">, modelo = modelo_resultados_historicos),</w:t>
      </w:r>
      <w:r>
        <w:br/>
      </w:r>
      <w:r>
        <w:t xml:space="preserve">“</w:t>
      </w:r>
      <w:r>
        <w:t xml:space="preserve">“) |&gt;</w:t>
      </w:r>
      <w:r>
        <w:br/>
      </w:r>
      <w:r>
        <w:t xml:space="preserve">inner_join(</w:t>
      </w:r>
      <w:r>
        <w:br/>
      </w:r>
      <w:r>
        <w:t xml:space="preserve">ds_codificacao |&gt;</w:t>
      </w:r>
      <w:r>
        <w:br/>
      </w:r>
      <w:r>
        <w:t xml:space="preserve">select(-finish_reason, -erro) |&gt;</w:t>
      </w:r>
      <w:r>
        <w:br/>
      </w:r>
      <w:r>
        <w:t xml:space="preserve">mutate(</w:t>
      </w:r>
      <w:r>
        <w:br/>
      </w:r>
      <w:r>
        <w:t xml:space="preserve">`Efeitos Duradouros` = str_to_sentence(`Efeitos Duradouros`)),</w:t>
      </w:r>
      <w:r>
        <w:br/>
      </w:r>
      <w:r>
        <w:t xml:space="preserve">by = c(”</w:t>
      </w:r>
      <w:r>
        <w:t xml:space="preserve">Arquivo Saída” =</w:t>
      </w:r>
      <w:r>
        <w:t xml:space="preserve"> </w:t>
      </w:r>
      <w:r>
        <w:t xml:space="preserve">“arquivo”</w:t>
      </w:r>
      <w:r>
        <w:t xml:space="preserve">)) |&gt;</w:t>
      </w:r>
      <w:r>
        <w:br/>
      </w:r>
      <w:r>
        <w:t xml:space="preserve">select(-`Arquivo Saída`) |&gt;</w:t>
      </w:r>
      <w:r>
        <w:br/>
      </w:r>
      <w:r>
        <w:t xml:space="preserve">adapta_dataframe(</w:t>
      </w:r>
      <w:r>
        <w:br/>
      </w:r>
      <w:r>
        <w:t xml:space="preserve">obtem_pasta(</w:t>
      </w:r>
      <w:r>
        <w:t xml:space="preserve">“cls_crit_2”</w:t>
      </w:r>
      <w:r>
        <w:t xml:space="preserve">, modelo = modelo_resultados_historicos),</w:t>
      </w:r>
      <w:r>
        <w:br/>
      </w:r>
      <w:r>
        <w:t xml:space="preserve">“</w:t>
      </w:r>
      <w:r>
        <w:t xml:space="preserve">“) |&gt;</w:t>
      </w:r>
      <w:r>
        <w:br/>
      </w:r>
      <w:r>
        <w:t xml:space="preserve">left_join(</w:t>
      </w:r>
      <w:r>
        <w:br/>
      </w:r>
      <w:r>
        <w:t xml:space="preserve">ds_critica |&gt;</w:t>
      </w:r>
      <w:r>
        <w:br/>
      </w:r>
      <w:r>
        <w:t xml:space="preserve">select(-finish_reason, -erro),</w:t>
      </w:r>
      <w:r>
        <w:br/>
      </w:r>
      <w:r>
        <w:t xml:space="preserve">by = c(”</w:t>
      </w:r>
      <w:r>
        <w:t xml:space="preserve">Arquivo Saída” =</w:t>
      </w:r>
      <w:r>
        <w:t xml:space="preserve"> </w:t>
      </w:r>
      <w:r>
        <w:t xml:space="preserve">“arquivo”</w:t>
      </w:r>
      <w:r>
        <w:t xml:space="preserve">)) |&gt;</w:t>
      </w:r>
      <w:r>
        <w:br/>
      </w:r>
      <w:r>
        <w:t xml:space="preserve">rename(`Ação Foco Causa` = `Foco Causa`) |&gt;</w:t>
      </w:r>
      <w:r>
        <w:br/>
      </w:r>
      <w:r>
        <w:t xml:space="preserve">filter(`Análise Efeitos Duradouros` !=</w:t>
      </w:r>
      <w:r>
        <w:t xml:space="preserve"> </w:t>
      </w:r>
      <w:r>
        <w:t xml:space="preserve">“Concordo”</w:t>
      </w:r>
      <w:r>
        <w:t xml:space="preserve">)</w:t>
      </w:r>
    </w:p>
    <w:p>
      <w:pPr>
        <w:pStyle w:val="916"/>
      </w:pPr>
      <w:r>
        <w:t xml:space="preserve">dataset_divergencias_com_id &lt;- dataset_analise |&gt;</w:t>
      </w:r>
      <w:r>
        <w:br/>
      </w:r>
      <w:r>
        <w:t xml:space="preserve">mutate(</w:t>
      </w:r>
      <w:r>
        <w:br/>
      </w:r>
      <w:r>
        <w:t xml:space="preserve">`Prefixo Arquivo` = str_remove(Arquivo,</w:t>
      </w:r>
      <w:r>
        <w:t xml:space="preserve"> </w:t>
      </w:r>
      <w:r>
        <w:t xml:space="preserve">“\.pdf$”</w:t>
      </w:r>
      <w:r>
        <w:t xml:space="preserve">),</w:t>
      </w:r>
      <w:r>
        <w:br/>
      </w:r>
      <w:r>
        <w:t xml:space="preserve">id_analise = str_glue(</w:t>
      </w:r>
      <w:r>
        <w:br/>
      </w:r>
      <w:r>
        <w:t xml:space="preserve">“{`Prefixo Arquivo`}/{`# Constatação`}_{`#</w:t>
      </w:r>
      <w:r>
        <w:t xml:space="preserve"> </w:t>
      </w:r>
      <w:r>
        <w:t xml:space="preserve">Recomendação`}.json”</w:t>
      </w:r>
      <w:r>
        <w:t xml:space="preserve">))</w:t>
      </w:r>
    </w:p>
    <w:p>
      <w:pPr>
        <w:pStyle w:val="916"/>
      </w:pPr>
      <w:r>
        <w:t xml:space="preserve">set.seed(semente)</w:t>
      </w:r>
    </w:p>
    <w:p>
      <w:pPr>
        <w:pStyle w:val="916"/>
      </w:pPr>
      <w:r>
        <w:t xml:space="preserve">dataset_ordenado_aleatorio &lt;- dataset_analise |&gt;</w:t>
      </w:r>
      <w:r>
        <w:br/>
      </w:r>
      <w:r>
        <w:t xml:space="preserve">arrange(Arquivo, `# Constatação`, `# Recomendação`) |&gt;</w:t>
      </w:r>
      <w:r>
        <w:br/>
      </w:r>
      <w:r>
        <w:t xml:space="preserve">slice_sample(</w:t>
      </w:r>
      <w:r>
        <w:br/>
      </w:r>
      <w:r>
        <w:t xml:space="preserve">n = min(</w:t>
      </w:r>
      <w:r>
        <w:br/>
      </w:r>
      <w:r>
        <w:t xml:space="preserve">numero_recomendacoes_por_rodada * numero_rodada,</w:t>
      </w:r>
      <w:r>
        <w:br/>
      </w:r>
      <w:r>
        <w:t xml:space="preserve">nrow(dataset_analise)))</w:t>
      </w:r>
    </w:p>
    <w:p>
      <w:pPr>
        <w:pStyle w:val="916"/>
      </w:pPr>
      <w:r>
        <w:t xml:space="preserve">inicio_rodada &lt;- (numero_rodada - 1) *</w:t>
      </w:r>
      <w:r>
        <w:t xml:space="preserve"> </w:t>
      </w:r>
      <w:r>
        <w:t xml:space="preserve">numero_recomendacoes_por_rodada + 1</w:t>
      </w:r>
      <w:r>
        <w:br/>
      </w:r>
      <w:r>
        <w:t xml:space="preserve">fim_rodada &lt;- min(</w:t>
      </w:r>
      <w:r>
        <w:br/>
      </w:r>
      <w:r>
        <w:t xml:space="preserve">numero_rodada * numero_recomendacoes_por_rodada,</w:t>
      </w:r>
      <w:r>
        <w:br/>
      </w:r>
      <w:r>
        <w:t xml:space="preserve">nrow(dataset_analise))</w:t>
      </w:r>
    </w:p>
    <w:p>
      <w:pPr>
        <w:pStyle w:val="916"/>
      </w:pPr>
      <w:r>
        <w:t xml:space="preserve">corpus_amostra &lt;- dataset_ordenado_aleatorio |&gt;</w:t>
      </w:r>
      <w:r>
        <w:br/>
      </w:r>
      <w:r>
        <w:t xml:space="preserve">slice(inicio_rodada:fim_rodada)</w:t>
      </w:r>
    </w:p>
    <w:p>
      <w:pPr>
        <w:pStyle w:val="916"/>
      </w:pPr>
      <w:r>
        <w:t xml:space="preserve">stopifnot(</w:t>
      </w:r>
      <w:r>
        <w:br/>
      </w:r>
      <w:r>
        <w:t xml:space="preserve">nrow(corpus_amostra) ==</w:t>
      </w:r>
      <w:r>
        <w:br/>
      </w:r>
      <w:r>
        <w:t xml:space="preserve">min(numero_recomendacoes_por_rodada, nrow(dataset_analise) -</w:t>
      </w:r>
      <w:r>
        <w:t xml:space="preserve"> </w:t>
      </w:r>
      <w:r>
        <w:t xml:space="preserve">inicio_rodada + 1))</w:t>
      </w:r>
    </w:p>
    <w:p>
      <w:pPr>
        <w:pStyle w:val="916"/>
      </w:pPr>
      <w:r>
        <w:t xml:space="preserve">tibble(</w:t>
      </w:r>
      <w:r>
        <w:br/>
      </w:r>
      <w:r>
        <w:t xml:space="preserve">`Total de divergências` = nrow(dataset_analise),</w:t>
      </w:r>
      <w:r>
        <w:br/>
      </w:r>
      <w:r>
        <w:t xml:space="preserve">`Recomendações no corpus` = nrow(dataset_analise),</w:t>
      </w:r>
      <w:r>
        <w:br/>
      </w:r>
      <w:r>
        <w:t xml:space="preserve">`Constatações no corpus` = n_distinct(</w:t>
      </w:r>
      <w:r>
        <w:br/>
      </w:r>
      <w:r>
        <w:t xml:space="preserve">dataset_analise$Arquivo,</w:t>
      </w:r>
      <w:r>
        <w:br/>
      </w:r>
      <w:r>
        <w:t xml:space="preserve">dataset_analise$`# Constatação`),</w:t>
      </w:r>
      <w:r>
        <w:br/>
      </w:r>
      <w:r>
        <w:t xml:space="preserve">`Recomendações sorteadas` = nrow(corpus_amostra),</w:t>
      </w:r>
      <w:r>
        <w:br/>
      </w:r>
      <w:r>
        <w:t xml:space="preserve">`Rodada` = numero_rodada,</w:t>
      </w:r>
      <w:r>
        <w:br/>
      </w:r>
      <w:r>
        <w:t xml:space="preserve">`Semente` = semente) |&gt;</w:t>
      </w:r>
      <w:r>
        <w:br/>
      </w:r>
      <w:r>
        <w:t xml:space="preserve">knitr::kable()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918"/>
              <w:jc w:val="right"/>
            </w:pPr>
            <w:r>
              <w:t xml:space="preserve">Total de divergências</w:t>
            </w:r>
          </w:p>
        </w:tc>
        <w:tc>
          <w:tcPr/>
          <w:p>
            <w:pPr>
              <w:pStyle w:val="918"/>
              <w:jc w:val="right"/>
            </w:pPr>
            <w:r>
              <w:t xml:space="preserve">Recomendações no corpus</w:t>
            </w:r>
          </w:p>
        </w:tc>
        <w:tc>
          <w:tcPr/>
          <w:p>
            <w:pPr>
              <w:pStyle w:val="918"/>
              <w:jc w:val="right"/>
            </w:pPr>
            <w:r>
              <w:t xml:space="preserve">Constatações no corpus</w:t>
            </w:r>
          </w:p>
        </w:tc>
        <w:tc>
          <w:tcPr/>
          <w:p>
            <w:pPr>
              <w:pStyle w:val="918"/>
              <w:jc w:val="right"/>
            </w:pPr>
            <w:r>
              <w:t xml:space="preserve">Recomendações sorteadas</w:t>
            </w:r>
          </w:p>
        </w:tc>
        <w:tc>
          <w:tcPr/>
          <w:p>
            <w:pPr>
              <w:pStyle w:val="918"/>
              <w:jc w:val="right"/>
            </w:pPr>
            <w:r>
              <w:t xml:space="preserve">Rodada</w:t>
            </w:r>
          </w:p>
        </w:tc>
        <w:tc>
          <w:tcPr/>
          <w:p>
            <w:pPr>
              <w:pStyle w:val="918"/>
              <w:jc w:val="right"/>
            </w:pPr>
            <w:r>
              <w:t xml:space="preserve">Semente</w:t>
            </w:r>
          </w:p>
        </w:tc>
      </w:tr>
      <w:tr>
        <w:tc>
          <w:tcPr/>
          <w:p>
            <w:pPr>
              <w:pStyle w:val="918"/>
              <w:jc w:val="right"/>
            </w:pPr>
            <w:r>
              <w:t xml:space="preserve">747</w:t>
            </w:r>
          </w:p>
        </w:tc>
        <w:tc>
          <w:tcPr/>
          <w:p>
            <w:pPr>
              <w:pStyle w:val="918"/>
              <w:jc w:val="right"/>
            </w:pPr>
            <w:r>
              <w:t xml:space="preserve">747</w:t>
            </w:r>
          </w:p>
        </w:tc>
        <w:tc>
          <w:tcPr/>
          <w:p>
            <w:pPr>
              <w:pStyle w:val="918"/>
              <w:jc w:val="right"/>
            </w:pPr>
            <w:r>
              <w:t xml:space="preserve">712</w:t>
            </w:r>
          </w:p>
        </w:tc>
        <w:tc>
          <w:tcPr/>
          <w:p>
            <w:pPr>
              <w:pStyle w:val="918"/>
              <w:jc w:val="right"/>
            </w:pPr>
            <w:r>
              <w:t xml:space="preserve">50</w:t>
            </w:r>
          </w:p>
        </w:tc>
        <w:tc>
          <w:tcPr/>
          <w:p>
            <w:pPr>
              <w:pStyle w:val="918"/>
              <w:jc w:val="right"/>
            </w:pPr>
            <w:r>
              <w:t xml:space="preserve">3</w:t>
            </w:r>
          </w:p>
        </w:tc>
        <w:tc>
          <w:tcPr/>
          <w:p>
            <w:pPr>
              <w:pStyle w:val="918"/>
              <w:jc w:val="right"/>
            </w:pPr>
            <w:r>
              <w:t xml:space="preserve">42</w:t>
            </w:r>
          </w:p>
        </w:tc>
      </w:tr>
    </w:tbl>
    <w:bookmarkStart w:id="836" w:name="rodadas-de-categorização"/>
    <w:p>
      <w:pPr>
        <w:pStyle w:val="906"/>
      </w:pPr>
      <w:r>
        <w:t xml:space="preserve">18.1.1 Rodadas de categorização</w:t>
      </w:r>
    </w:p>
    <w:bookmarkStart w:id="807" w:name="rodada-1"/>
    <w:p>
      <w:pPr>
        <w:pStyle w:val="907"/>
      </w:pPr>
      <w:r>
        <w:t xml:space="preserve">18.1.1.1 Rodada 1</w:t>
      </w:r>
    </w:p>
    <w:bookmarkStart w:id="799" w:name="prompt-8"/>
    <w:p>
      <w:pPr>
        <w:pStyle w:val="908"/>
      </w:pPr>
      <w:r>
        <w:t xml:space="preserve">18.1.1.1.1 Prompt</w:t>
      </w:r>
    </w:p>
    <w:p>
      <w:pPr>
        <w:pStyle w:val="917"/>
      </w:pPr>
      <w:r>
        <w:rPr>
          <w:rStyle w:val="949"/>
        </w:rPr>
        <w:t xml:space="preserve">Você é um assistente de pesquisa que apoia uma análise de conteúdo sobre recomendações emitidas pelo Departamento Nacional de Auditoria do Sistema Único de Saúde (DENASUS).</w:t>
      </w:r>
    </w:p>
    <w:p>
      <w:pPr>
        <w:pStyle w:val="916"/>
      </w:pPr>
      <w:r>
        <w:rPr>
          <w:rStyle w:val="949"/>
        </w:rPr>
        <w:t xml:space="preserve">Em uma primeira rodada, cada recomendação analisada em relação a dois critérios:</w:t>
      </w:r>
    </w:p>
    <w:p>
      <w:pPr>
        <w:pStyle w:val="916"/>
      </w:pP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p>
    <w:p>
      <w:pPr>
        <w:pStyle w:val="916"/>
      </w:pPr>
      <w:r>
        <w:rPr>
          <w:rStyle w:val="949"/>
        </w:rPr>
        <w:t xml:space="preserve">Com as recomendações analisadas em relação a esses dois critérios, uma segunda etapa foi executada com o objetivo de realizar uma análise crítica da classificação para cada critério e emitir um juízo, que poderá ser materializado nos seguintes sentidos: "Concordo" ou "Discordo".</w:t>
      </w:r>
    </w:p>
    <w:p>
      <w:pPr>
        <w:pStyle w:val="916"/>
      </w:pPr>
      <w:r>
        <w:rPr>
          <w:rStyle w:val="949"/>
        </w:rPr>
        <w:t xml:space="preserve">A maior parte das divergências se concentrou em torno do critério "Efeitos Duradouros". Então, você receberá um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w:t>
      </w:r>
    </w:p>
    <w:p>
      <w:pPr>
        <w:pStyle w:val="916"/>
      </w:pP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p>
    <w:p>
      <w:pPr>
        <w:pStyle w:val="916"/>
      </w:pP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p>
    <w:p>
      <w:pPr>
        <w:pStyle w:val="916"/>
      </w:pP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p>
    <w:p>
      <w:pPr>
        <w:pStyle w:val="916"/>
      </w:pPr>
      <w:r>
        <w:rPr>
          <w:rStyle w:val="949"/>
        </w:rPr>
        <w:t xml:space="preserve">## Regras para construir a taxonomia do lote</w:t>
      </w:r>
    </w:p>
    <w:p>
      <w:pPr>
        <w:pStyle w:val="916"/>
      </w:pPr>
      <w:r>
        <w:rPr>
          <w:rStyle w:val="949"/>
        </w:rPr>
        <w:t xml:space="preserve">1. Construa primeiro as categorias globais do lote e só depois classifique as unidades.</w:t>
      </w:r>
      <w:r>
        <w:br/>
      </w:r>
      <w:r>
        <w:rPr>
          <w:rStyle w:val="949"/>
        </w:rPr>
        <w:t xml:space="preserve">2. Crie aproximadamente 6 categorias globais. Use menos somente se categorias distintas puderem ser fundidas sem perda analítica. Use mais somente se uma fusão produzir categorias excessivamente heterogêneas.</w:t>
      </w:r>
      <w:r>
        <w:br/>
      </w:r>
      <w:r>
        <w:rPr>
          <w:rStyle w:val="949"/>
        </w:rPr>
        <w:t xml:space="preserve">3.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4. Funda em uma mesma categoria unidades que compartilham o mesmo mecanismo central, mesmo que tratem de áreas temáticas diferentes.</w:t>
      </w:r>
      <w:r>
        <w:br/>
      </w:r>
      <w:r>
        <w:rPr>
          <w:rStyle w:val="949"/>
        </w:rPr>
        <w:t xml:space="preserve">5. Não crie uma categoria nova apenas porque a redação, o órgão ou a área temática da recomendação mudou.</w:t>
      </w:r>
      <w:r>
        <w:br/>
      </w:r>
      <w:r>
        <w:rPr>
          <w:rStyle w:val="949"/>
        </w:rPr>
        <w:t xml:space="preserve">6. Não use categorias que sejam apenas sinônimos ou variações de nível de detalhe umas das outras.</w:t>
      </w:r>
      <w:r>
        <w:br/>
      </w:r>
      <w:r>
        <w:rPr>
          <w:rStyle w:val="949"/>
        </w:rPr>
        <w:t xml:space="preserve">7. Cada categoria deve ter uma definição estável, critérios de inclusão e critérios de exclusão. Esses elementos devem permanecer iguais para todas as unidades classificadas nela.</w:t>
      </w:r>
      <w:r>
        <w:br/>
      </w:r>
      <w:r>
        <w:rPr>
          <w:rStyle w:val="949"/>
        </w:rPr>
        <w:t xml:space="preserve">8.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9. Reutilize exatamente o mesmo `id_categoria` para unidades que pertençam à mesma categoria. Não crie nomes, definições ou IDs alternativos durante a classificação.</w:t>
      </w:r>
      <w:r>
        <w:br/>
      </w:r>
      <w:r>
        <w:rPr>
          <w:rStyle w:val="949"/>
        </w:rPr>
        <w:t xml:space="preserve">10. Fundamente as categorias e as classificações exclusivamente nos textos recebidos. Não invente responsáveis, prazos, recursos, procedimentos ou resultados que não estejam no lote.</w:t>
      </w:r>
    </w:p>
    <w:p>
      <w:pPr>
        <w:pStyle w:val="916"/>
      </w:pPr>
      <w:r>
        <w:rPr>
          <w:rStyle w:val="949"/>
        </w:rPr>
        <w:t xml:space="preserve">## Estrutura exata da entrada</w:t>
      </w:r>
    </w:p>
    <w:p>
      <w:pPr>
        <w:pStyle w:val="916"/>
      </w:pPr>
      <w:r>
        <w:rPr>
          <w:rStyle w:val="949"/>
        </w:rPr>
        <w:t xml:space="preserve">O conteúdo enviado pelo usuário será um objeto JSON com a seguinte estrutura:</w:t>
      </w:r>
    </w:p>
    <w:p>
      <w:pPr>
        <w:pStyle w:val="916"/>
      </w:pPr>
      <w:r>
        <w:rPr>
          <w:rStyle w:val="949"/>
        </w:rPr>
        <w:t xml:space="preserve">{</w:t>
      </w:r>
      <w:r>
        <w:br/>
      </w:r>
      <w:r>
        <w:rPr>
          <w:rStyle w:val="949"/>
        </w:rPr>
        <w:t xml:space="preserve">"lote_id": "etiquetador_divergencias_1",</w:t>
      </w:r>
      <w:r>
        <w:br/>
      </w:r>
      <w:r>
        <w:rPr>
          <w:rStyle w:val="949"/>
        </w:rPr>
        <w:t xml:space="preserve">"analises": [</w:t>
      </w:r>
      <w:r>
        <w:br/>
      </w:r>
      <w:r>
        <w:rPr>
          <w:rStyle w:val="949"/>
        </w:rPr>
        <w:t xml:space="preserve">{</w:t>
      </w:r>
      <w:r>
        <w:br/>
      </w:r>
      <w:r>
        <w:rPr>
          <w:rStyle w:val="949"/>
        </w:rPr>
        <w:t xml:space="preserve">"id_analise": "18714_1/671301_1.json",</w:t>
      </w:r>
      <w:r>
        <w:br/>
      </w:r>
      <w:r>
        <w:rPr>
          <w:rStyle w:val="949"/>
        </w:rPr>
        <w:t xml:space="preserve">"finalidade": "Finalidade do trabalho de auditoria",</w:t>
      </w:r>
      <w:r>
        <w:br/>
      </w:r>
      <w:r>
        <w:rPr>
          <w:rStyle w:val="949"/>
        </w:rPr>
        <w:t xml:space="preserve">"constatacao": "Texto da constatação",</w:t>
      </w:r>
      <w:r>
        <w:br/>
      </w:r>
      <w:r>
        <w:rPr>
          <w:rStyle w:val="949"/>
        </w:rPr>
        <w:t xml:space="preserve">"recomendacao": "Texto da recomendação",</w:t>
      </w:r>
      <w:r>
        <w:br/>
      </w:r>
      <w:r>
        <w:rPr>
          <w:rStyle w:val="949"/>
        </w:rPr>
        <w:t xml:space="preserve">"analise_inicial": "Texto com o racional da análise inicial",</w:t>
      </w:r>
      <w:r>
        <w:br/>
      </w:r>
      <w:r>
        <w:rPr>
          <w:rStyle w:val="949"/>
        </w:rPr>
        <w:t xml:space="preserve">"resultado_criterio_efeitos_duradouros": "Resultado da análise em relação ao critério efeitos duradouros",</w:t>
      </w:r>
      <w:r>
        <w:br/>
      </w:r>
      <w:r>
        <w:rPr>
          <w:rStyle w:val="949"/>
        </w:rPr>
        <w:t xml:space="preserve">"analise_critica": "Texto com o racional da análise crítica",</w:t>
      </w:r>
      <w:r>
        <w:br/>
      </w:r>
      <w:r>
        <w:rPr>
          <w:rStyle w:val="949"/>
        </w:rPr>
        <w:t xml:space="preserve">"resultado_criterio_efeitos_duradouros_analise_critica": "Resultado da análise crítica em relação ao critério efeitos duradouros"</w:t>
      </w:r>
      <w:r>
        <w:br/>
      </w:r>
      <w:r>
        <w:rPr>
          <w:rStyle w:val="949"/>
        </w:rPr>
        <w:t xml:space="preserve">}</w:t>
      </w:r>
      <w:r>
        <w:br/>
      </w:r>
      <w:r>
        <w:rPr>
          <w:rStyle w:val="949"/>
        </w:rPr>
        <w:t xml:space="preserve">]</w:t>
      </w:r>
      <w:r>
        <w:br/>
      </w:r>
      <w:r>
        <w:rPr>
          <w:rStyle w:val="949"/>
        </w:rPr>
        <w:t xml:space="preserve">}</w:t>
      </w:r>
    </w:p>
    <w:p>
      <w:pPr>
        <w:pStyle w:val="916"/>
      </w:pP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p>
    <w:p>
      <w:pPr>
        <w:pStyle w:val="916"/>
      </w:pPr>
      <w:r>
        <w:rPr>
          <w:rStyle w:val="949"/>
        </w:rPr>
        <w:t xml:space="preserve">## Estrutura exata da resposta</w:t>
      </w:r>
    </w:p>
    <w:p>
      <w:pPr>
        <w:pStyle w:val="916"/>
      </w:pPr>
      <w:r>
        <w:rPr>
          <w:rStyle w:val="949"/>
        </w:rPr>
        <w:t xml:space="preserve">Responda exclusivamente com um objeto JSON válido, sem markdown. Não inclua comentários, explicações fora do JSON ou campos adicionais.</w:t>
      </w:r>
    </w:p>
    <w:p>
      <w:pPr>
        <w:pStyle w:val="916"/>
      </w:pPr>
      <w:r>
        <w:rPr>
          <w:rStyle w:val="949"/>
        </w:rPr>
        <w:t xml:space="preserve">O objeto deve conter:</w:t>
      </w:r>
    </w:p>
    <w:p>
      <w:pPr>
        <w:pStyle w:val="916"/>
      </w:pPr>
      <w:r>
        <w:rPr>
          <w:rStyle w:val="949"/>
        </w:rPr>
        <w:t xml:space="preserve">- `categorias`: lista global com aproximadamente 6 categorias, sem IDs repetidos;</w:t>
      </w:r>
      <w:r>
        <w:br/>
      </w:r>
      <w:r>
        <w:rPr>
          <w:rStyle w:val="949"/>
        </w:rPr>
        <w:t xml:space="preserve">- `classificacoes`: lista com exatamente uma classificação para cada elemento recebido em `analises`, preservando a ordem de entrada.</w:t>
      </w:r>
    </w:p>
    <w:p>
      <w:pPr>
        <w:pStyle w:val="916"/>
      </w:pPr>
      <w:r>
        <w:rPr>
          <w:rStyle w:val="949"/>
        </w:rPr>
        <w:t xml:space="preserve">Cada unidade deve aparecer uma única vez em `classificacoes`. Não omita, duplique ou crie identificadores.</w:t>
      </w:r>
    </w:p>
    <w:p>
      <w:pPr>
        <w:pStyle w:val="916"/>
      </w:pPr>
      <w:r>
        <w:rPr>
          <w:rStyle w:val="949"/>
        </w:rPr>
        <w:t xml:space="preserve">{</w:t>
      </w:r>
      <w:r>
        <w:br/>
      </w:r>
      <w:r>
        <w:rPr>
          <w:rStyle w:val="949"/>
        </w:rPr>
        <w:t xml:space="preserve">"categorias": [</w:t>
      </w:r>
      <w:r>
        <w:br/>
      </w:r>
      <w:r>
        <w:rPr>
          <w:rStyle w:val="949"/>
        </w:rPr>
        <w:t xml:space="preserve">{</w:t>
      </w:r>
      <w:r>
        <w:br/>
      </w:r>
      <w:r>
        <w:rPr>
          <w:rStyle w:val="949"/>
        </w:rPr>
        <w:t xml:space="preserve">"id_categoria": "C1",</w:t>
      </w:r>
      <w:r>
        <w:br/>
      </w:r>
      <w:r>
        <w:rPr>
          <w:rStyle w:val="949"/>
        </w:rPr>
        <w:t xml:space="preserve">"nome_categoria": "nome curto, estável e descritivo",</w:t>
      </w:r>
      <w:r>
        <w:br/>
      </w:r>
      <w:r>
        <w:rPr>
          <w:rStyle w:val="949"/>
        </w:rPr>
        <w:t xml:space="preserve">"definicao": "mecanismo central que caracteriza a categoria",</w:t>
      </w:r>
      <w:r>
        <w:br/>
      </w:r>
      <w:r>
        <w:rPr>
          <w:rStyle w:val="949"/>
        </w:rPr>
        <w:t xml:space="preserve">"criterios_inclusao": ["característica necessária ou típica"],</w:t>
      </w:r>
      <w:r>
        <w:br/>
      </w:r>
      <w:r>
        <w:rPr>
          <w:rStyle w:val="949"/>
        </w:rPr>
        <w:t xml:space="preserve">"criterios_exclusao": ["característica que, isoladamente, não basta para incluir a unidade"]</w:t>
      </w:r>
      <w:r>
        <w:br/>
      </w:r>
      <w:r>
        <w:rPr>
          <w:rStyle w:val="949"/>
        </w:rPr>
        <w:t xml:space="preserve">}</w:t>
      </w:r>
      <w:r>
        <w:br/>
      </w:r>
      <w:r>
        <w:rPr>
          <w:rStyle w:val="949"/>
        </w:rPr>
        <w:t xml:space="preserve">],</w:t>
      </w:r>
      <w:r>
        <w:br/>
      </w:r>
      <w:r>
        <w:rPr>
          <w:rStyle w:val="949"/>
        </w:rPr>
        <w:t xml:space="preserve">"classificacoes": [</w:t>
      </w:r>
      <w:r>
        <w:br/>
      </w:r>
      <w:r>
        <w:rPr>
          <w:rStyle w:val="949"/>
        </w:rPr>
        <w:t xml:space="preserve">{</w:t>
      </w:r>
      <w:r>
        <w:br/>
      </w:r>
      <w:r>
        <w:rPr>
          <w:rStyle w:val="949"/>
        </w:rPr>
        <w:t xml:space="preserve">"id_analise": "18714_1/671301_1.json",</w:t>
      </w:r>
      <w:r>
        <w:br/>
      </w:r>
      <w:r>
        <w:rPr>
          <w:rStyle w:val="949"/>
        </w:rPr>
        <w:t xml:space="preserve">"categoria_principal": "C1",</w:t>
      </w:r>
      <w:r>
        <w:br/>
      </w:r>
      <w:r>
        <w:rPr>
          <w:rStyle w:val="949"/>
        </w:rPr>
        <w:t xml:space="preserve">"categorias_secundarias": [],</w:t>
      </w:r>
      <w:r>
        <w:br/>
      </w:r>
      <w:r>
        <w:rPr>
          <w:rStyle w:val="949"/>
        </w:rPr>
        <w:t xml:space="preserve">"justificativa": "comparação entre o que a análise inicial valorizou, o que a análise crítica valorizou e a ambiguidade ou tensão textual que permite as duas interpretações",</w:t>
      </w:r>
      <w:r>
        <w:br/>
      </w:r>
      <w:r>
        <w:rPr>
          <w:rStyle w:val="949"/>
        </w:rPr>
        <w:t xml:space="preserve">"observacoes_limite": "ambiguidade, informação ausente ou aspecto que exige validação humana; use string vazia quando não houver"</w:t>
      </w:r>
      <w:r>
        <w:br/>
      </w:r>
      <w:r>
        <w:rPr>
          <w:rStyle w:val="949"/>
        </w:rPr>
        <w:t xml:space="preserve">}</w:t>
      </w:r>
      <w:r>
        <w:br/>
      </w:r>
      <w:r>
        <w:rPr>
          <w:rStyle w:val="949"/>
        </w:rPr>
        <w:t xml:space="preserve">]</w:t>
      </w:r>
      <w:r>
        <w:br/>
      </w:r>
      <w:r>
        <w:rPr>
          <w:rStyle w:val="949"/>
        </w:rPr>
        <w:t xml:space="preserve">}</w:t>
      </w:r>
    </w:p>
    <w:p>
      <w:pPr>
        <w:pStyle w:val="916"/>
      </w:pPr>
      <w:r>
        <w:rPr>
          <w:rStyle w:val="949"/>
        </w:rPr>
        <w:t xml:space="preserve">Antes de finalizar, verifique internamente:</w:t>
      </w:r>
    </w:p>
    <w:p>
      <w:pPr>
        <w:pStyle w:val="916"/>
      </w:pP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799"/>
    <w:bookmarkStart w:id="800" w:name="resultados-10"/>
    <w:p>
      <w:pPr>
        <w:pStyle w:val="908"/>
      </w:pPr>
      <w:r>
        <w:t xml:space="preserve">18.1.1.1.2 Resultados</w:t>
      </w:r>
    </w:p>
    <w:p>
      <w:pPr>
        <w:pStyle w:val="917"/>
      </w:pPr>
      <w:r>
        <w:t xml:space="preserve">Modelo: respostas carregadas de etiquetador_divergencias_1. Unidades</w:t>
      </w:r>
      <w:r>
        <w:t xml:space="preserve"> </w:t>
      </w:r>
      <w:r>
        <w:t xml:space="preserve">classificadas: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14</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12</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6</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5</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2</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11</w:t>
            </w:r>
          </w:p>
        </w:tc>
      </w:tr>
    </w:tbl>
    <w:p>
      <w:pPr>
        <w:pStyle w:val="916"/>
      </w:pPr>
      <w:r>
        <w:t xml:space="preserve">São apresentados dois exemplos selecionados aleatoriamente por categoria</w:t>
      </w:r>
      <w:r>
        <w:t xml:space="preserve"> </w:t>
      </w:r>
      <w:r>
        <w:t xml:space="preserve">quando há pelo menos duas unidades; categorias com uma única unidade</w:t>
      </w:r>
      <w:r>
        <w:t xml:space="preserve"> </w:t>
      </w:r>
      <w:r>
        <w:t xml:space="preserve">apresentam apenas esse exemplo.</w:t>
      </w:r>
    </w:p>
    <w:bookmarkEnd w:id="800"/>
    <w:bookmarkStart w:id="801" w:name="Xc4669b6725a2a4cf56d79c8d5317360c5be8252"/>
    <w:p>
      <w:pPr>
        <w:pStyle w:val="908"/>
      </w:pPr>
      <w:r>
        <w:t xml:space="preserve">18.1.1.1.3 C1 — Conformidade normativa sem mecanismo de implementação</w:t>
      </w:r>
    </w:p>
    <w:p>
      <w:pPr>
        <w:pStyle w:val="917"/>
      </w:pPr>
      <w:r>
        <w:rPr>
          <w:b/>
          <w:bCs/>
        </w:rPr>
        <w:t xml:space="preserve">Definição:</w:t>
      </w:r>
      <w:r>
        <w:t xml:space="preserve"> </w:t>
      </w:r>
      <w:r>
        <w:t xml:space="preserve">A divergência decorre de a recomendação determinar ou</w:t>
      </w:r>
      <w:r>
        <w:t xml:space="preserve"> </w:t>
      </w:r>
      <w:r>
        <w:t xml:space="preserve">referenciar o cumprimento de normas, princípios ou requisitos, sem</w:t>
      </w:r>
      <w:r>
        <w:t xml:space="preserve"> </w:t>
      </w:r>
      <w:r>
        <w:t xml:space="preserve">explicitar mecanismos concretos de implementação, verificação ou</w:t>
      </w:r>
      <w:r>
        <w:t xml:space="preserve"> </w:t>
      </w:r>
      <w:r>
        <w:t xml:space="preserve">sustentação.</w:t>
      </w:r>
    </w:p>
    <w:p>
      <w:pPr>
        <w:pStyle w:val="916"/>
      </w:pPr>
      <w:r>
        <w:rPr>
          <w:b/>
          <w:bCs/>
        </w:rPr>
        <w:t xml:space="preserve">Critérios de inclusão:</w:t>
      </w:r>
      <w:r>
        <w:t xml:space="preserve"> </w:t>
      </w:r>
      <w:r>
        <w:t xml:space="preserve">A ação central consiste em observar, cumprir</w:t>
      </w:r>
      <w:r>
        <w:t xml:space="preserve"> </w:t>
      </w:r>
      <w:r>
        <w:t xml:space="preserve">ou aplicar uma norma, princípio, manual ou dispositivo legal.; A</w:t>
      </w:r>
      <w:r>
        <w:t xml:space="preserve"> </w:t>
      </w:r>
      <w:r>
        <w:t xml:space="preserve">permanência dos efeitos é inferida principalmente da existência ou</w:t>
      </w:r>
      <w:r>
        <w:t xml:space="preserve"> </w:t>
      </w:r>
      <w:r>
        <w:t xml:space="preserve">validade da norma.; O texto não detalha estrutura, rotina, responsável,</w:t>
      </w:r>
      <w:r>
        <w:t xml:space="preserve"> </w:t>
      </w:r>
      <w:r>
        <w:t xml:space="preserve">controle ou procedimento suficiente para sustentar a aplicação.</w:t>
      </w:r>
    </w:p>
    <w:p>
      <w:pPr>
        <w:pStyle w:val="916"/>
      </w:pPr>
      <w:r>
        <w:rPr>
          <w:b/>
          <w:bCs/>
        </w:rPr>
        <w:t xml:space="preserve">Critérios de exclusão:</w:t>
      </w:r>
      <w:r>
        <w:t xml:space="preserve"> </w:t>
      </w:r>
      <w:r>
        <w:t xml:space="preserve">Não incluir quando o mecanismo predominante</w:t>
      </w:r>
      <w:r>
        <w:t xml:space="preserve"> </w:t>
      </w:r>
      <w:r>
        <w:t xml:space="preserve">for uma investigação ou solicitação de informação sem ação corretiva.;</w:t>
      </w:r>
      <w:r>
        <w:t xml:space="preserve"> </w:t>
      </w:r>
      <w:r>
        <w:t xml:space="preserve">Não incluir quando houver um conjunto claramente combinado de ações</w:t>
      </w:r>
      <w:r>
        <w:t xml:space="preserve"> </w:t>
      </w:r>
      <w:r>
        <w:t xml:space="preserve">corretivas e estruturais.; A mera menção a documentos normativos,</w:t>
      </w:r>
      <w:r>
        <w:t xml:space="preserve"> </w:t>
      </w:r>
      <w:r>
        <w:t xml:space="preserve">isoladamente, não basta se o núcleo da recomendação for uma capacitação</w:t>
      </w:r>
      <w:r>
        <w:t xml:space="preserve"> </w:t>
      </w:r>
      <w:r>
        <w:t xml:space="preserve">ou um processo operacional específico.</w:t>
      </w:r>
    </w:p>
    <w:p>
      <w:pPr>
        <w:pStyle w:val="916"/>
      </w:pPr>
      <w:r>
        <w:rPr>
          <w:b/>
          <w:bCs/>
        </w:rPr>
        <w:t xml:space="preserve">Exemplo 1 (19537_2/685221_1.json)</w:t>
      </w:r>
    </w:p>
    <w:p>
      <w:pPr>
        <w:pStyle w:val="916"/>
      </w:pPr>
      <w:r>
        <w:t xml:space="preserve">Observar, nas futuras contratações, o art. 5°, VIII, do Anexo 2 do Anexo</w:t>
      </w:r>
      <w:r>
        <w:t xml:space="preserve"> </w:t>
      </w:r>
      <w:r>
        <w:t xml:space="preserve">XXIV da Portaria de Consolidação n.° 2, de 27 de setembro de 2017, o</w:t>
      </w:r>
      <w:r>
        <w:t xml:space="preserve"> </w:t>
      </w:r>
      <w:r>
        <w:t xml:space="preserve">qual impõe aos entres contratantes controlar, avaliar, monitorar e</w:t>
      </w:r>
      <w:r>
        <w:t xml:space="preserve"> </w:t>
      </w:r>
      <w:r>
        <w:t xml:space="preserve">auditar, quando couber, as ações e serviços de saúde contratualizadas.</w:t>
      </w:r>
    </w:p>
    <w:p>
      <w:pPr>
        <w:pStyle w:val="916"/>
      </w:pPr>
      <w:r>
        <w:rPr>
          <w:b/>
          <w:bCs/>
        </w:rPr>
        <w:t xml:space="preserve">Justificativa da IA:</w:t>
      </w:r>
      <w:r>
        <w:t xml:space="preserve"> </w:t>
      </w:r>
      <w:r>
        <w:t xml:space="preserve">A análise inicial tratou a observância da norma</w:t>
      </w:r>
      <w:r>
        <w:t xml:space="preserve"> </w:t>
      </w:r>
      <w:r>
        <w:t xml:space="preserve">em futuras contratações como procedimento padrão duradouro. A análise</w:t>
      </w:r>
      <w:r>
        <w:t xml:space="preserve"> </w:t>
      </w:r>
      <w:r>
        <w:t xml:space="preserve">crítica concordou com o foco causal, mas ponderou a efetividade prática.</w:t>
      </w:r>
      <w:r>
        <w:t xml:space="preserve"> </w:t>
      </w:r>
      <w:r>
        <w:t xml:space="preserve">A divergência decorre de considerar a referência normativa suficiente ou</w:t>
      </w:r>
      <w:r>
        <w:t xml:space="preserve"> </w:t>
      </w:r>
      <w:r>
        <w:t xml:space="preserve">insuficiente para garantir aplicação persistente.</w:t>
      </w:r>
    </w:p>
    <w:p>
      <w:pPr>
        <w:pStyle w:val="916"/>
      </w:pPr>
      <w:r>
        <w:rPr>
          <w:b/>
          <w:bCs/>
        </w:rPr>
        <w:t xml:space="preserve">Limites observados pela IA:</w:t>
      </w:r>
      <w:r>
        <w:t xml:space="preserve"> </w:t>
      </w:r>
      <w:r>
        <w:t xml:space="preserve">A recomendação não descreve como o</w:t>
      </w:r>
      <w:r>
        <w:t xml:space="preserve"> </w:t>
      </w:r>
      <w:r>
        <w:t xml:space="preserve">controle, a avaliação e a auditoria seriam operacionalizados.</w:t>
      </w:r>
    </w:p>
    <w:p>
      <w:pPr>
        <w:pStyle w:val="916"/>
      </w:pPr>
      <w:r>
        <w:rPr>
          <w:b/>
          <w:bCs/>
        </w:rPr>
        <w:t xml:space="preserve">Exemplo 2 (19544_1/676958_1.json)</w:t>
      </w:r>
    </w:p>
    <w:p>
      <w:pPr>
        <w:pStyle w:val="916"/>
      </w:pPr>
      <w:r>
        <w:t xml:space="preserve">Adotar medidas a fim de dar cumprimento ao estabelecido na Seção II - Da</w:t>
      </w:r>
      <w:r>
        <w:t xml:space="preserve"> </w:t>
      </w:r>
      <w:r>
        <w:t xml:space="preserve">Captação Ponderada do Título II - Do Custeio da Atenção Primária à Saúde</w:t>
      </w:r>
      <w:r>
        <w:t xml:space="preserve"> </w:t>
      </w:r>
      <w:r>
        <w:t xml:space="preserve">da PRC nº 06/2017, Anexo I do Anexo XCIX, que trata da Metodologia de</w:t>
      </w:r>
      <w:r>
        <w:t xml:space="preserve"> </w:t>
      </w:r>
      <w:r>
        <w:t xml:space="preserve">Cálculo da Captação Ponderada.</w:t>
      </w:r>
    </w:p>
    <w:p>
      <w:pPr>
        <w:pStyle w:val="916"/>
      </w:pPr>
      <w:r>
        <w:rPr>
          <w:b/>
          <w:bCs/>
        </w:rPr>
        <w:t xml:space="preserve">Justificativa da IA:</w:t>
      </w:r>
      <w:r>
        <w:t xml:space="preserve"> </w:t>
      </w:r>
      <w:r>
        <w:t xml:space="preserve">A análise inicial inferiu que cumprir a</w:t>
      </w:r>
      <w:r>
        <w:t xml:space="preserve"> </w:t>
      </w:r>
      <w:r>
        <w:t xml:space="preserve">metodologia normativa criaria um mecanismo permanente de cálculo. A</w:t>
      </w:r>
      <w:r>
        <w:t xml:space="preserve"> </w:t>
      </w:r>
      <w:r>
        <w:t xml:space="preserve">análise crítica concordou que há referência causal, mas questionou a</w:t>
      </w:r>
      <w:r>
        <w:t xml:space="preserve"> </w:t>
      </w:r>
      <w:r>
        <w:t xml:space="preserve">permanência por falta de especificidade. A divergência se apoia na</w:t>
      </w:r>
      <w:r>
        <w:t xml:space="preserve"> </w:t>
      </w:r>
      <w:r>
        <w:t xml:space="preserve">passagem de uma obrigação normativa para uma garantia de implementação</w:t>
      </w:r>
      <w:r>
        <w:t xml:space="preserve"> </w:t>
      </w:r>
      <w:r>
        <w:t xml:space="preserve">duradoura.</w:t>
      </w:r>
    </w:p>
    <w:p>
      <w:pPr>
        <w:pStyle w:val="916"/>
      </w:pPr>
      <w:r>
        <w:rPr>
          <w:b/>
          <w:bCs/>
        </w:rPr>
        <w:t xml:space="preserve">Limites observados pela IA:</w:t>
      </w:r>
      <w:r>
        <w:t xml:space="preserve"> </w:t>
      </w:r>
      <w:r>
        <w:t xml:space="preserve">Não são descritas rotinas ou controles</w:t>
      </w:r>
      <w:r>
        <w:t xml:space="preserve"> </w:t>
      </w:r>
      <w:r>
        <w:t xml:space="preserve">adicionais para assegurar a aplicação continuada da metodologia.</w:t>
      </w:r>
    </w:p>
    <w:bookmarkEnd w:id="801"/>
    <w:bookmarkStart w:id="802" w:name="X7391de2ae960107ed054df350a8cac1a66e9068"/>
    <w:p>
      <w:pPr>
        <w:pStyle w:val="908"/>
      </w:pPr>
      <w:r>
        <w:t xml:space="preserve">18.1.1.1.4 C2 — Execução continuada dependente de adesão</w:t>
      </w:r>
    </w:p>
    <w:p>
      <w:pPr>
        <w:pStyle w:val="917"/>
      </w:pPr>
      <w:r>
        <w:rPr>
          <w:b/>
          <w:bCs/>
        </w:rPr>
        <w:t xml:space="preserve">Definição:</w:t>
      </w:r>
      <w:r>
        <w:t xml:space="preserve"> </w:t>
      </w:r>
      <w:r>
        <w:t xml:space="preserve">A divergência decorre de a durabilidade depender da</w:t>
      </w:r>
      <w:r>
        <w:t xml:space="preserve"> </w:t>
      </w:r>
      <w:r>
        <w:t xml:space="preserve">realização reiterada de rotinas, controles ou supervisão por pessoas ou</w:t>
      </w:r>
      <w:r>
        <w:t xml:space="preserve"> </w:t>
      </w:r>
      <w:r>
        <w:t xml:space="preserve">unidades, sem garantia textual de continuidade diante de mudanças de</w:t>
      </w:r>
      <w:r>
        <w:t xml:space="preserve"> </w:t>
      </w:r>
      <w:r>
        <w:t xml:space="preserve">atores.</w:t>
      </w:r>
    </w:p>
    <w:p>
      <w:pPr>
        <w:pStyle w:val="916"/>
      </w:pPr>
      <w:r>
        <w:rPr>
          <w:b/>
          <w:bCs/>
        </w:rPr>
        <w:t xml:space="preserve">Critérios de inclusão:</w:t>
      </w:r>
      <w:r>
        <w:t xml:space="preserve"> </w:t>
      </w:r>
      <w:r>
        <w:t xml:space="preserve">A recomendação exige monitoramento,</w:t>
      </w:r>
      <w:r>
        <w:t xml:space="preserve"> </w:t>
      </w:r>
      <w:r>
        <w:t xml:space="preserve">conferência, supervisão, pactuação ou execução recorrente.; O efeito</w:t>
      </w:r>
      <w:r>
        <w:t xml:space="preserve"> </w:t>
      </w:r>
      <w:r>
        <w:t xml:space="preserve">pretendido depende da adesão ou do compromisso continuado dos</w:t>
      </w:r>
      <w:r>
        <w:t xml:space="preserve"> </w:t>
      </w:r>
      <w:r>
        <w:t xml:space="preserve">executores.; A análise inicial infere institucionalização, enquanto a</w:t>
      </w:r>
      <w:r>
        <w:t xml:space="preserve"> </w:t>
      </w:r>
      <w:r>
        <w:t xml:space="preserve">análise crítica destaca dependência de pessoal, prioridades ou aplicação</w:t>
      </w:r>
      <w:r>
        <w:t xml:space="preserve"> </w:t>
      </w:r>
      <w:r>
        <w:t xml:space="preserve">prática.</w:t>
      </w:r>
    </w:p>
    <w:p>
      <w:pPr>
        <w:pStyle w:val="916"/>
      </w:pPr>
      <w:r>
        <w:rPr>
          <w:b/>
          <w:bCs/>
        </w:rPr>
        <w:t xml:space="preserve">Critérios de exclusão:</w:t>
      </w:r>
      <w:r>
        <w:t xml:space="preserve"> </w:t>
      </w:r>
      <w:r>
        <w:t xml:space="preserve">Não incluir quando a recomendação apenas</w:t>
      </w:r>
      <w:r>
        <w:t xml:space="preserve"> </w:t>
      </w:r>
      <w:r>
        <w:t xml:space="preserve">determina cumprimento normativo genérico.; Não incluir quando a ação</w:t>
      </w:r>
      <w:r>
        <w:t xml:space="preserve"> </w:t>
      </w:r>
      <w:r>
        <w:t xml:space="preserve">principal for capacitação ou transmissão de conhecimento.; Não incluir</w:t>
      </w:r>
      <w:r>
        <w:t xml:space="preserve"> </w:t>
      </w:r>
      <w:r>
        <w:t xml:space="preserve">quando o problema central for a ausência de investigação ou diagnóstico.</w:t>
      </w:r>
    </w:p>
    <w:p>
      <w:pPr>
        <w:pStyle w:val="916"/>
      </w:pPr>
      <w:r>
        <w:rPr>
          <w:b/>
          <w:bCs/>
        </w:rPr>
        <w:t xml:space="preserve">Exemplo 1 (19679_1/685375_1.json)</w:t>
      </w:r>
    </w:p>
    <w:p>
      <w:pPr>
        <w:pStyle w:val="916"/>
      </w:pPr>
      <w:r>
        <w:t xml:space="preserve">Adotar as providências para que o Dsei Kaiapó do Pará realize a análise</w:t>
      </w:r>
      <w:r>
        <w:t xml:space="preserve"> </w:t>
      </w:r>
      <w:r>
        <w:t xml:space="preserve">e homologação dos relatórios de acompanhamento, bem como, mantenha sob</w:t>
      </w:r>
      <w:r>
        <w:t xml:space="preserve"> </w:t>
      </w:r>
      <w:r>
        <w:t xml:space="preserve">sua guarda os documentos comprobatórios relacionados com a execução das</w:t>
      </w:r>
      <w:r>
        <w:t xml:space="preserve"> </w:t>
      </w:r>
      <w:r>
        <w:t xml:space="preserve">ações, tais como o relatório técnico, o mapa de produção, a escala de</w:t>
      </w:r>
      <w:r>
        <w:t xml:space="preserve"> </w:t>
      </w:r>
      <w:r>
        <w:t xml:space="preserve">trabalho e demais registros de controle quanto ao acompanhamento das</w:t>
      </w:r>
      <w:r>
        <w:t xml:space="preserve"> </w:t>
      </w:r>
      <w:r>
        <w:t xml:space="preserve">ações dos eixos de atuação da saúde indígena (Saneamento Ambiental e</w:t>
      </w:r>
      <w:r>
        <w:t xml:space="preserve"> </w:t>
      </w:r>
      <w:r>
        <w:t xml:space="preserve">Edificações), conforme Parágrafo Único e inciso IV do art. 11 da</w:t>
      </w:r>
      <w:r>
        <w:t xml:space="preserve"> </w:t>
      </w:r>
      <w:r>
        <w:t xml:space="preserve">Portaria de Consolidação nº 1 SESAI/MS/2020, observando a exatidão dos</w:t>
      </w:r>
      <w:r>
        <w:t xml:space="preserve"> </w:t>
      </w:r>
      <w:r>
        <w:t xml:space="preserve">dados e das informações que embasam os relatórios no Transferegov, nos</w:t>
      </w:r>
      <w:r>
        <w:t xml:space="preserve"> </w:t>
      </w:r>
      <w:r>
        <w:t xml:space="preserve">termos inciso II do art. 4º e arts. 12 e 13 da Portaria de Consolidação</w:t>
      </w:r>
      <w:r>
        <w:t xml:space="preserve"> </w:t>
      </w:r>
      <w:r>
        <w:t xml:space="preserve">nº 1 SESAI/MS/2020, bem como alínea</w:t>
      </w:r>
      <w:r>
        <w:t xml:space="preserve"> </w:t>
      </w:r>
      <w:r>
        <w:rPr>
          <w:rStyle w:val="949"/>
        </w:rPr>
        <w:t xml:space="preserve">i</w:t>
      </w:r>
      <w:r>
        <w:t xml:space="preserve"> </w:t>
      </w:r>
      <w:r>
        <w:t xml:space="preserve">do inciso I da Cláusula Quarta -</w:t>
      </w:r>
      <w:r>
        <w:t xml:space="preserve"> </w:t>
      </w:r>
      <w:r>
        <w:t xml:space="preserve">Das Obrigações Gerais do Convênio n 882492 e inciso I do art. 6º e art.</w:t>
      </w:r>
      <w:r>
        <w:t xml:space="preserve"> </w:t>
      </w:r>
      <w:r>
        <w:t xml:space="preserve">53 da Portaria Interministerial nº 424/2016, de 30/12/2016, a fim de</w:t>
      </w:r>
      <w:r>
        <w:t xml:space="preserve"> </w:t>
      </w:r>
      <w:r>
        <w:t xml:space="preserve">efetivar o acompanhamento da execução e a prestação de contas dos</w:t>
      </w:r>
      <w:r>
        <w:t xml:space="preserve"> </w:t>
      </w:r>
      <w:r>
        <w:t xml:space="preserve">convênios.</w:t>
      </w:r>
    </w:p>
    <w:p>
      <w:pPr>
        <w:pStyle w:val="916"/>
      </w:pPr>
      <w:r>
        <w:rPr>
          <w:b/>
          <w:bCs/>
        </w:rPr>
        <w:t xml:space="preserve">Justificativa da IA:</w:t>
      </w:r>
      <w:r>
        <w:t xml:space="preserve"> </w:t>
      </w:r>
      <w:r>
        <w:t xml:space="preserve">A análise inicial interpretou análise,</w:t>
      </w:r>
      <w:r>
        <w:t xml:space="preserve"> </w:t>
      </w:r>
      <w:r>
        <w:t xml:space="preserve">homologação e guarda documental como processo formal duradouro. A</w:t>
      </w:r>
      <w:r>
        <w:t xml:space="preserve"> </w:t>
      </w:r>
      <w:r>
        <w:t xml:space="preserve">análise crítica reconheceu o tratamento da causa, mas destacou que os</w:t>
      </w:r>
      <w:r>
        <w:t xml:space="preserve"> </w:t>
      </w:r>
      <w:r>
        <w:t xml:space="preserve">procedimentos operacionais dependem da adesão contínua dos atores. O</w:t>
      </w:r>
      <w:r>
        <w:t xml:space="preserve"> </w:t>
      </w:r>
      <w:r>
        <w:t xml:space="preserve">mecanismo predominante é a execução reiterada dessas rotinas.</w:t>
      </w:r>
    </w:p>
    <w:p>
      <w:pPr>
        <w:pStyle w:val="916"/>
      </w:pPr>
      <w:r>
        <w:rPr>
          <w:b/>
          <w:bCs/>
        </w:rPr>
        <w:t xml:space="preserve">Limites observados pela IA:</w:t>
      </w:r>
      <w:r>
        <w:t xml:space="preserve"> </w:t>
      </w:r>
      <w:r>
        <w:t xml:space="preserve">A recomendação define as tarefas, mas</w:t>
      </w:r>
      <w:r>
        <w:t xml:space="preserve"> </w:t>
      </w:r>
      <w:r>
        <w:t xml:space="preserve">não explicita controles para assegurar que continuem sendo realizadas.</w:t>
      </w:r>
    </w:p>
    <w:p>
      <w:pPr>
        <w:pStyle w:val="916"/>
      </w:pPr>
      <w:r>
        <w:rPr>
          <w:b/>
          <w:bCs/>
        </w:rPr>
        <w:t xml:space="preserve">Exemplo 2 (19610_1/674166_1.json)</w:t>
      </w:r>
    </w:p>
    <w:p>
      <w:pPr>
        <w:pStyle w:val="916"/>
      </w:pPr>
      <w:r>
        <w:t xml:space="preserve">Orientar o DSEI para que os superiores imediatos exerçam sua função de</w:t>
      </w:r>
      <w:r>
        <w:t xml:space="preserve"> </w:t>
      </w:r>
      <w:r>
        <w:t xml:space="preserve">supervisão do cumprimento de carga horária de seus subordinados,</w:t>
      </w:r>
      <w:r>
        <w:t xml:space="preserve"> </w:t>
      </w:r>
      <w:r>
        <w:t xml:space="preserve">mediante a assinatura das folhas de frequência referendando as</w:t>
      </w:r>
      <w:r>
        <w:t xml:space="preserve"> </w:t>
      </w:r>
      <w:r>
        <w:t xml:space="preserve">informações nelas registradas.</w:t>
      </w:r>
    </w:p>
    <w:p>
      <w:pPr>
        <w:pStyle w:val="916"/>
      </w:pPr>
      <w:r>
        <w:rPr>
          <w:b/>
          <w:bCs/>
        </w:rPr>
        <w:t xml:space="preserve">Justificativa da IA:</w:t>
      </w:r>
      <w:r>
        <w:t xml:space="preserve"> </w:t>
      </w:r>
      <w:r>
        <w:t xml:space="preserve">A análise inicial interpretou a supervisão e</w:t>
      </w:r>
      <w:r>
        <w:t xml:space="preserve"> </w:t>
      </w:r>
      <w:r>
        <w:t xml:space="preserve">assinatura das folhas como função institucional permanente. A análise</w:t>
      </w:r>
      <w:r>
        <w:t xml:space="preserve"> </w:t>
      </w:r>
      <w:r>
        <w:t xml:space="preserve">crítica reconheceu o processo, mas destacou que sua eficácia depende da</w:t>
      </w:r>
      <w:r>
        <w:t xml:space="preserve"> </w:t>
      </w:r>
      <w:r>
        <w:t xml:space="preserve">adesão consistente dos supervisores. A divergência decorre da tensão</w:t>
      </w:r>
      <w:r>
        <w:t xml:space="preserve"> </w:t>
      </w:r>
      <w:r>
        <w:t xml:space="preserve">entre a permanência formal da função e a execução reiterada por seus</w:t>
      </w:r>
      <w:r>
        <w:t xml:space="preserve"> </w:t>
      </w:r>
      <w:r>
        <w:t xml:space="preserve">ocupantes.</w:t>
      </w:r>
    </w:p>
    <w:p>
      <w:pPr>
        <w:pStyle w:val="916"/>
      </w:pPr>
      <w:r>
        <w:rPr>
          <w:b/>
          <w:bCs/>
        </w:rPr>
        <w:t xml:space="preserve">Limites observados pela IA:</w:t>
      </w:r>
      <w:r>
        <w:t xml:space="preserve"> </w:t>
      </w:r>
      <w:r>
        <w:t xml:space="preserve">A recomendação não prevê verificação</w:t>
      </w:r>
      <w:r>
        <w:t xml:space="preserve"> </w:t>
      </w:r>
      <w:r>
        <w:t xml:space="preserve">independente da assinatura ou consequências para a não supervisão.</w:t>
      </w:r>
    </w:p>
    <w:bookmarkEnd w:id="802"/>
    <w:bookmarkStart w:id="803" w:name="X1607bcca5c8e0406bd1f88db9d78d135a93609e"/>
    <w:p>
      <w:pPr>
        <w:pStyle w:val="908"/>
      </w:pPr>
      <w:r>
        <w:t xml:space="preserve">18.1.1.1.5 C3 — Capacitação sujeita a atualização e retenção</w:t>
      </w:r>
    </w:p>
    <w:p>
      <w:pPr>
        <w:pStyle w:val="917"/>
      </w:pPr>
      <w:r>
        <w:rPr>
          <w:b/>
          <w:bCs/>
        </w:rPr>
        <w:t xml:space="preserve">Definição:</w:t>
      </w:r>
      <w:r>
        <w:t xml:space="preserve"> </w:t>
      </w:r>
      <w:r>
        <w:t xml:space="preserve">A divergência decorre de ações de educação, treinamento</w:t>
      </w:r>
      <w:r>
        <w:t xml:space="preserve"> </w:t>
      </w:r>
      <w:r>
        <w:t xml:space="preserve">ou qualificação cujo efeito pode persistir como conhecimento, mas</w:t>
      </w:r>
      <w:r>
        <w:t xml:space="preserve"> </w:t>
      </w:r>
      <w:r>
        <w:t xml:space="preserve">depende de atualização, repetição, retenção de pessoal e incorporação</w:t>
      </w:r>
      <w:r>
        <w:t xml:space="preserve"> </w:t>
      </w:r>
      <w:r>
        <w:t xml:space="preserve">institucional.</w:t>
      </w:r>
    </w:p>
    <w:p>
      <w:pPr>
        <w:pStyle w:val="916"/>
      </w:pPr>
      <w:r>
        <w:rPr>
          <w:b/>
          <w:bCs/>
        </w:rPr>
        <w:t xml:space="preserve">Critérios de inclusão:</w:t>
      </w:r>
      <w:r>
        <w:t xml:space="preserve"> </w:t>
      </w:r>
      <w:r>
        <w:t xml:space="preserve">A recomendação tem como ação central ofertar</w:t>
      </w:r>
      <w:r>
        <w:t xml:space="preserve"> </w:t>
      </w:r>
      <w:r>
        <w:t xml:space="preserve">educação, treinamento, orientação ou capacitação.; A análise inicial</w:t>
      </w:r>
      <w:r>
        <w:t xml:space="preserve"> </w:t>
      </w:r>
      <w:r>
        <w:t xml:space="preserve">considera que conhecimentos adquiridos permanecem, enquanto a análise</w:t>
      </w:r>
      <w:r>
        <w:t xml:space="preserve"> </w:t>
      </w:r>
      <w:r>
        <w:t xml:space="preserve">crítica ressalta rotatividade, atualização ou necessidade de</w:t>
      </w:r>
      <w:r>
        <w:t xml:space="preserve"> </w:t>
      </w:r>
      <w:r>
        <w:t xml:space="preserve">continuidade.; A recomendação não demonstra, por si só, um mecanismo</w:t>
      </w:r>
      <w:r>
        <w:t xml:space="preserve"> </w:t>
      </w:r>
      <w:r>
        <w:t xml:space="preserve">institucional completo que assegure a transmissão e manutenção das</w:t>
      </w:r>
      <w:r>
        <w:t xml:space="preserve"> </w:t>
      </w:r>
      <w:r>
        <w:t xml:space="preserve">competências.</w:t>
      </w:r>
    </w:p>
    <w:p>
      <w:pPr>
        <w:pStyle w:val="916"/>
      </w:pPr>
      <w:r>
        <w:rPr>
          <w:b/>
          <w:bCs/>
        </w:rPr>
        <w:t xml:space="preserve">Critérios de exclusão:</w:t>
      </w:r>
      <w:r>
        <w:t xml:space="preserve"> </w:t>
      </w:r>
      <w:r>
        <w:t xml:space="preserve">Não incluir quando a capacitação for apenas</w:t>
      </w:r>
      <w:r>
        <w:t xml:space="preserve"> </w:t>
      </w:r>
      <w:r>
        <w:t xml:space="preserve">um componente secundário de um pacote dominado por outras ações.; Não</w:t>
      </w:r>
      <w:r>
        <w:t xml:space="preserve"> </w:t>
      </w:r>
      <w:r>
        <w:t xml:space="preserve">incluir quando a divergência decorrer principalmente de uma exigência</w:t>
      </w:r>
      <w:r>
        <w:t xml:space="preserve"> </w:t>
      </w:r>
      <w:r>
        <w:t xml:space="preserve">normativa sem implementação.; Não incluir quando a ação principal for</w:t>
      </w:r>
      <w:r>
        <w:t xml:space="preserve"> </w:t>
      </w:r>
      <w:r>
        <w:t xml:space="preserve">uma rotina de controle executada continuamente.</w:t>
      </w:r>
    </w:p>
    <w:p>
      <w:pPr>
        <w:pStyle w:val="916"/>
      </w:pPr>
      <w:r>
        <w:rPr>
          <w:b/>
          <w:bCs/>
        </w:rPr>
        <w:t xml:space="preserve">Exemplo 1 (19598_1/676938_1.json)</w:t>
      </w:r>
    </w:p>
    <w:p>
      <w:pPr>
        <w:pStyle w:val="916"/>
      </w:pPr>
      <w:r>
        <w:t xml:space="preserve">Capacitar os Médicos Reguladores para realizarem o pronto atendimento</w:t>
      </w:r>
      <w:r>
        <w:t xml:space="preserve"> </w:t>
      </w:r>
      <w:r>
        <w:t xml:space="preserve">das demandas e, havendo necessidade, que retornem à ligação de socorro</w:t>
      </w:r>
      <w:r>
        <w:t xml:space="preserve"> </w:t>
      </w:r>
      <w:r>
        <w:t xml:space="preserve">feita, conforme detalhado na Portaria de Consolidação MS/GM n° 03, de</w:t>
      </w:r>
      <w:r>
        <w:t xml:space="preserve"> </w:t>
      </w:r>
      <w:r>
        <w:t xml:space="preserve">28/09/2017, Anexo 4 do Anexo III - operacionalização das centrais</w:t>
      </w:r>
      <w:r>
        <w:t xml:space="preserve"> </w:t>
      </w:r>
      <w:r>
        <w:t xml:space="preserve">SAMU-192 e na Portaria MS/GM nº 2048, de 05/11/2002.</w:t>
      </w:r>
    </w:p>
    <w:p>
      <w:pPr>
        <w:pStyle w:val="916"/>
      </w:pPr>
      <w:r>
        <w:rPr>
          <w:b/>
          <w:bCs/>
        </w:rPr>
        <w:t xml:space="preserve">Justificativa da IA:</w:t>
      </w:r>
      <w:r>
        <w:t xml:space="preserve"> </w:t>
      </w:r>
      <w:r>
        <w:t xml:space="preserve">A análise inicial e a crítica concordaram que a</w:t>
      </w:r>
      <w:r>
        <w:t xml:space="preserve"> </w:t>
      </w:r>
      <w:r>
        <w:t xml:space="preserve">capacitação aborda a falta de preparo, mas divergiram quanto à</w:t>
      </w:r>
      <w:r>
        <w:t xml:space="preserve"> </w:t>
      </w:r>
      <w:r>
        <w:t xml:space="preserve">permanência: a inicial inferiu que o conhecimento persistiria, enquanto</w:t>
      </w:r>
      <w:r>
        <w:t xml:space="preserve"> </w:t>
      </w:r>
      <w:r>
        <w:t xml:space="preserve">a crítica condicionou o efeito à implementação contínua e à integração</w:t>
      </w:r>
      <w:r>
        <w:t xml:space="preserve"> </w:t>
      </w:r>
      <w:r>
        <w:t xml:space="preserve">institucional. O mecanismo é a dependência de atualização e retenção das</w:t>
      </w:r>
      <w:r>
        <w:t xml:space="preserve"> </w:t>
      </w:r>
      <w:r>
        <w:t xml:space="preserve">competências.</w:t>
      </w:r>
    </w:p>
    <w:p>
      <w:pPr>
        <w:pStyle w:val="916"/>
      </w:pPr>
      <w:r>
        <w:rPr>
          <w:b/>
          <w:bCs/>
        </w:rPr>
        <w:t xml:space="preserve">Limites observados pela IA:</w:t>
      </w:r>
      <w:r>
        <w:t xml:space="preserve"> </w:t>
      </w:r>
      <w:r>
        <w:t xml:space="preserve">A recomendação não estabelece programa</w:t>
      </w:r>
      <w:r>
        <w:t xml:space="preserve"> </w:t>
      </w:r>
      <w:r>
        <w:t xml:space="preserve">de reciclagem ou mecanismo de transmissão aos novos profissionais.</w:t>
      </w:r>
    </w:p>
    <w:p>
      <w:pPr>
        <w:pStyle w:val="916"/>
      </w:pPr>
      <w:r>
        <w:rPr>
          <w:b/>
          <w:bCs/>
        </w:rPr>
        <w:t xml:space="preserve">Exemplo 2 (19617_1/675261_1.json)</w:t>
      </w:r>
    </w:p>
    <w:p>
      <w:pPr>
        <w:pStyle w:val="916"/>
      </w:pPr>
      <w:r>
        <w:t xml:space="preserve">Implementar plano de capacitação direcionado aos fiscais de convênios de</w:t>
      </w:r>
      <w:r>
        <w:t xml:space="preserve"> </w:t>
      </w:r>
      <w:r>
        <w:t xml:space="preserve">saúde indígena, qualificando-os para as atribuições de sua competência</w:t>
      </w:r>
      <w:r>
        <w:t xml:space="preserve"> </w:t>
      </w:r>
      <w:r>
        <w:t xml:space="preserve">para a atender os artigos 41, 42, 56 e 59 da Portaria Interministerial</w:t>
      </w:r>
      <w:r>
        <w:t xml:space="preserve"> </w:t>
      </w:r>
      <w:r>
        <w:t xml:space="preserve">MP/MF/CGU nº 424/2016.</w:t>
      </w:r>
    </w:p>
    <w:p>
      <w:pPr>
        <w:pStyle w:val="916"/>
      </w:pPr>
      <w:r>
        <w:rPr>
          <w:b/>
          <w:bCs/>
        </w:rPr>
        <w:t xml:space="preserve">Justificativa da IA:</w:t>
      </w:r>
      <w:r>
        <w:t xml:space="preserve"> </w:t>
      </w:r>
      <w:r>
        <w:t xml:space="preserve">A análise inicial considerou o plano de</w:t>
      </w:r>
      <w:r>
        <w:t xml:space="preserve"> </w:t>
      </w:r>
      <w:r>
        <w:t xml:space="preserve">capacitação como desenvolvimento de competências incorporável à</w:t>
      </w:r>
      <w:r>
        <w:t xml:space="preserve"> </w:t>
      </w:r>
      <w:r>
        <w:t xml:space="preserve">estrutura. A análise crítica reconheceu o foco causal, mas destacou</w:t>
      </w:r>
      <w:r>
        <w:t xml:space="preserve"> </w:t>
      </w:r>
      <w:r>
        <w:t xml:space="preserve">atualização contínua e retenção de pessoal como condições da</w:t>
      </w:r>
      <w:r>
        <w:t xml:space="preserve"> </w:t>
      </w:r>
      <w:r>
        <w:t xml:space="preserve">durabilidade. O mecanismo predominante é a dependência temporal da</w:t>
      </w:r>
      <w:r>
        <w:t xml:space="preserve"> </w:t>
      </w:r>
      <w:r>
        <w:t xml:space="preserve">formação e da permanência dos conhecimentos.</w:t>
      </w:r>
    </w:p>
    <w:p>
      <w:pPr>
        <w:pStyle w:val="916"/>
      </w:pPr>
      <w:r>
        <w:rPr>
          <w:b/>
          <w:bCs/>
        </w:rPr>
        <w:t xml:space="preserve">Limites observados pela IA:</w:t>
      </w:r>
      <w:r>
        <w:t xml:space="preserve"> </w:t>
      </w:r>
      <w:r>
        <w:t xml:space="preserve">A recomendação determina um plano, mas</w:t>
      </w:r>
      <w:r>
        <w:t xml:space="preserve"> </w:t>
      </w:r>
      <w:r>
        <w:t xml:space="preserve">não especifica atualização, reciclagem ou transmissão aos substitutos.</w:t>
      </w:r>
    </w:p>
    <w:bookmarkEnd w:id="803"/>
    <w:bookmarkStart w:id="804" w:name="c4-pacote-heterogêneo-de-ações"/>
    <w:p>
      <w:pPr>
        <w:pStyle w:val="908"/>
      </w:pPr>
      <w:r>
        <w:t xml:space="preserve">18.1.1.1.6 C4 — Pacote heterogêneo de ações</w:t>
      </w:r>
    </w:p>
    <w:p>
      <w:pPr>
        <w:pStyle w:val="917"/>
      </w:pPr>
      <w:r>
        <w:rPr>
          <w:b/>
          <w:bCs/>
        </w:rPr>
        <w:t xml:space="preserve">Definição:</w:t>
      </w:r>
      <w:r>
        <w:t xml:space="preserve"> </w:t>
      </w:r>
      <w:r>
        <w:t xml:space="preserve">A divergência decorre da combinação, na mesma</w:t>
      </w:r>
      <w:r>
        <w:t xml:space="preserve"> </w:t>
      </w:r>
      <w:r>
        <w:t xml:space="preserve">recomendação, de medidas imediatas ou reparadoras com ações estruturais,</w:t>
      </w:r>
      <w:r>
        <w:t xml:space="preserve"> </w:t>
      </w:r>
      <w:r>
        <w:t xml:space="preserve">preventivas ou de capacitação, permitindo avaliações diferentes conforme</w:t>
      </w:r>
      <w:r>
        <w:t xml:space="preserve"> </w:t>
      </w:r>
      <w:r>
        <w:t xml:space="preserve">o componente valorizado.</w:t>
      </w:r>
    </w:p>
    <w:p>
      <w:pPr>
        <w:pStyle w:val="916"/>
      </w:pPr>
      <w:r>
        <w:rPr>
          <w:b/>
          <w:bCs/>
        </w:rPr>
        <w:t xml:space="preserve">Critérios de inclusão:</w:t>
      </w:r>
      <w:r>
        <w:t xml:space="preserve"> </w:t>
      </w:r>
      <w:r>
        <w:t xml:space="preserve">A recomendação contém duas ou mais ações</w:t>
      </w:r>
      <w:r>
        <w:t xml:space="preserve"> </w:t>
      </w:r>
      <w:r>
        <w:t xml:space="preserve">autônomas com funções distintas.; Pelo menos uma ação trata da condição</w:t>
      </w:r>
      <w:r>
        <w:t xml:space="preserve"> </w:t>
      </w:r>
      <w:r>
        <w:t xml:space="preserve">imediata e outra pretende modificar processos, capacidade ou controles.;</w:t>
      </w:r>
      <w:r>
        <w:t xml:space="preserve"> </w:t>
      </w:r>
      <w:r>
        <w:t xml:space="preserve">A análise inicial enfatiza o componente estrutural, enquanto a análise</w:t>
      </w:r>
      <w:r>
        <w:t xml:space="preserve"> </w:t>
      </w:r>
      <w:r>
        <w:t xml:space="preserve">crítica pondera a heterogeneidade, a execução ou a predominância da</w:t>
      </w:r>
      <w:r>
        <w:t xml:space="preserve"> </w:t>
      </w:r>
      <w:r>
        <w:t xml:space="preserve">medida corretiva.</w:t>
      </w:r>
    </w:p>
    <w:p>
      <w:pPr>
        <w:pStyle w:val="916"/>
      </w:pPr>
      <w:r>
        <w:rPr>
          <w:b/>
          <w:bCs/>
        </w:rPr>
        <w:t xml:space="preserve">Critérios de exclusão:</w:t>
      </w:r>
      <w:r>
        <w:t xml:space="preserve"> </w:t>
      </w:r>
      <w:r>
        <w:t xml:space="preserve">Não incluir quando houver apenas uma ação com</w:t>
      </w:r>
      <w:r>
        <w:t xml:space="preserve"> </w:t>
      </w:r>
      <w:r>
        <w:t xml:space="preserve">redação genérica.; Não incluir quando as várias providências forem</w:t>
      </w:r>
      <w:r>
        <w:t xml:space="preserve"> </w:t>
      </w:r>
      <w:r>
        <w:t xml:space="preserve">apenas etapas do mesmo procedimento.; Não incluir quando a divergência</w:t>
      </w:r>
      <w:r>
        <w:t xml:space="preserve"> </w:t>
      </w:r>
      <w:r>
        <w:t xml:space="preserve">puder ser explicada predominantemente por dependência de adesão</w:t>
      </w:r>
      <w:r>
        <w:t xml:space="preserve"> </w:t>
      </w:r>
      <w:r>
        <w:t xml:space="preserve">continuada.</w:t>
      </w:r>
    </w:p>
    <w:p>
      <w:pPr>
        <w:pStyle w:val="916"/>
      </w:pPr>
      <w:r>
        <w:rPr>
          <w:b/>
          <w:bCs/>
        </w:rPr>
        <w:t xml:space="preserve">Exemplo 1 (19729_1/691932_1.json)</w:t>
      </w:r>
    </w:p>
    <w:p>
      <w:pPr>
        <w:pStyle w:val="916"/>
      </w:pPr>
      <w:r>
        <w:t xml:space="preserve">Realizar um estudo de efetividade para aprimorar a metodologia empregada</w:t>
      </w:r>
      <w:r>
        <w:t xml:space="preserve"> </w:t>
      </w:r>
      <w:r>
        <w:t xml:space="preserve">na manutenção das viaturas e no uso das viaturas de reserva técnica.</w:t>
      </w:r>
      <w:r>
        <w:t xml:space="preserve"> </w:t>
      </w:r>
      <w:r>
        <w:t xml:space="preserve">Garantir que o quantitativo mínimo de veículos exigido pela legislação</w:t>
      </w:r>
      <w:r>
        <w:t xml:space="preserve"> </w:t>
      </w:r>
      <w:r>
        <w:t xml:space="preserve">esteja constantemente disponível para atender às necessidades da</w:t>
      </w:r>
      <w:r>
        <w:t xml:space="preserve"> </w:t>
      </w:r>
      <w:r>
        <w:t xml:space="preserve">população, considerando o disposto no art. 45, Seção III, Capítulo I,</w:t>
      </w:r>
      <w:r>
        <w:t xml:space="preserve"> </w:t>
      </w:r>
      <w:r>
        <w:t xml:space="preserve">Título II, Livro II, Anexo III da PRC nº 03, de 28/09/2017.</w:t>
      </w:r>
    </w:p>
    <w:p>
      <w:pPr>
        <w:pStyle w:val="916"/>
      </w:pPr>
      <w:r>
        <w:rPr>
          <w:b/>
          <w:bCs/>
        </w:rPr>
        <w:t xml:space="preserve">Justificativa da IA:</w:t>
      </w:r>
      <w:r>
        <w:t xml:space="preserve"> </w:t>
      </w:r>
      <w:r>
        <w:t xml:space="preserve">A análise inicial enfatizou o estudo de</w:t>
      </w:r>
      <w:r>
        <w:t xml:space="preserve"> </w:t>
      </w:r>
      <w:r>
        <w:t xml:space="preserve">efetividade e a metodologia de manutenção como tratamento causal. A</w:t>
      </w:r>
      <w:r>
        <w:t xml:space="preserve"> </w:t>
      </w:r>
      <w:r>
        <w:t xml:space="preserve">análise crítica reconheceu esse componente, mas destacou que garantir o</w:t>
      </w:r>
      <w:r>
        <w:t xml:space="preserve"> </w:t>
      </w:r>
      <w:r>
        <w:t xml:space="preserve">quantitativo mínimo é uma medida direta sobre a condição encontrada. A</w:t>
      </w:r>
      <w:r>
        <w:t xml:space="preserve"> </w:t>
      </w:r>
      <w:r>
        <w:t xml:space="preserve">divergência decorre da combinação de estudo estrutural com garantia</w:t>
      </w:r>
      <w:r>
        <w:t xml:space="preserve"> </w:t>
      </w:r>
      <w:r>
        <w:t xml:space="preserve">imediata de disponibilidade.</w:t>
      </w:r>
    </w:p>
    <w:p>
      <w:pPr>
        <w:pStyle w:val="916"/>
      </w:pPr>
      <w:r>
        <w:rPr>
          <w:b/>
          <w:bCs/>
        </w:rPr>
        <w:t xml:space="preserve">Limites observados pela IA:</w:t>
      </w:r>
      <w:r>
        <w:t xml:space="preserve"> </w:t>
      </w:r>
      <w:r>
        <w:t xml:space="preserve">Não está claro no texto se o estudo</w:t>
      </w:r>
      <w:r>
        <w:t xml:space="preserve"> </w:t>
      </w:r>
      <w:r>
        <w:t xml:space="preserve">produzirá mudanças efetivas na manutenção ou na gestão da frota.</w:t>
      </w:r>
    </w:p>
    <w:p>
      <w:pPr>
        <w:pStyle w:val="916"/>
      </w:pPr>
      <w:r>
        <w:rPr>
          <w:b/>
          <w:bCs/>
        </w:rPr>
        <w:t xml:space="preserve">Exemplo 2 (19890_1/702548_2.json)</w:t>
      </w:r>
    </w:p>
    <w:p>
      <w:pPr>
        <w:pStyle w:val="916"/>
      </w:pPr>
      <w:r>
        <w:t xml:space="preserve">Providenciar a correção dos processos e fluxo de apresentação das</w:t>
      </w:r>
      <w:r>
        <w:t xml:space="preserve"> </w:t>
      </w:r>
      <w:r>
        <w:t xml:space="preserve">documentações solicitadas desenvolvidos pelo DAME (departamento de</w:t>
      </w:r>
      <w:r>
        <w:t xml:space="preserve"> </w:t>
      </w:r>
      <w:r>
        <w:t xml:space="preserve">arquivo médico e estatístico), a fim de garantir a existência de</w:t>
      </w:r>
      <w:r>
        <w:t xml:space="preserve"> </w:t>
      </w:r>
      <w:r>
        <w:t xml:space="preserve">documentos que evidenciem a efetiva prestação dos serviços de forma</w:t>
      </w:r>
      <w:r>
        <w:t xml:space="preserve"> </w:t>
      </w:r>
      <w:r>
        <w:t xml:space="preserve">organizada quando solicitadas, conforme preconizado no Art. 11°, do</w:t>
      </w:r>
      <w:r>
        <w:t xml:space="preserve"> </w:t>
      </w:r>
      <w:r>
        <w:t xml:space="preserve">Decreto Federal nº 1.651, de 28/09/1995, quanto à disponibilização de</w:t>
      </w:r>
      <w:r>
        <w:t xml:space="preserve"> </w:t>
      </w:r>
      <w:r>
        <w:t xml:space="preserve">documentos solicitados, bem como realizar a orientação e treinamento da</w:t>
      </w:r>
      <w:r>
        <w:t xml:space="preserve"> </w:t>
      </w:r>
      <w:r>
        <w:t xml:space="preserve">equipe técnica da unidade auditada, para atender as disposições contidas</w:t>
      </w:r>
      <w:r>
        <w:t xml:space="preserve"> </w:t>
      </w:r>
      <w:r>
        <w:t xml:space="preserve">nos parágrafo 1º e 2º, do Art. 87, do Código de Ética Médica, aprovado</w:t>
      </w:r>
      <w:r>
        <w:t xml:space="preserve"> </w:t>
      </w:r>
      <w:r>
        <w:t xml:space="preserve">pela Resolução CFM nº 2.217/2018.</w:t>
      </w:r>
    </w:p>
    <w:p>
      <w:pPr>
        <w:pStyle w:val="916"/>
      </w:pPr>
      <w:r>
        <w:rPr>
          <w:b/>
          <w:bCs/>
        </w:rPr>
        <w:t xml:space="preserve">Justificativa da IA:</w:t>
      </w:r>
      <w:r>
        <w:t xml:space="preserve"> </w:t>
      </w:r>
      <w:r>
        <w:t xml:space="preserve">A análise inicial tratou a correção de</w:t>
      </w:r>
      <w:r>
        <w:t xml:space="preserve"> </w:t>
      </w:r>
      <w:r>
        <w:t xml:space="preserve">processos e fluxos como estrutural e o treinamento como apoio à</w:t>
      </w:r>
      <w:r>
        <w:t xml:space="preserve"> </w:t>
      </w:r>
      <w:r>
        <w:t xml:space="preserve">sustentabilidade. A análise crítica concordou com o foco causal, mas</w:t>
      </w:r>
      <w:r>
        <w:t xml:space="preserve"> </w:t>
      </w:r>
      <w:r>
        <w:t xml:space="preserve">distinguiu processos possivelmente permanentes de treinamento que pode</w:t>
      </w:r>
      <w:r>
        <w:t xml:space="preserve"> </w:t>
      </w:r>
      <w:r>
        <w:t xml:space="preserve">exigir reforços. A divergência decorre do pacote combinar modificação de</w:t>
      </w:r>
      <w:r>
        <w:t xml:space="preserve"> </w:t>
      </w:r>
      <w:r>
        <w:t xml:space="preserve">fluxo com capacitação, cada componente tendo diferente estabilidade.</w:t>
      </w:r>
    </w:p>
    <w:p>
      <w:pPr>
        <w:pStyle w:val="916"/>
      </w:pPr>
      <w:r>
        <w:rPr>
          <w:b/>
          <w:bCs/>
        </w:rPr>
        <w:t xml:space="preserve">Limites observados pela IA:</w:t>
      </w:r>
      <w:r>
        <w:t xml:space="preserve"> </w:t>
      </w:r>
      <w:r>
        <w:t xml:space="preserve">O texto não esclarece se o treinamento</w:t>
      </w:r>
      <w:r>
        <w:t xml:space="preserve"> </w:t>
      </w:r>
      <w:r>
        <w:t xml:space="preserve">será periódico nem se os novos fluxos terão controles de manutenção.</w:t>
      </w:r>
    </w:p>
    <w:bookmarkEnd w:id="804"/>
    <w:bookmarkStart w:id="805" w:name="Xe2411424b2c6098f10a499c66b32f7f0fa70923"/>
    <w:p>
      <w:pPr>
        <w:pStyle w:val="908"/>
      </w:pPr>
      <w:r>
        <w:t xml:space="preserve">18.1.1.1.7 C5 — Investigação sem tratamento assegurado</w:t>
      </w:r>
    </w:p>
    <w:p>
      <w:pPr>
        <w:pStyle w:val="917"/>
      </w:pPr>
      <w:r>
        <w:rPr>
          <w:b/>
          <w:bCs/>
        </w:rPr>
        <w:t xml:space="preserve">Definição:</w:t>
      </w:r>
      <w:r>
        <w:t xml:space="preserve"> </w:t>
      </w:r>
      <w:r>
        <w:t xml:space="preserve">A divergência decorre de a recomendação limitar-se a</w:t>
      </w:r>
      <w:r>
        <w:t xml:space="preserve"> </w:t>
      </w:r>
      <w:r>
        <w:t xml:space="preserve">solicitar informações, justificativas ou apuração, sem determinar a</w:t>
      </w:r>
      <w:r>
        <w:t xml:space="preserve"> </w:t>
      </w:r>
      <w:r>
        <w:t xml:space="preserve">implementação das medidas que tratariam a causa identificada.</w:t>
      </w:r>
    </w:p>
    <w:p>
      <w:pPr>
        <w:pStyle w:val="916"/>
      </w:pPr>
      <w:r>
        <w:rPr>
          <w:b/>
          <w:bCs/>
        </w:rPr>
        <w:t xml:space="preserve">Critérios de inclusão:</w:t>
      </w:r>
      <w:r>
        <w:t xml:space="preserve"> </w:t>
      </w:r>
      <w:r>
        <w:t xml:space="preserve">A ação principal é investigar, apurar,</w:t>
      </w:r>
      <w:r>
        <w:t xml:space="preserve"> </w:t>
      </w:r>
      <w:r>
        <w:t xml:space="preserve">solicitar justificativa ou obter informação.; O texto não assegura que</w:t>
      </w:r>
      <w:r>
        <w:t xml:space="preserve"> </w:t>
      </w:r>
      <w:r>
        <w:t xml:space="preserve">as causas encontradas serão corrigidas.; A análise inicial ou crítica</w:t>
      </w:r>
      <w:r>
        <w:t xml:space="preserve"> </w:t>
      </w:r>
      <w:r>
        <w:t xml:space="preserve">infere possíveis efeitos futuros a partir de uma etapa diagnóstica,</w:t>
      </w:r>
      <w:r>
        <w:t xml:space="preserve"> </w:t>
      </w:r>
      <w:r>
        <w:t xml:space="preserve">embora a recomendação não os estabeleça.</w:t>
      </w:r>
    </w:p>
    <w:p>
      <w:pPr>
        <w:pStyle w:val="916"/>
      </w:pPr>
      <w:r>
        <w:rPr>
          <w:b/>
          <w:bCs/>
        </w:rPr>
        <w:t xml:space="preserve">Critérios de exclusão:</w:t>
      </w:r>
      <w:r>
        <w:t xml:space="preserve"> </w:t>
      </w:r>
      <w:r>
        <w:t xml:space="preserve">Não incluir quando a investigação vier</w:t>
      </w:r>
      <w:r>
        <w:t xml:space="preserve"> </w:t>
      </w:r>
      <w:r>
        <w:t xml:space="preserve">acompanhada de medidas corretivas ou preventivas determinadas.; Não</w:t>
      </w:r>
      <w:r>
        <w:t xml:space="preserve"> </w:t>
      </w:r>
      <w:r>
        <w:t xml:space="preserve">incluir quando a recomendação estabelecer diretamente uma rotina de</w:t>
      </w:r>
      <w:r>
        <w:t xml:space="preserve"> </w:t>
      </w:r>
      <w:r>
        <w:t xml:space="preserve">controle.; Não incluir quando a divergência central for apenas a</w:t>
      </w:r>
      <w:r>
        <w:t xml:space="preserve"> </w:t>
      </w:r>
      <w:r>
        <w:t xml:space="preserve">generalidade de uma exigência normativa.</w:t>
      </w:r>
    </w:p>
    <w:p>
      <w:pPr>
        <w:pStyle w:val="916"/>
      </w:pPr>
      <w:r>
        <w:rPr>
          <w:b/>
          <w:bCs/>
        </w:rPr>
        <w:t xml:space="preserve">Exemplo 1 (19611_1/674403_1.json)</w:t>
      </w:r>
    </w:p>
    <w:p>
      <w:pPr>
        <w:pStyle w:val="916"/>
      </w:pPr>
      <w:r>
        <w:t xml:space="preserve">Apurar junto à entidade convenente os motivos que levaram o Secretário</w:t>
      </w:r>
      <w:r>
        <w:t xml:space="preserve"> </w:t>
      </w:r>
      <w:r>
        <w:t xml:space="preserve">Municipal de Indústria, Comércio e Turismo de Paço do Lumiar a atuar em</w:t>
      </w:r>
      <w:r>
        <w:t xml:space="preserve"> </w:t>
      </w:r>
      <w:r>
        <w:t xml:space="preserve">processos de execução relacionados ao Convênio nº 878454/2018, tendo em</w:t>
      </w:r>
      <w:r>
        <w:t xml:space="preserve"> </w:t>
      </w:r>
      <w:r>
        <w:t xml:space="preserve">vista que esse já não fazia mais parte do quadro de funcionários.</w:t>
      </w:r>
    </w:p>
    <w:p>
      <w:pPr>
        <w:pStyle w:val="916"/>
      </w:pPr>
      <w:r>
        <w:rPr>
          <w:b/>
          <w:bCs/>
        </w:rPr>
        <w:t xml:space="preserve">Justificativa da IA:</w:t>
      </w:r>
      <w:r>
        <w:t xml:space="preserve"> </w:t>
      </w:r>
      <w:r>
        <w:t xml:space="preserve">A análise inicial tratou a apuração dos motivos</w:t>
      </w:r>
      <w:r>
        <w:t xml:space="preserve"> </w:t>
      </w:r>
      <w:r>
        <w:t xml:space="preserve">como identificação da causa e presumiu que ela poderia gerar melhorias</w:t>
      </w:r>
      <w:r>
        <w:t xml:space="preserve"> </w:t>
      </w:r>
      <w:r>
        <w:t xml:space="preserve">de controle. A análise crítica reconheceu o potencial diagnóstico, mas</w:t>
      </w:r>
      <w:r>
        <w:t xml:space="preserve"> </w:t>
      </w:r>
      <w:r>
        <w:t xml:space="preserve">destacou que a recomendação não determina qualquer correção. A</w:t>
      </w:r>
      <w:r>
        <w:t xml:space="preserve"> </w:t>
      </w:r>
      <w:r>
        <w:t xml:space="preserve">instabilidade decorre de confundir investigação da causa com tratamento</w:t>
      </w:r>
      <w:r>
        <w:t xml:space="preserve"> </w:t>
      </w:r>
      <w:r>
        <w:t xml:space="preserve">da causa.</w:t>
      </w:r>
    </w:p>
    <w:p>
      <w:pPr>
        <w:pStyle w:val="916"/>
      </w:pPr>
      <w:r>
        <w:rPr>
          <w:b/>
          <w:bCs/>
        </w:rPr>
        <w:t xml:space="preserve">Limites observados pela IA:</w:t>
      </w:r>
      <w:r>
        <w:t xml:space="preserve"> </w:t>
      </w:r>
      <w:r>
        <w:t xml:space="preserve">O texto limita-se a apurar motivos e não</w:t>
      </w:r>
      <w:r>
        <w:t xml:space="preserve"> </w:t>
      </w:r>
      <w:r>
        <w:t xml:space="preserve">prevê medidas posteriores.</w:t>
      </w:r>
    </w:p>
    <w:p>
      <w:pPr>
        <w:pStyle w:val="916"/>
      </w:pPr>
      <w:r>
        <w:rPr>
          <w:b/>
          <w:bCs/>
        </w:rPr>
        <w:t xml:space="preserve">Exemplo 2 (19613_1/677740_2.json)</w:t>
      </w:r>
    </w:p>
    <w:p>
      <w:pPr>
        <w:pStyle w:val="916"/>
      </w:pPr>
      <w:r>
        <w:t xml:space="preserve">Solicitar o DSEI ARS informação/justificativa para o não cumprimento das</w:t>
      </w:r>
      <w:r>
        <w:t xml:space="preserve"> </w:t>
      </w:r>
      <w:r>
        <w:t xml:space="preserve">metas previstas no Plano de Ação.</w:t>
      </w:r>
    </w:p>
    <w:p>
      <w:pPr>
        <w:pStyle w:val="916"/>
      </w:pPr>
      <w:r>
        <w:rPr>
          <w:b/>
          <w:bCs/>
        </w:rPr>
        <w:t xml:space="preserve">Justificativa da IA:</w:t>
      </w:r>
      <w:r>
        <w:t xml:space="preserve"> </w:t>
      </w:r>
      <w:r>
        <w:t xml:space="preserve">A análise inicial classificou a solicitação de</w:t>
      </w:r>
      <w:r>
        <w:t xml:space="preserve"> </w:t>
      </w:r>
      <w:r>
        <w:t xml:space="preserve">informação como etapa incapaz de tratar diretamente a causa. A análise</w:t>
      </w:r>
      <w:r>
        <w:t xml:space="preserve"> </w:t>
      </w:r>
      <w:r>
        <w:t xml:space="preserve">crítica reconheceu que ela pode ajudar a identificar a causa, mas apenas</w:t>
      </w:r>
      <w:r>
        <w:t xml:space="preserve"> </w:t>
      </w:r>
      <w:r>
        <w:t xml:space="preserve">como passo inicial. A divergência decorre de atribuir efeitos causais e</w:t>
      </w:r>
      <w:r>
        <w:t xml:space="preserve"> </w:t>
      </w:r>
      <w:r>
        <w:t xml:space="preserve">duradouros a uma investigação que não determina medidas posteriores.</w:t>
      </w:r>
    </w:p>
    <w:p>
      <w:pPr>
        <w:pStyle w:val="916"/>
      </w:pPr>
      <w:r>
        <w:rPr>
          <w:b/>
          <w:bCs/>
        </w:rPr>
        <w:t xml:space="preserve">Limites observados pela IA:</w:t>
      </w:r>
      <w:r>
        <w:t xml:space="preserve"> </w:t>
      </w:r>
      <w:r>
        <w:t xml:space="preserve">O texto solicita justificativa sobre</w:t>
      </w:r>
      <w:r>
        <w:t xml:space="preserve"> </w:t>
      </w:r>
      <w:r>
        <w:t xml:space="preserve">metas, sem prever ação após a identificação dos motivos.</w:t>
      </w:r>
    </w:p>
    <w:bookmarkEnd w:id="805"/>
    <w:bookmarkStart w:id="806" w:name="X3ddda78ad34b1858ebb4238f74caede0e7c9142"/>
    <w:p>
      <w:pPr>
        <w:pStyle w:val="908"/>
      </w:pPr>
      <w:r>
        <w:t xml:space="preserve">18.1.1.1.8 C6 — Formalização sem institucionalização demonstrada</w:t>
      </w:r>
    </w:p>
    <w:p>
      <w:pPr>
        <w:pStyle w:val="917"/>
      </w:pPr>
      <w:r>
        <w:rPr>
          <w:b/>
          <w:bCs/>
        </w:rPr>
        <w:t xml:space="preserve">Definição:</w:t>
      </w:r>
      <w:r>
        <w:t xml:space="preserve"> </w:t>
      </w:r>
      <w:r>
        <w:t xml:space="preserve">A divergência decorre da criação ou atualização de</w:t>
      </w:r>
      <w:r>
        <w:t xml:space="preserve"> </w:t>
      </w:r>
      <w:r>
        <w:t xml:space="preserve">documentos, planos, registros, fluxos ou processos formais cuja</w:t>
      </w:r>
      <w:r>
        <w:t xml:space="preserve"> </w:t>
      </w:r>
      <w:r>
        <w:t xml:space="preserve">existência é apresentada como duradoura, mas cuja implementação,</w:t>
      </w:r>
      <w:r>
        <w:t xml:space="preserve"> </w:t>
      </w:r>
      <w:r>
        <w:t xml:space="preserve">manutenção e integração institucional não são demonstradas.</w:t>
      </w:r>
    </w:p>
    <w:p>
      <w:pPr>
        <w:pStyle w:val="916"/>
      </w:pPr>
      <w:r>
        <w:rPr>
          <w:b/>
          <w:bCs/>
        </w:rPr>
        <w:t xml:space="preserve">Critérios de inclusão:</w:t>
      </w:r>
      <w:r>
        <w:t xml:space="preserve"> </w:t>
      </w:r>
      <w:r>
        <w:t xml:space="preserve">A recomendação prevê elaborar, incluir,</w:t>
      </w:r>
      <w:r>
        <w:t xml:space="preserve"> </w:t>
      </w:r>
      <w:r>
        <w:t xml:space="preserve">registrar, organizar ou aprimorar documentos, planos, fluxos ou</w:t>
      </w:r>
      <w:r>
        <w:t xml:space="preserve"> </w:t>
      </w:r>
      <w:r>
        <w:t xml:space="preserve">instrumentos.; A análise inicial associa a formalização documental à</w:t>
      </w:r>
      <w:r>
        <w:t xml:space="preserve"> </w:t>
      </w:r>
      <w:r>
        <w:t xml:space="preserve">permanência dos efeitos.; A análise crítica aponta ausência de</w:t>
      </w:r>
      <w:r>
        <w:t xml:space="preserve"> </w:t>
      </w:r>
      <w:r>
        <w:t xml:space="preserve">detalhamento sobre implementação, revisão, monitoramento ou</w:t>
      </w:r>
      <w:r>
        <w:t xml:space="preserve"> </w:t>
      </w:r>
      <w:r>
        <w:t xml:space="preserve">institucionalização.</w:t>
      </w:r>
    </w:p>
    <w:p>
      <w:pPr>
        <w:pStyle w:val="916"/>
      </w:pPr>
      <w:r>
        <w:rPr>
          <w:b/>
          <w:bCs/>
        </w:rPr>
        <w:t xml:space="preserve">Critérios de exclusão:</w:t>
      </w:r>
      <w:r>
        <w:t xml:space="preserve"> </w:t>
      </w:r>
      <w:r>
        <w:t xml:space="preserve">Não incluir quando o texto se limitar a citar</w:t>
      </w:r>
      <w:r>
        <w:t xml:space="preserve"> </w:t>
      </w:r>
      <w:r>
        <w:t xml:space="preserve">uma norma sem determinar formalização ou criação de instrumento.; Não</w:t>
      </w:r>
      <w:r>
        <w:t xml:space="preserve"> </w:t>
      </w:r>
      <w:r>
        <w:t xml:space="preserve">incluir quando o mecanismo predominante for a execução reiterada por</w:t>
      </w:r>
      <w:r>
        <w:t xml:space="preserve"> </w:t>
      </w:r>
      <w:r>
        <w:t xml:space="preserve">pessoas.; Não incluir quando o núcleo da recomendação for exclusivamente</w:t>
      </w:r>
      <w:r>
        <w:t xml:space="preserve"> </w:t>
      </w:r>
      <w:r>
        <w:t xml:space="preserve">capacitação.</w:t>
      </w:r>
    </w:p>
    <w:p>
      <w:pPr>
        <w:pStyle w:val="916"/>
      </w:pPr>
      <w:r>
        <w:rPr>
          <w:b/>
          <w:bCs/>
        </w:rPr>
        <w:t xml:space="preserve">Exemplo 1 (19671_1/688498_1.json)</w:t>
      </w:r>
    </w:p>
    <w:p>
      <w:pPr>
        <w:pStyle w:val="916"/>
      </w:pPr>
      <w:r>
        <w:t xml:space="preserve">Incluir informações sobre a organização e estruturação da rede para</w:t>
      </w:r>
      <w:r>
        <w:t xml:space="preserve"> </w:t>
      </w:r>
      <w:r>
        <w:t xml:space="preserve">atendimento integral ao portador de DRC nos instrumentos de planejamento</w:t>
      </w:r>
      <w:r>
        <w:t xml:space="preserve"> </w:t>
      </w:r>
      <w:r>
        <w:t xml:space="preserve">de saúde do Município, como também, constituir e incluir o Plano de</w:t>
      </w:r>
      <w:r>
        <w:t xml:space="preserve"> </w:t>
      </w:r>
      <w:r>
        <w:t xml:space="preserve">Prevenção e Tratamento das Doenças Renais no Plano Municipal de Saúde,</w:t>
      </w:r>
      <w:r>
        <w:t xml:space="preserve"> </w:t>
      </w:r>
      <w:r>
        <w:t xml:space="preserve">com o propósito de organizar e estruturar a rede para atendimento</w:t>
      </w:r>
      <w:r>
        <w:t xml:space="preserve"> </w:t>
      </w:r>
      <w:r>
        <w:t xml:space="preserve">integral ao portador de DRC conforme o artigo 2º (A Política Nacional de</w:t>
      </w:r>
      <w:r>
        <w:t xml:space="preserve"> </w:t>
      </w:r>
      <w:r>
        <w:t xml:space="preserve">Atenção ao Portador de Doença Renal será organizada de forma articulada</w:t>
      </w:r>
      <w:r>
        <w:t xml:space="preserve"> </w:t>
      </w:r>
      <w:r>
        <w:t xml:space="preserve">entre o Ministério da Saúde, as Secretarias de Estado da Saúde e as</w:t>
      </w:r>
      <w:r>
        <w:t xml:space="preserve"> </w:t>
      </w:r>
      <w:r>
        <w:t xml:space="preserve">Secretarias Municipais de Saúde) e Inciso IV do art. 3º, Anexo XXXIII da</w:t>
      </w:r>
      <w:r>
        <w:t xml:space="preserve"> </w:t>
      </w:r>
      <w:r>
        <w:t xml:space="preserve">Portaria de Consolidação GM/MS de nº 02, de 28/9/2017, que trata da</w:t>
      </w:r>
      <w:r>
        <w:t xml:space="preserve"> </w:t>
      </w:r>
      <w:r>
        <w:t xml:space="preserve">inclusão do plano de Prevenção e Tratamento das Doenças Renais nos</w:t>
      </w:r>
      <w:r>
        <w:t xml:space="preserve"> </w:t>
      </w:r>
      <w:r>
        <w:t xml:space="preserve">Planos Municipais de Saúde e nos Planos de Desenvolvimento Regionais dos</w:t>
      </w:r>
      <w:r>
        <w:t xml:space="preserve"> </w:t>
      </w:r>
      <w:r>
        <w:t xml:space="preserve">Estados e do Distrito Federal.</w:t>
      </w:r>
    </w:p>
    <w:p>
      <w:pPr>
        <w:pStyle w:val="916"/>
      </w:pPr>
      <w:r>
        <w:rPr>
          <w:b/>
          <w:bCs/>
        </w:rPr>
        <w:t xml:space="preserve">Justificativa da IA:</w:t>
      </w:r>
      <w:r>
        <w:t xml:space="preserve"> </w:t>
      </w:r>
      <w:r>
        <w:t xml:space="preserve">A análise inicial tratou a inclusão de</w:t>
      </w:r>
      <w:r>
        <w:t xml:space="preserve"> </w:t>
      </w:r>
      <w:r>
        <w:t xml:space="preserve">informações e do plano nos instrumentos municipais como estrutura</w:t>
      </w:r>
      <w:r>
        <w:t xml:space="preserve"> </w:t>
      </w:r>
      <w:r>
        <w:t xml:space="preserve">permanente. A análise crítica não confirmou a aplicação do critério,</w:t>
      </w:r>
      <w:r>
        <w:t xml:space="preserve"> </w:t>
      </w:r>
      <w:r>
        <w:t xml:space="preserve">remetendo à distinção entre correção imediata e prevenção. A divergência</w:t>
      </w:r>
      <w:r>
        <w:t xml:space="preserve"> </w:t>
      </w:r>
      <w:r>
        <w:t xml:space="preserve">decorre de considerar a formalização do planejamento suficiente ou</w:t>
      </w:r>
      <w:r>
        <w:t xml:space="preserve"> </w:t>
      </w:r>
      <w:r>
        <w:t xml:space="preserve">insuficiente para garantir organização efetiva da rede.</w:t>
      </w:r>
    </w:p>
    <w:p>
      <w:pPr>
        <w:pStyle w:val="916"/>
      </w:pPr>
      <w:r>
        <w:rPr>
          <w:b/>
          <w:bCs/>
        </w:rPr>
        <w:t xml:space="preserve">Limites observados pela IA:</w:t>
      </w:r>
      <w:r>
        <w:t xml:space="preserve"> </w:t>
      </w:r>
      <w:r>
        <w:t xml:space="preserve">O texto determina inclusão e</w:t>
      </w:r>
      <w:r>
        <w:t xml:space="preserve"> </w:t>
      </w:r>
      <w:r>
        <w:t xml:space="preserve">constituição de plano, mas não descreve sua execução, revisão ou</w:t>
      </w:r>
      <w:r>
        <w:t xml:space="preserve"> </w:t>
      </w:r>
      <w:r>
        <w:t xml:space="preserve">monitoramento.</w:t>
      </w:r>
    </w:p>
    <w:p>
      <w:pPr>
        <w:pStyle w:val="916"/>
      </w:pPr>
      <w:r>
        <w:rPr>
          <w:b/>
          <w:bCs/>
        </w:rPr>
        <w:t xml:space="preserve">Exemplo 2 (19561_1/674941_1.json)</w:t>
      </w:r>
    </w:p>
    <w:p>
      <w:pPr>
        <w:pStyle w:val="916"/>
      </w:pPr>
      <w:r>
        <w:t xml:space="preserve">Adotar medidas para garantir a alimentação, análise e verificação da</w:t>
      </w:r>
      <w:r>
        <w:t xml:space="preserve"> </w:t>
      </w:r>
      <w:r>
        <w:t xml:space="preserve">qualidade e a consistência dos dados inseridos nos sistemas nacionais de</w:t>
      </w:r>
      <w:r>
        <w:t xml:space="preserve"> </w:t>
      </w:r>
      <w:r>
        <w:t xml:space="preserve">informação, em conformidade com os itens 2.2.2 - Monitoramento e</w:t>
      </w:r>
      <w:r>
        <w:t xml:space="preserve"> </w:t>
      </w:r>
      <w:r>
        <w:t xml:space="preserve">avaliação dos indicadores do Manual Instrutivo do Previne Brasil, 1ª</w:t>
      </w:r>
      <w:r>
        <w:t xml:space="preserve"> </w:t>
      </w:r>
      <w:r>
        <w:t xml:space="preserve">ed., p. 31., 2021, 2.2.2.1 - Registro das Informações do Manual</w:t>
      </w:r>
      <w:r>
        <w:t xml:space="preserve"> </w:t>
      </w:r>
      <w:r>
        <w:t xml:space="preserve">Instrutivo do Previne Brasil, 1ª ed., p.37., 2021, concomitante com o</w:t>
      </w:r>
      <w:r>
        <w:t xml:space="preserve"> </w:t>
      </w:r>
      <w:r>
        <w:t xml:space="preserve">item 4- sobre Atribuições dos profissionais da Atenção Básica, incisos</w:t>
      </w:r>
      <w:r>
        <w:t xml:space="preserve"> </w:t>
      </w:r>
      <w:r>
        <w:t xml:space="preserve">X- Utilizar o sistema de Informação da Atenção Básica vigente para o</w:t>
      </w:r>
      <w:r>
        <w:t xml:space="preserve"> </w:t>
      </w:r>
      <w:r>
        <w:t xml:space="preserve">registro das ações de saúde na AB e XV- Alimentar e garantir a qualidade</w:t>
      </w:r>
      <w:r>
        <w:t xml:space="preserve"> </w:t>
      </w:r>
      <w:r>
        <w:t xml:space="preserve">do registro das atividades nos sistemas de informação da AB, da Portaria</w:t>
      </w:r>
      <w:r>
        <w:t xml:space="preserve"> </w:t>
      </w:r>
      <w:r>
        <w:t xml:space="preserve">GM/MS de Consolidação nº2, de 28/09/2017 e com as Recomendações para o</w:t>
      </w:r>
      <w:r>
        <w:t xml:space="preserve"> </w:t>
      </w:r>
      <w:r>
        <w:t xml:space="preserve">registro das informações de Saúde, p.4, da Nota técnica 14/2022-SAPS/MS.</w:t>
      </w:r>
    </w:p>
    <w:p>
      <w:pPr>
        <w:pStyle w:val="916"/>
      </w:pPr>
      <w:r>
        <w:rPr>
          <w:b/>
          <w:bCs/>
        </w:rPr>
        <w:t xml:space="preserve">Justificativa da IA:</w:t>
      </w:r>
      <w:r>
        <w:t xml:space="preserve"> </w:t>
      </w:r>
      <w:r>
        <w:t xml:space="preserve">A análise inicial tratou medidas de</w:t>
      </w:r>
      <w:r>
        <w:t xml:space="preserve"> </w:t>
      </w:r>
      <w:r>
        <w:t xml:space="preserve">alimentação, análise e verificação como processos sistêmicos</w:t>
      </w:r>
      <w:r>
        <w:t xml:space="preserve"> </w:t>
      </w:r>
      <w:r>
        <w:t xml:space="preserve">permanentes. A análise crítica reconheceu o foco na qualidade dos dados,</w:t>
      </w:r>
      <w:r>
        <w:t xml:space="preserve"> </w:t>
      </w:r>
      <w:r>
        <w:t xml:space="preserve">mas considerou otimista a permanência sem detalhes sobre a natureza das</w:t>
      </w:r>
      <w:r>
        <w:t xml:space="preserve"> </w:t>
      </w:r>
      <w:r>
        <w:t xml:space="preserve">medidas. A divergência decorre da ausência de especificação sobre como</w:t>
      </w:r>
      <w:r>
        <w:t xml:space="preserve"> </w:t>
      </w:r>
      <w:r>
        <w:t xml:space="preserve">esses processos seriam institucionalizados.</w:t>
      </w:r>
    </w:p>
    <w:p>
      <w:pPr>
        <w:pStyle w:val="916"/>
      </w:pPr>
      <w:r>
        <w:rPr>
          <w:b/>
          <w:bCs/>
        </w:rPr>
        <w:t xml:space="preserve">Limites observados pela IA:</w:t>
      </w:r>
      <w:r>
        <w:t xml:space="preserve"> </w:t>
      </w:r>
      <w:r>
        <w:t xml:space="preserve">O texto determina medidas sistêmicas,</w:t>
      </w:r>
      <w:r>
        <w:t xml:space="preserve"> </w:t>
      </w:r>
      <w:r>
        <w:t xml:space="preserve">mas não identifica sua forma, periodicidade ou responsável.</w:t>
      </w:r>
    </w:p>
    <w:bookmarkEnd w:id="806"/>
    <w:bookmarkEnd w:id="807"/>
    <w:bookmarkStart w:id="816" w:name="rodada-2"/>
    <w:p>
      <w:pPr>
        <w:pStyle w:val="907"/>
      </w:pPr>
      <w:r>
        <w:t xml:space="preserve">18.1.1.2 Rodada 2</w:t>
      </w:r>
    </w:p>
    <w:bookmarkStart w:id="808" w:name="prompt-9"/>
    <w:p>
      <w:pPr>
        <w:pStyle w:val="908"/>
      </w:pPr>
      <w:r>
        <w:t xml:space="preserve">18.1.1.2.1 Prompt</w:t>
      </w:r>
    </w:p>
    <w:p>
      <w:pPr>
        <w:pStyle w:val="917"/>
      </w:pPr>
      <w:r>
        <w:rPr>
          <w:rStyle w:val="949"/>
        </w:rPr>
        <w:t xml:space="preserve">Você é um assistente de pesquisa que apoia uma análise de conteúdo sobre recomendações emitidas pelo Departamento Nacional de Auditoria do Sistema Único de Saúde (DENASUS).</w:t>
      </w:r>
    </w:p>
    <w:p>
      <w:pPr>
        <w:pStyle w:val="916"/>
      </w:pPr>
      <w:r>
        <w:rPr>
          <w:rStyle w:val="949"/>
        </w:rPr>
        <w:t xml:space="preserve">Na primeira rodada, cada recomendação foi analisada em relação a dois critérios:</w:t>
      </w:r>
    </w:p>
    <w:p>
      <w:pPr>
        <w:pStyle w:val="916"/>
      </w:pP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p>
    <w:p>
      <w:pPr>
        <w:pStyle w:val="916"/>
      </w:pPr>
      <w:r>
        <w:rPr>
          <w:rStyle w:val="949"/>
        </w:rPr>
        <w:t xml:space="preserve">Após essa análise, uma segunda etapa foi executada com o objetivo de realizar uma análise crítica da classificação para cada critério e emitir um juízo, que poderá ser materializado nos seguintes sentidos: "Concordo" ou "Discordo".</w:t>
      </w:r>
    </w:p>
    <w:p>
      <w:pPr>
        <w:pStyle w:val="916"/>
      </w:pPr>
      <w:r>
        <w:rPr>
          <w:rStyle w:val="949"/>
        </w:rPr>
        <w:t xml:space="preserve">A maior parte das divergências se concentrou em torno do critério "Efeitos Duradouros". Então, você receberá um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w:t>
      </w:r>
    </w:p>
    <w:p>
      <w:pPr>
        <w:pStyle w:val="916"/>
      </w:pP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p>
    <w:p>
      <w:pPr>
        <w:pStyle w:val="916"/>
      </w:pP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p>
    <w:p>
      <w:pPr>
        <w:pStyle w:val="916"/>
      </w:pP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p>
    <w:p>
      <w:pPr>
        <w:pStyle w:val="916"/>
      </w:pPr>
      <w:r>
        <w:rPr>
          <w:rStyle w:val="949"/>
        </w:rPr>
        <w:t xml:space="preserve">## Regras para construir a taxonomia do lote</w:t>
      </w:r>
    </w:p>
    <w:p>
      <w:pPr>
        <w:pStyle w:val="916"/>
      </w:pPr>
      <w:r>
        <w:rPr>
          <w:rStyle w:val="949"/>
        </w:rPr>
        <w:t xml:space="preserve">1. Construa primeiro as categorias globais do lote, considerando também as categorias existentes da rodada anterior, e só depois classifique as unidades.</w:t>
      </w:r>
      <w:r>
        <w:br/>
      </w:r>
      <w:r>
        <w:rPr>
          <w:rStyle w:val="949"/>
        </w:rPr>
        <w:t xml:space="preserve">2. Use as categorias existentes sempre que uma delas representar adequadamente o mecanismo predominante da unidade.</w:t>
      </w:r>
      <w:r>
        <w:br/>
      </w:r>
      <w:r>
        <w:rPr>
          <w:rStyle w:val="949"/>
        </w:rPr>
        <w:t xml:space="preserve">3. Não altere o nome, a definição ou os critérios de uma categoria existente. Se uma unidade couber em uma categoria existente, reutilize exatamente o seu `id_categoria`.</w:t>
      </w:r>
      <w:r>
        <w:br/>
      </w:r>
      <w:r>
        <w:rPr>
          <w:rStyle w:val="949"/>
        </w:rPr>
        <w:t xml:space="preserve">4. Crie uma nova categoria somente quando nenhuma categoria existente representar adequadamente o mecanismo central da divergência. Uma nova categoria deve ser realmente distinta, e não apenas uma variação temática, lexical ou de nível de detalhe de uma categoria existente.</w:t>
      </w:r>
      <w:r>
        <w:br/>
      </w:r>
      <w:r>
        <w:rPr>
          <w:rStyle w:val="949"/>
        </w:rPr>
        <w:t xml:space="preserve">5. As categorias novas nunca podem reutilizar códigos já existentes. Os códigos `C1` a `C6` estão reservados exclusivamente para as categorias da rodada anterior. Categorias novas devem receber IDs ainda não utilizados, seguindo a sequência `C7`, `C8` e assim por diante, e devem ser definidas com o mesmo nível de precisão das categorias existentes.</w:t>
      </w:r>
      <w:r>
        <w:br/>
      </w:r>
      <w:r>
        <w:rPr>
          <w:rStyle w:val="949"/>
        </w:rPr>
        <w:t xml:space="preserve">6. A lista final deve conter as categorias existentes que forem utilizadas no lote e eventuais categorias novas necessárias. Não é necessário repetir categorias existentes que não se apliquem a nenhuma unidade deste lote.</w:t>
      </w:r>
      <w:r>
        <w:br/>
      </w:r>
      <w:r>
        <w:rPr>
          <w:rStyle w:val="949"/>
        </w:rPr>
        <w:t xml:space="preserve">7. Crie aproximadamente 6 categorias no total quando isso for possível, mas preserve categorias existentes quando elas forem adequadas e crie novas quando a evidência exigir. O número aproximado de seis é uma orientação, não um limite: não force uma unidade a uma categoria inadequada apenas para manter esse número.</w:t>
      </w:r>
      <w:r>
        <w:br/>
      </w:r>
      <w:r>
        <w:rPr>
          <w:rStyle w:val="949"/>
        </w:rPr>
        <w:t xml:space="preserve">8.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9. Funda em uma mesma categoria unidades que compartilham o mesmo mecanismo central, mesmo que tratem de áreas temáticas diferentes.</w:t>
      </w:r>
      <w:r>
        <w:br/>
      </w:r>
      <w:r>
        <w:rPr>
          <w:rStyle w:val="949"/>
        </w:rPr>
        <w:t xml:space="preserve">10. Não crie uma categoria nova apenas porque a redação, o órgão ou a área temática da recomendação mudou.</w:t>
      </w:r>
      <w:r>
        <w:br/>
      </w:r>
      <w:r>
        <w:rPr>
          <w:rStyle w:val="949"/>
        </w:rPr>
        <w:t xml:space="preserve">11. Não use categorias que sejam apenas sinônimos ou variações de nível de detalhe umas das outras.</w:t>
      </w:r>
      <w:r>
        <w:br/>
      </w:r>
      <w:r>
        <w:rPr>
          <w:rStyle w:val="949"/>
        </w:rPr>
        <w:t xml:space="preserve">12. Cada categoria deve ter uma definição estável, critérios de inclusão e critérios de exclusão. Esses elementos devem permanecer iguais para todas as unidades classificadas nela.</w:t>
      </w:r>
      <w:r>
        <w:br/>
      </w:r>
      <w:r>
        <w:rPr>
          <w:rStyle w:val="949"/>
        </w:rPr>
        <w:t xml:space="preserve">13.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14. Reutilize exatamente o mesmo `id_categoria` para unidades que pertençam à mesma categoria. Não crie nomes, definições ou IDs alternativos durante a classificação.</w:t>
      </w:r>
      <w:r>
        <w:br/>
      </w:r>
      <w:r>
        <w:rPr>
          <w:rStyle w:val="949"/>
        </w:rPr>
        <w:t xml:space="preserve">15. Fundamente as categorias e as classificações exclusivamente nos textos recebidos. Não invente responsáveis, prazos, recursos, procedimentos ou resultados que não estejam no lote.</w:t>
      </w:r>
    </w:p>
    <w:p>
      <w:pPr>
        <w:pStyle w:val="916"/>
      </w:pPr>
      <w:r>
        <w:rPr>
          <w:rStyle w:val="949"/>
        </w:rPr>
        <w:t xml:space="preserve">## Categorias identificadas na rodada anterior</w:t>
      </w:r>
    </w:p>
    <w:p>
      <w:pPr>
        <w:pStyle w:val="916"/>
      </w:pPr>
      <w:r>
        <w:rPr>
          <w:rStyle w:val="949"/>
        </w:rPr>
        <w:t xml:space="preserve">As categorias abaixo são provisórias, mas constituem a taxonomia de referência desta rodada. Preserve exatamente seus IDs, nomes, definições e critérios quando reutilizá-las. Elas podem não aparecer na resposta final se nenhuma unidade do novo lote se enquadrar nelas.</w:t>
      </w:r>
    </w:p>
    <w:p>
      <w:pPr>
        <w:pStyle w:val="916"/>
      </w:pPr>
      <w:r>
        <w:rPr>
          <w:rStyle w:val="949"/>
        </w:rPr>
        <w:t xml:space="preserve">### C1 — Conformidade normativa sem mecanismo de implementação</w:t>
      </w:r>
    </w:p>
    <w:p>
      <w:pPr>
        <w:pStyle w:val="916"/>
      </w:pPr>
      <w:r>
        <w:rPr>
          <w:rStyle w:val="949"/>
        </w:rPr>
        <w:t xml:space="preserve">Definição: A divergência decorre de a recomendação determinar ou referenciar o cumprimento de normas, princípios ou requisitos, sem explicitar mecanismos concretos de implementação, verificação ou sustentação.</w:t>
      </w:r>
    </w:p>
    <w:p>
      <w:pPr>
        <w:pStyle w:val="916"/>
      </w:pPr>
      <w:r>
        <w:rPr>
          <w:rStyle w:val="949"/>
        </w:rPr>
        <w:t xml:space="preserve">Critérios de inclusão: a ação central consiste em observar, cumprir ou aplicar uma norma, princípio, manual ou dispositivo legal; a permanência dos efeitos é inferida principalmente da existência ou validade da norma; e o texto não detalha estrutura, rotina, responsável, controle ou procedimento suficiente para sustentar a aplicação.</w:t>
      </w:r>
    </w:p>
    <w:p>
      <w:pPr>
        <w:pStyle w:val="916"/>
      </w:pPr>
      <w:r>
        <w:rPr>
          <w:rStyle w:val="949"/>
        </w:rPr>
        <w:t xml:space="preserve">Critérios de exclusão: não incluir quando o mecanismo predominante for investigação ou solicitação de informação sem ação corretiva; quando houver conjunto claramente combinado de ações corretivas e estruturais; ou quando a mera menção a documentos normativos não for o núcleo da recomendação.</w:t>
      </w:r>
    </w:p>
    <w:p>
      <w:pPr>
        <w:pStyle w:val="916"/>
      </w:pPr>
      <w:r>
        <w:rPr>
          <w:rStyle w:val="949"/>
        </w:rPr>
        <w:t xml:space="preserve">### C2 — Execução continuada dependente de adesão</w:t>
      </w:r>
    </w:p>
    <w:p>
      <w:pPr>
        <w:pStyle w:val="916"/>
      </w:pPr>
      <w:r>
        <w:rPr>
          <w:rStyle w:val="949"/>
        </w:rPr>
        <w:t xml:space="preserve">Definição: A divergência decorre de a durabilidade depender da realização reiterada de rotinas, controles ou supervisão por pessoas ou unidades, sem garantia textual de continuidade diante de mudanças de atores.</w:t>
      </w:r>
    </w:p>
    <w:p>
      <w:pPr>
        <w:pStyle w:val="916"/>
      </w:pPr>
      <w:r>
        <w:rPr>
          <w:rStyle w:val="949"/>
        </w:rPr>
        <w:t xml:space="preserve">Critérios de inclusão: a recomendação exige monitoramento, conferência, supervisão, pactuação ou execução recorrente; o efeito pretendido depende da adesão ou do compromisso continuado dos executores; e a análise inicial infere institucionalização, enquanto a análise crítica destaca dependência de pessoal, prioridades ou aplicação prática.</w:t>
      </w:r>
    </w:p>
    <w:p>
      <w:pPr>
        <w:pStyle w:val="916"/>
      </w:pPr>
      <w:r>
        <w:rPr>
          <w:rStyle w:val="949"/>
        </w:rPr>
        <w:t xml:space="preserve">Critérios de exclusão: não incluir quando a recomendação apenas determinar cumprimento normativo genérico; quando a ação principal for capacitação ou transmissão de conhecimento; ou quando o problema central for a ausência de investigação ou diagnóstico.</w:t>
      </w:r>
    </w:p>
    <w:p>
      <w:pPr>
        <w:pStyle w:val="916"/>
      </w:pPr>
      <w:r>
        <w:rPr>
          <w:rStyle w:val="949"/>
        </w:rPr>
        <w:t xml:space="preserve">### C3 — Capacitação sujeita a atualização e retenção</w:t>
      </w:r>
    </w:p>
    <w:p>
      <w:pPr>
        <w:pStyle w:val="916"/>
      </w:pPr>
      <w:r>
        <w:rPr>
          <w:rStyle w:val="949"/>
        </w:rPr>
        <w:t xml:space="preserve">Definição: A divergência decorre de ações de educação, treinamento ou qualificação cujo efeito pode persistir como conhecimento, mas depende de atualização, repetição, retenção de pessoal e incorporação institucional.</w:t>
      </w:r>
    </w:p>
    <w:p>
      <w:pPr>
        <w:pStyle w:val="916"/>
      </w:pPr>
      <w:r>
        <w:rPr>
          <w:rStyle w:val="949"/>
        </w:rPr>
        <w:t xml:space="preserve">Critérios de inclusão: a recomendação tem como ação central ofertar educação, treinamento, orientação ou capacitação; a análise inicial considera que conhecimentos adquiridos permanecem, enquanto a análise crítica ressalta rotatividade, atualização ou necessidade de continuidade; e a recomendação não demonstra, por si só, mecanismo institucional completo que assegure a transmissão e manutenção das competências.</w:t>
      </w:r>
    </w:p>
    <w:p>
      <w:pPr>
        <w:pStyle w:val="916"/>
      </w:pPr>
      <w:r>
        <w:rPr>
          <w:rStyle w:val="949"/>
        </w:rPr>
        <w:t xml:space="preserve">Critérios de exclusão: não incluir quando a capacitação for apenas componente secundário de pacote dominado por outras ações; quando a divergência decorrer principalmente de exigência normativa sem implementação; ou quando a ação principal for rotina de controle executada continuamente.</w:t>
      </w:r>
    </w:p>
    <w:p>
      <w:pPr>
        <w:pStyle w:val="916"/>
      </w:pPr>
      <w:r>
        <w:rPr>
          <w:rStyle w:val="949"/>
        </w:rPr>
        <w:t xml:space="preserve">### C4 — Pacote heterogêneo de ações</w:t>
      </w:r>
    </w:p>
    <w:p>
      <w:pPr>
        <w:pStyle w:val="916"/>
      </w:pPr>
      <w:r>
        <w:rPr>
          <w:rStyle w:val="949"/>
        </w:rPr>
        <w:t xml:space="preserve">Definição: A divergência decorre da combinação, na mesma recomendação, de medidas imediatas ou reparadoras com ações estruturais, preventivas ou de capacitação, permitindo avaliações diferentes conforme o componente valorizado.</w:t>
      </w:r>
    </w:p>
    <w:p>
      <w:pPr>
        <w:pStyle w:val="916"/>
      </w:pPr>
      <w:r>
        <w:rPr>
          <w:rStyle w:val="949"/>
        </w:rPr>
        <w:t xml:space="preserve">Critérios de inclusão: a recomendação contém duas ou mais ações autônomas com funções distintas; pelo menos uma ação trata da condição imediata e outra pretende modificar processos, capacidade ou controles; e a análise inicial enfatiza o componente estrutural, enquanto a análise crítica pondera a heterogeneidade, a execução ou a predominância da medida corretiva.</w:t>
      </w:r>
    </w:p>
    <w:p>
      <w:pPr>
        <w:pStyle w:val="916"/>
      </w:pPr>
      <w:r>
        <w:rPr>
          <w:rStyle w:val="949"/>
        </w:rPr>
        <w:t xml:space="preserve">Critérios de exclusão: não incluir quando houver apenas uma ação com redação genérica; quando as várias providências forem apenas etapas do mesmo procedimento; ou quando a divergência puder ser explicada predominantemente por dependência de adesão continuada.</w:t>
      </w:r>
    </w:p>
    <w:p>
      <w:pPr>
        <w:pStyle w:val="916"/>
      </w:pPr>
      <w:r>
        <w:rPr>
          <w:rStyle w:val="949"/>
        </w:rPr>
        <w:t xml:space="preserve">### C5 — Investigação sem tratamento assegurado</w:t>
      </w:r>
    </w:p>
    <w:p>
      <w:pPr>
        <w:pStyle w:val="916"/>
      </w:pPr>
      <w:r>
        <w:rPr>
          <w:rStyle w:val="949"/>
        </w:rPr>
        <w:t xml:space="preserve">Definição: A divergência decorre de a recomendação limitar-se a solicitar informações, justificativas ou apuração, sem determinar a implementação das medidas que tratariam a causa identificada.</w:t>
      </w:r>
    </w:p>
    <w:p>
      <w:pPr>
        <w:pStyle w:val="916"/>
      </w:pPr>
      <w:r>
        <w:rPr>
          <w:rStyle w:val="949"/>
        </w:rPr>
        <w:t xml:space="preserve">Critérios de inclusão: a ação principal é investigar, apurar, solicitar justificativa ou obter informação; o texto não assegura que as causas encontradas serão corrigidas; e a análise inicial ou crítica infere possíveis efeitos futuros a partir de etapa diagnóstica, embora a recomendação não os estabeleça.</w:t>
      </w:r>
    </w:p>
    <w:p>
      <w:pPr>
        <w:pStyle w:val="916"/>
      </w:pPr>
      <w:r>
        <w:rPr>
          <w:rStyle w:val="949"/>
        </w:rPr>
        <w:t xml:space="preserve">Critérios de exclusão: não incluir quando a investigação vier acompanhada de medidas corretivas ou preventivas determinadas; quando a recomendação estabelecer diretamente rotina de controle; ou quando a divergência central for apenas a generalidade de exigência normativa.</w:t>
      </w:r>
    </w:p>
    <w:p>
      <w:pPr>
        <w:pStyle w:val="916"/>
      </w:pPr>
      <w:r>
        <w:rPr>
          <w:rStyle w:val="949"/>
        </w:rPr>
        <w:t xml:space="preserve">### C6 — Formalização sem institucionalização demonstrada</w:t>
      </w:r>
    </w:p>
    <w:p>
      <w:pPr>
        <w:pStyle w:val="916"/>
      </w:pPr>
      <w:r>
        <w:rPr>
          <w:rStyle w:val="949"/>
        </w:rPr>
        <w:t xml:space="preserve">Definição: A divergência decorre da criação ou atualização de documentos, planos, registros, fluxos ou processos formais cuja existência é apresentada como duradoura, mas cuja implementação, manutenção e integração institucional não são demonstradas.</w:t>
      </w:r>
    </w:p>
    <w:p>
      <w:pPr>
        <w:pStyle w:val="916"/>
      </w:pPr>
      <w:r>
        <w:rPr>
          <w:rStyle w:val="949"/>
        </w:rPr>
        <w:t xml:space="preserve">Critérios de inclusão: a recomendação prevê elaborar, incluir, registrar, organizar ou aprimorar documentos, planos, fluxos ou instrumentos; a análise inicial associa a formalização documental à permanência dos efeitos; e a análise crítica aponta ausência de detalhamento sobre implementação, revisão, monitoramento ou institucionalização.</w:t>
      </w:r>
    </w:p>
    <w:p>
      <w:pPr>
        <w:pStyle w:val="916"/>
      </w:pPr>
      <w:r>
        <w:rPr>
          <w:rStyle w:val="949"/>
        </w:rPr>
        <w:t xml:space="preserve">Critérios de exclusão: não incluir quando o texto se limitar a citar norma sem determinar formalização ou criação de instrumento; quando o mecanismo predominante for execução reiterada por pessoas; ou quando o núcleo da recomendação for exclusivamente capacitação.</w:t>
      </w:r>
    </w:p>
    <w:p>
      <w:pPr>
        <w:pStyle w:val="916"/>
      </w:pPr>
      <w:r>
        <w:rPr>
          <w:rStyle w:val="949"/>
        </w:rPr>
        <w:t xml:space="preserve">## Estrutura exata da entrada</w:t>
      </w:r>
    </w:p>
    <w:p>
      <w:pPr>
        <w:pStyle w:val="916"/>
      </w:pPr>
      <w:r>
        <w:rPr>
          <w:rStyle w:val="949"/>
        </w:rPr>
        <w:t xml:space="preserve">O conteúdo enviado pelo usuário será um objeto JSON com a seguinte estrutura:</w:t>
      </w:r>
    </w:p>
    <w:p>
      <w:pPr>
        <w:pStyle w:val="916"/>
      </w:pPr>
      <w:r>
        <w:rPr>
          <w:rStyle w:val="949"/>
        </w:rPr>
        <w:t xml:space="preserve">{</w:t>
      </w:r>
      <w:r>
        <w:br/>
      </w:r>
      <w:r>
        <w:rPr>
          <w:rStyle w:val="949"/>
        </w:rPr>
        <w:t xml:space="preserve">"lote_id": "etiquetador_divergencias_2",</w:t>
      </w:r>
      <w:r>
        <w:br/>
      </w:r>
      <w:r>
        <w:rPr>
          <w:rStyle w:val="949"/>
        </w:rPr>
        <w:t xml:space="preserve">"analises": [</w:t>
      </w:r>
      <w:r>
        <w:br/>
      </w:r>
      <w:r>
        <w:rPr>
          <w:rStyle w:val="949"/>
        </w:rPr>
        <w:t xml:space="preserve">{</w:t>
      </w:r>
      <w:r>
        <w:br/>
      </w:r>
      <w:r>
        <w:rPr>
          <w:rStyle w:val="949"/>
        </w:rPr>
        <w:t xml:space="preserve">"id_analise": "18714_1/671301_1.json",</w:t>
      </w:r>
      <w:r>
        <w:br/>
      </w:r>
      <w:r>
        <w:rPr>
          <w:rStyle w:val="949"/>
        </w:rPr>
        <w:t xml:space="preserve">"finalidade": "Finalidade do trabalho de auditoria",</w:t>
      </w:r>
      <w:r>
        <w:br/>
      </w:r>
      <w:r>
        <w:rPr>
          <w:rStyle w:val="949"/>
        </w:rPr>
        <w:t xml:space="preserve">"constatacao": "Texto da constatação",</w:t>
      </w:r>
      <w:r>
        <w:br/>
      </w:r>
      <w:r>
        <w:rPr>
          <w:rStyle w:val="949"/>
        </w:rPr>
        <w:t xml:space="preserve">"recomendacao": "Texto da recomendação",</w:t>
      </w:r>
      <w:r>
        <w:br/>
      </w:r>
      <w:r>
        <w:rPr>
          <w:rStyle w:val="949"/>
        </w:rPr>
        <w:t xml:space="preserve">"analise_inicial": "Texto com o racional da análise inicial",</w:t>
      </w:r>
      <w:r>
        <w:br/>
      </w:r>
      <w:r>
        <w:rPr>
          <w:rStyle w:val="949"/>
        </w:rPr>
        <w:t xml:space="preserve">"resultado_criterio_efeitos_duradouros": "Resultado da análise em relação ao critério efeitos duradouros",</w:t>
      </w:r>
      <w:r>
        <w:br/>
      </w:r>
      <w:r>
        <w:rPr>
          <w:rStyle w:val="949"/>
        </w:rPr>
        <w:t xml:space="preserve">"analise_critica": "Texto com o racional da análise crítica",</w:t>
      </w:r>
      <w:r>
        <w:br/>
      </w:r>
      <w:r>
        <w:rPr>
          <w:rStyle w:val="949"/>
        </w:rPr>
        <w:t xml:space="preserve">"resultado_criterio_efeitos_duradouros_analise_critica": "Resultado da análise crítica em relação ao critério efeitos duradouros"</w:t>
      </w:r>
      <w:r>
        <w:br/>
      </w:r>
      <w:r>
        <w:rPr>
          <w:rStyle w:val="949"/>
        </w:rPr>
        <w:t xml:space="preserve">}</w:t>
      </w:r>
      <w:r>
        <w:br/>
      </w:r>
      <w:r>
        <w:rPr>
          <w:rStyle w:val="949"/>
        </w:rPr>
        <w:t xml:space="preserve">]</w:t>
      </w:r>
      <w:r>
        <w:br/>
      </w:r>
      <w:r>
        <w:rPr>
          <w:rStyle w:val="949"/>
        </w:rPr>
        <w:t xml:space="preserve">}</w:t>
      </w:r>
    </w:p>
    <w:p>
      <w:pPr>
        <w:pStyle w:val="916"/>
      </w:pP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p>
    <w:p>
      <w:pPr>
        <w:pStyle w:val="916"/>
      </w:pPr>
      <w:r>
        <w:rPr>
          <w:rStyle w:val="949"/>
        </w:rPr>
        <w:t xml:space="preserve">## Estrutura exata da resposta</w:t>
      </w:r>
    </w:p>
    <w:p>
      <w:pPr>
        <w:pStyle w:val="916"/>
      </w:pPr>
      <w:r>
        <w:rPr>
          <w:rStyle w:val="949"/>
        </w:rPr>
        <w:t xml:space="preserve">Responda exclusivamente com um objeto JSON válido, sem markdown. Não inclua comentários, explicações fora do JSON ou campos adicionais.</w:t>
      </w:r>
    </w:p>
    <w:p>
      <w:pPr>
        <w:pStyle w:val="916"/>
      </w:pPr>
      <w:r>
        <w:rPr>
          <w:rStyle w:val="949"/>
        </w:rPr>
        <w:t xml:space="preserve">O objeto deve conter:</w:t>
      </w:r>
    </w:p>
    <w:p>
      <w:pPr>
        <w:pStyle w:val="916"/>
      </w:pPr>
      <w:r>
        <w:rPr>
          <w:rStyle w:val="949"/>
        </w:rPr>
        <w:t xml:space="preserve">- `categorias`: lista global com as categorias existentes utilizadas e as categorias novas eventualmente criadas, sem IDs repetidos;</w:t>
      </w:r>
      <w:r>
        <w:br/>
      </w:r>
      <w:r>
        <w:rPr>
          <w:rStyle w:val="949"/>
        </w:rPr>
        <w:t xml:space="preserve">- `classificacoes`: lista com exatamente uma classificação para cada elemento recebido em `analises`, preservando a ordem de entrada.</w:t>
      </w:r>
    </w:p>
    <w:p>
      <w:pPr>
        <w:pStyle w:val="916"/>
      </w:pPr>
      <w:r>
        <w:rPr>
          <w:rStyle w:val="949"/>
        </w:rPr>
        <w:t xml:space="preserve">Cada unidade deve aparecer uma única vez em `classificacoes`. Não omita, duplique ou crie identificadores.</w:t>
      </w:r>
    </w:p>
    <w:p>
      <w:pPr>
        <w:pStyle w:val="916"/>
      </w:pPr>
      <w:r>
        <w:rPr>
          <w:rStyle w:val="949"/>
        </w:rPr>
        <w:t xml:space="preserve">{</w:t>
      </w:r>
      <w:r>
        <w:br/>
      </w:r>
      <w:r>
        <w:rPr>
          <w:rStyle w:val="949"/>
        </w:rPr>
        <w:t xml:space="preserve">"categorias": [</w:t>
      </w:r>
      <w:r>
        <w:br/>
      </w:r>
      <w:r>
        <w:rPr>
          <w:rStyle w:val="949"/>
        </w:rPr>
        <w:t xml:space="preserve">{</w:t>
      </w:r>
      <w:r>
        <w:br/>
      </w:r>
      <w:r>
        <w:rPr>
          <w:rStyle w:val="949"/>
        </w:rPr>
        <w:t xml:space="preserve">"id_categoria": "C1",</w:t>
      </w:r>
      <w:r>
        <w:br/>
      </w:r>
      <w:r>
        <w:rPr>
          <w:rStyle w:val="949"/>
        </w:rPr>
        <w:t xml:space="preserve">"nome_categoria": "nome da categoria existente ou nova",</w:t>
      </w:r>
      <w:r>
        <w:br/>
      </w:r>
      <w:r>
        <w:rPr>
          <w:rStyle w:val="949"/>
        </w:rPr>
        <w:t xml:space="preserve">"definicao": "definição estável do mecanismo central",</w:t>
      </w:r>
      <w:r>
        <w:br/>
      </w:r>
      <w:r>
        <w:rPr>
          <w:rStyle w:val="949"/>
        </w:rPr>
        <w:t xml:space="preserve">"criterios_inclusao": ["característica necessária ou típica"],</w:t>
      </w:r>
      <w:r>
        <w:br/>
      </w:r>
      <w:r>
        <w:rPr>
          <w:rStyle w:val="949"/>
        </w:rPr>
        <w:t xml:space="preserve">"criterios_exclusao": ["característica que, isoladamente, não basta para incluir a unidade"]</w:t>
      </w:r>
      <w:r>
        <w:br/>
      </w:r>
      <w:r>
        <w:rPr>
          <w:rStyle w:val="949"/>
        </w:rPr>
        <w:t xml:space="preserve">}</w:t>
      </w:r>
      <w:r>
        <w:br/>
      </w:r>
      <w:r>
        <w:rPr>
          <w:rStyle w:val="949"/>
        </w:rPr>
        <w:t xml:space="preserve">],</w:t>
      </w:r>
      <w:r>
        <w:br/>
      </w:r>
      <w:r>
        <w:rPr>
          <w:rStyle w:val="949"/>
        </w:rPr>
        <w:t xml:space="preserve">"classificacoes": [</w:t>
      </w:r>
      <w:r>
        <w:br/>
      </w:r>
      <w:r>
        <w:rPr>
          <w:rStyle w:val="949"/>
        </w:rPr>
        <w:t xml:space="preserve">{</w:t>
      </w:r>
      <w:r>
        <w:br/>
      </w:r>
      <w:r>
        <w:rPr>
          <w:rStyle w:val="949"/>
        </w:rPr>
        <w:t xml:space="preserve">"id_analise": "18714_1/671301_1.json",</w:t>
      </w:r>
      <w:r>
        <w:br/>
      </w:r>
      <w:r>
        <w:rPr>
          <w:rStyle w:val="949"/>
        </w:rPr>
        <w:t xml:space="preserve">"categoria_principal": "C1",</w:t>
      </w:r>
      <w:r>
        <w:br/>
      </w:r>
      <w:r>
        <w:rPr>
          <w:rStyle w:val="949"/>
        </w:rPr>
        <w:t xml:space="preserve">"categorias_secundarias": [],</w:t>
      </w:r>
      <w:r>
        <w:br/>
      </w:r>
      <w:r>
        <w:rPr>
          <w:rStyle w:val="949"/>
        </w:rPr>
        <w:t xml:space="preserve">"justificativa": "comparação entre o que a análise inicial valorizou, o que a análise crítica valorizou e a ambiguidade ou tensão textual que permite as duas interpretações",</w:t>
      </w:r>
      <w:r>
        <w:br/>
      </w:r>
      <w:r>
        <w:rPr>
          <w:rStyle w:val="949"/>
        </w:rPr>
        <w:t xml:space="preserve">"observacoes_limite": "ambiguidade, informação ausente ou aspecto que exige validação humana; use string vazia quando não houver"</w:t>
      </w:r>
      <w:r>
        <w:br/>
      </w:r>
      <w:r>
        <w:rPr>
          <w:rStyle w:val="949"/>
        </w:rPr>
        <w:t xml:space="preserve">}</w:t>
      </w:r>
      <w:r>
        <w:br/>
      </w:r>
      <w:r>
        <w:rPr>
          <w:rStyle w:val="949"/>
        </w:rPr>
        <w:t xml:space="preserve">]</w:t>
      </w:r>
      <w:r>
        <w:br/>
      </w:r>
      <w:r>
        <w:rPr>
          <w:rStyle w:val="949"/>
        </w:rPr>
        <w:t xml:space="preserve">}</w:t>
      </w:r>
    </w:p>
    <w:p>
      <w:pPr>
        <w:pStyle w:val="916"/>
      </w:pPr>
      <w:r>
        <w:rPr>
          <w:rStyle w:val="949"/>
        </w:rPr>
        <w:t xml:space="preserve">Antes de finalizar, verifique internamente:</w:t>
      </w:r>
    </w:p>
    <w:p>
      <w:pPr>
        <w:pStyle w:val="916"/>
      </w:pP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as categorias existentes reutilizadas mantêm exatamente seus IDs, nomes, definições e critérios;</w:t>
      </w:r>
      <w:r>
        <w:br/>
      </w:r>
      <w:r>
        <w:rPr>
          <w:rStyle w:val="949"/>
        </w:rPr>
        <w:t xml:space="preserve">- se cada categoria nova usa um ID novo, não pertencente a `C1`–`C6`, e é realmente necessária, não sendo sinônimo ou variação de categoria existente;</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808"/>
    <w:bookmarkStart w:id="809" w:name="resultados-11"/>
    <w:p>
      <w:pPr>
        <w:pStyle w:val="908"/>
      </w:pPr>
      <w:r>
        <w:t xml:space="preserve">18.1.1.2.2 Resultados</w:t>
      </w:r>
    </w:p>
    <w:p>
      <w:pPr>
        <w:pStyle w:val="917"/>
      </w:pPr>
      <w:r>
        <w:t xml:space="preserve">Modelo: respostas carregadas de etiquetador_divergencias_2. Unidades</w:t>
      </w:r>
      <w:r>
        <w:t xml:space="preserve"> </w:t>
      </w:r>
      <w:r>
        <w:t xml:space="preserve">classificadas: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7</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18</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2</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17</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5</w:t>
            </w:r>
          </w:p>
        </w:tc>
      </w:tr>
    </w:tbl>
    <w:p>
      <w:pPr>
        <w:pStyle w:val="916"/>
      </w:pPr>
      <w:r>
        <w:t xml:space="preserve">São apresentados dois exemplos selecionados aleatoriamente por categoria</w:t>
      </w:r>
      <w:r>
        <w:t xml:space="preserve"> </w:t>
      </w:r>
      <w:r>
        <w:t xml:space="preserve">quando há pelo menos duas unidades; categorias com uma única unidade</w:t>
      </w:r>
      <w:r>
        <w:t xml:space="preserve"> </w:t>
      </w:r>
      <w:r>
        <w:t xml:space="preserve">apresentam apenas esse exemplo.</w:t>
      </w:r>
    </w:p>
    <w:bookmarkEnd w:id="809"/>
    <w:bookmarkStart w:id="810" w:name="Xd65282da36c8f301688411171cce371004f6b46"/>
    <w:p>
      <w:pPr>
        <w:pStyle w:val="908"/>
      </w:pPr>
      <w:r>
        <w:t xml:space="preserve">18.1.1.2.3 C1 — Conformidade normativa sem mecanismo de implementação</w:t>
      </w:r>
    </w:p>
    <w:p>
      <w:pPr>
        <w:pStyle w:val="917"/>
      </w:pPr>
      <w:r>
        <w:rPr>
          <w:b/>
          <w:bCs/>
        </w:rPr>
        <w:t xml:space="preserve">Definição:</w:t>
      </w:r>
      <w:r>
        <w:t xml:space="preserve"> </w:t>
      </w:r>
      <w:r>
        <w:t xml:space="preserve">A divergência decorre de a recomendação determinar ou</w:t>
      </w:r>
      <w:r>
        <w:t xml:space="preserve"> </w:t>
      </w:r>
      <w:r>
        <w:t xml:space="preserve">referenciar o cumprimento de normas, princípios ou requisitos, sem</w:t>
      </w:r>
      <w:r>
        <w:t xml:space="preserve"> </w:t>
      </w:r>
      <w:r>
        <w:t xml:space="preserve">explicitar mecanismos concretos de implementação, verificação ou</w:t>
      </w:r>
      <w:r>
        <w:t xml:space="preserve"> </w:t>
      </w:r>
      <w:r>
        <w:t xml:space="preserve">sustentação.</w:t>
      </w:r>
    </w:p>
    <w:p>
      <w:pPr>
        <w:pStyle w:val="916"/>
      </w:pPr>
      <w:r>
        <w:rPr>
          <w:b/>
          <w:bCs/>
        </w:rPr>
        <w:t xml:space="preserve">Critérios de inclusão:</w:t>
      </w:r>
      <w:r>
        <w:t xml:space="preserve"> </w:t>
      </w:r>
      <w:r>
        <w:t xml:space="preserve">a ação central consiste em observar, cumprir</w:t>
      </w:r>
      <w:r>
        <w:t xml:space="preserve"> </w:t>
      </w:r>
      <w:r>
        <w:t xml:space="preserve">ou aplicar uma norma, princípio, manual ou dispositivo legal; a</w:t>
      </w:r>
      <w:r>
        <w:t xml:space="preserve"> </w:t>
      </w:r>
      <w:r>
        <w:t xml:space="preserve">permanência dos efeitos é inferida principalmente da existência ou</w:t>
      </w:r>
      <w:r>
        <w:t xml:space="preserve"> </w:t>
      </w:r>
      <w:r>
        <w:t xml:space="preserve">validade da norma; o texto não detalha estrutura, rotina, responsável,</w:t>
      </w:r>
      <w:r>
        <w:t xml:space="preserve"> </w:t>
      </w:r>
      <w:r>
        <w:t xml:space="preserve">controle ou procedimento suficiente para sustentar a aplicação</w:t>
      </w:r>
    </w:p>
    <w:p>
      <w:pPr>
        <w:pStyle w:val="916"/>
      </w:pPr>
      <w:r>
        <w:rPr>
          <w:b/>
          <w:bCs/>
        </w:rPr>
        <w:t xml:space="preserve">Critérios de exclusão:</w:t>
      </w:r>
      <w:r>
        <w:t xml:space="preserve"> </w:t>
      </w:r>
      <w:r>
        <w:t xml:space="preserve">não incluir quando o mecanismo predominante</w:t>
      </w:r>
      <w:r>
        <w:t xml:space="preserve"> </w:t>
      </w:r>
      <w:r>
        <w:t xml:space="preserve">for investigação ou solicitação de informação sem ação corretiva; não</w:t>
      </w:r>
      <w:r>
        <w:t xml:space="preserve"> </w:t>
      </w:r>
      <w:r>
        <w:t xml:space="preserve">incluir quando houver conjunto claramente combinado de ações corretivas</w:t>
      </w:r>
      <w:r>
        <w:t xml:space="preserve"> </w:t>
      </w:r>
      <w:r>
        <w:t xml:space="preserve">e estruturais; não incluir quando a mera menção a documentos normativos</w:t>
      </w:r>
      <w:r>
        <w:t xml:space="preserve"> </w:t>
      </w:r>
      <w:r>
        <w:t xml:space="preserve">não for o núcleo da recomendação</w:t>
      </w:r>
    </w:p>
    <w:p>
      <w:pPr>
        <w:pStyle w:val="916"/>
      </w:pPr>
      <w:r>
        <w:rPr>
          <w:b/>
          <w:bCs/>
        </w:rPr>
        <w:t xml:space="preserve">Exemplo 1 (19679_1/685268_1.json)</w:t>
      </w:r>
    </w:p>
    <w:p>
      <w:pPr>
        <w:pStyle w:val="916"/>
      </w:pPr>
      <w:r>
        <w:t xml:space="preserve">Adotar providências visando orientar o fiscal e o gestor concedente para</w:t>
      </w:r>
      <w:r>
        <w:t xml:space="preserve"> </w:t>
      </w:r>
      <w:r>
        <w:t xml:space="preserve">que realize o acompanhamento dos processos de contratualização e de</w:t>
      </w:r>
      <w:r>
        <w:t xml:space="preserve"> </w:t>
      </w:r>
      <w:r>
        <w:t xml:space="preserve">execução realizados pela convenente cumprindo os dispositivos previstos</w:t>
      </w:r>
      <w:r>
        <w:t xml:space="preserve"> </w:t>
      </w:r>
      <w:r>
        <w:t xml:space="preserve">nas alíneas d, f, g e h do inciso II, art. 6º e inciso II do art. 59 da</w:t>
      </w:r>
      <w:r>
        <w:t xml:space="preserve"> </w:t>
      </w:r>
      <w:r>
        <w:t xml:space="preserve">Portaria Interministerial nº 424/2016.</w:t>
      </w:r>
    </w:p>
    <w:p>
      <w:pPr>
        <w:pStyle w:val="916"/>
      </w:pPr>
      <w:r>
        <w:rPr>
          <w:b/>
          <w:bCs/>
        </w:rPr>
        <w:t xml:space="preserve">Justificativa da IA:</w:t>
      </w:r>
      <w:r>
        <w:t xml:space="preserve"> </w:t>
      </w:r>
      <w:r>
        <w:t xml:space="preserve">A análise inicial tratou a orientação para</w:t>
      </w:r>
      <w:r>
        <w:t xml:space="preserve"> </w:t>
      </w:r>
      <w:r>
        <w:t xml:space="preserve">cumprir dispositivos legais como procedimento padrão duradouro, enquanto</w:t>
      </w:r>
      <w:r>
        <w:t xml:space="preserve"> </w:t>
      </w:r>
      <w:r>
        <w:t xml:space="preserve">a crítica destacou que o texto não demonstra como a orientação será</w:t>
      </w:r>
      <w:r>
        <w:t xml:space="preserve"> </w:t>
      </w:r>
      <w:r>
        <w:t xml:space="preserve">institucionalizada além da referência normativa.</w:t>
      </w:r>
    </w:p>
    <w:p>
      <w:pPr>
        <w:pStyle w:val="916"/>
      </w:pPr>
      <w:r>
        <w:rPr>
          <w:b/>
          <w:bCs/>
        </w:rPr>
        <w:t xml:space="preserve">Limites observados pela IA:</w:t>
      </w:r>
      <w:r>
        <w:t xml:space="preserve"> </w:t>
      </w:r>
      <w:r>
        <w:t xml:space="preserve">A recomendação menciona orientação a</w:t>
      </w:r>
      <w:r>
        <w:t xml:space="preserve"> </w:t>
      </w:r>
      <w:r>
        <w:t xml:space="preserve">atores específicos, mas não detalha rotina, controle ou mecanismo de</w:t>
      </w:r>
      <w:r>
        <w:t xml:space="preserve"> </w:t>
      </w:r>
      <w:r>
        <w:t xml:space="preserve">continuidade.</w:t>
      </w:r>
    </w:p>
    <w:p>
      <w:pPr>
        <w:pStyle w:val="916"/>
      </w:pPr>
      <w:r>
        <w:rPr>
          <w:b/>
          <w:bCs/>
        </w:rPr>
        <w:t xml:space="preserve">Exemplo 2 (19722_2/694116_1.json)</w:t>
      </w:r>
    </w:p>
    <w:p>
      <w:pPr>
        <w:pStyle w:val="916"/>
      </w:pPr>
      <w:r>
        <w:t xml:space="preserve">Atentar-se ao princípio de Vinculação ao Edital, previsto no art. 55,</w:t>
      </w:r>
      <w:r>
        <w:t xml:space="preserve"> </w:t>
      </w:r>
      <w:r>
        <w:t xml:space="preserve">inc. XI da Lei 8.666, de 21 de junho de 1993 e no art. 5º, da Lei</w:t>
      </w:r>
      <w:r>
        <w:t xml:space="preserve"> </w:t>
      </w:r>
      <w:r>
        <w:t xml:space="preserve">14.133, de 1º de abril de 2021 e cumprir todas as obrigações</w:t>
      </w:r>
      <w:r>
        <w:t xml:space="preserve"> </w:t>
      </w:r>
      <w:r>
        <w:t xml:space="preserve">contratuais, inclusive o preenchimento dos anexos, quando existentes,</w:t>
      </w:r>
      <w:r>
        <w:t xml:space="preserve"> </w:t>
      </w:r>
      <w:r>
        <w:t xml:space="preserve">considerando que a inexecução parcial do contrato pode resultar em</w:t>
      </w:r>
      <w:r>
        <w:t xml:space="preserve"> </w:t>
      </w:r>
      <w:r>
        <w:t xml:space="preserve">sanções administrativas, como advertências, multas, e até mesmo a</w:t>
      </w:r>
      <w:r>
        <w:t xml:space="preserve"> </w:t>
      </w:r>
      <w:r>
        <w:t xml:space="preserve">suspensão temporária de participar de licitações futuras (Lei</w:t>
      </w:r>
      <w:r>
        <w:t xml:space="preserve"> </w:t>
      </w:r>
      <w:r>
        <w:t xml:space="preserve">14.133/2021, arts. 155 e 156).</w:t>
      </w:r>
    </w:p>
    <w:p>
      <w:pPr>
        <w:pStyle w:val="916"/>
      </w:pPr>
      <w:r>
        <w:rPr>
          <w:b/>
          <w:bCs/>
        </w:rPr>
        <w:t xml:space="preserve">Justificativa da IA:</w:t>
      </w:r>
      <w:r>
        <w:t xml:space="preserve"> </w:t>
      </w:r>
      <w:r>
        <w:t xml:space="preserve">A análise inicial reconheceu a ênfase no</w:t>
      </w:r>
      <w:r>
        <w:t xml:space="preserve"> </w:t>
      </w:r>
      <w:r>
        <w:t xml:space="preserve">cumprimento contratual e normativo, sem mecanismos específicos para</w:t>
      </w:r>
      <w:r>
        <w:t xml:space="preserve"> </w:t>
      </w:r>
      <w:r>
        <w:t xml:space="preserve">documentar a capacidade instalada; a análise crítica apenas questionou</w:t>
      </w:r>
      <w:r>
        <w:t xml:space="preserve"> </w:t>
      </w:r>
      <w:r>
        <w:t xml:space="preserve">se essa exigência poderia ser lida como tratamento da causa documental.</w:t>
      </w:r>
    </w:p>
    <w:p>
      <w:pPr>
        <w:pStyle w:val="916"/>
      </w:pPr>
      <w:r>
        <w:rPr>
          <w:b/>
          <w:bCs/>
        </w:rPr>
        <w:t xml:space="preserve">Limites observados pela IA:</w:t>
      </w:r>
      <w:r>
        <w:t xml:space="preserve"> </w:t>
      </w:r>
      <w:r>
        <w:t xml:space="preserve">A avaliação de efeitos foi considerada</w:t>
      </w:r>
      <w:r>
        <w:t xml:space="preserve"> </w:t>
      </w:r>
      <w:r>
        <w:t xml:space="preserve">não aplicável nas duas posições, pois a instabilidade principal está no</w:t>
      </w:r>
      <w:r>
        <w:t xml:space="preserve"> </w:t>
      </w:r>
      <w:r>
        <w:t xml:space="preserve">foco na causa.</w:t>
      </w:r>
    </w:p>
    <w:bookmarkEnd w:id="810"/>
    <w:bookmarkStart w:id="811" w:name="X252441f104ada7d35f019238646b26563ad8ba4"/>
    <w:p>
      <w:pPr>
        <w:pStyle w:val="908"/>
      </w:pPr>
      <w:r>
        <w:t xml:space="preserve">18.1.1.2.4 C2 — Execução continuada dependente de adesão</w:t>
      </w:r>
    </w:p>
    <w:p>
      <w:pPr>
        <w:pStyle w:val="917"/>
      </w:pPr>
      <w:r>
        <w:rPr>
          <w:b/>
          <w:bCs/>
        </w:rPr>
        <w:t xml:space="preserve">Definição:</w:t>
      </w:r>
      <w:r>
        <w:t xml:space="preserve"> </w:t>
      </w:r>
      <w:r>
        <w:t xml:space="preserve">A divergência decorre de a durabilidade depender da</w:t>
      </w:r>
      <w:r>
        <w:t xml:space="preserve"> </w:t>
      </w:r>
      <w:r>
        <w:t xml:space="preserve">realização reiterada de rotinas, controles ou supervisão por pessoas ou</w:t>
      </w:r>
      <w:r>
        <w:t xml:space="preserve"> </w:t>
      </w:r>
      <w:r>
        <w:t xml:space="preserve">unidades, sem garantia textual de continuidade diante de mudanças de</w:t>
      </w:r>
      <w:r>
        <w:t xml:space="preserve"> </w:t>
      </w:r>
      <w:r>
        <w:t xml:space="preserve">atores.</w:t>
      </w:r>
    </w:p>
    <w:p>
      <w:pPr>
        <w:pStyle w:val="916"/>
      </w:pPr>
      <w:r>
        <w:rPr>
          <w:b/>
          <w:bCs/>
        </w:rPr>
        <w:t xml:space="preserve">Critérios de inclusão:</w:t>
      </w:r>
      <w:r>
        <w:t xml:space="preserve"> </w:t>
      </w:r>
      <w:r>
        <w:t xml:space="preserve">a recomendação exige monitoramento,</w:t>
      </w:r>
      <w:r>
        <w:t xml:space="preserve"> </w:t>
      </w:r>
      <w:r>
        <w:t xml:space="preserve">conferência, supervisão, pactuação ou execução recorrente; o efeito</w:t>
      </w:r>
      <w:r>
        <w:t xml:space="preserve"> </w:t>
      </w:r>
      <w:r>
        <w:t xml:space="preserve">pretendido depende da adesão ou do compromisso continuado dos</w:t>
      </w:r>
      <w:r>
        <w:t xml:space="preserve"> </w:t>
      </w:r>
      <w:r>
        <w:t xml:space="preserve">executores; a análise inicial infere institucionalização, enquanto a</w:t>
      </w:r>
      <w:r>
        <w:t xml:space="preserve"> </w:t>
      </w:r>
      <w:r>
        <w:t xml:space="preserve">análise crítica destaca dependência de pessoal, prioridades ou aplicação</w:t>
      </w:r>
      <w:r>
        <w:t xml:space="preserve"> </w:t>
      </w:r>
      <w:r>
        <w:t xml:space="preserve">prática</w:t>
      </w:r>
    </w:p>
    <w:p>
      <w:pPr>
        <w:pStyle w:val="916"/>
      </w:pPr>
      <w:r>
        <w:rPr>
          <w:b/>
          <w:bCs/>
        </w:rPr>
        <w:t xml:space="preserve">Critérios de exclusão:</w:t>
      </w:r>
      <w:r>
        <w:t xml:space="preserve"> </w:t>
      </w:r>
      <w:r>
        <w:t xml:space="preserve">não incluir quando a recomendação apenas</w:t>
      </w:r>
      <w:r>
        <w:t xml:space="preserve"> </w:t>
      </w:r>
      <w:r>
        <w:t xml:space="preserve">determinar cumprimento normativo genérico; não incluir quando a ação</w:t>
      </w:r>
      <w:r>
        <w:t xml:space="preserve"> </w:t>
      </w:r>
      <w:r>
        <w:t xml:space="preserve">principal for capacitação ou transmissão de conhecimento; não incluir</w:t>
      </w:r>
      <w:r>
        <w:t xml:space="preserve"> </w:t>
      </w:r>
      <w:r>
        <w:t xml:space="preserve">quando o problema central for a ausência de investigação ou diagnóstico</w:t>
      </w:r>
    </w:p>
    <w:p>
      <w:pPr>
        <w:pStyle w:val="916"/>
      </w:pPr>
      <w:r>
        <w:rPr>
          <w:b/>
          <w:bCs/>
        </w:rPr>
        <w:t xml:space="preserve">Exemplo 1 (19615_1/675083_1.json)</w:t>
      </w:r>
    </w:p>
    <w:p>
      <w:pPr>
        <w:pStyle w:val="916"/>
      </w:pPr>
      <w:r>
        <w:t xml:space="preserve">Orientar os fiscais técnicos do convênio e/ou gestor do concedente, que</w:t>
      </w:r>
      <w:r>
        <w:t xml:space="preserve"> </w:t>
      </w:r>
      <w:r>
        <w:t xml:space="preserve">atuam no processo de execução, a realizar a conferência da documentação</w:t>
      </w:r>
      <w:r>
        <w:t xml:space="preserve"> </w:t>
      </w:r>
      <w:r>
        <w:t xml:space="preserve">comprobatória do processo de contratação por meio de dispensa,</w:t>
      </w:r>
      <w:r>
        <w:t xml:space="preserve"> </w:t>
      </w:r>
      <w:r>
        <w:t xml:space="preserve">inexigibilidade e cotação de preços pela convenente inserida no sistema,</w:t>
      </w:r>
      <w:r>
        <w:t xml:space="preserve"> </w:t>
      </w:r>
      <w:r>
        <w:t xml:space="preserve">em conformidade ao previsto no art. 45, da Portaria Interministerial</w:t>
      </w:r>
      <w:r>
        <w:t xml:space="preserve"> </w:t>
      </w:r>
      <w:r>
        <w:t xml:space="preserve">MP/MF/CGU nº 424/2016; art. 12 da Portaria de Consolidação Sesai/MS nº</w:t>
      </w:r>
      <w:r>
        <w:t xml:space="preserve"> </w:t>
      </w:r>
      <w:r>
        <w:t xml:space="preserve">1/2020; §2º do art. 54, art. 56 e art. 77 da Portaria MP/MF/CGU nº</w:t>
      </w:r>
      <w:r>
        <w:t xml:space="preserve"> </w:t>
      </w:r>
      <w:r>
        <w:t xml:space="preserve">424/2016, no sentido de evitar desobediência aos normativos e</w:t>
      </w:r>
      <w:r>
        <w:t xml:space="preserve"> </w:t>
      </w:r>
      <w:r>
        <w:t xml:space="preserve">cometimento de irregularidades nos atos praticados pela convenente.</w:t>
      </w:r>
    </w:p>
    <w:p>
      <w:pPr>
        <w:pStyle w:val="916"/>
      </w:pPr>
      <w:r>
        <w:rPr>
          <w:b/>
          <w:bCs/>
        </w:rPr>
        <w:t xml:space="preserve">Justificativa da IA:</w:t>
      </w:r>
      <w:r>
        <w:t xml:space="preserve"> </w:t>
      </w:r>
      <w:r>
        <w:t xml:space="preserve">A análise inicial tratou a orientação de</w:t>
      </w:r>
      <w:r>
        <w:t xml:space="preserve"> </w:t>
      </w:r>
      <w:r>
        <w:t xml:space="preserve">conferência documental como procedimento sistemático duradouro; a</w:t>
      </w:r>
      <w:r>
        <w:t xml:space="preserve"> </w:t>
      </w:r>
      <w:r>
        <w:t xml:space="preserve">divergência indicada pela análise crítica decorre da necessidade de</w:t>
      </w:r>
      <w:r>
        <w:t xml:space="preserve"> </w:t>
      </w:r>
      <w:r>
        <w:t xml:space="preserve">avaliar se a orientação se converte em execução continuada e mudança</w:t>
      </w:r>
      <w:r>
        <w:t xml:space="preserve"> </w:t>
      </w:r>
      <w:r>
        <w:t xml:space="preserve">estrutural.</w:t>
      </w:r>
    </w:p>
    <w:p>
      <w:pPr>
        <w:pStyle w:val="916"/>
      </w:pPr>
      <w:r>
        <w:rPr>
          <w:b/>
          <w:bCs/>
        </w:rPr>
        <w:t xml:space="preserve">Limites observados pela IA:</w:t>
      </w:r>
      <w:r>
        <w:t xml:space="preserve"> </w:t>
      </w:r>
      <w:r>
        <w:t xml:space="preserve">A análise crítica não explicitou</w:t>
      </w:r>
      <w:r>
        <w:t xml:space="preserve"> </w:t>
      </w:r>
      <w:r>
        <w:t xml:space="preserve">resultado próprio para efeitos duradouros, registrando não aplicação.</w:t>
      </w:r>
    </w:p>
    <w:p>
      <w:pPr>
        <w:pStyle w:val="916"/>
      </w:pPr>
      <w:r>
        <w:rPr>
          <w:b/>
          <w:bCs/>
        </w:rPr>
        <w:t xml:space="preserve">Exemplo 2 (19848_1/701972_1.json)</w:t>
      </w:r>
    </w:p>
    <w:p>
      <w:pPr>
        <w:pStyle w:val="916"/>
      </w:pPr>
      <w:r>
        <w:t xml:space="preserve">Alimentar regularmente, com a atuação do CEREST Regional, o Sistema de</w:t>
      </w:r>
      <w:r>
        <w:t xml:space="preserve"> </w:t>
      </w:r>
      <w:r>
        <w:t xml:space="preserve">Informação de Agravos de Notificação- SINAN, comprovando por meio de</w:t>
      </w:r>
      <w:r>
        <w:t xml:space="preserve"> </w:t>
      </w:r>
      <w:r>
        <w:t xml:space="preserve">documentos as informações relativas às notificações compulsórias (das</w:t>
      </w:r>
      <w:r>
        <w:t xml:space="preserve"> </w:t>
      </w:r>
      <w:r>
        <w:t xml:space="preserve">unidades sentinelas ou universais) de doenças e agravos relacionados ao</w:t>
      </w:r>
      <w:r>
        <w:t xml:space="preserve"> </w:t>
      </w:r>
      <w:r>
        <w:t xml:space="preserve">trabalho na rede de atenção do SUS, de acordo com item 3, alínea</w:t>
      </w:r>
      <w:r>
        <w:t xml:space="preserve"> </w:t>
      </w:r>
      <w:r>
        <w:rPr>
          <w:rStyle w:val="949"/>
        </w:rPr>
        <w:t xml:space="preserve">h</w:t>
      </w:r>
      <w:r>
        <w:t xml:space="preserve">,</w:t>
      </w:r>
      <w:r>
        <w:t xml:space="preserve"> </w:t>
      </w:r>
      <w:r>
        <w:t xml:space="preserve">inciso II, art. 9º, Capítulo III, do Anexo XV, da Portaria de</w:t>
      </w:r>
      <w:r>
        <w:t xml:space="preserve"> </w:t>
      </w:r>
      <w:r>
        <w:t xml:space="preserve">Consolidação GM/MS n.º 02, de 28 setembro 2017, e com o tópico Ações de</w:t>
      </w:r>
      <w:r>
        <w:t xml:space="preserve"> </w:t>
      </w:r>
      <w:r>
        <w:t xml:space="preserve">Responsabilidade das Regiões e dos Municípios, Anexo 1, do Anexo X, da</w:t>
      </w:r>
      <w:r>
        <w:t xml:space="preserve"> </w:t>
      </w:r>
      <w:r>
        <w:t xml:space="preserve">Portaria de Consolidação GM/MS n.º 03, de 28 setembro 2017.</w:t>
      </w:r>
    </w:p>
    <w:p>
      <w:pPr>
        <w:pStyle w:val="916"/>
      </w:pPr>
      <w:r>
        <w:rPr>
          <w:b/>
          <w:bCs/>
        </w:rPr>
        <w:t xml:space="preserve">Justificativa da IA:</w:t>
      </w:r>
      <w:r>
        <w:t xml:space="preserve"> </w:t>
      </w:r>
      <w:r>
        <w:t xml:space="preserve">A análise inicial classificou a alimentação</w:t>
      </w:r>
      <w:r>
        <w:t xml:space="preserve"> </w:t>
      </w:r>
      <w:r>
        <w:t xml:space="preserve">regular do sistema como causa tratada por processo contínuo; a análise</w:t>
      </w:r>
      <w:r>
        <w:t xml:space="preserve"> </w:t>
      </w:r>
      <w:r>
        <w:t xml:space="preserve">crítica apontou a ambiguidade entre correção da condição e</w:t>
      </w:r>
      <w:r>
        <w:t xml:space="preserve"> </w:t>
      </w:r>
      <w:r>
        <w:t xml:space="preserve">estabelecimento de uma rotina sistemática sem mudanças estruturais</w:t>
      </w:r>
      <w:r>
        <w:t xml:space="preserve"> </w:t>
      </w:r>
      <w:r>
        <w:t xml:space="preserve">demonstradas.</w:t>
      </w:r>
    </w:p>
    <w:p>
      <w:pPr>
        <w:pStyle w:val="916"/>
      </w:pPr>
      <w:r>
        <w:rPr>
          <w:b/>
          <w:bCs/>
        </w:rPr>
        <w:t xml:space="preserve">Limites observados pela IA:</w:t>
      </w:r>
      <w:r>
        <w:t xml:space="preserve"> </w:t>
      </w:r>
      <w:r>
        <w:t xml:space="preserve">A recomendação exige recorrência, mas</w:t>
      </w:r>
      <w:r>
        <w:t xml:space="preserve"> </w:t>
      </w:r>
      <w:r>
        <w:t xml:space="preserve">não especifica como a rotina será controlada ou sustentada.</w:t>
      </w:r>
    </w:p>
    <w:bookmarkEnd w:id="811"/>
    <w:bookmarkStart w:id="812" w:name="Xb123fee59681c66d5ef05802a114065e39cc544"/>
    <w:p>
      <w:pPr>
        <w:pStyle w:val="908"/>
      </w:pPr>
      <w:r>
        <w:t xml:space="preserve">18.1.1.2.5 C3 — Capacitação sujeita a atualização e retenção</w:t>
      </w:r>
    </w:p>
    <w:p>
      <w:pPr>
        <w:pStyle w:val="917"/>
      </w:pPr>
      <w:r>
        <w:rPr>
          <w:b/>
          <w:bCs/>
        </w:rPr>
        <w:t xml:space="preserve">Definição:</w:t>
      </w:r>
      <w:r>
        <w:t xml:space="preserve"> </w:t>
      </w:r>
      <w:r>
        <w:t xml:space="preserve">A divergência decorre de ações de educação, treinamento</w:t>
      </w:r>
      <w:r>
        <w:t xml:space="preserve"> </w:t>
      </w:r>
      <w:r>
        <w:t xml:space="preserve">ou qualificação cujo efeito pode persistir como conhecimento, mas</w:t>
      </w:r>
      <w:r>
        <w:t xml:space="preserve"> </w:t>
      </w:r>
      <w:r>
        <w:t xml:space="preserve">depende de atualização, repetição, retenção de pessoal e incorporação</w:t>
      </w:r>
      <w:r>
        <w:t xml:space="preserve"> </w:t>
      </w:r>
      <w:r>
        <w:t xml:space="preserve">institucional.</w:t>
      </w:r>
    </w:p>
    <w:p>
      <w:pPr>
        <w:pStyle w:val="916"/>
      </w:pPr>
      <w:r>
        <w:rPr>
          <w:b/>
          <w:bCs/>
        </w:rPr>
        <w:t xml:space="preserve">Critérios de inclusão:</w:t>
      </w:r>
      <w:r>
        <w:t xml:space="preserve"> </w:t>
      </w:r>
      <w:r>
        <w:t xml:space="preserve">a recomendação tem como ação central ofertar</w:t>
      </w:r>
      <w:r>
        <w:t xml:space="preserve"> </w:t>
      </w:r>
      <w:r>
        <w:t xml:space="preserve">educação, treinamento, orientação ou capacitação; a análise inicial</w:t>
      </w:r>
      <w:r>
        <w:t xml:space="preserve"> </w:t>
      </w:r>
      <w:r>
        <w:t xml:space="preserve">considera que conhecimentos adquiridos permanecem, enquanto a análise</w:t>
      </w:r>
      <w:r>
        <w:t xml:space="preserve"> </w:t>
      </w:r>
      <w:r>
        <w:t xml:space="preserve">crítica ressalta rotatividade, atualização ou necessidade de</w:t>
      </w:r>
      <w:r>
        <w:t xml:space="preserve"> </w:t>
      </w:r>
      <w:r>
        <w:t xml:space="preserve">continuidade; a recomendação não demonstra, por si só, mecanismo</w:t>
      </w:r>
      <w:r>
        <w:t xml:space="preserve"> </w:t>
      </w:r>
      <w:r>
        <w:t xml:space="preserve">institucional completo que assegure a transmissão e manutenção das</w:t>
      </w:r>
      <w:r>
        <w:t xml:space="preserve"> </w:t>
      </w:r>
      <w:r>
        <w:t xml:space="preserve">competências</w:t>
      </w:r>
    </w:p>
    <w:p>
      <w:pPr>
        <w:pStyle w:val="916"/>
      </w:pPr>
      <w:r>
        <w:rPr>
          <w:b/>
          <w:bCs/>
        </w:rPr>
        <w:t xml:space="preserve">Critérios de exclusão:</w:t>
      </w:r>
      <w:r>
        <w:t xml:space="preserve"> </w:t>
      </w:r>
      <w:r>
        <w:t xml:space="preserve">não incluir quando a capacitação for apenas</w:t>
      </w:r>
      <w:r>
        <w:t xml:space="preserve"> </w:t>
      </w:r>
      <w:r>
        <w:t xml:space="preserve">componente secundário de pacote dominado por outras ações; não incluir</w:t>
      </w:r>
      <w:r>
        <w:t xml:space="preserve"> </w:t>
      </w:r>
      <w:r>
        <w:t xml:space="preserve">quando a divergência decorrer principalmente de exigência normativa sem</w:t>
      </w:r>
      <w:r>
        <w:t xml:space="preserve"> </w:t>
      </w:r>
      <w:r>
        <w:t xml:space="preserve">implementação; não incluir quando a ação principal for rotina de</w:t>
      </w:r>
      <w:r>
        <w:t xml:space="preserve"> </w:t>
      </w:r>
      <w:r>
        <w:t xml:space="preserve">controle executada continuamente</w:t>
      </w:r>
    </w:p>
    <w:p>
      <w:pPr>
        <w:pStyle w:val="916"/>
      </w:pPr>
      <w:r>
        <w:rPr>
          <w:b/>
          <w:bCs/>
        </w:rPr>
        <w:t xml:space="preserve">Exemplo 1 (19610_1/674175_2.json)</w:t>
      </w:r>
    </w:p>
    <w:p>
      <w:pPr>
        <w:pStyle w:val="916"/>
      </w:pPr>
      <w:r>
        <w:t xml:space="preserve">Capacitar as áreas competentes para a análise dos custos do plano de</w:t>
      </w:r>
      <w:r>
        <w:t xml:space="preserve"> </w:t>
      </w:r>
      <w:r>
        <w:t xml:space="preserve">trabalho conferindo-lhes competência para identificar despesas sem</w:t>
      </w:r>
      <w:r>
        <w:t xml:space="preserve"> </w:t>
      </w:r>
      <w:r>
        <w:t xml:space="preserve">relação com o objeto do convênio.</w:t>
      </w:r>
    </w:p>
    <w:p>
      <w:pPr>
        <w:pStyle w:val="916"/>
      </w:pPr>
      <w:r>
        <w:rPr>
          <w:b/>
          <w:bCs/>
        </w:rPr>
        <w:t xml:space="preserve">Justificativa da IA:</w:t>
      </w:r>
      <w:r>
        <w:t xml:space="preserve"> </w:t>
      </w:r>
      <w:r>
        <w:t xml:space="preserve">A análise inicial considerou a capacitação</w:t>
      </w:r>
      <w:r>
        <w:t xml:space="preserve"> </w:t>
      </w:r>
      <w:r>
        <w:t xml:space="preserve">capaz de deixar competência institucional; a crítica ressaltou que a</w:t>
      </w:r>
      <w:r>
        <w:t xml:space="preserve"> </w:t>
      </w:r>
      <w:r>
        <w:t xml:space="preserve">recomendação é genérica em relação à contratação constatada e que seus</w:t>
      </w:r>
      <w:r>
        <w:t xml:space="preserve"> </w:t>
      </w:r>
      <w:r>
        <w:t xml:space="preserve">efeitos dependem de implementação, atualização e permanência dos</w:t>
      </w:r>
      <w:r>
        <w:t xml:space="preserve"> </w:t>
      </w:r>
      <w:r>
        <w:t xml:space="preserve">capacitados.</w:t>
      </w:r>
    </w:p>
    <w:p>
      <w:pPr>
        <w:pStyle w:val="916"/>
      </w:pPr>
      <w:r>
        <w:rPr>
          <w:b/>
          <w:bCs/>
        </w:rPr>
        <w:t xml:space="preserve">Limites observados pela IA:</w:t>
      </w:r>
      <w:r>
        <w:t xml:space="preserve"> </w:t>
      </w:r>
      <w:r>
        <w:t xml:space="preserve">A ação central é capacitar, sem</w:t>
      </w:r>
      <w:r>
        <w:t xml:space="preserve"> </w:t>
      </w:r>
      <w:r>
        <w:t xml:space="preserve">mecanismo adicional de institucionalização da competência.</w:t>
      </w:r>
    </w:p>
    <w:p>
      <w:pPr>
        <w:pStyle w:val="916"/>
      </w:pPr>
      <w:r>
        <w:rPr>
          <w:b/>
          <w:bCs/>
        </w:rPr>
        <w:t xml:space="preserve">Exemplo 2 (19473_1/669149_1.json)</w:t>
      </w:r>
    </w:p>
    <w:p>
      <w:pPr>
        <w:pStyle w:val="916"/>
      </w:pPr>
      <w:r>
        <w:t xml:space="preserve">Estabelecer um Programa de Capacitação Permanente aos profissionais do</w:t>
      </w:r>
      <w:r>
        <w:t xml:space="preserve"> </w:t>
      </w:r>
      <w:r>
        <w:t xml:space="preserve">SAMU Osasco, conforme o disposto no Art. 49, Seção IV, Capítulo I,</w:t>
      </w:r>
      <w:r>
        <w:t xml:space="preserve"> </w:t>
      </w:r>
      <w:r>
        <w:t xml:space="preserve">Título II, Livro II da PRC nº 03 de 28/09/17 o qual determina que “O</w:t>
      </w:r>
      <w:r>
        <w:t xml:space="preserve"> </w:t>
      </w:r>
      <w:r>
        <w:t xml:space="preserve">componente SAMU 192 deverá dispor de programa de capacitação permanente.</w:t>
      </w:r>
      <w:r>
        <w:t xml:space="preserve"> </w:t>
      </w:r>
      <w:r>
        <w:t xml:space="preserve">Parágrafo Único. A capacitação será promovida preferencialmente de forma</w:t>
      </w:r>
      <w:r>
        <w:t xml:space="preserve"> </w:t>
      </w:r>
      <w:r>
        <w:t xml:space="preserve">direta pela Rede de Atenção às Urgências.”</w:t>
      </w:r>
    </w:p>
    <w:p>
      <w:pPr>
        <w:pStyle w:val="916"/>
      </w:pPr>
      <w:r>
        <w:rPr>
          <w:b/>
          <w:bCs/>
        </w:rPr>
        <w:t xml:space="preserve">Justificativa da IA:</w:t>
      </w:r>
      <w:r>
        <w:t xml:space="preserve"> </w:t>
      </w:r>
      <w:r>
        <w:t xml:space="preserve">A análise inicial tratou o programa de</w:t>
      </w:r>
      <w:r>
        <w:t xml:space="preserve"> </w:t>
      </w:r>
      <w:r>
        <w:t xml:space="preserve">capacitação permanente como estrutura que preserva a qualificação; a</w:t>
      </w:r>
      <w:r>
        <w:t xml:space="preserve"> </w:t>
      </w:r>
      <w:r>
        <w:t xml:space="preserve">crítica questionou a relação entre a capacitação recomendada e a</w:t>
      </w:r>
      <w:r>
        <w:t xml:space="preserve"> </w:t>
      </w:r>
      <w:r>
        <w:t xml:space="preserve">constatação, além da sustentabilidade dos seus efeitos.</w:t>
      </w:r>
    </w:p>
    <w:p>
      <w:pPr>
        <w:pStyle w:val="916"/>
      </w:pPr>
      <w:r>
        <w:rPr>
          <w:b/>
          <w:bCs/>
        </w:rPr>
        <w:t xml:space="preserve">Limites observados pela IA:</w:t>
      </w:r>
      <w:r>
        <w:t xml:space="preserve"> </w:t>
      </w:r>
      <w:r>
        <w:t xml:space="preserve">A recomendação é exclusivamente</w:t>
      </w:r>
      <w:r>
        <w:t xml:space="preserve"> </w:t>
      </w:r>
      <w:r>
        <w:t xml:space="preserve">educacional e não demonstra mecanismo de retenção ou transmissão das</w:t>
      </w:r>
      <w:r>
        <w:t xml:space="preserve"> </w:t>
      </w:r>
      <w:r>
        <w:t xml:space="preserve">competências.</w:t>
      </w:r>
    </w:p>
    <w:bookmarkEnd w:id="812"/>
    <w:bookmarkStart w:id="813" w:name="c4-pacote-heterogêneo-de-ações-1"/>
    <w:p>
      <w:pPr>
        <w:pStyle w:val="908"/>
      </w:pPr>
      <w:r>
        <w:t xml:space="preserve">18.1.1.2.6 C4 — Pacote heterogêneo de ações</w:t>
      </w:r>
    </w:p>
    <w:p>
      <w:pPr>
        <w:pStyle w:val="917"/>
      </w:pPr>
      <w:r>
        <w:rPr>
          <w:b/>
          <w:bCs/>
        </w:rPr>
        <w:t xml:space="preserve">Definição:</w:t>
      </w:r>
      <w:r>
        <w:t xml:space="preserve"> </w:t>
      </w:r>
      <w:r>
        <w:t xml:space="preserve">A divergência decorre da combinação, na mesma</w:t>
      </w:r>
      <w:r>
        <w:t xml:space="preserve"> </w:t>
      </w:r>
      <w:r>
        <w:t xml:space="preserve">recomendação, de medidas imediatas ou reparadoras com ações estruturais,</w:t>
      </w:r>
      <w:r>
        <w:t xml:space="preserve"> </w:t>
      </w:r>
      <w:r>
        <w:t xml:space="preserve">preventivas ou de capacitação, permitindo avaliações diferentes conforme</w:t>
      </w:r>
      <w:r>
        <w:t xml:space="preserve"> </w:t>
      </w:r>
      <w:r>
        <w:t xml:space="preserve">o componente valorizado.</w:t>
      </w:r>
    </w:p>
    <w:p>
      <w:pPr>
        <w:pStyle w:val="916"/>
      </w:pPr>
      <w:r>
        <w:rPr>
          <w:b/>
          <w:bCs/>
        </w:rPr>
        <w:t xml:space="preserve">Critérios de inclusão:</w:t>
      </w:r>
      <w:r>
        <w:t xml:space="preserve"> </w:t>
      </w:r>
      <w:r>
        <w:t xml:space="preserve">a recomendação contém duas ou mais ações</w:t>
      </w:r>
      <w:r>
        <w:t xml:space="preserve"> </w:t>
      </w:r>
      <w:r>
        <w:t xml:space="preserve">autônomas com funções distintas; pelo menos uma ação trata da condição</w:t>
      </w:r>
      <w:r>
        <w:t xml:space="preserve"> </w:t>
      </w:r>
      <w:r>
        <w:t xml:space="preserve">imediata e outra pretende modificar processos, capacidade ou controles;</w:t>
      </w:r>
      <w:r>
        <w:t xml:space="preserve"> </w:t>
      </w:r>
      <w:r>
        <w:t xml:space="preserve">a análise inicial enfatiza o componente estrutural, enquanto a análise</w:t>
      </w:r>
      <w:r>
        <w:t xml:space="preserve"> </w:t>
      </w:r>
      <w:r>
        <w:t xml:space="preserve">crítica pondera a heterogeneidade, a execução ou a predominância da</w:t>
      </w:r>
      <w:r>
        <w:t xml:space="preserve"> </w:t>
      </w:r>
      <w:r>
        <w:t xml:space="preserve">medida corretiva</w:t>
      </w:r>
    </w:p>
    <w:p>
      <w:pPr>
        <w:pStyle w:val="916"/>
      </w:pPr>
      <w:r>
        <w:rPr>
          <w:b/>
          <w:bCs/>
        </w:rPr>
        <w:t xml:space="preserve">Critérios de exclusão:</w:t>
      </w:r>
      <w:r>
        <w:t xml:space="preserve"> </w:t>
      </w:r>
      <w:r>
        <w:t xml:space="preserve">não incluir quando houver apenas uma ação com</w:t>
      </w:r>
      <w:r>
        <w:t xml:space="preserve"> </w:t>
      </w:r>
      <w:r>
        <w:t xml:space="preserve">redação genérica; não incluir quando as várias providências forem apenas</w:t>
      </w:r>
      <w:r>
        <w:t xml:space="preserve"> </w:t>
      </w:r>
      <w:r>
        <w:t xml:space="preserve">etapas do mesmo procedimento; não incluir quando a divergência puder ser</w:t>
      </w:r>
      <w:r>
        <w:t xml:space="preserve"> </w:t>
      </w:r>
      <w:r>
        <w:t xml:space="preserve">explicada predominantemente por dependência de adesão continuada</w:t>
      </w:r>
    </w:p>
    <w:p>
      <w:pPr>
        <w:pStyle w:val="916"/>
      </w:pPr>
      <w:r>
        <w:rPr>
          <w:b/>
          <w:bCs/>
        </w:rPr>
        <w:t xml:space="preserve">Exemplo 1 (19517_1/671855_1.json)</w:t>
      </w:r>
    </w:p>
    <w:p>
      <w:pPr>
        <w:pStyle w:val="916"/>
      </w:pPr>
      <w:r>
        <w:t xml:space="preserve">Devolver ao Fundo Nacionalde Saúde o valor de R$ 48,60 (quarenta e oito</w:t>
      </w:r>
      <w:r>
        <w:t xml:space="preserve"> </w:t>
      </w:r>
      <w:r>
        <w:t xml:space="preserve">reais e sessenta centavos), conforme detalhado no Anexo III, já</w:t>
      </w:r>
      <w:r>
        <w:t xml:space="preserve"> </w:t>
      </w:r>
      <w:r>
        <w:t xml:space="preserve">contemplado na proposição de devolução da constatação 671289. Prestar,</w:t>
      </w:r>
      <w:r>
        <w:t xml:space="preserve"> </w:t>
      </w:r>
      <w:r>
        <w:t xml:space="preserve">quando exigida, ao pessoal em exercício no Sistema Nacional de Auditoria</w:t>
      </w:r>
      <w:r>
        <w:t xml:space="preserve"> </w:t>
      </w:r>
      <w:r>
        <w:t xml:space="preserve">(SNA), toda informação necessária ao desempenho das atividades de</w:t>
      </w:r>
      <w:r>
        <w:t xml:space="preserve"> </w:t>
      </w:r>
      <w:r>
        <w:t xml:space="preserve">controle, avaliação e auditoria, facilitando-lhes o acesso a documentos,</w:t>
      </w:r>
      <w:r>
        <w:t xml:space="preserve"> </w:t>
      </w:r>
      <w:r>
        <w:t xml:space="preserve">pessoas e instalações, em observância à determinação contida no artigo</w:t>
      </w:r>
      <w:r>
        <w:t xml:space="preserve"> </w:t>
      </w:r>
      <w:r>
        <w:t xml:space="preserve">11 do Decreto Federal nº 1.651 de 28/09/1995. Caso ocorra o</w:t>
      </w:r>
      <w:r>
        <w:t xml:space="preserve"> </w:t>
      </w:r>
      <w:r>
        <w:t xml:space="preserve">restabelecimento da conexão ao Sistema de Vendas do PFPB, comercializar</w:t>
      </w:r>
      <w:r>
        <w:t xml:space="preserve"> </w:t>
      </w:r>
      <w:r>
        <w:t xml:space="preserve">e dispensar medicamentos e correlatos em estrita observância às regras</w:t>
      </w:r>
      <w:r>
        <w:t xml:space="preserve"> </w:t>
      </w:r>
      <w:r>
        <w:t xml:space="preserve">de execução do Programa Farmácia Popular do Brasil, a fim de não</w:t>
      </w:r>
      <w:r>
        <w:t xml:space="preserve"> </w:t>
      </w:r>
      <w:r>
        <w:t xml:space="preserve">incorrer em práticas irregulares, conforme preconizado nos incisos I e</w:t>
      </w:r>
      <w:r>
        <w:t xml:space="preserve"> </w:t>
      </w:r>
      <w:r>
        <w:t xml:space="preserve">II do artigo 37 combinados com os artigos 21, 22 e 25, do Anexo LXXVII</w:t>
      </w:r>
      <w:r>
        <w:t xml:space="preserve"> </w:t>
      </w:r>
      <w:r>
        <w:t xml:space="preserve">da Portaria de Consolidação GM/MS nº 5 de 28/9/2017, alterada pela</w:t>
      </w:r>
      <w:r>
        <w:t xml:space="preserve"> </w:t>
      </w:r>
      <w:r>
        <w:t xml:space="preserve">Portaria GM/MS nº 2.898, de 26/10/2021.</w:t>
      </w:r>
    </w:p>
    <w:p>
      <w:pPr>
        <w:pStyle w:val="916"/>
      </w:pPr>
      <w:r>
        <w:rPr>
          <w:b/>
          <w:bCs/>
        </w:rPr>
        <w:t xml:space="preserve">Justificativa da IA:</w:t>
      </w:r>
      <w:r>
        <w:t xml:space="preserve"> </w:t>
      </w:r>
      <w:r>
        <w:t xml:space="preserve">A análise inicial valorizou a conformidade</w:t>
      </w:r>
      <w:r>
        <w:t xml:space="preserve"> </w:t>
      </w:r>
      <w:r>
        <w:t xml:space="preserve">futura com as regras do programa, mas a crítica considerou a</w:t>
      </w:r>
      <w:r>
        <w:t xml:space="preserve"> </w:t>
      </w:r>
      <w:r>
        <w:t xml:space="preserve">recomendação predominantemente reativa, composta também por devolução e</w:t>
      </w:r>
      <w:r>
        <w:t xml:space="preserve"> </w:t>
      </w:r>
      <w:r>
        <w:t xml:space="preserve">prestação de informações, com referência normativa genérica.</w:t>
      </w:r>
    </w:p>
    <w:p>
      <w:pPr>
        <w:pStyle w:val="916"/>
      </w:pPr>
      <w:r>
        <w:rPr>
          <w:b/>
          <w:bCs/>
        </w:rPr>
        <w:t xml:space="preserve">Limites observados pela IA:</w:t>
      </w:r>
      <w:r>
        <w:t xml:space="preserve"> </w:t>
      </w:r>
      <w:r>
        <w:t xml:space="preserve">O componente preventivo não especifica</w:t>
      </w:r>
      <w:r>
        <w:t xml:space="preserve"> </w:t>
      </w:r>
      <w:r>
        <w:t xml:space="preserve">mecanismos além da observância das regras.</w:t>
      </w:r>
    </w:p>
    <w:p>
      <w:pPr>
        <w:pStyle w:val="916"/>
      </w:pPr>
      <w:r>
        <w:rPr>
          <w:b/>
          <w:bCs/>
        </w:rPr>
        <w:t xml:space="preserve">Exemplo 2 (19568_4/675511_1.json)</w:t>
      </w:r>
    </w:p>
    <w:p>
      <w:pPr>
        <w:pStyle w:val="916"/>
      </w:pPr>
      <w:r>
        <w:t xml:space="preserve">Capacitar os profissionais para o preenchimento correto das informações</w:t>
      </w:r>
      <w:r>
        <w:t xml:space="preserve"> </w:t>
      </w:r>
      <w:r>
        <w:t xml:space="preserve">nos diversos sistemas, estabelecer rotinas para inserção dos dados nos</w:t>
      </w:r>
      <w:r>
        <w:t xml:space="preserve"> </w:t>
      </w:r>
      <w:r>
        <w:t xml:space="preserve">sistemas de informação o mais rápido possível e atentar para o</w:t>
      </w:r>
      <w:r>
        <w:t xml:space="preserve"> </w:t>
      </w:r>
      <w:r>
        <w:t xml:space="preserve">preenchimento das informações conforme notas técnicas e dar preferência</w:t>
      </w:r>
      <w:r>
        <w:t xml:space="preserve"> </w:t>
      </w:r>
      <w:r>
        <w:t xml:space="preserve">ao uso de prontuários eletrônicos, por ser associado a melhores</w:t>
      </w:r>
      <w:r>
        <w:t xml:space="preserve"> </w:t>
      </w:r>
      <w:r>
        <w:t xml:space="preserve">registros e possibilitar o envio e compartilhamento de dados</w:t>
      </w:r>
      <w:r>
        <w:t xml:space="preserve"> </w:t>
      </w:r>
      <w:r>
        <w:t xml:space="preserve">administrativos e clínicos em tempo oportuno.</w:t>
      </w:r>
    </w:p>
    <w:p>
      <w:pPr>
        <w:pStyle w:val="916"/>
      </w:pPr>
      <w:r>
        <w:rPr>
          <w:b/>
          <w:bCs/>
        </w:rPr>
        <w:t xml:space="preserve">Justificativa da IA:</w:t>
      </w:r>
      <w:r>
        <w:t xml:space="preserve"> </w:t>
      </w:r>
      <w:r>
        <w:t xml:space="preserve">A análise inicial tratou capacitação, rotinas</w:t>
      </w:r>
      <w:r>
        <w:t xml:space="preserve"> </w:t>
      </w:r>
      <w:r>
        <w:t xml:space="preserve">de inserção e prontuário eletrônico como estruturas duradouras; a</w:t>
      </w:r>
      <w:r>
        <w:t xml:space="preserve"> </w:t>
      </w:r>
      <w:r>
        <w:t xml:space="preserve">divergência decorre da heterogeneidade entre formação, rotina</w:t>
      </w:r>
      <w:r>
        <w:t xml:space="preserve"> </w:t>
      </w:r>
      <w:r>
        <w:t xml:space="preserve">operacional e solução tecnológica.</w:t>
      </w:r>
    </w:p>
    <w:p>
      <w:pPr>
        <w:pStyle w:val="916"/>
      </w:pPr>
      <w:r>
        <w:rPr>
          <w:b/>
          <w:bCs/>
        </w:rPr>
        <w:t xml:space="preserve">Limites observados pela IA:</w:t>
      </w:r>
      <w:r>
        <w:t xml:space="preserve"> </w:t>
      </w:r>
      <w:r>
        <w:t xml:space="preserve">As ações possuem diferentes dependências</w:t>
      </w:r>
      <w:r>
        <w:t xml:space="preserve"> </w:t>
      </w:r>
      <w:r>
        <w:t xml:space="preserve">de recursos, pessoas e implementação.</w:t>
      </w:r>
    </w:p>
    <w:bookmarkEnd w:id="813"/>
    <w:bookmarkStart w:id="814" w:name="Xd9b2a677f6cc45b28448815804421e1bff1bd19"/>
    <w:p>
      <w:pPr>
        <w:pStyle w:val="908"/>
      </w:pPr>
      <w:r>
        <w:t xml:space="preserve">18.1.1.2.7 C5 — Investigação sem tratamento assegurado</w:t>
      </w:r>
    </w:p>
    <w:p>
      <w:pPr>
        <w:pStyle w:val="917"/>
      </w:pPr>
      <w:r>
        <w:rPr>
          <w:b/>
          <w:bCs/>
        </w:rPr>
        <w:t xml:space="preserve">Definição:</w:t>
      </w:r>
      <w:r>
        <w:t xml:space="preserve"> </w:t>
      </w:r>
      <w:r>
        <w:t xml:space="preserve">A divergência decorre de a recomendação limitar-se a</w:t>
      </w:r>
      <w:r>
        <w:t xml:space="preserve"> </w:t>
      </w:r>
      <w:r>
        <w:t xml:space="preserve">solicitar informações, justificativas ou apuração, sem determinar a</w:t>
      </w:r>
      <w:r>
        <w:t xml:space="preserve"> </w:t>
      </w:r>
      <w:r>
        <w:t xml:space="preserve">implementação das medidas que tratariam a causa identificada.</w:t>
      </w:r>
    </w:p>
    <w:p>
      <w:pPr>
        <w:pStyle w:val="916"/>
      </w:pPr>
      <w:r>
        <w:rPr>
          <w:b/>
          <w:bCs/>
        </w:rPr>
        <w:t xml:space="preserve">Critérios de inclusão:</w:t>
      </w:r>
      <w:r>
        <w:t xml:space="preserve"> </w:t>
      </w:r>
      <w:r>
        <w:t xml:space="preserve">a ação principal é investigar, apurar,</w:t>
      </w:r>
      <w:r>
        <w:t xml:space="preserve"> </w:t>
      </w:r>
      <w:r>
        <w:t xml:space="preserve">solicitar justificativa ou obter informação; o texto não assegura que as</w:t>
      </w:r>
      <w:r>
        <w:t xml:space="preserve"> </w:t>
      </w:r>
      <w:r>
        <w:t xml:space="preserve">causas encontradas serão corrigidas; a análise inicial ou crítica infere</w:t>
      </w:r>
      <w:r>
        <w:t xml:space="preserve"> </w:t>
      </w:r>
      <w:r>
        <w:t xml:space="preserve">possíveis efeitos futuros a partir de etapa diagnóstica, embora a</w:t>
      </w:r>
      <w:r>
        <w:t xml:space="preserve"> </w:t>
      </w:r>
      <w:r>
        <w:t xml:space="preserve">recomendação não os estabeleça</w:t>
      </w:r>
    </w:p>
    <w:p>
      <w:pPr>
        <w:pStyle w:val="916"/>
      </w:pPr>
      <w:r>
        <w:rPr>
          <w:b/>
          <w:bCs/>
        </w:rPr>
        <w:t xml:space="preserve">Critérios de exclusão:</w:t>
      </w:r>
      <w:r>
        <w:t xml:space="preserve"> </w:t>
      </w:r>
      <w:r>
        <w:t xml:space="preserve">não incluir quando a investigação vier</w:t>
      </w:r>
      <w:r>
        <w:t xml:space="preserve"> </w:t>
      </w:r>
      <w:r>
        <w:t xml:space="preserve">acompanhada de medidas corretivas ou preventivas determinadas; não</w:t>
      </w:r>
      <w:r>
        <w:t xml:space="preserve"> </w:t>
      </w:r>
      <w:r>
        <w:t xml:space="preserve">incluir quando a recomendação estabelecer diretamente rotina de</w:t>
      </w:r>
      <w:r>
        <w:t xml:space="preserve"> </w:t>
      </w:r>
      <w:r>
        <w:t xml:space="preserve">controle; não incluir quando a divergência central for apenas a</w:t>
      </w:r>
      <w:r>
        <w:t xml:space="preserve"> </w:t>
      </w:r>
      <w:r>
        <w:t xml:space="preserve">generalidade de exigência normativa</w:t>
      </w:r>
    </w:p>
    <w:p>
      <w:pPr>
        <w:pStyle w:val="916"/>
      </w:pPr>
      <w:r>
        <w:rPr>
          <w:b/>
          <w:bCs/>
        </w:rPr>
        <w:t xml:space="preserve">Exemplo 1 (19294_1/687236_1.json)</w:t>
      </w:r>
    </w:p>
    <w:p>
      <w:pPr>
        <w:pStyle w:val="916"/>
      </w:pPr>
      <w:r>
        <w:t xml:space="preserve">Apurar as responsabilidades pela inexecução parcial do contrato de</w:t>
      </w:r>
      <w:r>
        <w:t xml:space="preserve"> </w:t>
      </w:r>
      <w:r>
        <w:t xml:space="preserve">fornecimento de solução em sistema informatizado integrado de gestão</w:t>
      </w:r>
      <w:r>
        <w:t xml:space="preserve"> </w:t>
      </w:r>
      <w:r>
        <w:t xml:space="preserve">hospitalar da empresa MV Sistemas, pois conforme a Lei n.º 8.666/93,</w:t>
      </w:r>
      <w:r>
        <w:t xml:space="preserve"> </w:t>
      </w:r>
      <w:r>
        <w:t xml:space="preserve">artigo 66 destinada aos contratos firmados com base na referida lei</w:t>
      </w:r>
      <w:r>
        <w:t xml:space="preserve"> </w:t>
      </w:r>
      <w:r>
        <w:t xml:space="preserve">conforme dispõe o Art. 190 da nova Lei de Licitações n.º 14.133 de</w:t>
      </w:r>
      <w:r>
        <w:t xml:space="preserve"> </w:t>
      </w:r>
      <w:r>
        <w:t xml:space="preserve">1º/4/2021. O contrato cujo instrumento tenha sido assinado antes da</w:t>
      </w:r>
      <w:r>
        <w:t xml:space="preserve"> </w:t>
      </w:r>
      <w:r>
        <w:t xml:space="preserve">entrada em vigor da Lei n.º 14.133 de 1º/4/2021 continuará a ser regido</w:t>
      </w:r>
      <w:r>
        <w:t xml:space="preserve"> </w:t>
      </w:r>
      <w:r>
        <w:t xml:space="preserve">de acordo com as regras previstas na legislação revogada. E para os</w:t>
      </w:r>
      <w:r>
        <w:t xml:space="preserve"> </w:t>
      </w:r>
      <w:r>
        <w:t xml:space="preserve">novos contratos a serem firmados deverão observar a Lei n.º 14.133, de</w:t>
      </w:r>
      <w:r>
        <w:t xml:space="preserve"> </w:t>
      </w:r>
      <w:r>
        <w:t xml:space="preserve">1º/4/2021, o contrato deverá ser executado pelas partes, de acordo com</w:t>
      </w:r>
      <w:r>
        <w:t xml:space="preserve"> </w:t>
      </w:r>
      <w:r>
        <w:t xml:space="preserve">as cláusulas avençadas e as normas legais, respondendo cada uma pelas</w:t>
      </w:r>
      <w:r>
        <w:t xml:space="preserve"> </w:t>
      </w:r>
      <w:r>
        <w:t xml:space="preserve">consequências de sua inexecução total ou parcial.</w:t>
      </w:r>
    </w:p>
    <w:p>
      <w:pPr>
        <w:pStyle w:val="916"/>
      </w:pPr>
      <w:r>
        <w:rPr>
          <w:b/>
          <w:bCs/>
        </w:rPr>
        <w:t xml:space="preserve">Justificativa da IA:</w:t>
      </w:r>
      <w:r>
        <w:t xml:space="preserve"> </w:t>
      </w:r>
      <w:r>
        <w:t xml:space="preserve">A análise inicial inferiu efeitos preventivos</w:t>
      </w:r>
      <w:r>
        <w:t xml:space="preserve"> </w:t>
      </w:r>
      <w:r>
        <w:t xml:space="preserve">duradouros da apuração de responsabilidades; a crítica observou que a</w:t>
      </w:r>
      <w:r>
        <w:t xml:space="preserve"> </w:t>
      </w:r>
      <w:r>
        <w:t xml:space="preserve">apuração é um evento pontual e não cria, por si só, mecanismo permanente</w:t>
      </w:r>
      <w:r>
        <w:t xml:space="preserve"> </w:t>
      </w:r>
      <w:r>
        <w:t xml:space="preserve">de prevenção de novas inexecuções.</w:t>
      </w:r>
    </w:p>
    <w:p>
      <w:pPr>
        <w:pStyle w:val="916"/>
      </w:pPr>
      <w:r>
        <w:rPr>
          <w:b/>
          <w:bCs/>
        </w:rPr>
        <w:t xml:space="preserve">Limites observados pela IA:</w:t>
      </w:r>
      <w:r>
        <w:t xml:space="preserve"> </w:t>
      </w:r>
      <w:r>
        <w:t xml:space="preserve">A recomendação determina investigação,</w:t>
      </w:r>
      <w:r>
        <w:t xml:space="preserve"> </w:t>
      </w:r>
      <w:r>
        <w:t xml:space="preserve">mas não estabelece medidas corretivas ou preventivas subsequentes.</w:t>
      </w:r>
    </w:p>
    <w:bookmarkEnd w:id="814"/>
    <w:bookmarkStart w:id="815" w:name="Xb56fae0f17a3bcb2027aea5b8024fd529539c56"/>
    <w:p>
      <w:pPr>
        <w:pStyle w:val="908"/>
      </w:pPr>
      <w:r>
        <w:t xml:space="preserve">18.1.1.2.8 C6 — Formalização sem institucionalização demonstrada</w:t>
      </w:r>
    </w:p>
    <w:p>
      <w:pPr>
        <w:pStyle w:val="917"/>
      </w:pPr>
      <w:r>
        <w:rPr>
          <w:b/>
          <w:bCs/>
        </w:rPr>
        <w:t xml:space="preserve">Definição:</w:t>
      </w:r>
      <w:r>
        <w:t xml:space="preserve"> </w:t>
      </w:r>
      <w:r>
        <w:t xml:space="preserve">A divergência decorre da criação ou atualização de</w:t>
      </w:r>
      <w:r>
        <w:t xml:space="preserve"> </w:t>
      </w:r>
      <w:r>
        <w:t xml:space="preserve">documentos, planos, registros, fluxos ou processos formais cuja</w:t>
      </w:r>
      <w:r>
        <w:t xml:space="preserve"> </w:t>
      </w:r>
      <w:r>
        <w:t xml:space="preserve">existência é apresentada como duradoura, mas cuja implementação,</w:t>
      </w:r>
      <w:r>
        <w:t xml:space="preserve"> </w:t>
      </w:r>
      <w:r>
        <w:t xml:space="preserve">manutenção e integração institucional não são demonstradas.</w:t>
      </w:r>
    </w:p>
    <w:p>
      <w:pPr>
        <w:pStyle w:val="916"/>
      </w:pPr>
      <w:r>
        <w:rPr>
          <w:b/>
          <w:bCs/>
        </w:rPr>
        <w:t xml:space="preserve">Critérios de inclusão:</w:t>
      </w:r>
      <w:r>
        <w:t xml:space="preserve"> </w:t>
      </w:r>
      <w:r>
        <w:t xml:space="preserve">a recomendação prevê elaborar, incluir,</w:t>
      </w:r>
      <w:r>
        <w:t xml:space="preserve"> </w:t>
      </w:r>
      <w:r>
        <w:t xml:space="preserve">registrar, organizar ou aprimorar documentos, planos, fluxos ou</w:t>
      </w:r>
      <w:r>
        <w:t xml:space="preserve"> </w:t>
      </w:r>
      <w:r>
        <w:t xml:space="preserve">instrumentos; a análise inicial associa a formalização documental à</w:t>
      </w:r>
      <w:r>
        <w:t xml:space="preserve"> </w:t>
      </w:r>
      <w:r>
        <w:t xml:space="preserve">permanência dos efeitos; a análise crítica aponta ausência de</w:t>
      </w:r>
      <w:r>
        <w:t xml:space="preserve"> </w:t>
      </w:r>
      <w:r>
        <w:t xml:space="preserve">detalhamento sobre implementação, revisão, monitoramento ou</w:t>
      </w:r>
      <w:r>
        <w:t xml:space="preserve"> </w:t>
      </w:r>
      <w:r>
        <w:t xml:space="preserve">institucionalização</w:t>
      </w:r>
    </w:p>
    <w:p>
      <w:pPr>
        <w:pStyle w:val="916"/>
      </w:pPr>
      <w:r>
        <w:rPr>
          <w:b/>
          <w:bCs/>
        </w:rPr>
        <w:t xml:space="preserve">Critérios de exclusão:</w:t>
      </w:r>
      <w:r>
        <w:t xml:space="preserve"> </w:t>
      </w:r>
      <w:r>
        <w:t xml:space="preserve">não incluir quando o texto se limitar a citar</w:t>
      </w:r>
      <w:r>
        <w:t xml:space="preserve"> </w:t>
      </w:r>
      <w:r>
        <w:t xml:space="preserve">norma sem determinar formalização ou criação de instrumento; não incluir</w:t>
      </w:r>
      <w:r>
        <w:t xml:space="preserve"> </w:t>
      </w:r>
      <w:r>
        <w:t xml:space="preserve">quando o mecanismo predominante for execução reiterada por pessoas; não</w:t>
      </w:r>
      <w:r>
        <w:t xml:space="preserve"> </w:t>
      </w:r>
      <w:r>
        <w:t xml:space="preserve">incluir quando o núcleo da recomendação for exclusivamente capacitação</w:t>
      </w:r>
    </w:p>
    <w:p>
      <w:pPr>
        <w:pStyle w:val="916"/>
      </w:pPr>
      <w:r>
        <w:rPr>
          <w:b/>
          <w:bCs/>
        </w:rPr>
        <w:t xml:space="preserve">Exemplo 1 (19783_1/694789_1.json)</w:t>
      </w:r>
    </w:p>
    <w:p>
      <w:pPr>
        <w:pStyle w:val="916"/>
      </w:pPr>
      <w:r>
        <w:t xml:space="preserve">Cumprir o § 3º Art. 96 CAPÍTULO I das Diretrizes do Processo de</w:t>
      </w:r>
      <w:r>
        <w:t xml:space="preserve"> </w:t>
      </w:r>
      <w:r>
        <w:t xml:space="preserve">Planejamento no Âmbito do Sus, Título IV do Planejamento, Portaria de</w:t>
      </w:r>
      <w:r>
        <w:t xml:space="preserve"> </w:t>
      </w:r>
      <w:r>
        <w:t xml:space="preserve">Consolidação Nº 1, de 28 de setembro de 2017, quanto aos instrumentos de</w:t>
      </w:r>
      <w:r>
        <w:t xml:space="preserve"> </w:t>
      </w:r>
      <w:r>
        <w:t xml:space="preserve">gestão da SMS conter informações suficientes sobre o Programa Nacional</w:t>
      </w:r>
      <w:r>
        <w:t xml:space="preserve"> </w:t>
      </w:r>
      <w:r>
        <w:t xml:space="preserve">de Imunizações-PNI, permitindo o efetivo planejamento, monitoramento e a</w:t>
      </w:r>
      <w:r>
        <w:t xml:space="preserve"> </w:t>
      </w:r>
      <w:r>
        <w:t xml:space="preserve">avaliação dos resultados alcançados na execução da Política.</w:t>
      </w:r>
    </w:p>
    <w:p>
      <w:pPr>
        <w:pStyle w:val="916"/>
      </w:pPr>
      <w:r>
        <w:rPr>
          <w:b/>
          <w:bCs/>
        </w:rPr>
        <w:t xml:space="preserve">Justificativa da IA:</w:t>
      </w:r>
      <w:r>
        <w:t xml:space="preserve"> </w:t>
      </w:r>
      <w:r>
        <w:t xml:space="preserve">A análise inicial inferiu durabilidade da</w:t>
      </w:r>
      <w:r>
        <w:t xml:space="preserve"> </w:t>
      </w:r>
      <w:r>
        <w:t xml:space="preserve">inclusão de informações nos instrumentos de gestão a partir da diretriz</w:t>
      </w:r>
      <w:r>
        <w:t xml:space="preserve"> </w:t>
      </w:r>
      <w:r>
        <w:t xml:space="preserve">normativa; a crítica ressaltou que a aplicação continuada pode variar</w:t>
      </w:r>
      <w:r>
        <w:t xml:space="preserve"> </w:t>
      </w:r>
      <w:r>
        <w:t xml:space="preserve">com mudanças organizacionais e prioridades.</w:t>
      </w:r>
    </w:p>
    <w:p>
      <w:pPr>
        <w:pStyle w:val="916"/>
      </w:pPr>
      <w:r>
        <w:rPr>
          <w:b/>
          <w:bCs/>
        </w:rPr>
        <w:t xml:space="preserve">Limites observados pela IA:</w:t>
      </w:r>
      <w:r>
        <w:t xml:space="preserve"> </w:t>
      </w:r>
      <w:r>
        <w:t xml:space="preserve">O núcleo é a incorporação de conteúdo em</w:t>
      </w:r>
      <w:r>
        <w:t xml:space="preserve"> </w:t>
      </w:r>
      <w:r>
        <w:t xml:space="preserve">instrumentos formais, não apenas a citação da norma.</w:t>
      </w:r>
    </w:p>
    <w:p>
      <w:pPr>
        <w:pStyle w:val="916"/>
      </w:pPr>
      <w:r>
        <w:rPr>
          <w:b/>
          <w:bCs/>
        </w:rPr>
        <w:t xml:space="preserve">Exemplo 2 (19634_1/684824_1.json)</w:t>
      </w:r>
    </w:p>
    <w:p>
      <w:pPr>
        <w:pStyle w:val="916"/>
      </w:pPr>
      <w:r>
        <w:t xml:space="preserve">1-Cumprir com o que estabelecem os Arts. 95, 96, 97 e 99, todos da</w:t>
      </w:r>
      <w:r>
        <w:t xml:space="preserve"> </w:t>
      </w:r>
      <w:r>
        <w:t xml:space="preserve">Portaria de Consolidação GM/MS nº 1, de 28/9/2017, que preveem que os</w:t>
      </w:r>
      <w:r>
        <w:t xml:space="preserve"> </w:t>
      </w:r>
      <w:r>
        <w:t xml:space="preserve">instrumentos para o planejamento no âmbito do SUS, o Plano de Saúde</w:t>
      </w:r>
      <w:r>
        <w:t xml:space="preserve"> </w:t>
      </w:r>
      <w:r>
        <w:t xml:space="preserve">(PS), as Programações Anuais de Saúde (PAS) e o Relatório Anual de</w:t>
      </w:r>
      <w:r>
        <w:t xml:space="preserve"> </w:t>
      </w:r>
      <w:r>
        <w:t xml:space="preserve">Gestão (RAG) que se interligam compondo um processo cíclico de</w:t>
      </w:r>
      <w:r>
        <w:t xml:space="preserve"> </w:t>
      </w:r>
      <w:r>
        <w:t xml:space="preserve">planejamento para operacionalização integrada, solidária e sistêmica do</w:t>
      </w:r>
      <w:r>
        <w:t xml:space="preserve"> </w:t>
      </w:r>
      <w:r>
        <w:t xml:space="preserve">SUS, onde o PS se configura como base para a execução, o acompanhamento,</w:t>
      </w:r>
      <w:r>
        <w:t xml:space="preserve"> </w:t>
      </w:r>
      <w:r>
        <w:t xml:space="preserve">a avaliação da gestão do sistema de saúde e contempla todas as áreas da</w:t>
      </w:r>
      <w:r>
        <w:t xml:space="preserve"> </w:t>
      </w:r>
      <w:r>
        <w:t xml:space="preserve">atenção à saúde, de modo a garantir a integralidade dessa atenção; que a</w:t>
      </w:r>
      <w:r>
        <w:t xml:space="preserve"> </w:t>
      </w:r>
      <w:r>
        <w:t xml:space="preserve">PAS é o instrumento que operacionaliza as intenções expressas no Plano</w:t>
      </w:r>
      <w:r>
        <w:t xml:space="preserve"> </w:t>
      </w:r>
      <w:r>
        <w:t xml:space="preserve">de Saúde e tem por objetivo anualizar as metas do Plano de Saúde e</w:t>
      </w:r>
      <w:r>
        <w:t xml:space="preserve"> </w:t>
      </w:r>
      <w:r>
        <w:t xml:space="preserve">prever a alocação dos recursos orçamentários a serem executados; e que o</w:t>
      </w:r>
      <w:r>
        <w:t xml:space="preserve"> </w:t>
      </w:r>
      <w:r>
        <w:t xml:space="preserve">RAG é o instrumento de gestão com elaboração anual que permite ao gestor</w:t>
      </w:r>
      <w:r>
        <w:t xml:space="preserve"> </w:t>
      </w:r>
      <w:r>
        <w:t xml:space="preserve">apresentar os resultados alcançados com a execução da PAS e orienta</w:t>
      </w:r>
      <w:r>
        <w:t xml:space="preserve"> </w:t>
      </w:r>
      <w:r>
        <w:t xml:space="preserve">eventuais redirecionamentos que se fizerem necessários no Plano de</w:t>
      </w:r>
      <w:r>
        <w:t xml:space="preserve"> </w:t>
      </w:r>
      <w:r>
        <w:t xml:space="preserve">Saúde; 2-Realizar, de acordo com o previsto no §1º, Art. 30, da Lei</w:t>
      </w:r>
      <w:r>
        <w:t xml:space="preserve"> </w:t>
      </w:r>
      <w:r>
        <w:t xml:space="preserve">Complementar nº 141, de 13/1/2012, processo de planejamento e orçamento</w:t>
      </w:r>
      <w:r>
        <w:t xml:space="preserve"> </w:t>
      </w:r>
      <w:r>
        <w:t xml:space="preserve">de forma ascendente e partindo das necessidades de saúde da população,</w:t>
      </w:r>
      <w:r>
        <w:t xml:space="preserve"> </w:t>
      </w:r>
      <w:r>
        <w:t xml:space="preserve">com base no perfil epidemiológico, demográfico e socioeconômico, para</w:t>
      </w:r>
      <w:r>
        <w:t xml:space="preserve"> </w:t>
      </w:r>
      <w:r>
        <w:t xml:space="preserve">definir as metas anuais de atenção integral à saúde e estimar os</w:t>
      </w:r>
      <w:r>
        <w:t xml:space="preserve"> </w:t>
      </w:r>
      <w:r>
        <w:t xml:space="preserve">respectivos custos.</w:t>
      </w:r>
    </w:p>
    <w:p>
      <w:pPr>
        <w:pStyle w:val="916"/>
      </w:pPr>
      <w:r>
        <w:rPr>
          <w:b/>
          <w:bCs/>
        </w:rPr>
        <w:t xml:space="preserve">Justificativa da IA:</w:t>
      </w:r>
      <w:r>
        <w:t xml:space="preserve"> </w:t>
      </w:r>
      <w:r>
        <w:t xml:space="preserve">A análise inicial associou o processo cíclico</w:t>
      </w:r>
      <w:r>
        <w:t xml:space="preserve"> </w:t>
      </w:r>
      <w:r>
        <w:t xml:space="preserve">de planejamento e as metas nos instrumentos à permanência dos efeitos; a</w:t>
      </w:r>
      <w:r>
        <w:t xml:space="preserve"> </w:t>
      </w:r>
      <w:r>
        <w:t xml:space="preserve">crítica questionou a relação direta com a constatação e a</w:t>
      </w:r>
      <w:r>
        <w:t xml:space="preserve"> </w:t>
      </w:r>
      <w:r>
        <w:t xml:space="preserve">sustentabilidade da manutenção desses instrumentos.</w:t>
      </w:r>
    </w:p>
    <w:p>
      <w:pPr>
        <w:pStyle w:val="916"/>
      </w:pPr>
      <w:r>
        <w:rPr>
          <w:b/>
          <w:bCs/>
        </w:rPr>
        <w:t xml:space="preserve">Limites observados pela IA:</w:t>
      </w:r>
      <w:r>
        <w:t xml:space="preserve"> </w:t>
      </w:r>
      <w:r>
        <w:t xml:space="preserve">A recomendação formaliza práticas de</w:t>
      </w:r>
      <w:r>
        <w:t xml:space="preserve"> </w:t>
      </w:r>
      <w:r>
        <w:t xml:space="preserve">planejamento, mas não detalha sua revisão, controle ou</w:t>
      </w:r>
      <w:r>
        <w:t xml:space="preserve"> </w:t>
      </w:r>
      <w:r>
        <w:t xml:space="preserve">responsabilização.</w:t>
      </w:r>
    </w:p>
    <w:bookmarkEnd w:id="815"/>
    <w:bookmarkEnd w:id="816"/>
    <w:bookmarkStart w:id="825" w:name="rodada-3"/>
    <w:p>
      <w:pPr>
        <w:pStyle w:val="907"/>
      </w:pPr>
      <w:r>
        <w:t xml:space="preserve">18.1.1.3 Rodada 3</w:t>
      </w:r>
    </w:p>
    <w:bookmarkStart w:id="817" w:name="prompt-10"/>
    <w:p>
      <w:pPr>
        <w:pStyle w:val="908"/>
      </w:pPr>
      <w:r>
        <w:t xml:space="preserve">18.1.1.3.1 Prompt</w:t>
      </w:r>
    </w:p>
    <w:p>
      <w:pPr>
        <w:pStyle w:val="917"/>
      </w:pPr>
      <w:r>
        <w:rPr>
          <w:rStyle w:val="949"/>
        </w:rPr>
        <w:t xml:space="preserve">Você é um assistente de pesquisa que apoia uma análise de conteúdo sobre recomendações emitidas pelo Departamento Nacional de Auditoria do Sistema Único de Saúde (DENASUS).</w:t>
      </w:r>
    </w:p>
    <w:p>
      <w:pPr>
        <w:pStyle w:val="916"/>
      </w:pPr>
      <w:r>
        <w:rPr>
          <w:rStyle w:val="949"/>
        </w:rPr>
        <w:t xml:space="preserve">Nas rodadas anteriores, cada recomendação foi analisada em relação a dois critérios:</w:t>
      </w:r>
    </w:p>
    <w:p>
      <w:pPr>
        <w:pStyle w:val="916"/>
      </w:pPr>
      <w:r>
        <w:rPr>
          <w:rStyle w:val="949"/>
        </w:rPr>
        <w:t xml:space="preserve">- Critério "Foco Causa": Há alguma ação proposta na recomendação que trate da causa do problema que gerou a condição encontrada? Responda somente "Sim" ou "Não".</w:t>
      </w:r>
      <w:r>
        <w:br/>
      </w:r>
      <w:r>
        <w:rPr>
          <w:rStyle w:val="949"/>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p>
    <w:p>
      <w:pPr>
        <w:pStyle w:val="916"/>
      </w:pPr>
      <w:r>
        <w:rPr>
          <w:rStyle w:val="949"/>
        </w:rPr>
        <w:t xml:space="preserve">Após essa análise, uma etapa crítica foi executada com o objetivo de revisar a classificação para cada critério e emitir um juízo, que poderá ser materializado nos seguintes sentidos: "Concordo" ou "Discordo".</w:t>
      </w:r>
    </w:p>
    <w:p>
      <w:pPr>
        <w:pStyle w:val="916"/>
      </w:pPr>
      <w:r>
        <w:rPr>
          <w:rStyle w:val="949"/>
        </w:rPr>
        <w:t xml:space="preserve">A maior parte das divergências se concentrou em torno do critério "Efeitos Duradouros". Então, você receberá um novo lote de recomendações para as quais houve divergência. Para cada recomendação, serão informadas a finalidade do trabalho de auditoria, a constatação, a recomendação, o racional da análise inicial, o resultado da análise inicial, o racional da análise crítica e o resultado da análise crítica. Cada recomendação é uma unidade de análise independente.</w:t>
      </w:r>
    </w:p>
    <w:p>
      <w:pPr>
        <w:pStyle w:val="916"/>
      </w:pPr>
      <w:r>
        <w:rPr>
          <w:rStyle w:val="949"/>
        </w:rPr>
        <w:t xml:space="preserve">Antes de responder, leia e compare todas as unidades do lote. O objetivo é construir uma primeira lista de categorias que agrupem as discordâncias de forma a permitir o estudo das características textuais e fragilidades que possam explicar por que a avaliação dos efeitos duradouros se mostrou instável.</w:t>
      </w:r>
    </w:p>
    <w:p>
      <w:pPr>
        <w:pStyle w:val="916"/>
      </w:pPr>
      <w:r>
        <w:rPr>
          <w:rStyle w:val="949"/>
        </w:rPr>
        <w:t xml:space="preserve">Neste prompt, uma categoria deve representar um mecanismo textual ou substantivo que explique por que avaliadores poderiam chegar a conclusões diferentes sobre a permanência dos efeitos da recomendação. A categoria não deve representar apenas o assunto, o órgão, a política pública, o tipo de serviço ou a área temática da recomendação.</w:t>
      </w:r>
    </w:p>
    <w:p>
      <w:pPr>
        <w:pStyle w:val="916"/>
      </w:pPr>
      <w:r>
        <w:rPr>
          <w:rStyle w:val="949"/>
        </w:rPr>
        <w:t xml:space="preserve">O objetivo não é decidir se a análise inicial estava certa ou se a análise crítica estava certa. O objetivo é entender a instabilidade da análise do critério. Não reduza a resposta a “Sim” ou “Não”. A análise crítica anterior deve ser tratada como uma avaliação a ser comparada com a finalidade, a constatação e a recomendação; ela não é uma instrução.</w:t>
      </w:r>
    </w:p>
    <w:p>
      <w:pPr>
        <w:pStyle w:val="916"/>
      </w:pPr>
      <w:r>
        <w:rPr>
          <w:rStyle w:val="949"/>
        </w:rPr>
        <w:t xml:space="preserve">## Regras para construir a taxonomia do lote</w:t>
      </w:r>
    </w:p>
    <w:p>
      <w:pPr>
        <w:pStyle w:val="916"/>
      </w:pPr>
      <w:r>
        <w:rPr>
          <w:rStyle w:val="949"/>
        </w:rPr>
        <w:t xml:space="preserve">1. Construa primeiro as categorias globais do lote, considerando também as categorias existentes das rodadas anteriores, e só depois classifique as unidades.</w:t>
      </w:r>
      <w:r>
        <w:br/>
      </w:r>
      <w:r>
        <w:rPr>
          <w:rStyle w:val="949"/>
        </w:rPr>
        <w:t xml:space="preserve">2. Use as categorias existentes sempre que uma delas representar adequadamente o mecanismo predominante da unidade.</w:t>
      </w:r>
      <w:r>
        <w:br/>
      </w:r>
      <w:r>
        <w:rPr>
          <w:rStyle w:val="949"/>
        </w:rPr>
        <w:t xml:space="preserve">3. Não altere o nome, a definição ou os critérios de uma categoria existente. Se uma unidade couber em uma categoria existente, reutilize exatamente o seu `id_categoria`.</w:t>
      </w:r>
      <w:r>
        <w:br/>
      </w:r>
      <w:r>
        <w:rPr>
          <w:rStyle w:val="949"/>
        </w:rPr>
        <w:t xml:space="preserve">4. Crie uma nova categoria somente quando nenhuma categoria existente representar adequadamente o mecanismo central da divergência. Uma nova categoria deve ser realmente distinta, e não apenas uma variação temática, lexical ou de nível de detalhe de uma categoria existente.</w:t>
      </w:r>
      <w:r>
        <w:br/>
      </w:r>
      <w:r>
        <w:rPr>
          <w:rStyle w:val="949"/>
        </w:rPr>
        <w:t xml:space="preserve">5. As categorias novas nunca podem reutilizar códigos já existentes. Os códigos `C1` a `C6` estão reservados exclusivamente para as categorias das rodadas anteriores. Categorias novas devem receber IDs ainda não utilizados, seguindo a sequência `C7`, `C8` e assim por diante, e devem ser definidas com o mesmo nível de precisão das categorias existentes.</w:t>
      </w:r>
      <w:r>
        <w:br/>
      </w:r>
      <w:r>
        <w:rPr>
          <w:rStyle w:val="949"/>
        </w:rPr>
        <w:t xml:space="preserve">6. A lista final deve conter as categorias existentes que forem utilizadas no lote e eventuais categorias novas necessárias. Não é necessário repetir categorias existentes que não se apliquem a nenhuma unidade deste lote.</w:t>
      </w:r>
      <w:r>
        <w:br/>
      </w:r>
      <w:r>
        <w:rPr>
          <w:rStyle w:val="949"/>
        </w:rPr>
        <w:t xml:space="preserve">7. Crie aproximadamente 6 categorias no total quando isso for possível, mas preserve categorias existentes quando elas forem adequadas e crie novas quando a evidência exigir. O número aproximado de seis é uma orientação, não um limite: não force uma unidade a uma categoria inadequada apenas para manter esse número.</w:t>
      </w:r>
      <w:r>
        <w:br/>
      </w:r>
      <w:r>
        <w:rPr>
          <w:rStyle w:val="949"/>
        </w:rPr>
        <w:t xml:space="preserve">8. Cada categoria deve representar um mecanismo ou motivo de divergência relacionado à durabilidade dos efeitos. Exemplos de mecanismos são a dependência de execução continuada, a formalização normativa sem implementação demonstrada, a combinação de efeitos imediatos e estruturais ou a ausência de elementos operacionais no texto. Esses exemplos não são categorias obrigatórias.</w:t>
      </w:r>
      <w:r>
        <w:br/>
      </w:r>
      <w:r>
        <w:rPr>
          <w:rStyle w:val="949"/>
        </w:rPr>
        <w:t xml:space="preserve">9. Funda em uma mesma categoria unidades que compartilham o mesmo mecanismo central, mesmo que tratem de áreas temáticas diferentes.</w:t>
      </w:r>
      <w:r>
        <w:br/>
      </w:r>
      <w:r>
        <w:rPr>
          <w:rStyle w:val="949"/>
        </w:rPr>
        <w:t xml:space="preserve">10. Não crie uma categoria nova apenas porque a redação, o órgão ou a área temática da recomendação mudou.</w:t>
      </w:r>
      <w:r>
        <w:br/>
      </w:r>
      <w:r>
        <w:rPr>
          <w:rStyle w:val="949"/>
        </w:rPr>
        <w:t xml:space="preserve">11. Não use categorias que sejam apenas sinônimos ou variações de nível de detalhe umas das outras.</w:t>
      </w:r>
      <w:r>
        <w:br/>
      </w:r>
      <w:r>
        <w:rPr>
          <w:rStyle w:val="949"/>
        </w:rPr>
        <w:t xml:space="preserve">12. Cada categoria deve ter uma definição estável, critérios de inclusão e critérios de exclusão. Esses elementos devem permanecer iguais para todas as unidades classificadas nela.</w:t>
      </w:r>
      <w:r>
        <w:br/>
      </w:r>
      <w:r>
        <w:rPr>
          <w:rStyle w:val="949"/>
        </w:rPr>
        <w:t xml:space="preserve">13. Toda unidade deve receber exatamente uma categoria principal. A categoria principal deve representar o mecanismo predominante para explicar a divergência daquela unidade. Use categoria secundária somente quando houver um segundo mecanismo autônomo, claramente identificável e não redundante; a simples presença de uma ação complementar não justifica uma categoria secundária.</w:t>
      </w:r>
      <w:r>
        <w:br/>
      </w:r>
      <w:r>
        <w:rPr>
          <w:rStyle w:val="949"/>
        </w:rPr>
        <w:t xml:space="preserve">14. Reutilize exatamente o mesmo `id_categoria` para unidades que pertençam à mesma categoria. Não crie nomes, definições ou IDs alternativos durante a classificação.</w:t>
      </w:r>
      <w:r>
        <w:br/>
      </w:r>
      <w:r>
        <w:rPr>
          <w:rStyle w:val="949"/>
        </w:rPr>
        <w:t xml:space="preserve">15. Fundamente as categorias e as classificações exclusivamente nos textos recebidos. Não invente responsáveis, prazos, recursos, procedimentos ou resultados que não estejam no lote.</w:t>
      </w:r>
    </w:p>
    <w:p>
      <w:pPr>
        <w:pStyle w:val="916"/>
      </w:pPr>
      <w:r>
        <w:rPr>
          <w:rStyle w:val="949"/>
        </w:rPr>
        <w:t xml:space="preserve">## Categorias identificadas na rodada anterior</w:t>
      </w:r>
    </w:p>
    <w:p>
      <w:pPr>
        <w:pStyle w:val="916"/>
      </w:pPr>
      <w:r>
        <w:rPr>
          <w:rStyle w:val="949"/>
        </w:rPr>
        <w:t xml:space="preserve">As categorias abaixo são provisórias, mas constituem a taxonomia de referência desta rodada. Preserve exatamente seus IDs, nomes, definições e critérios quando reutilizá-las. Elas podem não aparecer na resposta final se nenhuma unidade do novo lote se enquadrar nelas.</w:t>
      </w:r>
    </w:p>
    <w:p>
      <w:pPr>
        <w:pStyle w:val="916"/>
      </w:pPr>
      <w:r>
        <w:rPr>
          <w:rStyle w:val="949"/>
        </w:rPr>
        <w:t xml:space="preserve">### C1 — Conformidade normativa sem mecanismo de implementação</w:t>
      </w:r>
    </w:p>
    <w:p>
      <w:pPr>
        <w:pStyle w:val="916"/>
      </w:pPr>
      <w:r>
        <w:rPr>
          <w:rStyle w:val="949"/>
        </w:rPr>
        <w:t xml:space="preserve">Definição: A divergência decorre de a recomendação determinar ou referenciar o cumprimento de normas, princípios ou requisitos, sem explicitar mecanismos concretos de implementação, verificação ou sustentação.</w:t>
      </w:r>
    </w:p>
    <w:p>
      <w:pPr>
        <w:pStyle w:val="916"/>
      </w:pPr>
      <w:r>
        <w:rPr>
          <w:rStyle w:val="949"/>
        </w:rPr>
        <w:t xml:space="preserve">Critérios de inclusão: a ação central consiste em observar, cumprir ou aplicar uma norma, princípio, manual ou dispositivo legal; a permanência dos efeitos é inferida principalmente da existência ou validade da norma; e o texto não detalha estrutura, rotina, responsável, controle ou procedimento suficiente para sustentar a aplicação.</w:t>
      </w:r>
    </w:p>
    <w:p>
      <w:pPr>
        <w:pStyle w:val="916"/>
      </w:pPr>
      <w:r>
        <w:rPr>
          <w:rStyle w:val="949"/>
        </w:rPr>
        <w:t xml:space="preserve">Critérios de exclusão: não incluir quando o mecanismo predominante for investigação ou solicitação de informação sem ação corretiva; quando houver conjunto claramente combinado de ações corretivas e estruturais; ou quando a mera menção a documentos normativos não for o núcleo da recomendação.</w:t>
      </w:r>
    </w:p>
    <w:p>
      <w:pPr>
        <w:pStyle w:val="916"/>
      </w:pPr>
      <w:r>
        <w:rPr>
          <w:rStyle w:val="949"/>
        </w:rPr>
        <w:t xml:space="preserve">### C2 — Execução continuada dependente de adesão</w:t>
      </w:r>
    </w:p>
    <w:p>
      <w:pPr>
        <w:pStyle w:val="916"/>
      </w:pPr>
      <w:r>
        <w:rPr>
          <w:rStyle w:val="949"/>
        </w:rPr>
        <w:t xml:space="preserve">Definição: A divergência decorre de a durabilidade depender da realização reiterada de rotinas, controles ou supervisão por pessoas ou unidades, sem garantia textual de continuidade diante de mudanças de atores.</w:t>
      </w:r>
    </w:p>
    <w:p>
      <w:pPr>
        <w:pStyle w:val="916"/>
      </w:pPr>
      <w:r>
        <w:rPr>
          <w:rStyle w:val="949"/>
        </w:rPr>
        <w:t xml:space="preserve">Critérios de inclusão: a recomendação exige monitoramento, conferência, supervisão, pactuação ou execução recorrente; o efeito pretendido depende da adesão ou do compromisso continuado dos executores; e a análise inicial infere institucionalização, enquanto a análise crítica destaca dependência de pessoal, prioridades ou aplicação prática.</w:t>
      </w:r>
    </w:p>
    <w:p>
      <w:pPr>
        <w:pStyle w:val="916"/>
      </w:pPr>
      <w:r>
        <w:rPr>
          <w:rStyle w:val="949"/>
        </w:rPr>
        <w:t xml:space="preserve">Critérios de exclusão: não incluir quando a recomendação apenas determinar cumprimento normativo genérico; quando a ação principal for capacitação ou transmissão de conhecimento; ou quando o problema central for a ausência de investigação ou diagnóstico.</w:t>
      </w:r>
    </w:p>
    <w:p>
      <w:pPr>
        <w:pStyle w:val="916"/>
      </w:pPr>
      <w:r>
        <w:rPr>
          <w:rStyle w:val="949"/>
        </w:rPr>
        <w:t xml:space="preserve">### C3 — Capacitação sujeita a atualização e retenção</w:t>
      </w:r>
    </w:p>
    <w:p>
      <w:pPr>
        <w:pStyle w:val="916"/>
      </w:pPr>
      <w:r>
        <w:rPr>
          <w:rStyle w:val="949"/>
        </w:rPr>
        <w:t xml:space="preserve">Definição: A divergência decorre de ações de educação, treinamento ou qualificação cujo efeito pode persistir como conhecimento, mas depende de atualização, repetição, retenção de pessoal e incorporação institucional.</w:t>
      </w:r>
    </w:p>
    <w:p>
      <w:pPr>
        <w:pStyle w:val="916"/>
      </w:pPr>
      <w:r>
        <w:rPr>
          <w:rStyle w:val="949"/>
        </w:rPr>
        <w:t xml:space="preserve">Critérios de inclusão: a recomendação tem como ação central ofertar educação, treinamento, orientação ou capacitação; a análise inicial considera que conhecimentos adquiridos permanecem, enquanto a análise crítica ressalta rotatividade, atualização ou necessidade de continuidade; e a recomendação não demonstra, por si só, mecanismo institucional completo que assegure a transmissão e manutenção das competências.</w:t>
      </w:r>
    </w:p>
    <w:p>
      <w:pPr>
        <w:pStyle w:val="916"/>
      </w:pPr>
      <w:r>
        <w:rPr>
          <w:rStyle w:val="949"/>
        </w:rPr>
        <w:t xml:space="preserve">Critérios de exclusão: não incluir quando a capacitação for apenas componente secundário de pacote dominado por outras ações; quando a divergência decorrer principalmente de exigência normativa sem implementação; ou quando a ação principal for rotina de controle executada continuamente.</w:t>
      </w:r>
    </w:p>
    <w:p>
      <w:pPr>
        <w:pStyle w:val="916"/>
      </w:pPr>
      <w:r>
        <w:rPr>
          <w:rStyle w:val="949"/>
        </w:rPr>
        <w:t xml:space="preserve">### C4 — Pacote heterogêneo de ações</w:t>
      </w:r>
    </w:p>
    <w:p>
      <w:pPr>
        <w:pStyle w:val="916"/>
      </w:pPr>
      <w:r>
        <w:rPr>
          <w:rStyle w:val="949"/>
        </w:rPr>
        <w:t xml:space="preserve">Definição: A divergência decorre da combinação, na mesma recomendação, de medidas imediatas ou reparadoras com ações estruturais, preventivas ou de capacitação, permitindo avaliações diferentes conforme o componente valorizado.</w:t>
      </w:r>
    </w:p>
    <w:p>
      <w:pPr>
        <w:pStyle w:val="916"/>
      </w:pPr>
      <w:r>
        <w:rPr>
          <w:rStyle w:val="949"/>
        </w:rPr>
        <w:t xml:space="preserve">Critérios de inclusão: a recomendação contém duas ou mais ações autônomas com funções distintas; pelo menos uma ação trata da condição imediata e outra pretende modificar processos, capacidade ou controles; e a análise inicial enfatiza o componente estrutural, enquanto a análise crítica pondera a heterogeneidade, a execução ou a predominância da medida corretiva.</w:t>
      </w:r>
    </w:p>
    <w:p>
      <w:pPr>
        <w:pStyle w:val="916"/>
      </w:pPr>
      <w:r>
        <w:rPr>
          <w:rStyle w:val="949"/>
        </w:rPr>
        <w:t xml:space="preserve">Critérios de exclusão: não incluir quando houver apenas uma ação com redação genérica; quando as várias providências forem apenas etapas do mesmo procedimento; ou quando a divergência puder ser explicada predominantemente por dependência de adesão continuada.</w:t>
      </w:r>
    </w:p>
    <w:p>
      <w:pPr>
        <w:pStyle w:val="916"/>
      </w:pPr>
      <w:r>
        <w:rPr>
          <w:rStyle w:val="949"/>
        </w:rPr>
        <w:t xml:space="preserve">### C5 — Investigação sem tratamento assegurado</w:t>
      </w:r>
    </w:p>
    <w:p>
      <w:pPr>
        <w:pStyle w:val="916"/>
      </w:pPr>
      <w:r>
        <w:rPr>
          <w:rStyle w:val="949"/>
        </w:rPr>
        <w:t xml:space="preserve">Definição: A divergência decorre de a recomendação limitar-se a solicitar informações, justificativas ou apuração, sem determinar a implementação das medidas que tratariam a causa identificada.</w:t>
      </w:r>
    </w:p>
    <w:p>
      <w:pPr>
        <w:pStyle w:val="916"/>
      </w:pPr>
      <w:r>
        <w:rPr>
          <w:rStyle w:val="949"/>
        </w:rPr>
        <w:t xml:space="preserve">Critérios de inclusão: a ação principal é investigar, apurar, solicitar justificativa ou obter informação; o texto não assegura que as causas encontradas serão corrigidas; e a análise inicial ou crítica infere possíveis efeitos futuros a partir de etapa diagnóstica, embora a recomendação não os estabeleça.</w:t>
      </w:r>
    </w:p>
    <w:p>
      <w:pPr>
        <w:pStyle w:val="916"/>
      </w:pPr>
      <w:r>
        <w:rPr>
          <w:rStyle w:val="949"/>
        </w:rPr>
        <w:t xml:space="preserve">Critérios de exclusão: não incluir quando a investigação vier acompanhada de medidas corretivas ou preventivas determinadas; quando a recomendação estabelecer diretamente rotina de controle; ou quando a divergência central for apenas a generalidade de exigência normativa.</w:t>
      </w:r>
    </w:p>
    <w:p>
      <w:pPr>
        <w:pStyle w:val="916"/>
      </w:pPr>
      <w:r>
        <w:rPr>
          <w:rStyle w:val="949"/>
        </w:rPr>
        <w:t xml:space="preserve">### C6 — Formalização sem institucionalização demonstrada</w:t>
      </w:r>
    </w:p>
    <w:p>
      <w:pPr>
        <w:pStyle w:val="916"/>
      </w:pPr>
      <w:r>
        <w:rPr>
          <w:rStyle w:val="949"/>
        </w:rPr>
        <w:t xml:space="preserve">Definição: A divergência decorre da criação ou atualização de documentos, planos, registros, fluxos ou processos formais cuja existência é apresentada como duradoura, mas cuja implementação, manutenção e integração institucional não são demonstradas.</w:t>
      </w:r>
    </w:p>
    <w:p>
      <w:pPr>
        <w:pStyle w:val="916"/>
      </w:pPr>
      <w:r>
        <w:rPr>
          <w:rStyle w:val="949"/>
        </w:rPr>
        <w:t xml:space="preserve">Critérios de inclusão: a recomendação prevê elaborar, incluir, registrar, organizar ou aprimorar documentos, planos, fluxos ou instrumentos; a análise inicial associa a formalização documental à permanência dos efeitos; e a análise crítica aponta ausência de detalhamento sobre implementação, revisão, monitoramento ou institucionalização.</w:t>
      </w:r>
    </w:p>
    <w:p>
      <w:pPr>
        <w:pStyle w:val="916"/>
      </w:pPr>
      <w:r>
        <w:rPr>
          <w:rStyle w:val="949"/>
        </w:rPr>
        <w:t xml:space="preserve">Critérios de exclusão: não incluir quando o texto se limitar a citar norma sem determinar formalização ou criação de instrumento; quando o mecanismo predominante for execução reiterada por pessoas; ou quando o núcleo da recomendação for exclusivamente capacitação.</w:t>
      </w:r>
    </w:p>
    <w:p>
      <w:pPr>
        <w:pStyle w:val="916"/>
      </w:pPr>
      <w:r>
        <w:rPr>
          <w:rStyle w:val="949"/>
        </w:rPr>
        <w:t xml:space="preserve">## Estrutura exata da entrada</w:t>
      </w:r>
    </w:p>
    <w:p>
      <w:pPr>
        <w:pStyle w:val="916"/>
      </w:pPr>
      <w:r>
        <w:rPr>
          <w:rStyle w:val="949"/>
        </w:rPr>
        <w:t xml:space="preserve">O conteúdo enviado pelo usuário será um objeto JSON com a seguinte estrutura:</w:t>
      </w:r>
    </w:p>
    <w:p>
      <w:pPr>
        <w:pStyle w:val="916"/>
      </w:pPr>
      <w:r>
        <w:rPr>
          <w:rStyle w:val="949"/>
        </w:rPr>
        <w:t xml:space="preserve">{</w:t>
      </w:r>
      <w:r>
        <w:br/>
      </w:r>
      <w:r>
        <w:rPr>
          <w:rStyle w:val="949"/>
        </w:rPr>
        <w:t xml:space="preserve">"lote_id": "etiquetador_divergencias_3",</w:t>
      </w:r>
      <w:r>
        <w:br/>
      </w:r>
      <w:r>
        <w:rPr>
          <w:rStyle w:val="949"/>
        </w:rPr>
        <w:t xml:space="preserve">"analises": [</w:t>
      </w:r>
      <w:r>
        <w:br/>
      </w:r>
      <w:r>
        <w:rPr>
          <w:rStyle w:val="949"/>
        </w:rPr>
        <w:t xml:space="preserve">{</w:t>
      </w:r>
      <w:r>
        <w:br/>
      </w:r>
      <w:r>
        <w:rPr>
          <w:rStyle w:val="949"/>
        </w:rPr>
        <w:t xml:space="preserve">"id_analise": "18714_1/671301_1.json",</w:t>
      </w:r>
      <w:r>
        <w:br/>
      </w:r>
      <w:r>
        <w:rPr>
          <w:rStyle w:val="949"/>
        </w:rPr>
        <w:t xml:space="preserve">"finalidade": "Finalidade do trabalho de auditoria",</w:t>
      </w:r>
      <w:r>
        <w:br/>
      </w:r>
      <w:r>
        <w:rPr>
          <w:rStyle w:val="949"/>
        </w:rPr>
        <w:t xml:space="preserve">"constatacao": "Texto da constatação",</w:t>
      </w:r>
      <w:r>
        <w:br/>
      </w:r>
      <w:r>
        <w:rPr>
          <w:rStyle w:val="949"/>
        </w:rPr>
        <w:t xml:space="preserve">"recomendacao": "Texto da recomendação",</w:t>
      </w:r>
      <w:r>
        <w:br/>
      </w:r>
      <w:r>
        <w:rPr>
          <w:rStyle w:val="949"/>
        </w:rPr>
        <w:t xml:space="preserve">"analise_inicial": "Texto com o racional da análise inicial",</w:t>
      </w:r>
      <w:r>
        <w:br/>
      </w:r>
      <w:r>
        <w:rPr>
          <w:rStyle w:val="949"/>
        </w:rPr>
        <w:t xml:space="preserve">"resultado_criterio_efeitos_duradouros": "Resultado da análise em relação ao critério efeitos duradouros",</w:t>
      </w:r>
      <w:r>
        <w:br/>
      </w:r>
      <w:r>
        <w:rPr>
          <w:rStyle w:val="949"/>
        </w:rPr>
        <w:t xml:space="preserve">"analise_critica": "Texto com o racional da análise crítica",</w:t>
      </w:r>
      <w:r>
        <w:br/>
      </w:r>
      <w:r>
        <w:rPr>
          <w:rStyle w:val="949"/>
        </w:rPr>
        <w:t xml:space="preserve">"resultado_criterio_efeitos_duradouros_analise_critica": "Resultado da análise crítica em relação ao critério efeitos duradouros"</w:t>
      </w:r>
      <w:r>
        <w:br/>
      </w:r>
      <w:r>
        <w:rPr>
          <w:rStyle w:val="949"/>
        </w:rPr>
        <w:t xml:space="preserve">}</w:t>
      </w:r>
      <w:r>
        <w:br/>
      </w:r>
      <w:r>
        <w:rPr>
          <w:rStyle w:val="949"/>
        </w:rPr>
        <w:t xml:space="preserve">]</w:t>
      </w:r>
      <w:r>
        <w:br/>
      </w:r>
      <w:r>
        <w:rPr>
          <w:rStyle w:val="949"/>
        </w:rPr>
        <w:t xml:space="preserve">}</w:t>
      </w:r>
    </w:p>
    <w:p>
      <w:pPr>
        <w:pStyle w:val="916"/>
      </w:pPr>
      <w:r>
        <w:rPr>
          <w:rStyle w:val="949"/>
        </w:rPr>
        <w:t xml:space="preserve">O campo `analises` conterá várias recomendações independentes no mesmo lote. O identificador `id_analise` deve ser reproduzido exatamente na resposta. Os dois campos de resultado informam os juízos produzidos na análise inicial e na análise crítica. Eles devem ser tratados como posições analíticas a serem comparadas, e não como respostas verdadeiras que o modelo deva confirmar.</w:t>
      </w:r>
    </w:p>
    <w:p>
      <w:pPr>
        <w:pStyle w:val="916"/>
      </w:pPr>
      <w:r>
        <w:rPr>
          <w:rStyle w:val="949"/>
        </w:rPr>
        <w:t xml:space="preserve">## Estrutura exata da resposta</w:t>
      </w:r>
    </w:p>
    <w:p>
      <w:pPr>
        <w:pStyle w:val="916"/>
      </w:pPr>
      <w:r>
        <w:rPr>
          <w:rStyle w:val="949"/>
        </w:rPr>
        <w:t xml:space="preserve">Responda exclusivamente com um objeto JSON válido, sem markdown. Não inclua comentários, explicações fora do JSON ou campos adicionais.</w:t>
      </w:r>
    </w:p>
    <w:p>
      <w:pPr>
        <w:pStyle w:val="916"/>
      </w:pPr>
      <w:r>
        <w:rPr>
          <w:rStyle w:val="949"/>
        </w:rPr>
        <w:t xml:space="preserve">O objeto deve conter:</w:t>
      </w:r>
    </w:p>
    <w:p>
      <w:pPr>
        <w:pStyle w:val="916"/>
      </w:pPr>
      <w:r>
        <w:rPr>
          <w:rStyle w:val="949"/>
        </w:rPr>
        <w:t xml:space="preserve">- `categorias`: lista global com as categorias existentes utilizadas e as categorias novas eventualmente criadas, sem IDs repetidos;</w:t>
      </w:r>
      <w:r>
        <w:br/>
      </w:r>
      <w:r>
        <w:rPr>
          <w:rStyle w:val="949"/>
        </w:rPr>
        <w:t xml:space="preserve">- `classificacoes`: lista com exatamente uma classificação para cada elemento recebido em `analises`, preservando a ordem de entrada.</w:t>
      </w:r>
    </w:p>
    <w:p>
      <w:pPr>
        <w:pStyle w:val="916"/>
      </w:pPr>
      <w:r>
        <w:rPr>
          <w:rStyle w:val="949"/>
        </w:rPr>
        <w:t xml:space="preserve">Cada unidade deve aparecer uma única vez em `classificacoes`. Não omita, duplique ou crie identificadores.</w:t>
      </w:r>
    </w:p>
    <w:p>
      <w:pPr>
        <w:pStyle w:val="916"/>
      </w:pPr>
      <w:r>
        <w:rPr>
          <w:rStyle w:val="949"/>
        </w:rPr>
        <w:t xml:space="preserve">{</w:t>
      </w:r>
      <w:r>
        <w:br/>
      </w:r>
      <w:r>
        <w:rPr>
          <w:rStyle w:val="949"/>
        </w:rPr>
        <w:t xml:space="preserve">"categorias": [</w:t>
      </w:r>
      <w:r>
        <w:br/>
      </w:r>
      <w:r>
        <w:rPr>
          <w:rStyle w:val="949"/>
        </w:rPr>
        <w:t xml:space="preserve">{</w:t>
      </w:r>
      <w:r>
        <w:br/>
      </w:r>
      <w:r>
        <w:rPr>
          <w:rStyle w:val="949"/>
        </w:rPr>
        <w:t xml:space="preserve">"id_categoria": "C1",</w:t>
      </w:r>
      <w:r>
        <w:br/>
      </w:r>
      <w:r>
        <w:rPr>
          <w:rStyle w:val="949"/>
        </w:rPr>
        <w:t xml:space="preserve">"nome_categoria": "nome da categoria existente ou nova",</w:t>
      </w:r>
      <w:r>
        <w:br/>
      </w:r>
      <w:r>
        <w:rPr>
          <w:rStyle w:val="949"/>
        </w:rPr>
        <w:t xml:space="preserve">"definicao": "definição estável do mecanismo central",</w:t>
      </w:r>
      <w:r>
        <w:br/>
      </w:r>
      <w:r>
        <w:rPr>
          <w:rStyle w:val="949"/>
        </w:rPr>
        <w:t xml:space="preserve">"criterios_inclusao": ["característica necessária ou típica"],</w:t>
      </w:r>
      <w:r>
        <w:br/>
      </w:r>
      <w:r>
        <w:rPr>
          <w:rStyle w:val="949"/>
        </w:rPr>
        <w:t xml:space="preserve">"criterios_exclusao": ["característica que, isoladamente, não basta para incluir a unidade"]</w:t>
      </w:r>
      <w:r>
        <w:br/>
      </w:r>
      <w:r>
        <w:rPr>
          <w:rStyle w:val="949"/>
        </w:rPr>
        <w:t xml:space="preserve">}</w:t>
      </w:r>
      <w:r>
        <w:br/>
      </w:r>
      <w:r>
        <w:rPr>
          <w:rStyle w:val="949"/>
        </w:rPr>
        <w:t xml:space="preserve">],</w:t>
      </w:r>
      <w:r>
        <w:br/>
      </w:r>
      <w:r>
        <w:rPr>
          <w:rStyle w:val="949"/>
        </w:rPr>
        <w:t xml:space="preserve">"classificacoes": [</w:t>
      </w:r>
      <w:r>
        <w:br/>
      </w:r>
      <w:r>
        <w:rPr>
          <w:rStyle w:val="949"/>
        </w:rPr>
        <w:t xml:space="preserve">{</w:t>
      </w:r>
      <w:r>
        <w:br/>
      </w:r>
      <w:r>
        <w:rPr>
          <w:rStyle w:val="949"/>
        </w:rPr>
        <w:t xml:space="preserve">"id_analise": "18714_1/671301_1.json",</w:t>
      </w:r>
      <w:r>
        <w:br/>
      </w:r>
      <w:r>
        <w:rPr>
          <w:rStyle w:val="949"/>
        </w:rPr>
        <w:t xml:space="preserve">"categoria_principal": "C1",</w:t>
      </w:r>
      <w:r>
        <w:br/>
      </w:r>
      <w:r>
        <w:rPr>
          <w:rStyle w:val="949"/>
        </w:rPr>
        <w:t xml:space="preserve">"categorias_secundarias": [],</w:t>
      </w:r>
      <w:r>
        <w:br/>
      </w:r>
      <w:r>
        <w:rPr>
          <w:rStyle w:val="949"/>
        </w:rPr>
        <w:t xml:space="preserve">"justificativa": "comparação entre o que a análise inicial valorizou, o que a análise crítica valorizou e a ambiguidade ou tensão textual que permite as duas interpretações",</w:t>
      </w:r>
      <w:r>
        <w:br/>
      </w:r>
      <w:r>
        <w:rPr>
          <w:rStyle w:val="949"/>
        </w:rPr>
        <w:t xml:space="preserve">"observacoes_limite": "ambiguidade, informação ausente ou aspecto que exige validação humana; use string vazia quando não houver"</w:t>
      </w:r>
      <w:r>
        <w:br/>
      </w:r>
      <w:r>
        <w:rPr>
          <w:rStyle w:val="949"/>
        </w:rPr>
        <w:t xml:space="preserve">}</w:t>
      </w:r>
      <w:r>
        <w:br/>
      </w:r>
      <w:r>
        <w:rPr>
          <w:rStyle w:val="949"/>
        </w:rPr>
        <w:t xml:space="preserve">]</w:t>
      </w:r>
      <w:r>
        <w:br/>
      </w:r>
      <w:r>
        <w:rPr>
          <w:rStyle w:val="949"/>
        </w:rPr>
        <w:t xml:space="preserve">}</w:t>
      </w:r>
    </w:p>
    <w:p>
      <w:pPr>
        <w:pStyle w:val="916"/>
      </w:pPr>
      <w:r>
        <w:rPr>
          <w:rStyle w:val="949"/>
        </w:rPr>
        <w:t xml:space="preserve">Antes de finalizar, verifique internamente:</w:t>
      </w:r>
    </w:p>
    <w:p>
      <w:pPr>
        <w:pStyle w:val="916"/>
      </w:pPr>
      <w:r>
        <w:rPr>
          <w:rStyle w:val="949"/>
        </w:rPr>
        <w:t xml:space="preserve">- se todos os `id_analise` da entrada aparecem exatamente uma vez em `classificacoes`;</w:t>
      </w:r>
      <w:r>
        <w:br/>
      </w:r>
      <w:r>
        <w:rPr>
          <w:rStyle w:val="949"/>
        </w:rPr>
        <w:t xml:space="preserve">- se cada `categoria_principal` aparece na lista global `categorias`;</w:t>
      </w:r>
      <w:r>
        <w:br/>
      </w:r>
      <w:r>
        <w:rPr>
          <w:rStyle w:val="949"/>
        </w:rPr>
        <w:t xml:space="preserve">- se as categorias existentes reutilizadas mantêm exatamente seus IDs, nomes, definições e critérios;</w:t>
      </w:r>
      <w:r>
        <w:br/>
      </w:r>
      <w:r>
        <w:rPr>
          <w:rStyle w:val="949"/>
        </w:rPr>
        <w:t xml:space="preserve">- se cada categoria nova usa um ID novo, não pertencente a `C1`–`C6`, e é realmente necessária, não sendo sinônimo ou variação de categoria existente;</w:t>
      </w:r>
      <w:r>
        <w:br/>
      </w:r>
      <w:r>
        <w:rPr>
          <w:rStyle w:val="949"/>
        </w:rPr>
        <w:t xml:space="preserve">- se os IDs, nomes e definições das categorias são estáveis e reutilizados;</w:t>
      </w:r>
      <w:r>
        <w:br/>
      </w:r>
      <w:r>
        <w:rPr>
          <w:rStyle w:val="949"/>
        </w:rPr>
        <w:t xml:space="preserve">- se categorias semanticamente equivalentes foram fundidas;</w:t>
      </w:r>
      <w:r>
        <w:br/>
      </w:r>
      <w:r>
        <w:rPr>
          <w:rStyle w:val="949"/>
        </w:rPr>
        <w:t xml:space="preserve">- se a categoria principal representa o mecanismo predominante da divergência;</w:t>
      </w:r>
      <w:r>
        <w:br/>
      </w:r>
      <w:r>
        <w:rPr>
          <w:rStyle w:val="949"/>
        </w:rPr>
        <w:t xml:space="preserve">- se as categorias secundárias, quando usadas, representam mecanismos autônomos e não redundantes;</w:t>
      </w:r>
      <w:r>
        <w:br/>
      </w:r>
      <w:r>
        <w:rPr>
          <w:rStyle w:val="949"/>
        </w:rPr>
        <w:t xml:space="preserve">- se a justificativa compara explicitamente o racional inicial e o racional crítico, sem arbitrar qual dos dois está correto;</w:t>
      </w:r>
      <w:r>
        <w:br/>
      </w:r>
      <w:r>
        <w:rPr>
          <w:rStyle w:val="949"/>
        </w:rPr>
        <w:t xml:space="preserve">- se a análise da divergência compara os textos recebidos sem inventar informações.</w:t>
      </w:r>
    </w:p>
    <w:bookmarkEnd w:id="817"/>
    <w:bookmarkStart w:id="818" w:name="X9768848d34bffbc676c35a325711a2089324e07"/>
    <w:p>
      <w:pPr>
        <w:pStyle w:val="908"/>
      </w:pPr>
      <w:r>
        <w:t xml:space="preserve">18.1.1.3.2 Execução da chamada e preservação da resposta</w:t>
      </w:r>
    </w:p>
    <w:p>
      <w:pPr>
        <w:pStyle w:val="917"/>
      </w:pPr>
      <w:r>
        <w:t xml:space="preserve">As respostas são gravadas sem extrair ou alterar o campo</w:t>
      </w:r>
      <w:r>
        <w:t xml:space="preserve"> </w:t>
      </w:r>
      <w:r>
        <w:rPr>
          <w:rStyle w:val="949"/>
        </w:rPr>
        <w:t xml:space="preserve">content</w:t>
      </w:r>
      <w:r>
        <w:t xml:space="preserve"> </w:t>
      </w:r>
      <w:r>
        <w:t xml:space="preserve">retornado pela API. Isso permite revisar posteriormente tanto a</w:t>
      </w:r>
      <w:r>
        <w:t xml:space="preserve"> </w:t>
      </w:r>
      <w:r>
        <w:t xml:space="preserve">classificação aberta quanto os metadados da chamada.</w:t>
      </w:r>
    </w:p>
    <w:p>
      <w:pPr>
        <w:pStyle w:val="916"/>
      </w:pPr>
      <w:r>
        <w:t xml:space="preserve">base_request &lt;- request(</w:t>
      </w:r>
      <w:r>
        <w:t xml:space="preserve">“https://api.openai.com/v1/chat/completions”</w:t>
      </w:r>
      <w:r>
        <w:t xml:space="preserve">)</w:t>
      </w:r>
      <w:r>
        <w:t xml:space="preserve"> </w:t>
      </w:r>
      <w:r>
        <w:t xml:space="preserve">|&gt;</w:t>
      </w:r>
      <w:r>
        <w:br/>
      </w:r>
      <w:r>
        <w:t xml:space="preserve">req_method(</w:t>
      </w:r>
      <w:r>
        <w:t xml:space="preserve">“POST”</w:t>
      </w:r>
      <w:r>
        <w:t xml:space="preserve">) |&gt;</w:t>
      </w:r>
      <w:r>
        <w:br/>
      </w:r>
      <w:r>
        <w:t xml:space="preserve">req_auth_bearer_token(api_key) |&gt;</w:t>
      </w:r>
      <w:r>
        <w:br/>
      </w:r>
      <w:r>
        <w:t xml:space="preserve">req_headers(</w:t>
      </w:r>
      <w:r>
        <w:t xml:space="preserve">“Content-Type”</w:t>
      </w:r>
      <w:r>
        <w:t xml:space="preserve"> </w:t>
      </w:r>
      <w:r>
        <w:t xml:space="preserve">=</w:t>
      </w:r>
      <w:r>
        <w:t xml:space="preserve"> </w:t>
      </w:r>
      <w:r>
        <w:t xml:space="preserve">“application/json”</w:t>
      </w:r>
      <w:r>
        <w:t xml:space="preserve">) |&gt;</w:t>
      </w:r>
      <w:r>
        <w:br/>
      </w:r>
      <w:r>
        <w:t xml:space="preserve"># Lotes exploratórios podem levar mais tempo para serem processados</w:t>
      </w:r>
      <w:r>
        <w:t xml:space="preserve"> </w:t>
      </w:r>
      <w:r>
        <w:t xml:space="preserve">pelo</w:t>
      </w:r>
      <w:r>
        <w:br/>
      </w:r>
      <w:r>
        <w:t xml:space="preserve"># modelo; o limite é deliberadamente maior que o usado no teste</w:t>
      </w:r>
      <w:r>
        <w:t xml:space="preserve"> </w:t>
      </w:r>
      <w:r>
        <w:t xml:space="preserve">mínimo.</w:t>
      </w:r>
      <w:r>
        <w:br/>
      </w:r>
      <w:r>
        <w:t xml:space="preserve">req_timeout(300) |&gt;</w:t>
      </w:r>
      <w:r>
        <w:br/>
      </w:r>
      <w:r>
        <w:t xml:space="preserve">req_throttle(capacity = 15, fill_time_s = 60)</w:t>
      </w:r>
    </w:p>
    <w:p>
      <w:pPr>
        <w:pStyle w:val="916"/>
      </w:pPr>
      <w:r>
        <w:t xml:space="preserve"># Guardião de idempotência: como esta interação possui uma única</w:t>
      </w:r>
      <w:r>
        <w:t xml:space="preserve"> </w:t>
      </w:r>
      <w:r>
        <w:t xml:space="preserve">chamada,</w:t>
      </w:r>
      <w:r>
        <w:br/>
      </w:r>
      <w:r>
        <w:t xml:space="preserve"># a existência do arquivo indica que ela já foi executada. O arquivo</w:t>
      </w:r>
      <w:r>
        <w:t xml:space="preserve"> </w:t>
      </w:r>
      <w:r>
        <w:t xml:space="preserve">nunca é</w:t>
      </w:r>
      <w:r>
        <w:br/>
      </w:r>
      <w:r>
        <w:t xml:space="preserve"># sobrescrito automaticamente.</w:t>
      </w:r>
      <w:r>
        <w:br/>
      </w:r>
      <w:r>
        <w:t xml:space="preserve">if (file.exists(arquivo_saida)) {</w:t>
      </w:r>
      <w:r>
        <w:br/>
      </w:r>
      <w:r>
        <w:t xml:space="preserve">status_chamadas &lt;- tibble(</w:t>
      </w:r>
      <w:r>
        <w:br/>
      </w:r>
      <w:r>
        <w:t xml:space="preserve">`Arquivo Saída` = arquivo_saida,</w:t>
      </w:r>
      <w:r>
        <w:br/>
      </w:r>
      <w:r>
        <w:t xml:space="preserve">status_code = NA_integer_,</w:t>
      </w:r>
      <w:r>
        <w:br/>
      </w:r>
      <w:r>
        <w:t xml:space="preserve">salvo = TRUE,</w:t>
      </w:r>
      <w:r>
        <w:br/>
      </w:r>
      <w:r>
        <w:t xml:space="preserve">chamada_realizada = FALSE,</w:t>
      </w:r>
      <w:r>
        <w:br/>
      </w:r>
      <w:r>
        <w:t xml:space="preserve">observacao =</w:t>
      </w:r>
      <w:r>
        <w:t xml:space="preserve"> </w:t>
      </w:r>
      <w:r>
        <w:t xml:space="preserve">“Chamada já realizada; arquivo preservado.”</w:t>
      </w:r>
      <w:r>
        <w:t xml:space="preserve">)</w:t>
      </w:r>
      <w:r>
        <w:br/>
      </w:r>
      <w:r>
        <w:t xml:space="preserve">} else {</w:t>
      </w:r>
      <w:r>
        <w:br/>
      </w:r>
      <w:r>
        <w:t xml:space="preserve">request_lote &lt;- base_request |&gt;</w:t>
      </w:r>
      <w:r>
        <w:br/>
      </w:r>
      <w:r>
        <w:t xml:space="preserve">req_body_json(</w:t>
      </w:r>
      <w:r>
        <w:br/>
      </w:r>
      <w:r>
        <w:t xml:space="preserve">list(</w:t>
      </w:r>
      <w:r>
        <w:br/>
      </w:r>
      <w:r>
        <w:t xml:space="preserve">model = modelo,</w:t>
      </w:r>
      <w:r>
        <w:br/>
      </w:r>
      <w:r>
        <w:t xml:space="preserve">messages = list(</w:t>
      </w:r>
      <w:r>
        <w:br/>
      </w:r>
      <w:r>
        <w:t xml:space="preserve">list(</w:t>
      </w:r>
      <w:r>
        <w:br/>
      </w:r>
      <w:r>
        <w:t xml:space="preserve">role =</w:t>
      </w:r>
      <w:r>
        <w:t xml:space="preserve"> </w:t>
      </w:r>
      <w:r>
        <w:t xml:space="preserve">“system”</w:t>
      </w:r>
      <w:r>
        <w:t xml:space="preserve">,</w:t>
      </w:r>
      <w:r>
        <w:br/>
      </w:r>
      <w:r>
        <w:t xml:space="preserve">content = obtem_prompt_system(prompt)),</w:t>
      </w:r>
      <w:r>
        <w:br/>
      </w:r>
      <w:r>
        <w:t xml:space="preserve">list(</w:t>
      </w:r>
      <w:r>
        <w:br/>
      </w:r>
      <w:r>
        <w:t xml:space="preserve">role =</w:t>
      </w:r>
      <w:r>
        <w:t xml:space="preserve"> </w:t>
      </w:r>
      <w:r>
        <w:t xml:space="preserve">“user”</w:t>
      </w:r>
      <w:r>
        <w:t xml:space="preserve">,</w:t>
      </w:r>
      <w:r>
        <w:br/>
      </w:r>
      <w:r>
        <w:t xml:space="preserve">content = prompt_lote)),</w:t>
      </w:r>
      <w:r>
        <w:br/>
      </w:r>
      <w:r>
        <w:t xml:space="preserve">stream = FALSE,</w:t>
      </w:r>
      <w:r>
        <w:br/>
      </w:r>
      <w:r>
        <w:t xml:space="preserve">response_format = list(type =</w:t>
      </w:r>
      <w:r>
        <w:t xml:space="preserve"> </w:t>
      </w:r>
      <w:r>
        <w:t xml:space="preserve">“json_object”</w:t>
      </w:r>
      <w:r>
        <w:t xml:space="preserve">)),</w:t>
      </w:r>
      <w:r>
        <w:br/>
      </w:r>
      <w:r>
        <w:t xml:space="preserve">auto_unbox = TRUE)</w:t>
      </w:r>
    </w:p>
    <w:p>
      <w:pPr>
        <w:pStyle w:val="916"/>
      </w:pPr>
      <w:r>
        <w:t xml:space="preserve">resposta &lt;- req_perform(request_lote)</w:t>
      </w:r>
      <w:r>
        <w:br/>
      </w:r>
      <w:r>
        <w:t xml:space="preserve">resposta_ok &lt;- inherits(resposta,</w:t>
      </w:r>
      <w:r>
        <w:t xml:space="preserve"> </w:t>
      </w:r>
      <w:r>
        <w:t xml:space="preserve">“httr2_response”</w:t>
      </w:r>
      <w:r>
        <w:t xml:space="preserve">) &amp;&amp;</w:t>
      </w:r>
      <w:r>
        <w:br/>
      </w:r>
      <w:r>
        <w:t xml:space="preserve">resposta$status_code == 200 &amp;&amp;</w:t>
      </w:r>
      <w:r>
        <w:br/>
      </w:r>
      <w:r>
        <w:t xml:space="preserve">resp_has_body(resposta)</w:t>
      </w:r>
    </w:p>
    <w:p>
      <w:pPr>
        <w:pStyle w:val="916"/>
      </w:pPr>
      <w:r>
        <w:t xml:space="preserve">if (resposta_ok) {</w:t>
      </w:r>
      <w:r>
        <w:br/>
      </w:r>
      <w:r>
        <w:t xml:space="preserve">writeBin(resp_body_raw(resposta), arquivo_saida)</w:t>
      </w:r>
      <w:r>
        <w:br/>
      </w:r>
      <w:r>
        <w:t xml:space="preserve">}</w:t>
      </w:r>
    </w:p>
    <w:p>
      <w:pPr>
        <w:pStyle w:val="916"/>
      </w:pPr>
      <w:r>
        <w:t xml:space="preserve">status_chamadas &lt;- tibble(</w:t>
      </w:r>
      <w:r>
        <w:br/>
      </w:r>
      <w:r>
        <w:t xml:space="preserve">`Arquivo Saída` = arquivo_saida,</w:t>
      </w:r>
      <w:r>
        <w:br/>
      </w:r>
      <w:r>
        <w:t xml:space="preserve">status_code = if (inherits(resposta,</w:t>
      </w:r>
      <w:r>
        <w:t xml:space="preserve"> </w:t>
      </w:r>
      <w:r>
        <w:t xml:space="preserve">“httr2_response”</w:t>
      </w:r>
      <w:r>
        <w:t xml:space="preserve">)) {</w:t>
      </w:r>
      <w:r>
        <w:br/>
      </w:r>
      <w:r>
        <w:t xml:space="preserve">resposta$status_code</w:t>
      </w:r>
      <w:r>
        <w:br/>
      </w:r>
      <w:r>
        <w:t xml:space="preserve">} else {</w:t>
      </w:r>
      <w:r>
        <w:br/>
      </w:r>
      <w:r>
        <w:t xml:space="preserve">NA_integer_</w:t>
      </w:r>
      <w:r>
        <w:br/>
      </w:r>
      <w:r>
        <w:t xml:space="preserve">},</w:t>
      </w:r>
      <w:r>
        <w:br/>
      </w:r>
      <w:r>
        <w:t xml:space="preserve">salvo = resposta_ok,</w:t>
      </w:r>
      <w:r>
        <w:br/>
      </w:r>
      <w:r>
        <w:t xml:space="preserve">chamada_realizada = TRUE,</w:t>
      </w:r>
      <w:r>
        <w:br/>
      </w:r>
      <w:r>
        <w:t xml:space="preserve">observacao = if (resposta_ok) {</w:t>
      </w:r>
      <w:r>
        <w:br/>
      </w:r>
      <w:r>
        <w:t xml:space="preserve">“Resposta salva.”</w:t>
      </w:r>
      <w:r>
        <w:br/>
      </w:r>
      <w:r>
        <w:t xml:space="preserve">} else {</w:t>
      </w:r>
      <w:r>
        <w:br/>
      </w:r>
      <w:r>
        <w:t xml:space="preserve">“Resposta não salva.”</w:t>
      </w:r>
      <w:r>
        <w:br/>
      </w:r>
      <w:r>
        <w:t xml:space="preserve">})</w:t>
      </w:r>
      <w:r>
        <w:br/>
      </w:r>
      <w:r>
        <w:t xml:space="preserve">}</w:t>
      </w:r>
    </w:p>
    <w:p>
      <w:pPr>
        <w:pStyle w:val="916"/>
      </w:pPr>
      <w:r>
        <w:t xml:space="preserve">status_chamadas |&gt;</w:t>
      </w:r>
      <w:r>
        <w:br/>
      </w:r>
      <w:r>
        <w:t xml:space="preserve">count(salvo, status_code)</w:t>
      </w:r>
      <w:r>
        <w:br/>
      </w:r>
      <w:r>
        <w:t xml:space="preserve">#&gt; # A tibble: 1 × 3</w:t>
      </w:r>
      <w:r>
        <w:br/>
      </w:r>
      <w:r>
        <w:t xml:space="preserve">#&gt; salvo status_code n</w:t>
      </w:r>
      <w:r>
        <w:br/>
      </w:r>
      <w:r>
        <w:t xml:space="preserve">#&gt; &lt;lgl&gt; &lt;int&gt; &lt;int&gt;</w:t>
      </w:r>
      <w:r>
        <w:br/>
      </w:r>
      <w:r>
        <w:t xml:space="preserve">#&gt; 1 TRUE NA 1</w:t>
      </w:r>
    </w:p>
    <w:bookmarkEnd w:id="818"/>
    <w:bookmarkStart w:id="819" w:name="resultados-12"/>
    <w:p>
      <w:pPr>
        <w:pStyle w:val="908"/>
      </w:pPr>
      <w:r>
        <w:t xml:space="preserve">18.1.1.3.3 Resultados</w:t>
      </w:r>
    </w:p>
    <w:p>
      <w:pPr>
        <w:pStyle w:val="917"/>
      </w:pPr>
      <w:r>
        <w:t xml:space="preserve">Os resultados abaixo apresentam todas as categorias identificadas na</w:t>
      </w:r>
      <w:r>
        <w:t xml:space="preserve"> </w:t>
      </w:r>
      <w:r>
        <w:t xml:space="preserve">rodada e dois exemplos selecionados aleatoriamente para cada categoria.</w:t>
      </w:r>
    </w:p>
    <w:p>
      <w:pPr>
        <w:pStyle w:val="916"/>
      </w:pPr>
      <w:r>
        <w:t xml:space="preserve">Modelo: respostas carregadas de etiquetador_divergencias_3. Unidades</w:t>
      </w:r>
      <w:r>
        <w:t xml:space="preserve"> </w:t>
      </w:r>
      <w:r>
        <w:t xml:space="preserve">classificadas: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12</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15</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13</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7</w:t>
            </w:r>
          </w:p>
        </w:tc>
      </w:tr>
    </w:tbl>
    <w:p>
      <w:pPr>
        <w:pStyle w:val="916"/>
      </w:pPr>
      <w:r>
        <w:t xml:space="preserve">São apresentados dois exemplos selecionados aleatoriamente por categoria</w:t>
      </w:r>
      <w:r>
        <w:t xml:space="preserve"> </w:t>
      </w:r>
      <w:r>
        <w:t xml:space="preserve">quando há pelo menos duas unidades; categorias com uma única unidade</w:t>
      </w:r>
      <w:r>
        <w:t xml:space="preserve"> </w:t>
      </w:r>
      <w:r>
        <w:t xml:space="preserve">apresentam apenas esse exemplo.</w:t>
      </w:r>
    </w:p>
    <w:bookmarkEnd w:id="819"/>
    <w:bookmarkStart w:id="820" w:name="X525fd49536829a04febfeff468d90c45f9b1c7c"/>
    <w:p>
      <w:pPr>
        <w:pStyle w:val="908"/>
      </w:pPr>
      <w:r>
        <w:t xml:space="preserve">18.1.1.3.4 C1 — Conformidade normativa sem mecanismo de implementação</w:t>
      </w:r>
    </w:p>
    <w:p>
      <w:pPr>
        <w:pStyle w:val="917"/>
      </w:pPr>
      <w:r>
        <w:rPr>
          <w:b/>
          <w:bCs/>
        </w:rPr>
        <w:t xml:space="preserve">Definição:</w:t>
      </w:r>
      <w:r>
        <w:t xml:space="preserve"> </w:t>
      </w:r>
      <w:r>
        <w:t xml:space="preserve">A divergência decorre de a recomendação determinar ou</w:t>
      </w:r>
      <w:r>
        <w:t xml:space="preserve"> </w:t>
      </w:r>
      <w:r>
        <w:t xml:space="preserve">referenciar o cumprimento de normas, princípios ou requisitos, sem</w:t>
      </w:r>
      <w:r>
        <w:t xml:space="preserve"> </w:t>
      </w:r>
      <w:r>
        <w:t xml:space="preserve">explicitar mecanismos concretos de implementação, verificação ou</w:t>
      </w:r>
      <w:r>
        <w:t xml:space="preserve"> </w:t>
      </w:r>
      <w:r>
        <w:t xml:space="preserve">sustentação.</w:t>
      </w:r>
    </w:p>
    <w:p>
      <w:pPr>
        <w:pStyle w:val="916"/>
      </w:pPr>
      <w:r>
        <w:rPr>
          <w:b/>
          <w:bCs/>
        </w:rPr>
        <w:t xml:space="preserve">Critérios de inclusão:</w:t>
      </w:r>
      <w:r>
        <w:t xml:space="preserve"> </w:t>
      </w:r>
      <w:r>
        <w:t xml:space="preserve">a ação central consiste em observar, cumprir</w:t>
      </w:r>
      <w:r>
        <w:t xml:space="preserve"> </w:t>
      </w:r>
      <w:r>
        <w:t xml:space="preserve">ou aplicar uma norma, princípio, manual ou dispositivo legal; a</w:t>
      </w:r>
      <w:r>
        <w:t xml:space="preserve"> </w:t>
      </w:r>
      <w:r>
        <w:t xml:space="preserve">permanência dos efeitos é inferida principalmente da existência ou</w:t>
      </w:r>
      <w:r>
        <w:t xml:space="preserve"> </w:t>
      </w:r>
      <w:r>
        <w:t xml:space="preserve">validade da norma; o texto não detalha estrutura, rotina, responsável,</w:t>
      </w:r>
      <w:r>
        <w:t xml:space="preserve"> </w:t>
      </w:r>
      <w:r>
        <w:t xml:space="preserve">controle ou procedimento suficiente para sustentar a aplicação</w:t>
      </w:r>
    </w:p>
    <w:p>
      <w:pPr>
        <w:pStyle w:val="916"/>
      </w:pPr>
      <w:r>
        <w:rPr>
          <w:b/>
          <w:bCs/>
        </w:rPr>
        <w:t xml:space="preserve">Critérios de exclusão:</w:t>
      </w:r>
      <w:r>
        <w:t xml:space="preserve"> </w:t>
      </w:r>
      <w:r>
        <w:t xml:space="preserve">não incluir quando o mecanismo predominante</w:t>
      </w:r>
      <w:r>
        <w:t xml:space="preserve"> </w:t>
      </w:r>
      <w:r>
        <w:t xml:space="preserve">for investigação ou solicitação de informação sem ação corretiva; quando</w:t>
      </w:r>
      <w:r>
        <w:t xml:space="preserve"> </w:t>
      </w:r>
      <w:r>
        <w:t xml:space="preserve">houver conjunto claramente combinado de ações corretivas e estruturais;</w:t>
      </w:r>
      <w:r>
        <w:t xml:space="preserve"> </w:t>
      </w:r>
      <w:r>
        <w:t xml:space="preserve">ou quando a mera menção a documentos normativos não for o núcleo da</w:t>
      </w:r>
      <w:r>
        <w:t xml:space="preserve"> </w:t>
      </w:r>
      <w:r>
        <w:t xml:space="preserve">recomendação</w:t>
      </w:r>
    </w:p>
    <w:p>
      <w:pPr>
        <w:pStyle w:val="916"/>
      </w:pPr>
      <w:r>
        <w:rPr>
          <w:b/>
          <w:bCs/>
        </w:rPr>
        <w:t xml:space="preserve">Exemplo 1 (19783_1/691444_1.json)</w:t>
      </w:r>
    </w:p>
    <w:p>
      <w:pPr>
        <w:pStyle w:val="916"/>
      </w:pPr>
      <w:r>
        <w:t xml:space="preserve">Cumprir a Resolução Diretoria Colegiada da Agência Nacional de</w:t>
      </w:r>
      <w:r>
        <w:t xml:space="preserve"> </w:t>
      </w:r>
      <w:r>
        <w:t xml:space="preserve">Vigilância Sanitária Nº 197, de 26 de dezembro de 2017 quanto às</w:t>
      </w:r>
      <w:r>
        <w:t xml:space="preserve"> </w:t>
      </w:r>
      <w:r>
        <w:t xml:space="preserve">exigências necessárias para obtenção de licença sanitária quanto às</w:t>
      </w:r>
      <w:r>
        <w:t xml:space="preserve"> </w:t>
      </w:r>
      <w:r>
        <w:t xml:space="preserve">condições organizacionais, dos recursos humanos, da infraestrutura, do</w:t>
      </w:r>
      <w:r>
        <w:t xml:space="preserve"> </w:t>
      </w:r>
      <w:r>
        <w:t xml:space="preserve">gerenciamento de tecnologias e dos processos, registros e notificações</w:t>
      </w:r>
      <w:r>
        <w:t xml:space="preserve"> </w:t>
      </w:r>
      <w:r>
        <w:t xml:space="preserve">das Vacinações, sobretudo o Art. 4º e 5º, Seção I, Capítulo II da mesma</w:t>
      </w:r>
      <w:r>
        <w:t xml:space="preserve"> </w:t>
      </w:r>
      <w:r>
        <w:t xml:space="preserve">resolução, sintetizados no Manual de Rede de Frio do Programa Nacional</w:t>
      </w:r>
      <w:r>
        <w:t xml:space="preserve"> </w:t>
      </w:r>
      <w:r>
        <w:t xml:space="preserve">de Imunizações / Ministério da Saúde, Secretaria de Vigilância em Saúde,</w:t>
      </w:r>
      <w:r>
        <w:t xml:space="preserve"> </w:t>
      </w:r>
      <w:r>
        <w:t xml:space="preserve">Departamento de Vigilância das Doenças Transmissíveis. 5. ed. Brasília:</w:t>
      </w:r>
      <w:r>
        <w:t xml:space="preserve"> </w:t>
      </w:r>
      <w:r>
        <w:t xml:space="preserve">Ministério da Saúde, 2017, devendo o município proceder à devida</w:t>
      </w:r>
      <w:r>
        <w:t xml:space="preserve"> </w:t>
      </w:r>
      <w:r>
        <w:t xml:space="preserve">inspeção sanitária e as correções das não conformidades constatadas.</w:t>
      </w:r>
    </w:p>
    <w:p>
      <w:pPr>
        <w:pStyle w:val="916"/>
      </w:pPr>
      <w:r>
        <w:rPr>
          <w:b/>
          <w:bCs/>
        </w:rPr>
        <w:t xml:space="preserve">Justificativa da IA:</w:t>
      </w:r>
      <w:r>
        <w:t xml:space="preserve"> </w:t>
      </w:r>
      <w:r>
        <w:t xml:space="preserve">A análise inicial associou o cumprimento da</w:t>
      </w:r>
      <w:r>
        <w:t xml:space="preserve"> </w:t>
      </w:r>
      <w:r>
        <w:t xml:space="preserve">resolução, a inspeção e a correção de não conformidades à criação de</w:t>
      </w:r>
      <w:r>
        <w:t xml:space="preserve"> </w:t>
      </w:r>
      <w:r>
        <w:t xml:space="preserve">condições duradouras; a análise crítica reconheceu o potencial</w:t>
      </w:r>
      <w:r>
        <w:t xml:space="preserve"> </w:t>
      </w:r>
      <w:r>
        <w:t xml:space="preserve">estrutural, mas destacou que a manutenção não é garantida pela</w:t>
      </w:r>
      <w:r>
        <w:t xml:space="preserve"> </w:t>
      </w:r>
      <w:r>
        <w:t xml:space="preserve">recomendação. A instabilidade está na inferência de permanência a partir</w:t>
      </w:r>
      <w:r>
        <w:t xml:space="preserve"> </w:t>
      </w:r>
      <w:r>
        <w:t xml:space="preserve">da exigência normativa.</w:t>
      </w:r>
    </w:p>
    <w:p>
      <w:pPr>
        <w:pStyle w:val="916"/>
      </w:pPr>
      <w:r>
        <w:rPr>
          <w:b/>
          <w:bCs/>
        </w:rPr>
        <w:t xml:space="preserve">Limites observados pela IA:</w:t>
      </w:r>
      <w:r>
        <w:t xml:space="preserve"> </w:t>
      </w:r>
      <w:r>
        <w:t xml:space="preserve">A recomendação menciona inspeção e</w:t>
      </w:r>
      <w:r>
        <w:t xml:space="preserve"> </w:t>
      </w:r>
      <w:r>
        <w:t xml:space="preserve">correção, mas não detalha sua periodicidade ou continuidade.</w:t>
      </w:r>
    </w:p>
    <w:p>
      <w:pPr>
        <w:pStyle w:val="916"/>
      </w:pPr>
      <w:r>
        <w:rPr>
          <w:b/>
          <w:bCs/>
        </w:rPr>
        <w:t xml:space="preserve">Exemplo 2 (19559_1/681715_1.json)</w:t>
      </w:r>
    </w:p>
    <w:p>
      <w:pPr>
        <w:pStyle w:val="916"/>
      </w:pPr>
      <w:r>
        <w:t xml:space="preserve">Fiscalizar e assegurar que a unidade prestadora de serviço cumpra o que</w:t>
      </w:r>
      <w:r>
        <w:t xml:space="preserve"> </w:t>
      </w:r>
      <w:r>
        <w:t xml:space="preserve">preconiza o Art. 424, da Portaria de Consolidação SAES/MS n.º 1 de</w:t>
      </w:r>
      <w:r>
        <w:t xml:space="preserve"> </w:t>
      </w:r>
      <w:r>
        <w:t xml:space="preserve">22/2/2022, que trata sobre o CFID ser preenchida em uma só via a ser</w:t>
      </w:r>
      <w:r>
        <w:t xml:space="preserve"> </w:t>
      </w:r>
      <w:r>
        <w:t xml:space="preserve">arquivada no prontuário do paciente.</w:t>
      </w:r>
    </w:p>
    <w:p>
      <w:pPr>
        <w:pStyle w:val="916"/>
      </w:pPr>
      <w:r>
        <w:rPr>
          <w:b/>
          <w:bCs/>
        </w:rPr>
        <w:t xml:space="preserve">Justificativa da IA:</w:t>
      </w:r>
      <w:r>
        <w:t xml:space="preserve"> </w:t>
      </w:r>
      <w:r>
        <w:t xml:space="preserve">A análise inicial viu a fiscalização do</w:t>
      </w:r>
      <w:r>
        <w:t xml:space="preserve"> </w:t>
      </w:r>
      <w:r>
        <w:t xml:space="preserve">cumprimento da norma como correção imediata, enquanto a análise crítica</w:t>
      </w:r>
      <w:r>
        <w:t xml:space="preserve"> </w:t>
      </w:r>
      <w:r>
        <w:t xml:space="preserve">a interpretou como medida para assegurar adesão permanente à exigência</w:t>
      </w:r>
      <w:r>
        <w:t xml:space="preserve"> </w:t>
      </w:r>
      <w:r>
        <w:t xml:space="preserve">legal. A instabilidade decorre da oposição entre fiscalização pontual e</w:t>
      </w:r>
      <w:r>
        <w:t xml:space="preserve"> </w:t>
      </w:r>
      <w:r>
        <w:t xml:space="preserve">conformidade normativa sustentada, sem mecanismo independente de</w:t>
      </w:r>
      <w:r>
        <w:t xml:space="preserve"> </w:t>
      </w:r>
      <w:r>
        <w:t xml:space="preserve">fiscalização.</w:t>
      </w:r>
    </w:p>
    <w:p>
      <w:pPr>
        <w:pStyle w:val="916"/>
      </w:pPr>
      <w:r>
        <w:rPr>
          <w:b/>
          <w:bCs/>
        </w:rPr>
        <w:t xml:space="preserve">Limites observados pela IA:</w:t>
      </w:r>
      <w:r>
        <w:t xml:space="preserve"> </w:t>
      </w:r>
      <w:r>
        <w:t xml:space="preserve">A recomendação não detalha frequência,</w:t>
      </w:r>
      <w:r>
        <w:t xml:space="preserve"> </w:t>
      </w:r>
      <w:r>
        <w:t xml:space="preserve">responsáveis ou consequências da fiscalização.</w:t>
      </w:r>
    </w:p>
    <w:bookmarkEnd w:id="820"/>
    <w:bookmarkStart w:id="821" w:name="X7d45d92a6ddc2756d39c21bd8de847450379fcc"/>
    <w:p>
      <w:pPr>
        <w:pStyle w:val="908"/>
      </w:pPr>
      <w:r>
        <w:t xml:space="preserve">18.1.1.3.5 C2 — Execução continuada dependente de adesão</w:t>
      </w:r>
    </w:p>
    <w:p>
      <w:pPr>
        <w:pStyle w:val="917"/>
      </w:pPr>
      <w:r>
        <w:rPr>
          <w:b/>
          <w:bCs/>
        </w:rPr>
        <w:t xml:space="preserve">Definição:</w:t>
      </w:r>
      <w:r>
        <w:t xml:space="preserve"> </w:t>
      </w:r>
      <w:r>
        <w:t xml:space="preserve">A divergência decorre de a durabilidade depender da</w:t>
      </w:r>
      <w:r>
        <w:t xml:space="preserve"> </w:t>
      </w:r>
      <w:r>
        <w:t xml:space="preserve">realização reiterada de rotinas, controles ou supervisão por pessoas ou</w:t>
      </w:r>
      <w:r>
        <w:t xml:space="preserve"> </w:t>
      </w:r>
      <w:r>
        <w:t xml:space="preserve">unidades, sem garantia textual de continuidade diante de mudanças de</w:t>
      </w:r>
      <w:r>
        <w:t xml:space="preserve"> </w:t>
      </w:r>
      <w:r>
        <w:t xml:space="preserve">atores.</w:t>
      </w:r>
    </w:p>
    <w:p>
      <w:pPr>
        <w:pStyle w:val="916"/>
      </w:pPr>
      <w:r>
        <w:rPr>
          <w:b/>
          <w:bCs/>
        </w:rPr>
        <w:t xml:space="preserve">Critérios de inclusão:</w:t>
      </w:r>
      <w:r>
        <w:t xml:space="preserve"> </w:t>
      </w:r>
      <w:r>
        <w:t xml:space="preserve">a recomendação exige monitoramento,</w:t>
      </w:r>
      <w:r>
        <w:t xml:space="preserve"> </w:t>
      </w:r>
      <w:r>
        <w:t xml:space="preserve">conferência, supervisão, pactuação ou execução recorrente; o efeito</w:t>
      </w:r>
      <w:r>
        <w:t xml:space="preserve"> </w:t>
      </w:r>
      <w:r>
        <w:t xml:space="preserve">pretendido depende da adesão ou do compromisso continuado dos</w:t>
      </w:r>
      <w:r>
        <w:t xml:space="preserve"> </w:t>
      </w:r>
      <w:r>
        <w:t xml:space="preserve">executores; e a análise inicial infere institucionalização, enquanto a</w:t>
      </w:r>
      <w:r>
        <w:t xml:space="preserve"> </w:t>
      </w:r>
      <w:r>
        <w:t xml:space="preserve">análise crítica destaca dependência de pessoal, prioridades ou aplicação</w:t>
      </w:r>
      <w:r>
        <w:t xml:space="preserve"> </w:t>
      </w:r>
      <w:r>
        <w:t xml:space="preserve">prática</w:t>
      </w:r>
    </w:p>
    <w:p>
      <w:pPr>
        <w:pStyle w:val="916"/>
      </w:pPr>
      <w:r>
        <w:rPr>
          <w:b/>
          <w:bCs/>
        </w:rPr>
        <w:t xml:space="preserve">Critérios de exclusão:</w:t>
      </w:r>
      <w:r>
        <w:t xml:space="preserve"> </w:t>
      </w:r>
      <w:r>
        <w:t xml:space="preserve">não incluir quando a recomendação apenas</w:t>
      </w:r>
      <w:r>
        <w:t xml:space="preserve"> </w:t>
      </w:r>
      <w:r>
        <w:t xml:space="preserve">determinar cumprimento normativo genérico; quando a ação principal for</w:t>
      </w:r>
      <w:r>
        <w:t xml:space="preserve"> </w:t>
      </w:r>
      <w:r>
        <w:t xml:space="preserve">capacitação ou transmissão de conhecimento; ou quando o problema central</w:t>
      </w:r>
      <w:r>
        <w:t xml:space="preserve"> </w:t>
      </w:r>
      <w:r>
        <w:t xml:space="preserve">for a ausência de investigação ou diagnóstico</w:t>
      </w:r>
    </w:p>
    <w:p>
      <w:pPr>
        <w:pStyle w:val="916"/>
      </w:pPr>
      <w:r>
        <w:rPr>
          <w:b/>
          <w:bCs/>
        </w:rPr>
        <w:t xml:space="preserve">Exemplo 1 (19876_1/703741_2.json)</w:t>
      </w:r>
    </w:p>
    <w:p>
      <w:pPr>
        <w:pStyle w:val="916"/>
      </w:pPr>
      <w:r>
        <w:t xml:space="preserve">Acompanhar, fiscalizar, supervisionar e auditar as ações descritas no</w:t>
      </w:r>
      <w:r>
        <w:t xml:space="preserve"> </w:t>
      </w:r>
      <w:r>
        <w:t xml:space="preserve">contrato firmado com o prestador, principalmente no que se refere o</w:t>
      </w:r>
      <w:r>
        <w:t xml:space="preserve"> </w:t>
      </w:r>
      <w:r>
        <w:t xml:space="preserve">adequado registro dos CIDs nas AIHs para garantir que as ações</w:t>
      </w:r>
      <w:r>
        <w:t xml:space="preserve"> </w:t>
      </w:r>
      <w:r>
        <w:t xml:space="preserve">corretivas adotadas sejam efetivas, conforme as orientações do Manual</w:t>
      </w:r>
      <w:r>
        <w:t xml:space="preserve"> </w:t>
      </w:r>
      <w:r>
        <w:t xml:space="preserve">Técnico Operacional do SIH (versão 2017, p. 88), que estabelece que “o</w:t>
      </w:r>
      <w:r>
        <w:t xml:space="preserve"> </w:t>
      </w:r>
      <w:r>
        <w:t xml:space="preserve">CID terá que ser compatível com a principal patologia referente ao</w:t>
      </w:r>
      <w:r>
        <w:t xml:space="preserve"> </w:t>
      </w:r>
      <w:r>
        <w:t xml:space="preserve">procedimento informado na primeira linha de realizados”.</w:t>
      </w:r>
    </w:p>
    <w:p>
      <w:pPr>
        <w:pStyle w:val="916"/>
      </w:pPr>
      <w:r>
        <w:rPr>
          <w:b/>
          <w:bCs/>
        </w:rPr>
        <w:t xml:space="preserve">Justificativa da IA:</w:t>
      </w:r>
      <w:r>
        <w:t xml:space="preserve"> </w:t>
      </w:r>
      <w:r>
        <w:t xml:space="preserve">A análise inicial considerou fiscalização,</w:t>
      </w:r>
      <w:r>
        <w:t xml:space="preserve"> </w:t>
      </w:r>
      <w:r>
        <w:t xml:space="preserve">supervisão e auditoria como mecanismos estruturados duradouros; a</w:t>
      </w:r>
      <w:r>
        <w:t xml:space="preserve"> </w:t>
      </w:r>
      <w:r>
        <w:t xml:space="preserve">análise crítica enfatizou que sua eficácia depende da continuidade</w:t>
      </w:r>
      <w:r>
        <w:t xml:space="preserve"> </w:t>
      </w:r>
      <w:r>
        <w:t xml:space="preserve">dessas atividades e que elas podem apenas detectar erros após sua</w:t>
      </w:r>
      <w:r>
        <w:t xml:space="preserve"> </w:t>
      </w:r>
      <w:r>
        <w:t xml:space="preserve">ocorrência. O mecanismo predominante é a dependência de controle</w:t>
      </w:r>
      <w:r>
        <w:t xml:space="preserve"> </w:t>
      </w:r>
      <w:r>
        <w:t xml:space="preserve">reiterado.</w:t>
      </w:r>
    </w:p>
    <w:p>
      <w:pPr>
        <w:pStyle w:val="916"/>
      </w:pPr>
      <w:r>
        <w:rPr>
          <w:b/>
          <w:bCs/>
        </w:rPr>
        <w:t xml:space="preserve">Limites observados pela IA:</w:t>
      </w:r>
      <w:r>
        <w:t xml:space="preserve"> </w:t>
      </w:r>
      <w:r>
        <w:t xml:space="preserve">A recomendação não descreve controles</w:t>
      </w:r>
      <w:r>
        <w:t xml:space="preserve"> </w:t>
      </w:r>
      <w:r>
        <w:t xml:space="preserve">internos do prestador nem periodicidade da fiscalização.</w:t>
      </w:r>
    </w:p>
    <w:p>
      <w:pPr>
        <w:pStyle w:val="916"/>
      </w:pPr>
      <w:r>
        <w:rPr>
          <w:b/>
          <w:bCs/>
        </w:rPr>
        <w:t xml:space="preserve">Exemplo 2 (19038_1/654951_1.json)</w:t>
      </w:r>
    </w:p>
    <w:p>
      <w:pPr>
        <w:pStyle w:val="916"/>
      </w:pPr>
      <w:r>
        <w:t xml:space="preserve">Garantir a presença ininterrupta do profissional Enfermeiro nas 24 horas</w:t>
      </w:r>
      <w:r>
        <w:t xml:space="preserve"> </w:t>
      </w:r>
      <w:r>
        <w:t xml:space="preserve">de funcionamento do HMSFX, nos setores onde há assistência de</w:t>
      </w:r>
      <w:r>
        <w:t xml:space="preserve"> </w:t>
      </w:r>
      <w:r>
        <w:t xml:space="preserve">enfermagem, conforme determina o Art.11 da Lei nº 7498, de 25 de junho</w:t>
      </w:r>
      <w:r>
        <w:t xml:space="preserve"> </w:t>
      </w:r>
      <w:r>
        <w:t xml:space="preserve">de 1986, o qual estabelece que cabe PRIVATIVAMENTE ao enfermeiro</w:t>
      </w:r>
      <w:r>
        <w:t xml:space="preserve"> </w:t>
      </w:r>
      <w:r>
        <w:t xml:space="preserve">executar e avaliar os serviços da assistência de enfermagem.</w:t>
      </w:r>
    </w:p>
    <w:p>
      <w:pPr>
        <w:pStyle w:val="916"/>
      </w:pPr>
      <w:r>
        <w:rPr>
          <w:b/>
          <w:bCs/>
        </w:rPr>
        <w:t xml:space="preserve">Justificativa da IA:</w:t>
      </w:r>
      <w:r>
        <w:t xml:space="preserve"> </w:t>
      </w:r>
      <w:r>
        <w:t xml:space="preserve">A análise inicial inferiu que garantir presença</w:t>
      </w:r>
      <w:r>
        <w:t xml:space="preserve"> </w:t>
      </w:r>
      <w:r>
        <w:t xml:space="preserve">ininterrupta produziria estrutura organizacional duradoura; a análise</w:t>
      </w:r>
      <w:r>
        <w:t xml:space="preserve"> </w:t>
      </w:r>
      <w:r>
        <w:t xml:space="preserve">crítica questionou se ajustes de escala ou contratações seriam</w:t>
      </w:r>
      <w:r>
        <w:t xml:space="preserve"> </w:t>
      </w:r>
      <w:r>
        <w:t xml:space="preserve">permanentes. O efeito depende da manutenção continuada da cobertura de</w:t>
      </w:r>
      <w:r>
        <w:t xml:space="preserve"> </w:t>
      </w:r>
      <w:r>
        <w:t xml:space="preserve">pessoal.</w:t>
      </w:r>
    </w:p>
    <w:p>
      <w:pPr>
        <w:pStyle w:val="916"/>
      </w:pPr>
      <w:r>
        <w:rPr>
          <w:b/>
          <w:bCs/>
        </w:rPr>
        <w:t xml:space="preserve">Limites observados pela IA:</w:t>
      </w:r>
      <w:r>
        <w:t xml:space="preserve"> </w:t>
      </w:r>
      <w:r>
        <w:t xml:space="preserve">A recomendação exige presença contínua,</w:t>
      </w:r>
      <w:r>
        <w:t xml:space="preserve"> </w:t>
      </w:r>
      <w:r>
        <w:t xml:space="preserve">mas não especifica como ela será assegurada diante de mudanças de</w:t>
      </w:r>
      <w:r>
        <w:t xml:space="preserve"> </w:t>
      </w:r>
      <w:r>
        <w:t xml:space="preserve">equipe.</w:t>
      </w:r>
    </w:p>
    <w:bookmarkEnd w:id="821"/>
    <w:bookmarkStart w:id="822" w:name="X23c60507605723b78e91e5292f591e82a223ffb"/>
    <w:p>
      <w:pPr>
        <w:pStyle w:val="908"/>
      </w:pPr>
      <w:r>
        <w:t xml:space="preserve">18.1.1.3.6 C3 — Capacitação sujeita a atualização e retenção</w:t>
      </w:r>
    </w:p>
    <w:p>
      <w:pPr>
        <w:pStyle w:val="917"/>
      </w:pPr>
      <w:r>
        <w:rPr>
          <w:b/>
          <w:bCs/>
        </w:rPr>
        <w:t xml:space="preserve">Definição:</w:t>
      </w:r>
      <w:r>
        <w:t xml:space="preserve"> </w:t>
      </w:r>
      <w:r>
        <w:t xml:space="preserve">A divergência decorre de ações de educação, treinamento</w:t>
      </w:r>
      <w:r>
        <w:t xml:space="preserve"> </w:t>
      </w:r>
      <w:r>
        <w:t xml:space="preserve">ou qualificação cujo efeito pode persistir como conhecimento, mas</w:t>
      </w:r>
      <w:r>
        <w:t xml:space="preserve"> </w:t>
      </w:r>
      <w:r>
        <w:t xml:space="preserve">depende de atualização, repetição, retenção de pessoal e incorporação</w:t>
      </w:r>
      <w:r>
        <w:t xml:space="preserve"> </w:t>
      </w:r>
      <w:r>
        <w:t xml:space="preserve">institucional.</w:t>
      </w:r>
    </w:p>
    <w:p>
      <w:pPr>
        <w:pStyle w:val="916"/>
      </w:pPr>
      <w:r>
        <w:rPr>
          <w:b/>
          <w:bCs/>
        </w:rPr>
        <w:t xml:space="preserve">Critérios de inclusão:</w:t>
      </w:r>
      <w:r>
        <w:t xml:space="preserve"> </w:t>
      </w:r>
      <w:r>
        <w:t xml:space="preserve">a recomendação tem como ação central ofertar</w:t>
      </w:r>
      <w:r>
        <w:t xml:space="preserve"> </w:t>
      </w:r>
      <w:r>
        <w:t xml:space="preserve">educação, treinamento, orientação ou capacitação; a análise inicial</w:t>
      </w:r>
      <w:r>
        <w:t xml:space="preserve"> </w:t>
      </w:r>
      <w:r>
        <w:t xml:space="preserve">considera que conhecimentos adquiridos permanecem, enquanto a análise</w:t>
      </w:r>
      <w:r>
        <w:t xml:space="preserve"> </w:t>
      </w:r>
      <w:r>
        <w:t xml:space="preserve">crítica ressalta rotatividade, atualização ou necessidade de</w:t>
      </w:r>
      <w:r>
        <w:t xml:space="preserve"> </w:t>
      </w:r>
      <w:r>
        <w:t xml:space="preserve">continuidade; e a recomendação não demonstra, por si só, mecanismo</w:t>
      </w:r>
      <w:r>
        <w:t xml:space="preserve"> </w:t>
      </w:r>
      <w:r>
        <w:t xml:space="preserve">institucional completo que assegure a transmissão e manutenção das</w:t>
      </w:r>
      <w:r>
        <w:t xml:space="preserve"> </w:t>
      </w:r>
      <w:r>
        <w:t xml:space="preserve">competências</w:t>
      </w:r>
    </w:p>
    <w:p>
      <w:pPr>
        <w:pStyle w:val="916"/>
      </w:pPr>
      <w:r>
        <w:rPr>
          <w:b/>
          <w:bCs/>
        </w:rPr>
        <w:t xml:space="preserve">Critérios de exclusão:</w:t>
      </w:r>
      <w:r>
        <w:t xml:space="preserve"> </w:t>
      </w:r>
      <w:r>
        <w:t xml:space="preserve">não incluir quando a capacitação for apenas</w:t>
      </w:r>
      <w:r>
        <w:t xml:space="preserve"> </w:t>
      </w:r>
      <w:r>
        <w:t xml:space="preserve">componente secundário de pacote dominado por outras ações; quando a</w:t>
      </w:r>
      <w:r>
        <w:t xml:space="preserve"> </w:t>
      </w:r>
      <w:r>
        <w:t xml:space="preserve">divergência decorrer principalmente de exigência normativa sem</w:t>
      </w:r>
      <w:r>
        <w:t xml:space="preserve"> </w:t>
      </w:r>
      <w:r>
        <w:t xml:space="preserve">implementação; ou quando a ação principal for rotina de controle</w:t>
      </w:r>
      <w:r>
        <w:t xml:space="preserve"> </w:t>
      </w:r>
      <w:r>
        <w:t xml:space="preserve">executada continuamente</w:t>
      </w:r>
    </w:p>
    <w:p>
      <w:pPr>
        <w:pStyle w:val="916"/>
      </w:pPr>
      <w:r>
        <w:rPr>
          <w:b/>
          <w:bCs/>
        </w:rPr>
        <w:t xml:space="preserve">Exemplo 1 (19598_1/676755_2.json)</w:t>
      </w:r>
    </w:p>
    <w:p>
      <w:pPr>
        <w:pStyle w:val="916"/>
      </w:pPr>
      <w:r>
        <w:t xml:space="preserve">Promover ações de educação continuada para os profissionais responsáveis</w:t>
      </w:r>
      <w:r>
        <w:t xml:space="preserve"> </w:t>
      </w:r>
      <w:r>
        <w:t xml:space="preserve">por organizar as escalas de trabalho.</w:t>
      </w:r>
    </w:p>
    <w:p>
      <w:pPr>
        <w:pStyle w:val="916"/>
      </w:pPr>
      <w:r>
        <w:rPr>
          <w:b/>
          <w:bCs/>
        </w:rPr>
        <w:t xml:space="preserve">Justificativa da IA:</w:t>
      </w:r>
      <w:r>
        <w:t xml:space="preserve"> </w:t>
      </w:r>
      <w:r>
        <w:t xml:space="preserve">A análise inicial inferiu que a educação</w:t>
      </w:r>
      <w:r>
        <w:t xml:space="preserve"> </w:t>
      </w:r>
      <w:r>
        <w:t xml:space="preserve">continuada produziria práticas sustentáveis; a análise crítica ressaltou</w:t>
      </w:r>
      <w:r>
        <w:t xml:space="preserve"> </w:t>
      </w:r>
      <w:r>
        <w:t xml:space="preserve">que a recomendação não demonstra tratar a causa específica e que seus</w:t>
      </w:r>
      <w:r>
        <w:t xml:space="preserve"> </w:t>
      </w:r>
      <w:r>
        <w:t xml:space="preserve">efeitos dependem de continuidade e institucionalização. O mecanismo</w:t>
      </w:r>
      <w:r>
        <w:t xml:space="preserve"> </w:t>
      </w:r>
      <w:r>
        <w:t xml:space="preserve">predominante é a transmissão de conhecimento sujeita à retenção e</w:t>
      </w:r>
      <w:r>
        <w:t xml:space="preserve"> </w:t>
      </w:r>
      <w:r>
        <w:t xml:space="preserve">atualização.</w:t>
      </w:r>
    </w:p>
    <w:p>
      <w:pPr>
        <w:pStyle w:val="916"/>
      </w:pPr>
      <w:r>
        <w:rPr>
          <w:b/>
          <w:bCs/>
        </w:rPr>
        <w:t xml:space="preserve">Limites observados pela IA:</w:t>
      </w:r>
      <w:r>
        <w:t xml:space="preserve"> </w:t>
      </w:r>
      <w:r>
        <w:t xml:space="preserve">A recomendação limita-se à educação</w:t>
      </w:r>
      <w:r>
        <w:t xml:space="preserve"> </w:t>
      </w:r>
      <w:r>
        <w:t xml:space="preserve">continuada e não prevê documentação ou outros mecanismos institucionais.</w:t>
      </w:r>
    </w:p>
    <w:p>
      <w:pPr>
        <w:pStyle w:val="916"/>
      </w:pPr>
      <w:r>
        <w:rPr>
          <w:b/>
          <w:bCs/>
        </w:rPr>
        <w:t xml:space="preserve">Exemplo 2 (19835_1/701056_1.json)</w:t>
      </w:r>
    </w:p>
    <w:p>
      <w:pPr>
        <w:pStyle w:val="916"/>
      </w:pPr>
      <w:r>
        <w:t xml:space="preserve">A SMSA/BV deve promover capacitação das equipes que atuam nas UBSs, em</w:t>
      </w:r>
      <w:r>
        <w:t xml:space="preserve"> </w:t>
      </w:r>
      <w:r>
        <w:t xml:space="preserve">todas as macroáreas do município, para que estejam aptas a aplicar os</w:t>
      </w:r>
      <w:r>
        <w:t xml:space="preserve"> </w:t>
      </w:r>
      <w:r>
        <w:t xml:space="preserve">procedimentos de estratificação de Riscos em Saúde Mental, a fim de</w:t>
      </w:r>
      <w:r>
        <w:t xml:space="preserve"> </w:t>
      </w:r>
      <w:r>
        <w:t xml:space="preserve">atender o disposto nos Incisos III e VI, do Item 3 e Itens 4 e 5, do</w:t>
      </w:r>
      <w:r>
        <w:t xml:space="preserve"> </w:t>
      </w:r>
      <w:r>
        <w:t xml:space="preserve">Capítulo I, do Anexo I, do Anexo XXII, da Portaria de Consolidação GM/MS</w:t>
      </w:r>
      <w:r>
        <w:t xml:space="preserve"> </w:t>
      </w:r>
      <w:r>
        <w:t xml:space="preserve">nº 2, de 28 de setembro de 2017, que aprova a Política Nacional de</w:t>
      </w:r>
      <w:r>
        <w:t xml:space="preserve"> </w:t>
      </w:r>
      <w:r>
        <w:t xml:space="preserve">Atenção Básica, estabelecendo a revisão de diretrizes para a organização</w:t>
      </w:r>
      <w:r>
        <w:t xml:space="preserve"> </w:t>
      </w:r>
      <w:r>
        <w:t xml:space="preserve">da Atenção Básica, no âmbito do Sistema Único de Saúde, referente à</w:t>
      </w:r>
      <w:r>
        <w:t xml:space="preserve"> </w:t>
      </w:r>
      <w:r>
        <w:t xml:space="preserve">infraestrutura, ambiência e funcionamento da AB, atribuições dos</w:t>
      </w:r>
      <w:r>
        <w:t xml:space="preserve"> </w:t>
      </w:r>
      <w:r>
        <w:t xml:space="preserve">profissionais e do processo de trabalho.</w:t>
      </w:r>
    </w:p>
    <w:p>
      <w:pPr>
        <w:pStyle w:val="916"/>
      </w:pPr>
      <w:r>
        <w:rPr>
          <w:b/>
          <w:bCs/>
        </w:rPr>
        <w:t xml:space="preserve">Justificativa da IA:</w:t>
      </w:r>
      <w:r>
        <w:t xml:space="preserve"> </w:t>
      </w:r>
      <w:r>
        <w:t xml:space="preserve">A análise inicial associou a capacitação à</w:t>
      </w:r>
      <w:r>
        <w:t xml:space="preserve"> </w:t>
      </w:r>
      <w:r>
        <w:t xml:space="preserve">criação de competência institucional duradoura; a análise crítica</w:t>
      </w:r>
      <w:r>
        <w:t xml:space="preserve"> </w:t>
      </w:r>
      <w:r>
        <w:t xml:space="preserve">reconheceu o vínculo causal, mas destacou rotatividade e necessidade de</w:t>
      </w:r>
      <w:r>
        <w:t xml:space="preserve"> </w:t>
      </w:r>
      <w:r>
        <w:t xml:space="preserve">reforço contínuo. A divergência é típica de conhecimento que pode</w:t>
      </w:r>
      <w:r>
        <w:t xml:space="preserve"> </w:t>
      </w:r>
      <w:r>
        <w:t xml:space="preserve">permanecer, mas não é automaticamente transmitido a novos profissionais.</w:t>
      </w:r>
    </w:p>
    <w:p>
      <w:pPr>
        <w:pStyle w:val="916"/>
      </w:pPr>
      <w:r>
        <w:rPr>
          <w:b/>
          <w:bCs/>
        </w:rPr>
        <w:t xml:space="preserve">Limites observados pela IA:</w:t>
      </w:r>
      <w:r>
        <w:t xml:space="preserve"> </w:t>
      </w:r>
      <w:r>
        <w:t xml:space="preserve">A recomendação centra-se na capacitação</w:t>
      </w:r>
      <w:r>
        <w:t xml:space="preserve"> </w:t>
      </w:r>
      <w:r>
        <w:t xml:space="preserve">e não prevê documentação ou treinamento recorrente.</w:t>
      </w:r>
    </w:p>
    <w:bookmarkEnd w:id="822"/>
    <w:bookmarkStart w:id="823" w:name="c4-pacote-heterogêneo-de-ações-2"/>
    <w:p>
      <w:pPr>
        <w:pStyle w:val="908"/>
      </w:pPr>
      <w:r>
        <w:t xml:space="preserve">18.1.1.3.7 C4 — Pacote heterogêneo de ações</w:t>
      </w:r>
    </w:p>
    <w:p>
      <w:pPr>
        <w:pStyle w:val="917"/>
      </w:pPr>
      <w:r>
        <w:rPr>
          <w:b/>
          <w:bCs/>
        </w:rPr>
        <w:t xml:space="preserve">Definição:</w:t>
      </w:r>
      <w:r>
        <w:t xml:space="preserve"> </w:t>
      </w:r>
      <w:r>
        <w:t xml:space="preserve">A divergência decorre da combinação, na mesma</w:t>
      </w:r>
      <w:r>
        <w:t xml:space="preserve"> </w:t>
      </w:r>
      <w:r>
        <w:t xml:space="preserve">recomendação, de medidas imediatas ou reparadoras com ações estruturais,</w:t>
      </w:r>
      <w:r>
        <w:t xml:space="preserve"> </w:t>
      </w:r>
      <w:r>
        <w:t xml:space="preserve">preventivas ou de capacitação, permitindo avaliações diferentes conforme</w:t>
      </w:r>
      <w:r>
        <w:t xml:space="preserve"> </w:t>
      </w:r>
      <w:r>
        <w:t xml:space="preserve">o componente valorizado.</w:t>
      </w:r>
    </w:p>
    <w:p>
      <w:pPr>
        <w:pStyle w:val="916"/>
      </w:pPr>
      <w:r>
        <w:rPr>
          <w:b/>
          <w:bCs/>
        </w:rPr>
        <w:t xml:space="preserve">Critérios de inclusão:</w:t>
      </w:r>
      <w:r>
        <w:t xml:space="preserve"> </w:t>
      </w:r>
      <w:r>
        <w:t xml:space="preserve">a recomendação contém duas ou mais ações</w:t>
      </w:r>
      <w:r>
        <w:t xml:space="preserve"> </w:t>
      </w:r>
      <w:r>
        <w:t xml:space="preserve">autônomas com funções distintas; pelo menos uma ação trata da condição</w:t>
      </w:r>
      <w:r>
        <w:t xml:space="preserve"> </w:t>
      </w:r>
      <w:r>
        <w:t xml:space="preserve">imediata e outra pretende modificar processos, capacidade ou controles;</w:t>
      </w:r>
      <w:r>
        <w:t xml:space="preserve"> </w:t>
      </w:r>
      <w:r>
        <w:t xml:space="preserve">e a análise inicial enfatiza o componente estrutural, enquanto a análise</w:t>
      </w:r>
      <w:r>
        <w:t xml:space="preserve"> </w:t>
      </w:r>
      <w:r>
        <w:t xml:space="preserve">crítica pondera a heterogeneidade, a execução ou a predominância da</w:t>
      </w:r>
      <w:r>
        <w:t xml:space="preserve"> </w:t>
      </w:r>
      <w:r>
        <w:t xml:space="preserve">medida corretiva</w:t>
      </w:r>
    </w:p>
    <w:p>
      <w:pPr>
        <w:pStyle w:val="916"/>
      </w:pPr>
      <w:r>
        <w:rPr>
          <w:b/>
          <w:bCs/>
        </w:rPr>
        <w:t xml:space="preserve">Critérios de exclusão:</w:t>
      </w:r>
      <w:r>
        <w:t xml:space="preserve"> </w:t>
      </w:r>
      <w:r>
        <w:t xml:space="preserve">não incluir quando houver apenas uma ação com</w:t>
      </w:r>
      <w:r>
        <w:t xml:space="preserve"> </w:t>
      </w:r>
      <w:r>
        <w:t xml:space="preserve">redação genérica; quando as várias providências forem apenas etapas do</w:t>
      </w:r>
      <w:r>
        <w:t xml:space="preserve"> </w:t>
      </w:r>
      <w:r>
        <w:t xml:space="preserve">mesmo procedimento; ou quando a divergência puder ser explicada</w:t>
      </w:r>
      <w:r>
        <w:t xml:space="preserve"> </w:t>
      </w:r>
      <w:r>
        <w:t xml:space="preserve">predominantemente por dependência de adesão continuada</w:t>
      </w:r>
    </w:p>
    <w:p>
      <w:pPr>
        <w:pStyle w:val="916"/>
      </w:pPr>
      <w:r>
        <w:rPr>
          <w:b/>
          <w:bCs/>
        </w:rPr>
        <w:t xml:space="preserve">Exemplo 1 (19832_1/696015_1.json)</w:t>
      </w:r>
    </w:p>
    <w:p>
      <w:pPr>
        <w:pStyle w:val="916"/>
      </w:pPr>
      <w:r>
        <w:t xml:space="preserve">Promover regularmente campanhas educativas para pais e responsáveis,</w:t>
      </w:r>
      <w:r>
        <w:t xml:space="preserve"> </w:t>
      </w:r>
      <w:r>
        <w:t xml:space="preserve">abordando a importância do apoio à saúde mental das crianças,</w:t>
      </w:r>
      <w:r>
        <w:t xml:space="preserve"> </w:t>
      </w:r>
      <w:r>
        <w:t xml:space="preserve">adolescentes e a redução do estigma relacionado ao cuidado psicológico;</w:t>
      </w:r>
      <w:r>
        <w:t xml:space="preserve"> </w:t>
      </w:r>
      <w:r>
        <w:t xml:space="preserve">Articular com a rede de educação ações direcionadas a alunos em situação</w:t>
      </w:r>
      <w:r>
        <w:t xml:space="preserve"> </w:t>
      </w:r>
      <w:r>
        <w:t xml:space="preserve">de vulnerabilidade social, como pessoas em situação de rua, crianças de</w:t>
      </w:r>
      <w:r>
        <w:t xml:space="preserve"> </w:t>
      </w:r>
      <w:r>
        <w:t xml:space="preserve">famílias com histórico de violência doméstica, ou que enfrentam</w:t>
      </w:r>
      <w:r>
        <w:t xml:space="preserve"> </w:t>
      </w:r>
      <w:r>
        <w:t xml:space="preserve">dificuldades financeiras, que são mais propensas a desenvolver problemas</w:t>
      </w:r>
      <w:r>
        <w:t xml:space="preserve"> </w:t>
      </w:r>
      <w:r>
        <w:t xml:space="preserve">de saúde mental; Articular com a rede de educação, treinamentos</w:t>
      </w:r>
      <w:r>
        <w:t xml:space="preserve"> </w:t>
      </w:r>
      <w:r>
        <w:t xml:space="preserve">continuados para professores, coordenadores, gestores escolares e</w:t>
      </w:r>
      <w:r>
        <w:t xml:space="preserve"> </w:t>
      </w:r>
      <w:r>
        <w:t xml:space="preserve">profissionais da saúde sobre a identificação precoce de sinais de</w:t>
      </w:r>
      <w:r>
        <w:t xml:space="preserve"> </w:t>
      </w:r>
      <w:r>
        <w:t xml:space="preserve">transtornos mentais em estudantes, como ansiedade, depressão, bullying,</w:t>
      </w:r>
      <w:r>
        <w:t xml:space="preserve"> </w:t>
      </w:r>
      <w:r>
        <w:t xml:space="preserve">dificuldades de aprendizagem e questões emocionais. Em consonância com o</w:t>
      </w:r>
      <w:r>
        <w:t xml:space="preserve"> </w:t>
      </w:r>
      <w:r>
        <w:t xml:space="preserve">preconizado nos artigos 2º e 4º do Decreto Federal nº 6.286, de 5 de</w:t>
      </w:r>
      <w:r>
        <w:t xml:space="preserve"> </w:t>
      </w:r>
      <w:r>
        <w:t xml:space="preserve">dezembro de 2007 e com o disposto no inciso VIII, item 5, Capítulo I do</w:t>
      </w:r>
      <w:r>
        <w:t xml:space="preserve"> </w:t>
      </w:r>
      <w:r>
        <w:t xml:space="preserve">Anexo XXII da Portaria de Consolidação GM/MS nº 2/2017.</w:t>
      </w:r>
    </w:p>
    <w:p>
      <w:pPr>
        <w:pStyle w:val="916"/>
      </w:pPr>
      <w:r>
        <w:rPr>
          <w:b/>
          <w:bCs/>
        </w:rPr>
        <w:t xml:space="preserve">Justificativa da IA:</w:t>
      </w:r>
      <w:r>
        <w:t xml:space="preserve"> </w:t>
      </w:r>
      <w:r>
        <w:t xml:space="preserve">A análise inicial valorizou campanhas,</w:t>
      </w:r>
      <w:r>
        <w:t xml:space="preserve"> </w:t>
      </w:r>
      <w:r>
        <w:t xml:space="preserve">articulação intersetorial e treinamentos continuados como um conjunto</w:t>
      </w:r>
      <w:r>
        <w:t xml:space="preserve"> </w:t>
      </w:r>
      <w:r>
        <w:t xml:space="preserve">capaz de institucionalizar práticas; a análise crítica destacou que a</w:t>
      </w:r>
      <w:r>
        <w:t xml:space="preserve"> </w:t>
      </w:r>
      <w:r>
        <w:t xml:space="preserve">execução contínua pode variar com pessoal e prioridades. A</w:t>
      </w:r>
      <w:r>
        <w:t xml:space="preserve"> </w:t>
      </w:r>
      <w:r>
        <w:t xml:space="preserve">heterogeneidade entre comunicação, articulação e capacitação permite que</w:t>
      </w:r>
      <w:r>
        <w:t xml:space="preserve"> </w:t>
      </w:r>
      <w:r>
        <w:t xml:space="preserve">se enfatize ora o potencial estrutural, ora a dependência operacional.</w:t>
      </w:r>
    </w:p>
    <w:p>
      <w:pPr>
        <w:pStyle w:val="916"/>
      </w:pPr>
      <w:r>
        <w:rPr>
          <w:b/>
          <w:bCs/>
        </w:rPr>
        <w:t xml:space="preserve">Limites observados pela IA:</w:t>
      </w:r>
      <w:r>
        <w:t xml:space="preserve"> </w:t>
      </w:r>
      <w:r>
        <w:t xml:space="preserve">As ações têm públicos, instrumentos e</w:t>
      </w:r>
      <w:r>
        <w:t xml:space="preserve"> </w:t>
      </w:r>
      <w:r>
        <w:t xml:space="preserve">exigências de continuidade diferentes.</w:t>
      </w:r>
    </w:p>
    <w:p>
      <w:pPr>
        <w:pStyle w:val="916"/>
      </w:pPr>
      <w:r>
        <w:rPr>
          <w:b/>
          <w:bCs/>
        </w:rPr>
        <w:t xml:space="preserve">Exemplo 2 (19686_1/688093_1.json)</w:t>
      </w:r>
    </w:p>
    <w:p>
      <w:pPr>
        <w:pStyle w:val="916"/>
      </w:pPr>
      <w:r>
        <w:t xml:space="preserve">A Gestão da SESAU/AL deve tomar providências para efetivar a regulação</w:t>
      </w:r>
      <w:r>
        <w:t xml:space="preserve"> </w:t>
      </w:r>
      <w:r>
        <w:t xml:space="preserve">das solicitações médicas que se encontram em filas de espera, tanto nos</w:t>
      </w:r>
      <w:r>
        <w:t xml:space="preserve"> </w:t>
      </w:r>
      <w:r>
        <w:t xml:space="preserve">sistemas utilizados pela SESAU/AL, SISREG III e GESTHOSP, como nos</w:t>
      </w:r>
      <w:r>
        <w:t xml:space="preserve"> </w:t>
      </w:r>
      <w:r>
        <w:t xml:space="preserve">setores de regulação, em filas paralelas aos respectivos sistemas de</w:t>
      </w:r>
      <w:r>
        <w:t xml:space="preserve"> </w:t>
      </w:r>
      <w:r>
        <w:t xml:space="preserve">regulação; realizar e manter a atualização da PPI do Estado; cumprir os</w:t>
      </w:r>
      <w:r>
        <w:t xml:space="preserve"> </w:t>
      </w:r>
      <w:r>
        <w:t xml:space="preserve">prazos estabelecidos pela Ministério Público da União-MPU, Defensoria</w:t>
      </w:r>
      <w:r>
        <w:t xml:space="preserve"> </w:t>
      </w:r>
      <w:r>
        <w:t xml:space="preserve">Pública da União-DPU e Ministério Público-MPE de Alagoas, referentes a</w:t>
      </w:r>
      <w:r>
        <w:t xml:space="preserve"> </w:t>
      </w:r>
      <w:r>
        <w:t xml:space="preserve">Nota Técnica DENASUS/SEAUD/AL-MS n. 03/2024, que visam a resolução dos</w:t>
      </w:r>
      <w:r>
        <w:t xml:space="preserve"> </w:t>
      </w:r>
      <w:r>
        <w:t xml:space="preserve">problemas de pacientes internos nas UPAS por período superior a 24hrs e</w:t>
      </w:r>
      <w:r>
        <w:t xml:space="preserve"> </w:t>
      </w:r>
      <w:r>
        <w:t xml:space="preserve">da integralização dos Sistemas de Regulação, utilizados pelas Centrais</w:t>
      </w:r>
      <w:r>
        <w:t xml:space="preserve"> </w:t>
      </w:r>
      <w:r>
        <w:t xml:space="preserve">de Regulação da SESAU com as de Maceió e Arapiraca, com vistas a</w:t>
      </w:r>
      <w:r>
        <w:t xml:space="preserve"> </w:t>
      </w:r>
      <w:r>
        <w:t xml:space="preserve">efetivação das atividades precípuas do Complexo Regulador do Estado na</w:t>
      </w:r>
      <w:r>
        <w:t xml:space="preserve"> </w:t>
      </w:r>
      <w:r>
        <w:t xml:space="preserve">melhoria do acesso, da integralidade, da qualidade, da resolubilidade e</w:t>
      </w:r>
      <w:r>
        <w:t xml:space="preserve"> </w:t>
      </w:r>
      <w:r>
        <w:t xml:space="preserve">da humanização das ações de saúde desenvolvidas. Cumprir o inciso I e VI</w:t>
      </w:r>
      <w:r>
        <w:t xml:space="preserve"> </w:t>
      </w:r>
      <w:r>
        <w:t xml:space="preserve">do art. 8º - Anexo XXVI, da Portaria de Consolidação nº 2 de 28/09/2017,</w:t>
      </w:r>
      <w:r>
        <w:t xml:space="preserve"> </w:t>
      </w:r>
      <w:r>
        <w:t xml:space="preserve">o § 2 do art. 8º, o inciso VIII do art. 74 da Portaria Consolidação nº</w:t>
      </w:r>
      <w:r>
        <w:t xml:space="preserve"> </w:t>
      </w:r>
      <w:r>
        <w:t xml:space="preserve">3, de 03/10/2017.</w:t>
      </w:r>
    </w:p>
    <w:p>
      <w:pPr>
        <w:pStyle w:val="916"/>
      </w:pPr>
      <w:r>
        <w:rPr>
          <w:b/>
          <w:bCs/>
        </w:rPr>
        <w:t xml:space="preserve">Justificativa da IA:</w:t>
      </w:r>
      <w:r>
        <w:t xml:space="preserve"> </w:t>
      </w:r>
      <w:r>
        <w:t xml:space="preserve">A análise inicial valorizou a combinação entre</w:t>
      </w:r>
      <w:r>
        <w:t xml:space="preserve"> </w:t>
      </w:r>
      <w:r>
        <w:t xml:space="preserve">correção das filas, atualização da PPI e integração dos sistemas como</w:t>
      </w:r>
      <w:r>
        <w:t xml:space="preserve"> </w:t>
      </w:r>
      <w:r>
        <w:t xml:space="preserve">possível solução estrutural; a análise crítica reconheceu a</w:t>
      </w:r>
      <w:r>
        <w:t xml:space="preserve"> </w:t>
      </w:r>
      <w:r>
        <w:t xml:space="preserve">multiplicidade, mas destacou que a classificação dos efeitos precisa</w:t>
      </w:r>
      <w:r>
        <w:t xml:space="preserve"> </w:t>
      </w:r>
      <w:r>
        <w:t xml:space="preserve">considerar a coexistência de medidas imediatas e dependentes de</w:t>
      </w:r>
      <w:r>
        <w:t xml:space="preserve"> </w:t>
      </w:r>
      <w:r>
        <w:t xml:space="preserve">execução.</w:t>
      </w:r>
    </w:p>
    <w:p>
      <w:pPr>
        <w:pStyle w:val="916"/>
      </w:pPr>
      <w:r>
        <w:rPr>
          <w:b/>
          <w:bCs/>
        </w:rPr>
        <w:t xml:space="preserve">Limites observados pela IA:</w:t>
      </w:r>
      <w:r>
        <w:t xml:space="preserve"> </w:t>
      </w:r>
      <w:r>
        <w:t xml:space="preserve">A recomendação reúne ações de natureza</w:t>
      </w:r>
      <w:r>
        <w:t xml:space="preserve"> </w:t>
      </w:r>
      <w:r>
        <w:t xml:space="preserve">corretiva, normativa, tecnológica e administrativa, sem indicar qual</w:t>
      </w:r>
      <w:r>
        <w:t xml:space="preserve"> </w:t>
      </w:r>
      <w:r>
        <w:t xml:space="preserve">delas é predominante.</w:t>
      </w:r>
    </w:p>
    <w:bookmarkEnd w:id="823"/>
    <w:bookmarkStart w:id="824" w:name="X2d8c74cd2165ea4d14eea9881c6270153e691fd"/>
    <w:p>
      <w:pPr>
        <w:pStyle w:val="908"/>
      </w:pPr>
      <w:r>
        <w:t xml:space="preserve">18.1.1.3.8 C6 — Formalização sem institucionalização demonstrada</w:t>
      </w:r>
    </w:p>
    <w:p>
      <w:pPr>
        <w:pStyle w:val="917"/>
      </w:pPr>
      <w:r>
        <w:rPr>
          <w:b/>
          <w:bCs/>
        </w:rPr>
        <w:t xml:space="preserve">Definição:</w:t>
      </w:r>
      <w:r>
        <w:t xml:space="preserve"> </w:t>
      </w:r>
      <w:r>
        <w:t xml:space="preserve">A divergência decorre da criação ou atualização de</w:t>
      </w:r>
      <w:r>
        <w:t xml:space="preserve"> </w:t>
      </w:r>
      <w:r>
        <w:t xml:space="preserve">documentos, planos, registros, fluxos ou processos formais cuja</w:t>
      </w:r>
      <w:r>
        <w:t xml:space="preserve"> </w:t>
      </w:r>
      <w:r>
        <w:t xml:space="preserve">existência é apresentada como duradoura, mas cuja implementação,</w:t>
      </w:r>
      <w:r>
        <w:t xml:space="preserve"> </w:t>
      </w:r>
      <w:r>
        <w:t xml:space="preserve">manutenção e integração institucional não são demonstradas.</w:t>
      </w:r>
    </w:p>
    <w:p>
      <w:pPr>
        <w:pStyle w:val="916"/>
      </w:pPr>
      <w:r>
        <w:rPr>
          <w:b/>
          <w:bCs/>
        </w:rPr>
        <w:t xml:space="preserve">Critérios de inclusão:</w:t>
      </w:r>
      <w:r>
        <w:t xml:space="preserve"> </w:t>
      </w:r>
      <w:r>
        <w:t xml:space="preserve">a recomendação prevê elaborar, incluir,</w:t>
      </w:r>
      <w:r>
        <w:t xml:space="preserve"> </w:t>
      </w:r>
      <w:r>
        <w:t xml:space="preserve">registrar, organizar ou aprimorar documentos, planos, fluxos ou</w:t>
      </w:r>
      <w:r>
        <w:t xml:space="preserve"> </w:t>
      </w:r>
      <w:r>
        <w:t xml:space="preserve">instrumentos; a análise inicial associa a formalização documental à</w:t>
      </w:r>
      <w:r>
        <w:t xml:space="preserve"> </w:t>
      </w:r>
      <w:r>
        <w:t xml:space="preserve">permanência dos efeitos; e a análise crítica aponta ausência de</w:t>
      </w:r>
      <w:r>
        <w:t xml:space="preserve"> </w:t>
      </w:r>
      <w:r>
        <w:t xml:space="preserve">detalhamento sobre implementação, revisão, monitoramento ou</w:t>
      </w:r>
      <w:r>
        <w:t xml:space="preserve"> </w:t>
      </w:r>
      <w:r>
        <w:t xml:space="preserve">institucionalização</w:t>
      </w:r>
    </w:p>
    <w:p>
      <w:pPr>
        <w:pStyle w:val="916"/>
      </w:pPr>
      <w:r>
        <w:rPr>
          <w:b/>
          <w:bCs/>
        </w:rPr>
        <w:t xml:space="preserve">Critérios de exclusão:</w:t>
      </w:r>
      <w:r>
        <w:t xml:space="preserve"> </w:t>
      </w:r>
      <w:r>
        <w:t xml:space="preserve">não incluir quando o texto se limitar a citar</w:t>
      </w:r>
      <w:r>
        <w:t xml:space="preserve"> </w:t>
      </w:r>
      <w:r>
        <w:t xml:space="preserve">norma sem determinar formalização ou criação de instrumento; quando o</w:t>
      </w:r>
      <w:r>
        <w:t xml:space="preserve"> </w:t>
      </w:r>
      <w:r>
        <w:t xml:space="preserve">mecanismo predominante for execução reiterada por pessoas; ou quando o</w:t>
      </w:r>
      <w:r>
        <w:t xml:space="preserve"> </w:t>
      </w:r>
      <w:r>
        <w:t xml:space="preserve">núcleo da recomendação for exclusivamente capacitação</w:t>
      </w:r>
    </w:p>
    <w:p>
      <w:pPr>
        <w:pStyle w:val="916"/>
      </w:pPr>
      <w:r>
        <w:rPr>
          <w:b/>
          <w:bCs/>
        </w:rPr>
        <w:t xml:space="preserve">Exemplo 1 (19777_1/691653_1.json)</w:t>
      </w:r>
    </w:p>
    <w:p>
      <w:pPr>
        <w:pStyle w:val="916"/>
      </w:pPr>
      <w:r>
        <w:t xml:space="preserve">Estabelecer, documentar e colocar em prática rotina para o correto</w:t>
      </w:r>
      <w:r>
        <w:t xml:space="preserve"> </w:t>
      </w:r>
      <w:r>
        <w:t xml:space="preserve">preenchimento dos mapas de temperatura, conforme estabelecido no Subitem</w:t>
      </w:r>
      <w:r>
        <w:t xml:space="preserve"> </w:t>
      </w:r>
      <w:r>
        <w:t xml:space="preserve">6.13, Item 6, pág. 63, do Manual da Rede de Frio do PNI/2017; e no</w:t>
      </w:r>
      <w:r>
        <w:t xml:space="preserve"> </w:t>
      </w:r>
      <w:r>
        <w:t xml:space="preserve">Subitem 6.6.2, Item 6, pág. 57, do Manual da Rede de Frio do PNI/2017.</w:t>
      </w:r>
    </w:p>
    <w:p>
      <w:pPr>
        <w:pStyle w:val="916"/>
      </w:pPr>
      <w:r>
        <w:rPr>
          <w:b/>
          <w:bCs/>
        </w:rPr>
        <w:t xml:space="preserve">Justificativa da IA:</w:t>
      </w:r>
      <w:r>
        <w:t xml:space="preserve"> </w:t>
      </w:r>
      <w:r>
        <w:t xml:space="preserve">A análise inicial tratou a rotina documentada</w:t>
      </w:r>
      <w:r>
        <w:t xml:space="preserve"> </w:t>
      </w:r>
      <w:r>
        <w:t xml:space="preserve">como processo formal capaz de persistir; a análise crítica reconheceu o</w:t>
      </w:r>
      <w:r>
        <w:t xml:space="preserve"> </w:t>
      </w:r>
      <w:r>
        <w:t xml:space="preserve">foco causal, mas advertiu que documentação não garante perpetuidade sem</w:t>
      </w:r>
      <w:r>
        <w:t xml:space="preserve"> </w:t>
      </w:r>
      <w:r>
        <w:t xml:space="preserve">controle e monitoramento. A formalização da rotina é o mecanismo central</w:t>
      </w:r>
      <w:r>
        <w:t xml:space="preserve"> </w:t>
      </w:r>
      <w:r>
        <w:t xml:space="preserve">da divergência.</w:t>
      </w:r>
    </w:p>
    <w:p>
      <w:pPr>
        <w:pStyle w:val="916"/>
      </w:pPr>
      <w:r>
        <w:rPr>
          <w:b/>
          <w:bCs/>
        </w:rPr>
        <w:t xml:space="preserve">Limites observados pela IA:</w:t>
      </w:r>
      <w:r>
        <w:t xml:space="preserve"> </w:t>
      </w:r>
      <w:r>
        <w:t xml:space="preserve">A recomendação determina documentar e</w:t>
      </w:r>
      <w:r>
        <w:t xml:space="preserve"> </w:t>
      </w:r>
      <w:r>
        <w:t xml:space="preserve">praticar a rotina, mas não define acompanhamento de sua aplicação.</w:t>
      </w:r>
    </w:p>
    <w:p>
      <w:pPr>
        <w:pStyle w:val="916"/>
      </w:pPr>
      <w:r>
        <w:rPr>
          <w:b/>
          <w:bCs/>
        </w:rPr>
        <w:t xml:space="preserve">Exemplo 2 (19611_1/674433_2.json)</w:t>
      </w:r>
    </w:p>
    <w:p>
      <w:pPr>
        <w:pStyle w:val="916"/>
      </w:pPr>
      <w:r>
        <w:t xml:space="preserve">Elaborar os documentos de acompanhamento observando o disposto na Lei nº</w:t>
      </w:r>
      <w:r>
        <w:t xml:space="preserve"> </w:t>
      </w:r>
      <w:r>
        <w:t xml:space="preserve">8.159, de 8 de janeiro de 1991 e na Lei nº 9.784, de 29 de janeiro de</w:t>
      </w:r>
      <w:r>
        <w:t xml:space="preserve"> </w:t>
      </w:r>
      <w:r>
        <w:t xml:space="preserve">1999, considerando a necessidade de produção de documentos arquivísticos</w:t>
      </w:r>
      <w:r>
        <w:t xml:space="preserve"> </w:t>
      </w:r>
      <w:r>
        <w:t xml:space="preserve">confiáveis, autênticos, acessíveis, compreensíveis e completos. Os</w:t>
      </w:r>
      <w:r>
        <w:t xml:space="preserve"> </w:t>
      </w:r>
      <w:r>
        <w:t xml:space="preserve">documentos públicos têm a função de registrar os atos dos agentes e</w:t>
      </w:r>
      <w:r>
        <w:t xml:space="preserve"> </w:t>
      </w:r>
      <w:r>
        <w:t xml:space="preserve">gestores públicos e se constituem em instrumentos fundamentais para</w:t>
      </w:r>
      <w:r>
        <w:t xml:space="preserve"> </w:t>
      </w:r>
      <w:r>
        <w:t xml:space="preserve">prestar contas do uso de recursos públicos, dar transparência, apoiar</w:t>
      </w:r>
      <w:r>
        <w:t xml:space="preserve"> </w:t>
      </w:r>
      <w:r>
        <w:t xml:space="preserve">outras atividades e devem possibilitar a interpretação por qualquer</w:t>
      </w:r>
      <w:r>
        <w:t xml:space="preserve"> </w:t>
      </w:r>
      <w:r>
        <w:t xml:space="preserve">pessoa que necessite da informação.</w:t>
      </w:r>
    </w:p>
    <w:p>
      <w:pPr>
        <w:pStyle w:val="916"/>
      </w:pPr>
      <w:r>
        <w:rPr>
          <w:b/>
          <w:bCs/>
        </w:rPr>
        <w:t xml:space="preserve">Justificativa da IA:</w:t>
      </w:r>
      <w:r>
        <w:t xml:space="preserve"> </w:t>
      </w:r>
      <w:r>
        <w:t xml:space="preserve">A análise inicial tratou a elaboração de</w:t>
      </w:r>
      <w:r>
        <w:t xml:space="preserve"> </w:t>
      </w:r>
      <w:r>
        <w:t xml:space="preserve">documentos arquivísticos conforme as leis como prática operacional</w:t>
      </w:r>
      <w:r>
        <w:t xml:space="preserve"> </w:t>
      </w:r>
      <w:r>
        <w:t xml:space="preserve">padrão duradoura; a análise crítica reconheceu a formalização, mas</w:t>
      </w:r>
      <w:r>
        <w:t xml:space="preserve"> </w:t>
      </w:r>
      <w:r>
        <w:t xml:space="preserve">ressaltou a dependência de implementação e aderência continuadas. O</w:t>
      </w:r>
      <w:r>
        <w:t xml:space="preserve"> </w:t>
      </w:r>
      <w:r>
        <w:t xml:space="preserve">núcleo da divergência é a passagem de documentos adequados para</w:t>
      </w:r>
      <w:r>
        <w:t xml:space="preserve"> </w:t>
      </w:r>
      <w:r>
        <w:t xml:space="preserve">institucionalização documental.</w:t>
      </w:r>
    </w:p>
    <w:p>
      <w:pPr>
        <w:pStyle w:val="916"/>
      </w:pPr>
      <w:r>
        <w:rPr>
          <w:b/>
          <w:bCs/>
        </w:rPr>
        <w:t xml:space="preserve">Limites observados pela IA:</w:t>
      </w:r>
      <w:r>
        <w:t xml:space="preserve"> </w:t>
      </w:r>
      <w:r>
        <w:t xml:space="preserve">A recomendação define atributos dos</w:t>
      </w:r>
      <w:r>
        <w:t xml:space="preserve"> </w:t>
      </w:r>
      <w:r>
        <w:t xml:space="preserve">documentos, mas não mecanismos de revisão, controle ou manutenção.</w:t>
      </w:r>
    </w:p>
    <w:bookmarkEnd w:id="824"/>
    <w:bookmarkEnd w:id="825"/>
    <w:bookmarkStart w:id="835" w:name="X319243ae01b17cfff3eec28aaba950f93c5d0c4"/>
    <w:p>
      <w:pPr>
        <w:pStyle w:val="907"/>
      </w:pPr>
      <w:r>
        <w:t xml:space="preserve">18.1.1.4 Rodada final — Classificação sequencial do corpus</w:t>
      </w:r>
    </w:p>
    <w:p>
      <w:pPr>
        <w:pStyle w:val="917"/>
      </w:pPr>
      <w:r>
        <w:t xml:space="preserve">Esta rodada reprocessa o corpus completo em lotes de 25 recomendações. A</w:t>
      </w:r>
      <w:r>
        <w:t xml:space="preserve"> </w:t>
      </w:r>
      <w:r>
        <w:t xml:space="preserve">taxonomia é acumulada sequencialmente: depois de cada chamada,</w:t>
      </w:r>
      <w:r>
        <w:t xml:space="preserve"> </w:t>
      </w:r>
      <w:r>
        <w:t xml:space="preserve">categorias novas são incorporadas ao prompt do lote seguinte.</w:t>
      </w:r>
    </w:p>
    <w:bookmarkStart w:id="826" w:name="prompt-11"/>
    <w:p>
      <w:pPr>
        <w:pStyle w:val="908"/>
      </w:pPr>
      <w:r>
        <w:t xml:space="preserve">18.1.1.4.1 Prompt</w:t>
      </w:r>
    </w:p>
    <w:p>
      <w:pPr>
        <w:pStyle w:val="917"/>
      </w:pPr>
      <w:r>
        <w:rPr>
          <w:rStyle w:val="949"/>
        </w:rPr>
        <w:t xml:space="preserve">Você é um assistente de pesquisa que apoia uma análise de conteúdo sobre recomendações emitidas pelo Departamento Nacional de Auditoria do Sistema Único de Saúde (DENASUS).</w:t>
      </w:r>
    </w:p>
    <w:p>
      <w:pPr>
        <w:pStyle w:val="916"/>
      </w:pPr>
      <w:r>
        <w:rPr>
          <w:rStyle w:val="949"/>
        </w:rPr>
        <w:t xml:space="preserve">Você receberá um lote de recomendações para as quais houve divergência na avaliação do critério “Efeitos Duradouros”. Cada recomendação é uma unidade de análise independente.</w:t>
      </w:r>
    </w:p>
    <w:p>
      <w:pPr>
        <w:pStyle w:val="916"/>
      </w:pPr>
      <w:r>
        <w:rPr>
          <w:rStyle w:val="949"/>
        </w:rPr>
        <w:t xml:space="preserve">O objetivo é identificar mecanismos textuais ou substantivos que expliquem por que avaliadores poderiam chegar a conclusões diferentes sobre a permanência dos efeitos da recomendação. Não decida qual análise está correta e não reduza a resposta a “Sim” ou “Não”. Compare a finalidade, a constatação, a recomendação, a análise inicial e a análise crítica recebidas.</w:t>
      </w:r>
    </w:p>
    <w:p>
      <w:pPr>
        <w:pStyle w:val="916"/>
      </w:pPr>
      <w:r>
        <w:rPr>
          <w:rStyle w:val="949"/>
        </w:rPr>
        <w:t xml:space="preserve">## Categorias existentes</w:t>
      </w:r>
    </w:p>
    <w:p>
      <w:pPr>
        <w:pStyle w:val="916"/>
      </w:pPr>
      <w:r>
        <w:rPr>
          <w:rStyle w:val="949"/>
        </w:rPr>
        <w:t xml:space="preserve">A taxonomia abaixo é acumulada ao longo das chamadas. Preserve exatamente o código, o nome, a definição e os critérios das categorias existentes. Use uma categoria existente sempre que ela representar adequadamente o mecanismo predominante.</w:t>
      </w:r>
    </w:p>
    <w:p>
      <w:pPr>
        <w:pStyle w:val="916"/>
      </w:pPr>
      <w:r>
        <w:rPr>
          <w:rStyle w:val="949"/>
        </w:rPr>
        <w:t xml:space="preserve">{CATEGORIAS_EXISTENTES}</w:t>
      </w:r>
    </w:p>
    <w:p>
      <w:pPr>
        <w:pStyle w:val="916"/>
      </w:pPr>
      <w:r>
        <w:rPr>
          <w:rStyle w:val="949"/>
        </w:rPr>
        <w:t xml:space="preserve">## Regras para novas categorias</w:t>
      </w:r>
    </w:p>
    <w:p>
      <w:pPr>
        <w:pStyle w:val="916"/>
      </w:pPr>
      <w:r>
        <w:rPr>
          <w:rStyle w:val="949"/>
        </w:rPr>
        <w:t xml:space="preserve">Crie uma nova categoria somente quando nenhuma categoria existente representar adequadamente o mecanismo central da divergência. Não crie categorias apenas por mudança de tema, órgão, política pública ou redação.</w:t>
      </w:r>
    </w:p>
    <w:p>
      <w:pPr>
        <w:pStyle w:val="916"/>
      </w:pPr>
      <w:r>
        <w:rPr>
          <w:rStyle w:val="949"/>
        </w:rPr>
        <w:t xml:space="preserve">Uma categoria nova deve ser distinta das existentes e ter definição, critérios de inclusão e critérios de exclusão estáveis. Identifique novas categorias somente com códigos temporários no formato `NOVA_1`, `NOVA_2` e assim por diante dentro desta resposta. O programa substituirá esses códigos por códigos definitivos antes de usá-los no lote seguinte. Nunca reutilize `NOVA_1` para dois mecanismos diferentes na mesma resposta.</w:t>
      </w:r>
    </w:p>
    <w:p>
      <w:pPr>
        <w:pStyle w:val="916"/>
      </w:pPr>
      <w:r>
        <w:rPr>
          <w:rStyle w:val="949"/>
        </w:rPr>
        <w:t xml:space="preserve">Leia e compare todas as unidades do lote antes de definir as categorias. Reutilize o mesmo código para unidades que compartilhem o mesmo mecanismo central. Toda unidade deve receber exatamente uma categoria principal; use categorias secundárias apenas para um segundo mecanismo autônomo e não redundante.</w:t>
      </w:r>
    </w:p>
    <w:p>
      <w:pPr>
        <w:pStyle w:val="916"/>
      </w:pPr>
      <w:r>
        <w:rPr>
          <w:rStyle w:val="949"/>
        </w:rPr>
        <w:t xml:space="preserve">## Estrutura exata da entrada</w:t>
      </w:r>
    </w:p>
    <w:p>
      <w:pPr>
        <w:pStyle w:val="916"/>
      </w:pPr>
      <w:r>
        <w:rPr>
          <w:rStyle w:val="949"/>
        </w:rPr>
        <w:t xml:space="preserve">O usuário enviará um objeto JSON com esta estrutura:</w:t>
      </w:r>
    </w:p>
    <w:p>
      <w:pPr>
        <w:pStyle w:val="916"/>
      </w:pPr>
      <w:r>
        <w:rPr>
          <w:rStyle w:val="949"/>
        </w:rPr>
        <w:t xml:space="preserve">{</w:t>
      </w:r>
      <w:r>
        <w:br/>
      </w:r>
      <w:r>
        <w:rPr>
          <w:rStyle w:val="949"/>
        </w:rPr>
        <w:t xml:space="preserve">"lote_id": "etiquetador_divergencias_final_lote_001",</w:t>
      </w:r>
      <w:r>
        <w:br/>
      </w:r>
      <w:r>
        <w:rPr>
          <w:rStyle w:val="949"/>
        </w:rPr>
        <w:t xml:space="preserve">"analises": [</w:t>
      </w:r>
      <w:r>
        <w:br/>
      </w:r>
      <w:r>
        <w:rPr>
          <w:rStyle w:val="949"/>
        </w:rPr>
        <w:t xml:space="preserve">{</w:t>
      </w:r>
      <w:r>
        <w:br/>
      </w:r>
      <w:r>
        <w:rPr>
          <w:rStyle w:val="949"/>
        </w:rPr>
        <w:t xml:space="preserve">"id_analise": "18714_1/671301_1.json",</w:t>
      </w:r>
      <w:r>
        <w:br/>
      </w:r>
      <w:r>
        <w:rPr>
          <w:rStyle w:val="949"/>
        </w:rPr>
        <w:t xml:space="preserve">"finalidade": "Finalidade do trabalho de auditoria",</w:t>
      </w:r>
      <w:r>
        <w:br/>
      </w:r>
      <w:r>
        <w:rPr>
          <w:rStyle w:val="949"/>
        </w:rPr>
        <w:t xml:space="preserve">"constatacao": "Texto da constatação",</w:t>
      </w:r>
      <w:r>
        <w:br/>
      </w:r>
      <w:r>
        <w:rPr>
          <w:rStyle w:val="949"/>
        </w:rPr>
        <w:t xml:space="preserve">"recomendacao": "Texto da recomendação",</w:t>
      </w:r>
      <w:r>
        <w:br/>
      </w:r>
      <w:r>
        <w:rPr>
          <w:rStyle w:val="949"/>
        </w:rPr>
        <w:t xml:space="preserve">"analise_inicial": "Racional da análise inicial",</w:t>
      </w:r>
      <w:r>
        <w:br/>
      </w:r>
      <w:r>
        <w:rPr>
          <w:rStyle w:val="949"/>
        </w:rPr>
        <w:t xml:space="preserve">"resultado_criterio_efeitos_duradouros": "Resultado da análise inicial",</w:t>
      </w:r>
      <w:r>
        <w:br/>
      </w:r>
      <w:r>
        <w:rPr>
          <w:rStyle w:val="949"/>
        </w:rPr>
        <w:t xml:space="preserve">"analise_critica": "Racional da análise crítica",</w:t>
      </w:r>
      <w:r>
        <w:br/>
      </w:r>
      <w:r>
        <w:rPr>
          <w:rStyle w:val="949"/>
        </w:rPr>
        <w:t xml:space="preserve">"resultado_criterio_efeitos_duradouros_analise_critica": "Resultado da análise crítica"</w:t>
      </w:r>
      <w:r>
        <w:br/>
      </w:r>
      <w:r>
        <w:rPr>
          <w:rStyle w:val="949"/>
        </w:rPr>
        <w:t xml:space="preserve">}</w:t>
      </w:r>
      <w:r>
        <w:br/>
      </w:r>
      <w:r>
        <w:rPr>
          <w:rStyle w:val="949"/>
        </w:rPr>
        <w:t xml:space="preserve">]</w:t>
      </w:r>
      <w:r>
        <w:br/>
      </w:r>
      <w:r>
        <w:rPr>
          <w:rStyle w:val="949"/>
        </w:rPr>
        <w:t xml:space="preserve">}</w:t>
      </w:r>
    </w:p>
    <w:p>
      <w:pPr>
        <w:pStyle w:val="916"/>
      </w:pPr>
      <w:r>
        <w:rPr>
          <w:rStyle w:val="949"/>
        </w:rPr>
        <w:t xml:space="preserve">## Estrutura exata da resposta</w:t>
      </w:r>
    </w:p>
    <w:p>
      <w:pPr>
        <w:pStyle w:val="916"/>
      </w:pPr>
      <w:r>
        <w:rPr>
          <w:rStyle w:val="949"/>
        </w:rPr>
        <w:t xml:space="preserve">Responda exclusivamente com um objeto JSON válido, sem markdown, comentários ou campos adicionais.</w:t>
      </w:r>
    </w:p>
    <w:p>
      <w:pPr>
        <w:pStyle w:val="916"/>
      </w:pPr>
      <w:r>
        <w:rPr>
          <w:rStyle w:val="949"/>
        </w:rPr>
        <w:t xml:space="preserve">{</w:t>
      </w:r>
      <w:r>
        <w:br/>
      </w:r>
      <w:r>
        <w:rPr>
          <w:rStyle w:val="949"/>
        </w:rPr>
        <w:t xml:space="preserve">"categorias": [</w:t>
      </w:r>
      <w:r>
        <w:br/>
      </w:r>
      <w:r>
        <w:rPr>
          <w:rStyle w:val="949"/>
        </w:rPr>
        <w:t xml:space="preserve">{</w:t>
      </w:r>
      <w:r>
        <w:br/>
      </w:r>
      <w:r>
        <w:rPr>
          <w:rStyle w:val="949"/>
        </w:rPr>
        <w:t xml:space="preserve">"id_categoria": "C1 ou NOVA_1",</w:t>
      </w:r>
      <w:r>
        <w:br/>
      </w:r>
      <w:r>
        <w:rPr>
          <w:rStyle w:val="949"/>
        </w:rPr>
        <w:t xml:space="preserve">"nome_categoria": "nome da categoria",</w:t>
      </w:r>
      <w:r>
        <w:br/>
      </w:r>
      <w:r>
        <w:rPr>
          <w:rStyle w:val="949"/>
        </w:rPr>
        <w:t xml:space="preserve">"definicao": "definição estável do mecanismo central",</w:t>
      </w:r>
      <w:r>
        <w:br/>
      </w:r>
      <w:r>
        <w:rPr>
          <w:rStyle w:val="949"/>
        </w:rPr>
        <w:t xml:space="preserve">"criterios_inclusao": ["característica necessária ou típica"],</w:t>
      </w:r>
      <w:r>
        <w:br/>
      </w:r>
      <w:r>
        <w:rPr>
          <w:rStyle w:val="949"/>
        </w:rPr>
        <w:t xml:space="preserve">"criterios_exclusao": ["característica que não basta para inclusão"]</w:t>
      </w:r>
      <w:r>
        <w:br/>
      </w:r>
      <w:r>
        <w:rPr>
          <w:rStyle w:val="949"/>
        </w:rPr>
        <w:t xml:space="preserve">}</w:t>
      </w:r>
      <w:r>
        <w:br/>
      </w:r>
      <w:r>
        <w:rPr>
          <w:rStyle w:val="949"/>
        </w:rPr>
        <w:t xml:space="preserve">],</w:t>
      </w:r>
      <w:r>
        <w:br/>
      </w:r>
      <w:r>
        <w:rPr>
          <w:rStyle w:val="949"/>
        </w:rPr>
        <w:t xml:space="preserve">"classificacoes": [</w:t>
      </w:r>
      <w:r>
        <w:br/>
      </w:r>
      <w:r>
        <w:rPr>
          <w:rStyle w:val="949"/>
        </w:rPr>
        <w:t xml:space="preserve">{</w:t>
      </w:r>
      <w:r>
        <w:br/>
      </w:r>
      <w:r>
        <w:rPr>
          <w:rStyle w:val="949"/>
        </w:rPr>
        <w:t xml:space="preserve">"id_analise": "18714_1/671301_1.json",</w:t>
      </w:r>
      <w:r>
        <w:br/>
      </w:r>
      <w:r>
        <w:rPr>
          <w:rStyle w:val="949"/>
        </w:rPr>
        <w:t xml:space="preserve">"categoria_principal": "C1 ou NOVA_1",</w:t>
      </w:r>
      <w:r>
        <w:br/>
      </w:r>
      <w:r>
        <w:rPr>
          <w:rStyle w:val="949"/>
        </w:rPr>
        <w:t xml:space="preserve">"categorias_secundarias": [],</w:t>
      </w:r>
      <w:r>
        <w:br/>
      </w:r>
      <w:r>
        <w:rPr>
          <w:rStyle w:val="949"/>
        </w:rPr>
        <w:t xml:space="preserve">"justificativa": "comparação entre a análise inicial, a análise crítica e a ambiguidade textual",</w:t>
      </w:r>
      <w:r>
        <w:br/>
      </w:r>
      <w:r>
        <w:rPr>
          <w:rStyle w:val="949"/>
        </w:rPr>
        <w:t xml:space="preserve">"observacoes_limite": "informação ausente ou limite da interpretação; use string vazia quando não houver"</w:t>
      </w:r>
      <w:r>
        <w:br/>
      </w:r>
      <w:r>
        <w:rPr>
          <w:rStyle w:val="949"/>
        </w:rPr>
        <w:t xml:space="preserve">}</w:t>
      </w:r>
      <w:r>
        <w:br/>
      </w:r>
      <w:r>
        <w:rPr>
          <w:rStyle w:val="949"/>
        </w:rPr>
        <w:t xml:space="preserve">]</w:t>
      </w:r>
      <w:r>
        <w:br/>
      </w:r>
      <w:r>
        <w:rPr>
          <w:rStyle w:val="949"/>
        </w:rPr>
        <w:t xml:space="preserve">}</w:t>
      </w:r>
    </w:p>
    <w:p>
      <w:pPr>
        <w:pStyle w:val="916"/>
      </w:pPr>
      <w:r>
        <w:rPr>
          <w:rStyle w:val="949"/>
        </w:rPr>
        <w:t xml:space="preserve">Antes de finalizar, verifique se todos os `id_analise` recebidos aparecem exatamente uma vez em `classificacoes`, se cada categoria utilizada está na lista `categorias`, se os códigos temporários são únicos e se as justificativas não inventam informações.</w:t>
      </w:r>
    </w:p>
    <w:bookmarkEnd w:id="826"/>
    <w:bookmarkStart w:id="827" w:name="resultados-13"/>
    <w:p>
      <w:pPr>
        <w:pStyle w:val="908"/>
      </w:pPr>
      <w:r>
        <w:t xml:space="preserve">18.1.1.4.2 Resultados</w:t>
      </w:r>
    </w:p>
    <w:p>
      <w:pPr>
        <w:pStyle w:val="917"/>
      </w:pPr>
      <w:r>
        <w:t xml:space="preserve">Modelo: respostas carregadas de etiquetador_divergencias_final. Unidades</w:t>
      </w:r>
      <w:r>
        <w:t xml:space="preserve"> </w:t>
      </w:r>
      <w:r>
        <w:t xml:space="preserve">classificadas: 747.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pPr>
            <w:r>
              <w:t xml:space="preserve">id_categoria</w:t>
            </w:r>
          </w:p>
        </w:tc>
        <w:tc>
          <w:tcPr/>
          <w:p>
            <w:pPr>
              <w:pStyle w:val="918"/>
              <w:jc w:val="left"/>
            </w:pPr>
            <w:r>
              <w:t xml:space="preserve">nome_categoria</w:t>
            </w:r>
          </w:p>
        </w:tc>
        <w:tc>
          <w:tcPr/>
          <w:p>
            <w:pPr>
              <w:pStyle w:val="918"/>
              <w:jc w:val="right"/>
            </w:pPr>
            <w:r>
              <w:t xml:space="preserve">unidades_classificadas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117</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281</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38</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205</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13</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85</w:t>
            </w:r>
          </w:p>
        </w:tc>
      </w:tr>
      <w:tr>
        <w:tc>
          <w:tcPr/>
          <w:p>
            <w:pPr>
              <w:pStyle w:val="918"/>
              <w:jc w:val="left"/>
            </w:pPr>
            <w:r>
              <w:t xml:space="preserve">C7</w:t>
            </w:r>
          </w:p>
        </w:tc>
        <w:tc>
          <w:tcPr/>
          <w:p>
            <w:pPr>
              <w:pStyle w:val="918"/>
              <w:jc w:val="left"/>
            </w:pPr>
            <w:r>
              <w:t xml:space="preserve">Adequação estrutural ou física com efeito material</w:t>
            </w:r>
          </w:p>
        </w:tc>
        <w:tc>
          <w:tcPr/>
          <w:p>
            <w:pPr>
              <w:pStyle w:val="918"/>
              <w:jc w:val="right"/>
            </w:pPr>
            <w:r>
              <w:t xml:space="preserve">8</w:t>
            </w:r>
          </w:p>
        </w:tc>
      </w:tr>
    </w:tbl>
    <w:p>
      <w:pPr>
        <w:pStyle w:val="916"/>
      </w:pPr>
      <w:r>
        <w:t xml:space="preserve">São apresentados dois exemplos selecionados aleatoriamente por categoria</w:t>
      </w:r>
      <w:r>
        <w:t xml:space="preserve"> </w:t>
      </w:r>
      <w:r>
        <w:t xml:space="preserve">quando há pelo menos duas unidades; categorias com uma única unidade</w:t>
      </w:r>
      <w:r>
        <w:t xml:space="preserve"> </w:t>
      </w:r>
      <w:r>
        <w:t xml:space="preserve">apresentam apenas esse exemplo.</w:t>
      </w:r>
    </w:p>
    <w:bookmarkEnd w:id="827"/>
    <w:bookmarkStart w:id="828" w:name="X8bde32eeea4f9e4d7fa5d2419866569fe388ff8"/>
    <w:p>
      <w:pPr>
        <w:pStyle w:val="908"/>
      </w:pPr>
      <w:r>
        <w:t xml:space="preserve">18.1.1.4.3 C1 — Conformidade normativa sem mecanismo de implementação</w:t>
      </w:r>
    </w:p>
    <w:p>
      <w:pPr>
        <w:pStyle w:val="917"/>
      </w:pPr>
      <w:r>
        <w:rPr>
          <w:b/>
          <w:bCs/>
        </w:rPr>
        <w:t xml:space="preserve">Definição:</w:t>
      </w:r>
      <w:r>
        <w:t xml:space="preserve"> </w:t>
      </w:r>
      <w:r>
        <w:t xml:space="preserve">A recomendação determina ou referencia normas, mas não</w:t>
      </w:r>
      <w:r>
        <w:t xml:space="preserve"> </w:t>
      </w:r>
      <w:r>
        <w:t xml:space="preserve">explicita mecanismos concretos de implementação, verificação ou</w:t>
      </w:r>
      <w:r>
        <w:t xml:space="preserve"> </w:t>
      </w:r>
      <w:r>
        <w:t xml:space="preserve">sustentação.</w:t>
      </w:r>
    </w:p>
    <w:p>
      <w:pPr>
        <w:pStyle w:val="916"/>
      </w:pPr>
      <w:r>
        <w:rPr>
          <w:b/>
          <w:bCs/>
        </w:rPr>
        <w:t xml:space="preserve">Critérios de inclusão:</w:t>
      </w:r>
      <w:r>
        <w:t xml:space="preserve"> </w:t>
      </w:r>
      <w:r>
        <w:t xml:space="preserve">cumprimento de norma ou requisito;</w:t>
      </w:r>
      <w:r>
        <w:t xml:space="preserve"> </w:t>
      </w:r>
      <w:r>
        <w:t xml:space="preserve">permanência inferida da validade da norma</w:t>
      </w:r>
    </w:p>
    <w:p>
      <w:pPr>
        <w:pStyle w:val="916"/>
      </w:pPr>
      <w:r>
        <w:rPr>
          <w:b/>
          <w:bCs/>
        </w:rPr>
        <w:t xml:space="preserve">Critérios de exclusão:</w:t>
      </w:r>
      <w:r>
        <w:t xml:space="preserve"> </w:t>
      </w:r>
      <w:r>
        <w:t xml:space="preserve">investigação sem ação corretiva; pacote</w:t>
      </w:r>
      <w:r>
        <w:t xml:space="preserve"> </w:t>
      </w:r>
      <w:r>
        <w:t xml:space="preserve">claramente heterogêneo</w:t>
      </w:r>
    </w:p>
    <w:p>
      <w:pPr>
        <w:pStyle w:val="916"/>
      </w:pPr>
      <w:r>
        <w:rPr>
          <w:b/>
          <w:bCs/>
        </w:rPr>
        <w:t xml:space="preserve">Exemplo 1 (19877_1/703136_2.json)</w:t>
      </w:r>
    </w:p>
    <w:p>
      <w:pPr>
        <w:pStyle w:val="916"/>
      </w:pPr>
      <w:r>
        <w:t xml:space="preserve">Adotar os procedimentos a seu cargo, conforme estabelecido no Art. 26,</w:t>
      </w:r>
      <w:r>
        <w:t xml:space="preserve"> </w:t>
      </w:r>
      <w:r>
        <w:t xml:space="preserve">do Decreto n.º 11.798/2023 e Art. 3º da Portaria GM/MS n.º 885, de</w:t>
      </w:r>
      <w:r>
        <w:t xml:space="preserve"> </w:t>
      </w:r>
      <w:r>
        <w:t xml:space="preserve">4/5/2021, visando a elisão do dano e/ou impropriedade ocorrida com</w:t>
      </w:r>
      <w:r>
        <w:t xml:space="preserve"> </w:t>
      </w:r>
      <w:r>
        <w:t xml:space="preserve">recursos de origem federal, indicado Capítulo ‘Proposição da Devolução’</w:t>
      </w:r>
      <w:r>
        <w:t xml:space="preserve"> </w:t>
      </w:r>
      <w:r>
        <w:t xml:space="preserve">deste relatório, assim como, prevenir a recorrência do fato apresentado.</w:t>
      </w:r>
    </w:p>
    <w:p>
      <w:pPr>
        <w:pStyle w:val="916"/>
      </w:pPr>
      <w:r>
        <w:rPr>
          <w:b/>
          <w:bCs/>
        </w:rPr>
        <w:t xml:space="preserve">Justificativa da IA:</w:t>
      </w:r>
      <w:r>
        <w:t xml:space="preserve"> </w:t>
      </w:r>
      <w:r>
        <w:t xml:space="preserve">A análise inicial infere efeitos duradouros da</w:t>
      </w:r>
      <w:r>
        <w:t xml:space="preserve"> </w:t>
      </w:r>
      <w:r>
        <w:t xml:space="preserve">adoção de procedimentos previstos em normas, enquanto a análise crítica</w:t>
      </w:r>
      <w:r>
        <w:t xml:space="preserve"> </w:t>
      </w:r>
      <w:r>
        <w:t xml:space="preserve">pede maior exame da implementação. A recomendação referencia</w:t>
      </w:r>
      <w:r>
        <w:t xml:space="preserve"> </w:t>
      </w:r>
      <w:r>
        <w:t xml:space="preserve">procedimentos normativos de modo amplo, sem explicitar quais ações</w:t>
      </w:r>
      <w:r>
        <w:t xml:space="preserve"> </w:t>
      </w:r>
      <w:r>
        <w:t xml:space="preserve">concretas, controles ou rotinas serão instituídos.</w:t>
      </w:r>
    </w:p>
    <w:p>
      <w:pPr>
        <w:pStyle w:val="916"/>
      </w:pPr>
      <w:r>
        <w:rPr>
          <w:b/>
          <w:bCs/>
        </w:rPr>
        <w:t xml:space="preserve">Limites observados pela IA:</w:t>
      </w:r>
      <w:r>
        <w:t xml:space="preserve"> </w:t>
      </w:r>
      <w:r>
        <w:t xml:space="preserve">O texto não informa quais são os</w:t>
      </w:r>
      <w:r>
        <w:t xml:space="preserve"> </w:t>
      </w:r>
      <w:r>
        <w:t xml:space="preserve">procedimentos a cargo do destinatário nem como serão acompanhados.</w:t>
      </w:r>
    </w:p>
    <w:p>
      <w:pPr>
        <w:pStyle w:val="916"/>
      </w:pPr>
      <w:r>
        <w:rPr>
          <w:b/>
          <w:bCs/>
        </w:rPr>
        <w:t xml:space="preserve">Exemplo 2 (19669_1/684468_1.json)</w:t>
      </w:r>
    </w:p>
    <w:p>
      <w:pPr>
        <w:pStyle w:val="916"/>
      </w:pPr>
      <w:r>
        <w:t xml:space="preserve">Cumprir com o inciso III, do Art. 369, da Portaria de Consolidação GM/MS</w:t>
      </w:r>
      <w:r>
        <w:t xml:space="preserve"> </w:t>
      </w:r>
      <w:r>
        <w:t xml:space="preserve">n.º 1, de 28 de setembro de 2017, que trata das responsabilidades da</w:t>
      </w:r>
      <w:r>
        <w:t xml:space="preserve"> </w:t>
      </w:r>
      <w:r>
        <w:t xml:space="preserve">direção municipal do SUS em relação ao CNES, assim como dos Arts. 370 e</w:t>
      </w:r>
      <w:r>
        <w:t xml:space="preserve"> </w:t>
      </w:r>
      <w:r>
        <w:t xml:space="preserve">372, da mesma Portaria que estatui sobre o processo de cadastramento e</w:t>
      </w:r>
      <w:r>
        <w:t xml:space="preserve"> </w:t>
      </w:r>
      <w:r>
        <w:t xml:space="preserve">manutenção ou atualização cadastral proposto para os estabelecimentos de</w:t>
      </w:r>
      <w:r>
        <w:t xml:space="preserve"> </w:t>
      </w:r>
      <w:r>
        <w:t xml:space="preserve">saúde e envio dos referidos dados, devendo os mesmos serem validados</w:t>
      </w:r>
      <w:r>
        <w:t xml:space="preserve"> </w:t>
      </w:r>
      <w:r>
        <w:t xml:space="preserve">para envio à base de dados nacional, e Portaria SAS/MS nº 134/2011, art</w:t>
      </w:r>
      <w:r>
        <w:t xml:space="preserve"> </w:t>
      </w:r>
      <w:r>
        <w:t xml:space="preserve">1º, que diz que constitui responsabilidade dos gestores municipais,</w:t>
      </w:r>
      <w:r>
        <w:t xml:space="preserve"> </w:t>
      </w:r>
      <w:r>
        <w:t xml:space="preserve">estaduais e do Distrito Federal (DF), bem como dos gerentes de todos os</w:t>
      </w:r>
      <w:r>
        <w:t xml:space="preserve"> </w:t>
      </w:r>
      <w:r>
        <w:t xml:space="preserve">estabelecimentos de saúde na correta inserção, manutenção e atualização</w:t>
      </w:r>
      <w:r>
        <w:t xml:space="preserve"> </w:t>
      </w:r>
      <w:r>
        <w:t xml:space="preserve">sistemática dos cadastros no SCNES dos profissionais de saúde em</w:t>
      </w:r>
      <w:r>
        <w:t xml:space="preserve"> </w:t>
      </w:r>
      <w:r>
        <w:t xml:space="preserve">exercício nos seus respectivos serviços de saúde, públicos e privados.</w:t>
      </w:r>
    </w:p>
    <w:p>
      <w:pPr>
        <w:pStyle w:val="916"/>
      </w:pPr>
      <w:r>
        <w:rPr>
          <w:b/>
          <w:bCs/>
        </w:rPr>
        <w:t xml:space="preserve">Justificativa da IA:</w:t>
      </w:r>
      <w:r>
        <w:t xml:space="preserve"> </w:t>
      </w:r>
      <w:r>
        <w:t xml:space="preserve">O núcleo da recomendação é cumprir normas que</w:t>
      </w:r>
      <w:r>
        <w:t xml:space="preserve"> </w:t>
      </w:r>
      <w:r>
        <w:t xml:space="preserve">atribuem responsabilidades de cadastramento, manutenção e atualização do</w:t>
      </w:r>
      <w:r>
        <w:t xml:space="preserve"> </w:t>
      </w:r>
      <w:r>
        <w:t xml:space="preserve">CNES. A análise inicial considera a obrigação normativa suficiente para</w:t>
      </w:r>
      <w:r>
        <w:t xml:space="preserve"> </w:t>
      </w:r>
      <w:r>
        <w:t xml:space="preserve">tratar a causa, enquanto a crítica reconhece a possibilidade de</w:t>
      </w:r>
      <w:r>
        <w:t xml:space="preserve"> </w:t>
      </w:r>
      <w:r>
        <w:t xml:space="preserve">correção, mas mantém a ambiguidade quanto à durabilidade por falta de</w:t>
      </w:r>
      <w:r>
        <w:t xml:space="preserve"> </w:t>
      </w:r>
      <w:r>
        <w:t xml:space="preserve">mecanismos concretos.</w:t>
      </w:r>
    </w:p>
    <w:p>
      <w:pPr>
        <w:pStyle w:val="916"/>
      </w:pPr>
      <w:r>
        <w:rPr>
          <w:b/>
          <w:bCs/>
        </w:rPr>
        <w:t xml:space="preserve">Limites observados pela IA:</w:t>
      </w:r>
      <w:r>
        <w:t xml:space="preserve"> </w:t>
      </w:r>
      <w:r>
        <w:t xml:space="preserve">A recomendação não descreve processos</w:t>
      </w:r>
      <w:r>
        <w:t xml:space="preserve"> </w:t>
      </w:r>
      <w:r>
        <w:t xml:space="preserve">internos, responsáveis, periodicidade ou verificação da atualização</w:t>
      </w:r>
      <w:r>
        <w:t xml:space="preserve"> </w:t>
      </w:r>
      <w:r>
        <w:t xml:space="preserve">sistemática.</w:t>
      </w:r>
    </w:p>
    <w:bookmarkEnd w:id="828"/>
    <w:bookmarkStart w:id="829" w:name="X7d8c47f186e9f12b0b4680ceda9a20398d10c55"/>
    <w:p>
      <w:pPr>
        <w:pStyle w:val="908"/>
      </w:pPr>
      <w:r>
        <w:t xml:space="preserve">18.1.1.4.4 C2 — Execução continuada dependente de adesão</w:t>
      </w:r>
    </w:p>
    <w:p>
      <w:pPr>
        <w:pStyle w:val="917"/>
      </w:pPr>
      <w:r>
        <w:rPr>
          <w:b/>
          <w:bCs/>
        </w:rPr>
        <w:t xml:space="preserve">Definição:</w:t>
      </w:r>
      <w:r>
        <w:t xml:space="preserve"> </w:t>
      </w:r>
      <w:r>
        <w:t xml:space="preserve">A durabilidade depende da realização reiterada de</w:t>
      </w:r>
      <w:r>
        <w:t xml:space="preserve"> </w:t>
      </w:r>
      <w:r>
        <w:t xml:space="preserve">rotinas, controles ou supervisão por pessoas ou unidades.</w:t>
      </w:r>
    </w:p>
    <w:p>
      <w:pPr>
        <w:pStyle w:val="916"/>
      </w:pPr>
      <w:r>
        <w:rPr>
          <w:b/>
          <w:bCs/>
        </w:rPr>
        <w:t xml:space="preserve">Critérios de inclusão:</w:t>
      </w:r>
      <w:r>
        <w:t xml:space="preserve"> </w:t>
      </w:r>
      <w:r>
        <w:t xml:space="preserve">monitoramento ou execução recorrente;</w:t>
      </w:r>
      <w:r>
        <w:t xml:space="preserve"> </w:t>
      </w:r>
      <w:r>
        <w:t xml:space="preserve">dependência de adesão continuada</w:t>
      </w:r>
    </w:p>
    <w:p>
      <w:pPr>
        <w:pStyle w:val="916"/>
      </w:pPr>
      <w:r>
        <w:rPr>
          <w:b/>
          <w:bCs/>
        </w:rPr>
        <w:t xml:space="preserve">Critérios de exclusão:</w:t>
      </w:r>
      <w:r>
        <w:t xml:space="preserve"> </w:t>
      </w:r>
      <w:r>
        <w:t xml:space="preserve">cumprimento normativo genérico; capacitação</w:t>
      </w:r>
      <w:r>
        <w:t xml:space="preserve"> </w:t>
      </w:r>
      <w:r>
        <w:t xml:space="preserve">como ação principal</w:t>
      </w:r>
    </w:p>
    <w:p>
      <w:pPr>
        <w:pStyle w:val="916"/>
      </w:pPr>
      <w:r>
        <w:rPr>
          <w:b/>
          <w:bCs/>
        </w:rPr>
        <w:t xml:space="preserve">Exemplo 1 (19777_1/691653_1.json)</w:t>
      </w:r>
    </w:p>
    <w:p>
      <w:pPr>
        <w:pStyle w:val="916"/>
      </w:pPr>
      <w:r>
        <w:t xml:space="preserve">Estabelecer, documentar e colocar em prática rotina para o correto</w:t>
      </w:r>
      <w:r>
        <w:t xml:space="preserve"> </w:t>
      </w:r>
      <w:r>
        <w:t xml:space="preserve">preenchimento dos mapas de temperatura, conforme estabelecido no Subitem</w:t>
      </w:r>
      <w:r>
        <w:t xml:space="preserve"> </w:t>
      </w:r>
      <w:r>
        <w:t xml:space="preserve">6.13, Item 6, pág. 63, do Manual da Rede de Frio do PNI/2017; e no</w:t>
      </w:r>
      <w:r>
        <w:t xml:space="preserve"> </w:t>
      </w:r>
      <w:r>
        <w:t xml:space="preserve">Subitem 6.6.2, Item 6, pág. 57, do Manual da Rede de Frio do PNI/2017.</w:t>
      </w:r>
    </w:p>
    <w:p>
      <w:pPr>
        <w:pStyle w:val="916"/>
      </w:pPr>
      <w:r>
        <w:rPr>
          <w:b/>
          <w:bCs/>
        </w:rPr>
        <w:t xml:space="preserve">Justificativa da IA:</w:t>
      </w:r>
      <w:r>
        <w:t xml:space="preserve"> </w:t>
      </w:r>
      <w:r>
        <w:t xml:space="preserve">A análise inicial considera a rotina</w:t>
      </w:r>
      <w:r>
        <w:t xml:space="preserve"> </w:t>
      </w:r>
      <w:r>
        <w:t xml:space="preserve">documentada suficiente para garantir continuidade. A crítica separa</w:t>
      </w:r>
      <w:r>
        <w:t xml:space="preserve"> </w:t>
      </w:r>
      <w:r>
        <w:t xml:space="preserve">documentação de aplicação efetiva e exige controle e monitoramento</w:t>
      </w:r>
      <w:r>
        <w:t xml:space="preserve"> </w:t>
      </w:r>
      <w:r>
        <w:t xml:space="preserve">contínuos. A prática reiterada de preenchimento é predominante, com</w:t>
      </w:r>
      <w:r>
        <w:t xml:space="preserve"> </w:t>
      </w:r>
      <w:r>
        <w:t xml:space="preserve">formalização como suporte.</w:t>
      </w:r>
    </w:p>
    <w:p>
      <w:pPr>
        <w:pStyle w:val="916"/>
      </w:pPr>
      <w:r>
        <w:rPr>
          <w:b/>
          <w:bCs/>
        </w:rPr>
        <w:t xml:space="preserve">Limites observados pela IA:</w:t>
      </w:r>
      <w:r>
        <w:t xml:space="preserve"> </w:t>
      </w:r>
      <w:r>
        <w:t xml:space="preserve">A recomendação determina colocar a</w:t>
      </w:r>
      <w:r>
        <w:t xml:space="preserve"> </w:t>
      </w:r>
      <w:r>
        <w:t xml:space="preserve">rotina em prática, mas não especifica supervisão, auditoria ou</w:t>
      </w:r>
      <w:r>
        <w:t xml:space="preserve"> </w:t>
      </w:r>
      <w:r>
        <w:t xml:space="preserve">mecanismos de correção.</w:t>
      </w:r>
    </w:p>
    <w:p>
      <w:pPr>
        <w:pStyle w:val="916"/>
      </w:pPr>
      <w:r>
        <w:rPr>
          <w:b/>
          <w:bCs/>
        </w:rPr>
        <w:t xml:space="preserve">Exemplo 2 (19304_2/655044_1.json)</w:t>
      </w:r>
    </w:p>
    <w:p>
      <w:pPr>
        <w:pStyle w:val="916"/>
      </w:pPr>
      <w:r>
        <w:t xml:space="preserve">Adotar medidas efetivas de controle sobre as Autorizações para</w:t>
      </w:r>
      <w:r>
        <w:t xml:space="preserve"> </w:t>
      </w:r>
      <w:r>
        <w:t xml:space="preserve">realização de procedimentos especiais, com a utilização de DMIs, para</w:t>
      </w:r>
      <w:r>
        <w:t xml:space="preserve"> </w:t>
      </w:r>
      <w:r>
        <w:t xml:space="preserve">fazer cumprir o art. 18 da Le nº 8.080/1990, que trata da</w:t>
      </w:r>
      <w:r>
        <w:t xml:space="preserve"> </w:t>
      </w:r>
      <w:r>
        <w:t xml:space="preserve">responsabilidade da direção municipal do SUS de controlar e fiscalizar</w:t>
      </w:r>
      <w:r>
        <w:t xml:space="preserve"> </w:t>
      </w:r>
      <w:r>
        <w:t xml:space="preserve">os procedimentos dos serviços privados de saúde, bem como cumprir o que</w:t>
      </w:r>
      <w:r>
        <w:t xml:space="preserve"> </w:t>
      </w:r>
      <w:r>
        <w:t xml:space="preserve">determina o Incisos VI e VIII do Art. 4º do Anexo XXVI da Portaria de</w:t>
      </w:r>
      <w:r>
        <w:t xml:space="preserve"> </w:t>
      </w:r>
      <w:r>
        <w:t xml:space="preserve">Consolidação nº 2 de 28 de setembro de 2017, que trata da ação de</w:t>
      </w:r>
      <w:r>
        <w:t xml:space="preserve"> </w:t>
      </w:r>
      <w:r>
        <w:t xml:space="preserve">supervisionar e processar a produção ambulatorial e hospitalar (inciso</w:t>
      </w:r>
      <w:r>
        <w:t xml:space="preserve"> </w:t>
      </w:r>
      <w:r>
        <w:t xml:space="preserve">VI) e realizar avaliação analítica da produção (inciso VIII).</w:t>
      </w:r>
    </w:p>
    <w:p>
      <w:pPr>
        <w:pStyle w:val="916"/>
      </w:pPr>
      <w:r>
        <w:rPr>
          <w:b/>
          <w:bCs/>
        </w:rPr>
        <w:t xml:space="preserve">Justificativa da IA:</w:t>
      </w:r>
      <w:r>
        <w:t xml:space="preserve"> </w:t>
      </w:r>
      <w:r>
        <w:t xml:space="preserve">A análise inicial tratou as medidas de controle</w:t>
      </w:r>
      <w:r>
        <w:t xml:space="preserve"> </w:t>
      </w:r>
      <w:r>
        <w:t xml:space="preserve">e as normas como estruturas duradouras, enquanto a análise crítica</w:t>
      </w:r>
      <w:r>
        <w:t xml:space="preserve"> </w:t>
      </w:r>
      <w:r>
        <w:t xml:space="preserve">destacou a variabilidade dos fatores humanos e organizacionais. A</w:t>
      </w:r>
      <w:r>
        <w:t xml:space="preserve"> </w:t>
      </w:r>
      <w:r>
        <w:t xml:space="preserve">fiscalização, supervisão e avaliação analítica são atividades</w:t>
      </w:r>
      <w:r>
        <w:t xml:space="preserve"> </w:t>
      </w:r>
      <w:r>
        <w:t xml:space="preserve">recorrentes cuja permanência depende da execução continuada.</w:t>
      </w:r>
    </w:p>
    <w:p>
      <w:pPr>
        <w:pStyle w:val="916"/>
      </w:pPr>
      <w:r>
        <w:rPr>
          <w:b/>
          <w:bCs/>
        </w:rPr>
        <w:t xml:space="preserve">Limites observados pela IA:</w:t>
      </w:r>
      <w:r>
        <w:t xml:space="preserve"> </w:t>
      </w:r>
      <w:r>
        <w:t xml:space="preserve">A recomendação não especifica os</w:t>
      </w:r>
      <w:r>
        <w:t xml:space="preserve"> </w:t>
      </w:r>
      <w:r>
        <w:t xml:space="preserve">procedimentos, indicadores ou responsáveis pelo controle das</w:t>
      </w:r>
      <w:r>
        <w:t xml:space="preserve"> </w:t>
      </w:r>
      <w:r>
        <w:t xml:space="preserve">autorizações.</w:t>
      </w:r>
    </w:p>
    <w:bookmarkEnd w:id="829"/>
    <w:bookmarkStart w:id="830" w:name="X0af98be28d3c38e7c7c2e5028d4c1187f6baec6"/>
    <w:p>
      <w:pPr>
        <w:pStyle w:val="908"/>
      </w:pPr>
      <w:r>
        <w:t xml:space="preserve">18.1.1.4.5 C3 — Capacitação sujeita a atualização e retenção</w:t>
      </w:r>
    </w:p>
    <w:p>
      <w:pPr>
        <w:pStyle w:val="917"/>
      </w:pPr>
      <w:r>
        <w:rPr>
          <w:b/>
          <w:bCs/>
        </w:rPr>
        <w:t xml:space="preserve">Definição:</w:t>
      </w:r>
      <w:r>
        <w:t xml:space="preserve"> </w:t>
      </w:r>
      <w:r>
        <w:t xml:space="preserve">A ação educacional pode produzir conhecimento</w:t>
      </w:r>
      <w:r>
        <w:t xml:space="preserve"> </w:t>
      </w:r>
      <w:r>
        <w:t xml:space="preserve">persistente, mas depende de atualização, retenção de pessoal e</w:t>
      </w:r>
      <w:r>
        <w:t xml:space="preserve"> </w:t>
      </w:r>
      <w:r>
        <w:t xml:space="preserve">incorporação institucional.</w:t>
      </w:r>
    </w:p>
    <w:p>
      <w:pPr>
        <w:pStyle w:val="916"/>
      </w:pPr>
      <w:r>
        <w:rPr>
          <w:b/>
          <w:bCs/>
        </w:rPr>
        <w:t xml:space="preserve">Critérios de inclusão:</w:t>
      </w:r>
      <w:r>
        <w:t xml:space="preserve"> </w:t>
      </w:r>
      <w:r>
        <w:t xml:space="preserve">educação, treinamento ou qualificação como</w:t>
      </w:r>
      <w:r>
        <w:t xml:space="preserve"> </w:t>
      </w:r>
      <w:r>
        <w:t xml:space="preserve">ação central; dependência de atualização ou retenção</w:t>
      </w:r>
    </w:p>
    <w:p>
      <w:pPr>
        <w:pStyle w:val="916"/>
      </w:pPr>
      <w:r>
        <w:rPr>
          <w:b/>
          <w:bCs/>
        </w:rPr>
        <w:t xml:space="preserve">Critérios de exclusão:</w:t>
      </w:r>
      <w:r>
        <w:t xml:space="preserve"> </w:t>
      </w:r>
      <w:r>
        <w:t xml:space="preserve">capacitação secundária em pacote heterogêneo;</w:t>
      </w:r>
      <w:r>
        <w:t xml:space="preserve"> </w:t>
      </w:r>
      <w:r>
        <w:t xml:space="preserve">rotina de controle como ação principal</w:t>
      </w:r>
    </w:p>
    <w:p>
      <w:pPr>
        <w:pStyle w:val="916"/>
      </w:pPr>
      <w:r>
        <w:rPr>
          <w:b/>
          <w:bCs/>
        </w:rPr>
        <w:t xml:space="preserve">Exemplo 1 (19598_1/676749_2.json)</w:t>
      </w:r>
    </w:p>
    <w:p>
      <w:pPr>
        <w:pStyle w:val="916"/>
      </w:pPr>
      <w:r>
        <w:t xml:space="preserve">Promover ações de educação continuada com profissionais médicos e</w:t>
      </w:r>
      <w:r>
        <w:t xml:space="preserve"> </w:t>
      </w:r>
      <w:r>
        <w:t xml:space="preserve">operadores para efetivo atendimento das ligações, com fim de evitar</w:t>
      </w:r>
      <w:r>
        <w:t xml:space="preserve"> </w:t>
      </w:r>
      <w:r>
        <w:t xml:space="preserve">filas.</w:t>
      </w:r>
    </w:p>
    <w:p>
      <w:pPr>
        <w:pStyle w:val="916"/>
      </w:pPr>
      <w:r>
        <w:rPr>
          <w:b/>
          <w:bCs/>
        </w:rPr>
        <w:t xml:space="preserve">Justificativa da IA:</w:t>
      </w:r>
      <w:r>
        <w:t xml:space="preserve"> </w:t>
      </w:r>
      <w:r>
        <w:t xml:space="preserve">A análise inicial associou educação continuada</w:t>
      </w:r>
      <w:r>
        <w:t xml:space="preserve"> </w:t>
      </w:r>
      <w:r>
        <w:t xml:space="preserve">a mudanças culturais e procedimentais duradouras. A análise crítica</w:t>
      </w:r>
      <w:r>
        <w:t xml:space="preserve"> </w:t>
      </w:r>
      <w:r>
        <w:t xml:space="preserve">observou que a ação trata apenas indiretamente as causas possíveis e</w:t>
      </w:r>
      <w:r>
        <w:t xml:space="preserve"> </w:t>
      </w:r>
      <w:r>
        <w:t xml:space="preserve">depende da continuidade do programa e da adesão dos profissionais,</w:t>
      </w:r>
      <w:r>
        <w:t xml:space="preserve"> </w:t>
      </w:r>
      <w:r>
        <w:t xml:space="preserve">mecanismo típico de capacitação sujeita à atualização.</w:t>
      </w:r>
    </w:p>
    <w:p>
      <w:pPr>
        <w:pStyle w:val="916"/>
      </w:pPr>
      <w:r>
        <w:rPr>
          <w:b/>
          <w:bCs/>
        </w:rPr>
        <w:t xml:space="preserve">Limites observados pela IA:</w:t>
      </w:r>
      <w:r>
        <w:t xml:space="preserve"> </w:t>
      </w:r>
      <w:r>
        <w:t xml:space="preserve">A recomendação não aborda diretamente</w:t>
      </w:r>
      <w:r>
        <w:t xml:space="preserve"> </w:t>
      </w:r>
      <w:r>
        <w:t xml:space="preserve">carga horária, incentivos, infraestrutura ou outros fatores possíveis da</w:t>
      </w:r>
      <w:r>
        <w:t xml:space="preserve"> </w:t>
      </w:r>
      <w:r>
        <w:t xml:space="preserve">ausência de login.</w:t>
      </w:r>
    </w:p>
    <w:p>
      <w:pPr>
        <w:pStyle w:val="916"/>
      </w:pPr>
      <w:r>
        <w:rPr>
          <w:b/>
          <w:bCs/>
        </w:rPr>
        <w:t xml:space="preserve">Exemplo 2 (19680_1/685136_1.json)</w:t>
      </w:r>
    </w:p>
    <w:p>
      <w:pPr>
        <w:pStyle w:val="916"/>
      </w:pPr>
      <w:r>
        <w:t xml:space="preserve">Adotar medidas de capacitação educativa, sistemática e permanente junto</w:t>
      </w:r>
      <w:r>
        <w:t xml:space="preserve"> </w:t>
      </w:r>
      <w:r>
        <w:t xml:space="preserve">aos profissionais das Equipes de Saúde da Família com a finalidade de</w:t>
      </w:r>
      <w:r>
        <w:t xml:space="preserve"> </w:t>
      </w:r>
      <w:r>
        <w:t xml:space="preserve">criar a cultura do registro eficaz nas evoluções do cuidado prestado ao</w:t>
      </w:r>
      <w:r>
        <w:t xml:space="preserve"> </w:t>
      </w:r>
      <w:r>
        <w:t xml:space="preserve">cidadão/usuário do SUS, assim como o preenchimento de todas as</w:t>
      </w:r>
      <w:r>
        <w:t xml:space="preserve"> </w:t>
      </w:r>
      <w:r>
        <w:t xml:space="preserve">informações necessárias relacionadas ao atendimento, garantindo desta</w:t>
      </w:r>
      <w:r>
        <w:t xml:space="preserve"> </w:t>
      </w:r>
      <w:r>
        <w:t xml:space="preserve">forma a consistência dos dados lançados no PEC (Prontuário Eletrônico do</w:t>
      </w:r>
      <w:r>
        <w:t xml:space="preserve"> </w:t>
      </w:r>
      <w:r>
        <w:t xml:space="preserve">Cidadão) e nos Sistemas Nacionais de Informações da Atenção Básica e em</w:t>
      </w:r>
      <w:r>
        <w:t xml:space="preserve"> </w:t>
      </w:r>
      <w:r>
        <w:t xml:space="preserve">obediência aos instrumentos orientativos disponibilizados pelo</w:t>
      </w:r>
      <w:r>
        <w:t xml:space="preserve"> </w:t>
      </w:r>
      <w:r>
        <w:t xml:space="preserve">Ministério da Saúde: Itens 6.1, 6.2 e 6.3 - Recomendações para registro</w:t>
      </w:r>
      <w:r>
        <w:t xml:space="preserve"> </w:t>
      </w:r>
      <w:r>
        <w:t xml:space="preserve">das informações de saúde, das Notas Técnicas Nº 13, 14, 15, 16, 18, 22 e</w:t>
      </w:r>
      <w:r>
        <w:t xml:space="preserve"> </w:t>
      </w:r>
      <w:r>
        <w:t xml:space="preserve">23/ 2022 - SAPS/MS, combinado com o guia PEC, 2022.</w:t>
      </w:r>
    </w:p>
    <w:p>
      <w:pPr>
        <w:pStyle w:val="916"/>
      </w:pPr>
      <w:r>
        <w:rPr>
          <w:b/>
          <w:bCs/>
        </w:rPr>
        <w:t xml:space="preserve">Justificativa da IA:</w:t>
      </w:r>
      <w:r>
        <w:t xml:space="preserve"> </w:t>
      </w:r>
      <w:r>
        <w:t xml:space="preserve">As análises convergem quanto à capacitação e à</w:t>
      </w:r>
      <w:r>
        <w:t xml:space="preserve"> </w:t>
      </w:r>
      <w:r>
        <w:t xml:space="preserve">mudança cultural como foco causal, mas divergem sobre a durabilidade: a</w:t>
      </w:r>
      <w:r>
        <w:t xml:space="preserve"> </w:t>
      </w:r>
      <w:r>
        <w:t xml:space="preserve">inicial presume que a capacitação permanente institucionaliza a prática,</w:t>
      </w:r>
      <w:r>
        <w:t xml:space="preserve"> </w:t>
      </w:r>
      <w:r>
        <w:t xml:space="preserve">enquanto a crítica ressalta rotatividade, adesão e necessidade de</w:t>
      </w:r>
      <w:r>
        <w:t xml:space="preserve"> </w:t>
      </w:r>
      <w:r>
        <w:t xml:space="preserve">reforço. A ação educacional é o mecanismo predominante.</w:t>
      </w:r>
    </w:p>
    <w:p>
      <w:pPr>
        <w:pStyle w:val="916"/>
      </w:pPr>
      <w:r>
        <w:rPr>
          <w:b/>
          <w:bCs/>
        </w:rPr>
        <w:t xml:space="preserve">Limites observados pela IA:</w:t>
      </w:r>
      <w:r>
        <w:t xml:space="preserve"> </w:t>
      </w:r>
      <w:r>
        <w:t xml:space="preserve">Embora a recomendação mencione</w:t>
      </w:r>
      <w:r>
        <w:t xml:space="preserve"> </w:t>
      </w:r>
      <w:r>
        <w:t xml:space="preserve">capacitação sistemática e permanente, não detalha avaliação de</w:t>
      </w:r>
      <w:r>
        <w:t xml:space="preserve"> </w:t>
      </w:r>
      <w:r>
        <w:t xml:space="preserve">aprendizagem, reciclagem ou retenção do conhecimento.</w:t>
      </w:r>
    </w:p>
    <w:bookmarkEnd w:id="830"/>
    <w:bookmarkStart w:id="831" w:name="c4-pacote-heterogêneo-de-ações-3"/>
    <w:p>
      <w:pPr>
        <w:pStyle w:val="908"/>
      </w:pPr>
      <w:r>
        <w:t xml:space="preserve">18.1.1.4.6 C4 — Pacote heterogêneo de ações</w:t>
      </w:r>
    </w:p>
    <w:p>
      <w:pPr>
        <w:pStyle w:val="917"/>
      </w:pPr>
      <w:r>
        <w:rPr>
          <w:b/>
          <w:bCs/>
        </w:rPr>
        <w:t xml:space="preserve">Definição:</w:t>
      </w:r>
      <w:r>
        <w:t xml:space="preserve"> </w:t>
      </w:r>
      <w:r>
        <w:t xml:space="preserve">A recomendação combina medidas imediatas ou reparadoras</w:t>
      </w:r>
      <w:r>
        <w:t xml:space="preserve"> </w:t>
      </w:r>
      <w:r>
        <w:t xml:space="preserve">com ações estruturais, preventivas ou de capacitação.</w:t>
      </w:r>
    </w:p>
    <w:p>
      <w:pPr>
        <w:pStyle w:val="916"/>
      </w:pPr>
      <w:r>
        <w:rPr>
          <w:b/>
          <w:bCs/>
        </w:rPr>
        <w:t xml:space="preserve">Critérios de inclusão:</w:t>
      </w:r>
      <w:r>
        <w:t xml:space="preserve"> </w:t>
      </w:r>
      <w:r>
        <w:t xml:space="preserve">duas ou mais ações autônomas; componentes com</w:t>
      </w:r>
      <w:r>
        <w:t xml:space="preserve"> </w:t>
      </w:r>
      <w:r>
        <w:t xml:space="preserve">funções distintas</w:t>
      </w:r>
    </w:p>
    <w:p>
      <w:pPr>
        <w:pStyle w:val="916"/>
      </w:pPr>
      <w:r>
        <w:rPr>
          <w:b/>
          <w:bCs/>
        </w:rPr>
        <w:t xml:space="preserve">Critérios de exclusão:</w:t>
      </w:r>
      <w:r>
        <w:t xml:space="preserve"> </w:t>
      </w:r>
      <w:r>
        <w:t xml:space="preserve">etapas do mesmo procedimento; divergência</w:t>
      </w:r>
      <w:r>
        <w:t xml:space="preserve"> </w:t>
      </w:r>
      <w:r>
        <w:t xml:space="preserve">explicada por adesão continuada</w:t>
      </w:r>
    </w:p>
    <w:p>
      <w:pPr>
        <w:pStyle w:val="916"/>
      </w:pPr>
      <w:r>
        <w:rPr>
          <w:b/>
          <w:bCs/>
        </w:rPr>
        <w:t xml:space="preserve">Exemplo 1 (19712_1/690999_1.json)</w:t>
      </w:r>
    </w:p>
    <w:p>
      <w:pPr>
        <w:pStyle w:val="918"/>
        <w:numPr>
          <w:ilvl w:val="0"/>
          <w:numId w:val="1083"/>
        </w:numPr>
      </w:pPr>
      <w:r>
        <w:t xml:space="preserve">Proceder a correta alimentação dos Bancos de Dados Nacionais que</w:t>
      </w:r>
      <w:r>
        <w:t xml:space="preserve"> </w:t>
      </w:r>
      <w:r>
        <w:t xml:space="preserve">integram o Sistema Único de Saúde, conforme responsabilidade</w:t>
      </w:r>
      <w:r>
        <w:t xml:space="preserve"> </w:t>
      </w:r>
      <w:r>
        <w:t xml:space="preserve">atribuída à gestão do SUS estabelecida no parágrafo primeiro do art.</w:t>
      </w:r>
      <w:r>
        <w:t xml:space="preserve"> </w:t>
      </w:r>
      <w:r>
        <w:t xml:space="preserve">294 da Portaria de Consolidação GM/MS n.º 1/2017. b) Restituir o</w:t>
      </w:r>
      <w:r>
        <w:t xml:space="preserve"> </w:t>
      </w:r>
      <w:r>
        <w:t xml:space="preserve">valor de R$ 319.745,88 ao Fundo Nacional de Saúde/MS, conforme</w:t>
      </w:r>
      <w:r>
        <w:t xml:space="preserve"> </w:t>
      </w:r>
      <w:r>
        <w:t xml:space="preserve">apontamentos registrados neste item, atualizado monetariamente</w:t>
      </w:r>
      <w:r>
        <w:t xml:space="preserve"> </w:t>
      </w:r>
      <w:r>
        <w:t xml:space="preserve">segundo o</w:t>
      </w:r>
      <w:r>
        <w:t xml:space="preserve"> </w:t>
      </w:r>
      <w:r>
        <w:rPr>
          <w:rStyle w:val="949"/>
        </w:rPr>
        <w:t xml:space="preserve">Sistema Débito</w:t>
      </w:r>
      <w:r>
        <w:t xml:space="preserve"> </w:t>
      </w:r>
      <w:r>
        <w:t xml:space="preserve">do Tribunal de Contas da União, em</w:t>
      </w:r>
      <w:r>
        <w:t xml:space="preserve"> </w:t>
      </w:r>
      <w:r>
        <w:t xml:space="preserve">cumprimento ao inciso VII do art. 2º do Decreto nº 3.964 de 10 de</w:t>
      </w:r>
      <w:r>
        <w:t xml:space="preserve"> </w:t>
      </w:r>
      <w:r>
        <w:t xml:space="preserve">outubro de 2001 e ao subitem 9.3.4 do Acórdão/TCU nº</w:t>
      </w:r>
      <w:r>
        <w:t xml:space="preserve"> </w:t>
      </w:r>
      <w:r>
        <w:t xml:space="preserve">1.072/2017-Plenário. c) Promover, em cumprimento ao inciso VII do</w:t>
      </w:r>
      <w:r>
        <w:t xml:space="preserve"> </w:t>
      </w:r>
      <w:r>
        <w:t xml:space="preserve">art. 16 da Lei Municipal n.º 443, de 27 de fevereiro de 2013,</w:t>
      </w:r>
      <w:r>
        <w:t xml:space="preserve"> </w:t>
      </w:r>
      <w:r>
        <w:t xml:space="preserve">combinado com o inciso II, art. 9º da mesma Lei, a abertura de</w:t>
      </w:r>
      <w:r>
        <w:t xml:space="preserve"> </w:t>
      </w:r>
      <w:r>
        <w:t xml:space="preserve">sindicância/procedimento administrativo disciplinar, para apurar</w:t>
      </w:r>
      <w:r>
        <w:t xml:space="preserve"> </w:t>
      </w:r>
      <w:r>
        <w:t xml:space="preserve">autoria e responsabilidade pelo desaparecimento do livro de registro</w:t>
      </w:r>
      <w:r>
        <w:t xml:space="preserve"> </w:t>
      </w:r>
      <w:r>
        <w:t xml:space="preserve">de exames realizados no período de setembro a dezembro de 2021, no</w:t>
      </w:r>
      <w:r>
        <w:t xml:space="preserve"> </w:t>
      </w:r>
      <w:r>
        <w:t xml:space="preserve">qual seria possível identificar as datas, o tipo, a quantidade e o</w:t>
      </w:r>
      <w:r>
        <w:t xml:space="preserve"> </w:t>
      </w:r>
      <w:r>
        <w:t xml:space="preserve">resultado dos 128.092 exames registrados no SIA/SUS.</w:t>
      </w:r>
    </w:p>
    <w:p>
      <w:pPr>
        <w:pStyle w:val="917"/>
      </w:pPr>
      <w:r>
        <w:rPr>
          <w:b/>
          <w:bCs/>
        </w:rPr>
        <w:t xml:space="preserve">Justificativa da IA:</w:t>
      </w:r>
      <w:r>
        <w:t xml:space="preserve"> </w:t>
      </w:r>
      <w:r>
        <w:t xml:space="preserve">A análise inicial concentra-se na sindicância e</w:t>
      </w:r>
      <w:r>
        <w:t xml:space="preserve"> </w:t>
      </w:r>
      <w:r>
        <w:t xml:space="preserve">infere que ela criará responsabilização duradoura; a crítica observa que</w:t>
      </w:r>
      <w:r>
        <w:t xml:space="preserve"> </w:t>
      </w:r>
      <w:r>
        <w:t xml:space="preserve">se trata de ação reativa e específica. A recomendação reúne alimentação</w:t>
      </w:r>
      <w:r>
        <w:t xml:space="preserve"> </w:t>
      </w:r>
      <w:r>
        <w:t xml:space="preserve">correta, restituição financeira e apuração do desaparecimento de</w:t>
      </w:r>
      <w:r>
        <w:t xml:space="preserve"> </w:t>
      </w:r>
      <w:r>
        <w:t xml:space="preserve">registros, com funções reparadoras e investigativas distintas.</w:t>
      </w:r>
    </w:p>
    <w:p>
      <w:pPr>
        <w:pStyle w:val="916"/>
      </w:pPr>
      <w:r>
        <w:rPr>
          <w:b/>
          <w:bCs/>
        </w:rPr>
        <w:t xml:space="preserve">Limites observados pela IA:</w:t>
      </w:r>
      <w:r>
        <w:t xml:space="preserve"> </w:t>
      </w:r>
      <w:r>
        <w:t xml:space="preserve">Não há medida expressa de controle</w:t>
      </w:r>
      <w:r>
        <w:t xml:space="preserve"> </w:t>
      </w:r>
      <w:r>
        <w:t xml:space="preserve">permanente dos registros além da determinação genérica de alimentação</w:t>
      </w:r>
      <w:r>
        <w:t xml:space="preserve"> </w:t>
      </w:r>
      <w:r>
        <w:t xml:space="preserve">correta.</w:t>
      </w:r>
    </w:p>
    <w:p>
      <w:pPr>
        <w:pStyle w:val="916"/>
      </w:pPr>
      <w:r>
        <w:rPr>
          <w:b/>
          <w:bCs/>
        </w:rPr>
        <w:t xml:space="preserve">Exemplo 2 (19627_1/685172_2.json)</w:t>
      </w:r>
    </w:p>
    <w:p>
      <w:pPr>
        <w:pStyle w:val="916"/>
      </w:pPr>
      <w:r>
        <w:t xml:space="preserve">À Sesai: Determinar às unidades de acompanhamento que: (i) elaborem</w:t>
      </w:r>
      <w:r>
        <w:t xml:space="preserve"> </w:t>
      </w:r>
      <w:r>
        <w:t xml:space="preserve">relatórios mensais com base nas informações e mapas de produção enviados</w:t>
      </w:r>
      <w:r>
        <w:t xml:space="preserve"> </w:t>
      </w:r>
      <w:r>
        <w:t xml:space="preserve">pelas unidades de acompanhamento do Dsei Litoral Sul (Sesani/Dsei),</w:t>
      </w:r>
      <w:r>
        <w:t xml:space="preserve"> </w:t>
      </w:r>
      <w:r>
        <w:t xml:space="preserve">devendo ser inseridos no Transferegov até o dia 20 do mês subsequente ao</w:t>
      </w:r>
      <w:r>
        <w:t xml:space="preserve"> </w:t>
      </w:r>
      <w:r>
        <w:t xml:space="preserve">mês acompanhado; (ii) adotem medidas de natureza preventiva ou corretiva</w:t>
      </w:r>
      <w:r>
        <w:t xml:space="preserve"> </w:t>
      </w:r>
      <w:r>
        <w:t xml:space="preserve">na hipótese do não cumprimento do disposto no objeto do convênio,</w:t>
      </w:r>
      <w:r>
        <w:t xml:space="preserve"> </w:t>
      </w:r>
      <w:r>
        <w:t xml:space="preserve">atendendo à Portaria de Consolidação Sesai/MS nº 1 /2020: §§3º e 4º do</w:t>
      </w:r>
      <w:r>
        <w:t xml:space="preserve"> </w:t>
      </w:r>
      <w:r>
        <w:t xml:space="preserve">art. 4º; inciso VI do art. 11; e incisos I e II do art. 14.</w:t>
      </w:r>
    </w:p>
    <w:p>
      <w:pPr>
        <w:pStyle w:val="916"/>
      </w:pPr>
      <w:r>
        <w:rPr>
          <w:b/>
          <w:bCs/>
        </w:rPr>
        <w:t xml:space="preserve">Justificativa da IA:</w:t>
      </w:r>
      <w:r>
        <w:t xml:space="preserve"> </w:t>
      </w:r>
      <w:r>
        <w:t xml:space="preserve">A recomendação combina a produção mensal e</w:t>
      </w:r>
      <w:r>
        <w:t xml:space="preserve"> </w:t>
      </w:r>
      <w:r>
        <w:t xml:space="preserve">inserção de relatórios com a adoção de medidas preventivas ou corretivas</w:t>
      </w:r>
      <w:r>
        <w:t xml:space="preserve"> </w:t>
      </w:r>
      <w:r>
        <w:t xml:space="preserve">em caso de descumprimento. A análise inicial viu apenas correção da</w:t>
      </w:r>
      <w:r>
        <w:t xml:space="preserve"> </w:t>
      </w:r>
      <w:r>
        <w:t xml:space="preserve">condição documental; a crítica reconheceu componentes causais, mas não</w:t>
      </w:r>
      <w:r>
        <w:t xml:space="preserve"> </w:t>
      </w:r>
      <w:r>
        <w:t xml:space="preserve">explicita se o mecanismo de resposta será sustentado.</w:t>
      </w:r>
    </w:p>
    <w:p>
      <w:pPr>
        <w:pStyle w:val="916"/>
      </w:pPr>
      <w:r>
        <w:rPr>
          <w:b/>
          <w:bCs/>
        </w:rPr>
        <w:t xml:space="preserve">Limites observados pela IA:</w:t>
      </w:r>
      <w:r>
        <w:t xml:space="preserve"> </w:t>
      </w:r>
      <w:r>
        <w:t xml:space="preserve">A obrigação de elaborar relatórios é</w:t>
      </w:r>
      <w:r>
        <w:t xml:space="preserve"> </w:t>
      </w:r>
      <w:r>
        <w:t xml:space="preserve">recorrente, porém os mecanismos de prevenção e correção são genéricos.</w:t>
      </w:r>
    </w:p>
    <w:bookmarkEnd w:id="831"/>
    <w:bookmarkStart w:id="832" w:name="X1bd9903b44c37a9b9894fa5bb7fa71647790046"/>
    <w:p>
      <w:pPr>
        <w:pStyle w:val="908"/>
      </w:pPr>
      <w:r>
        <w:t xml:space="preserve">18.1.1.4.7 C5 — Investigação sem tratamento assegurado</w:t>
      </w:r>
    </w:p>
    <w:p>
      <w:pPr>
        <w:pStyle w:val="917"/>
      </w:pPr>
      <w:r>
        <w:rPr>
          <w:b/>
          <w:bCs/>
        </w:rPr>
        <w:t xml:space="preserve">Definição:</w:t>
      </w:r>
      <w:r>
        <w:t xml:space="preserve"> </w:t>
      </w:r>
      <w:r>
        <w:t xml:space="preserve">A recomendação solicita informação, justificativa ou</w:t>
      </w:r>
      <w:r>
        <w:t xml:space="preserve"> </w:t>
      </w:r>
      <w:r>
        <w:t xml:space="preserve">apuração sem determinar a implementação das medidas que tratariam a</w:t>
      </w:r>
      <w:r>
        <w:t xml:space="preserve"> </w:t>
      </w:r>
      <w:r>
        <w:t xml:space="preserve">causa.</w:t>
      </w:r>
    </w:p>
    <w:p>
      <w:pPr>
        <w:pStyle w:val="916"/>
      </w:pPr>
      <w:r>
        <w:rPr>
          <w:b/>
          <w:bCs/>
        </w:rPr>
        <w:t xml:space="preserve">Critérios de inclusão:</w:t>
      </w:r>
      <w:r>
        <w:t xml:space="preserve"> </w:t>
      </w:r>
      <w:r>
        <w:t xml:space="preserve">investigação ou solicitação como ação</w:t>
      </w:r>
      <w:r>
        <w:t xml:space="preserve"> </w:t>
      </w:r>
      <w:r>
        <w:t xml:space="preserve">principal; ausência de tratamento assegurado</w:t>
      </w:r>
    </w:p>
    <w:p>
      <w:pPr>
        <w:pStyle w:val="916"/>
      </w:pPr>
      <w:r>
        <w:rPr>
          <w:b/>
          <w:bCs/>
        </w:rPr>
        <w:t xml:space="preserve">Critérios de exclusão:</w:t>
      </w:r>
      <w:r>
        <w:t xml:space="preserve"> </w:t>
      </w:r>
      <w:r>
        <w:t xml:space="preserve">investigação acompanhada de ação corretiva;</w:t>
      </w:r>
      <w:r>
        <w:t xml:space="preserve"> </w:t>
      </w:r>
      <w:r>
        <w:t xml:space="preserve">rotina de controle diretamente estabelecida</w:t>
      </w:r>
    </w:p>
    <w:p>
      <w:pPr>
        <w:pStyle w:val="916"/>
      </w:pPr>
      <w:r>
        <w:rPr>
          <w:b/>
          <w:bCs/>
        </w:rPr>
        <w:t xml:space="preserve">Exemplo 1 (19611_1/674455_1.json)</w:t>
      </w:r>
    </w:p>
    <w:p>
      <w:pPr>
        <w:pStyle w:val="916"/>
      </w:pPr>
      <w:r>
        <w:t xml:space="preserve">Dar ciência ao Fundo Nacional de Saúde para que esse se manifeste quanto</w:t>
      </w:r>
      <w:r>
        <w:t xml:space="preserve"> </w:t>
      </w:r>
      <w:r>
        <w:t xml:space="preserve">a sua competência de acompanhar a conformidade financeira do convênio,</w:t>
      </w:r>
      <w:r>
        <w:t xml:space="preserve"> </w:t>
      </w:r>
      <w:r>
        <w:t xml:space="preserve">conforme previsto no inciso II, art. 59, da Portaria Interministerial n°</w:t>
      </w:r>
      <w:r>
        <w:t xml:space="preserve"> </w:t>
      </w:r>
      <w:r>
        <w:t xml:space="preserve">424/MP/MF/CGU/2016.</w:t>
      </w:r>
    </w:p>
    <w:p>
      <w:pPr>
        <w:pStyle w:val="916"/>
      </w:pPr>
      <w:r>
        <w:rPr>
          <w:b/>
          <w:bCs/>
        </w:rPr>
        <w:t xml:space="preserve">Justificativa da IA:</w:t>
      </w:r>
      <w:r>
        <w:t xml:space="preserve"> </w:t>
      </w:r>
      <w:r>
        <w:t xml:space="preserve">A recomendação solicita que o Fundo Nacional de</w:t>
      </w:r>
      <w:r>
        <w:t xml:space="preserve"> </w:t>
      </w:r>
      <w:r>
        <w:t xml:space="preserve">Saúde se manifeste sobre sua competência, sem determinar a designação,</w:t>
      </w:r>
      <w:r>
        <w:t xml:space="preserve"> </w:t>
      </w:r>
      <w:r>
        <w:t xml:space="preserve">atuação ou controle do fiscal financeiro. A análise inicial entende que</w:t>
      </w:r>
      <w:r>
        <w:t xml:space="preserve"> </w:t>
      </w:r>
      <w:r>
        <w:t xml:space="preserve">não há foco causal e, portanto, não há efeitos duradouros; a crítica</w:t>
      </w:r>
      <w:r>
        <w:t xml:space="preserve"> </w:t>
      </w:r>
      <w:r>
        <w:t xml:space="preserve">discorda genericamente, mas não identifica ação corretiva concreta.</w:t>
      </w:r>
    </w:p>
    <w:p>
      <w:pPr>
        <w:pStyle w:val="916"/>
      </w:pPr>
      <w:r>
        <w:rPr>
          <w:b/>
          <w:bCs/>
        </w:rPr>
        <w:t xml:space="preserve">Limites observados pela IA:</w:t>
      </w:r>
      <w:r>
        <w:t xml:space="preserve"> </w:t>
      </w:r>
      <w:r>
        <w:t xml:space="preserve">A análise crítica não especifica qual</w:t>
      </w:r>
      <w:r>
        <w:t xml:space="preserve"> </w:t>
      </w:r>
      <w:r>
        <w:t xml:space="preserve">mecanismo adicional transformaria a comunicação em tratamento</w:t>
      </w:r>
      <w:r>
        <w:t xml:space="preserve"> </w:t>
      </w:r>
      <w:r>
        <w:t xml:space="preserve">assegurado.</w:t>
      </w:r>
    </w:p>
    <w:p>
      <w:pPr>
        <w:pStyle w:val="916"/>
      </w:pPr>
      <w:r>
        <w:rPr>
          <w:b/>
          <w:bCs/>
        </w:rPr>
        <w:t xml:space="preserve">Exemplo 2 (19612_1/674776_2.json)</w:t>
      </w:r>
    </w:p>
    <w:p>
      <w:pPr>
        <w:pStyle w:val="916"/>
      </w:pPr>
      <w:r>
        <w:t xml:space="preserve">Avaliar a necessidade de encaminhamento de representação ao Ministério</w:t>
      </w:r>
      <w:r>
        <w:t xml:space="preserve"> </w:t>
      </w:r>
      <w:r>
        <w:t xml:space="preserve">Público Federal e ao Tribunal de Contas da União para julgamento da</w:t>
      </w:r>
      <w:r>
        <w:t xml:space="preserve"> </w:t>
      </w:r>
      <w:r>
        <w:t xml:space="preserve">conduta de montagem de processo de cotação de preço posterior a</w:t>
      </w:r>
      <w:r>
        <w:t xml:space="preserve"> </w:t>
      </w:r>
      <w:r>
        <w:t xml:space="preserve">celebração do contrato, nos termos do art. 58 da Portaria</w:t>
      </w:r>
      <w:r>
        <w:t xml:space="preserve"> </w:t>
      </w:r>
      <w:r>
        <w:t xml:space="preserve">Interministerial MP/MF/CGU nº 424/2016.</w:t>
      </w:r>
    </w:p>
    <w:p>
      <w:pPr>
        <w:pStyle w:val="916"/>
      </w:pPr>
      <w:r>
        <w:rPr>
          <w:b/>
          <w:bCs/>
        </w:rPr>
        <w:t xml:space="preserve">Justificativa da IA:</w:t>
      </w:r>
      <w:r>
        <w:t xml:space="preserve"> </w:t>
      </w:r>
      <w:r>
        <w:t xml:space="preserve">A recomendação limita-se a avaliar o</w:t>
      </w:r>
      <w:r>
        <w:t xml:space="preserve"> </w:t>
      </w:r>
      <w:r>
        <w:t xml:space="preserve">encaminhamento de representação para julgamento por órgãos externos. A</w:t>
      </w:r>
      <w:r>
        <w:t xml:space="preserve"> </w:t>
      </w:r>
      <w:r>
        <w:t xml:space="preserve">análise inicial infere efeito dissuasório institucional, enquanto a</w:t>
      </w:r>
      <w:r>
        <w:t xml:space="preserve"> </w:t>
      </w:r>
      <w:r>
        <w:t xml:space="preserve">crítica aponta que o encaminhamento isolado não assegura precedente ou</w:t>
      </w:r>
      <w:r>
        <w:t xml:space="preserve"> </w:t>
      </w:r>
      <w:r>
        <w:t xml:space="preserve">mudança permanente; a divergência decorre da extrapolação entre</w:t>
      </w:r>
      <w:r>
        <w:t xml:space="preserve"> </w:t>
      </w:r>
      <w:r>
        <w:t xml:space="preserve">investigação/responsabilização potencial e tratamento efetivo.</w:t>
      </w:r>
    </w:p>
    <w:p>
      <w:pPr>
        <w:pStyle w:val="916"/>
      </w:pPr>
      <w:r>
        <w:rPr>
          <w:b/>
          <w:bCs/>
        </w:rPr>
        <w:t xml:space="preserve">Limites observados pela IA:</w:t>
      </w:r>
      <w:r>
        <w:t xml:space="preserve"> </w:t>
      </w:r>
      <w:r>
        <w:t xml:space="preserve">Não há determinação de correção dos</w:t>
      </w:r>
      <w:r>
        <w:t xml:space="preserve"> </w:t>
      </w:r>
      <w:r>
        <w:t xml:space="preserve">procedimentos internos ou de prevenção de novas montagens de processos.</w:t>
      </w:r>
    </w:p>
    <w:bookmarkEnd w:id="832"/>
    <w:bookmarkStart w:id="833" w:name="X4aa93df1e6a6951484ced80c8c4311159cedff8"/>
    <w:p>
      <w:pPr>
        <w:pStyle w:val="908"/>
      </w:pPr>
      <w:r>
        <w:t xml:space="preserve">18.1.1.4.8 C6 — Formalização sem institucionalização demonstrada</w:t>
      </w:r>
    </w:p>
    <w:p>
      <w:pPr>
        <w:pStyle w:val="917"/>
      </w:pPr>
      <w:r>
        <w:rPr>
          <w:b/>
          <w:bCs/>
        </w:rPr>
        <w:t xml:space="preserve">Definição:</w:t>
      </w:r>
      <w:r>
        <w:t xml:space="preserve"> </w:t>
      </w:r>
      <w:r>
        <w:t xml:space="preserve">A recomendação cria ou atualiza documentos, planos,</w:t>
      </w:r>
      <w:r>
        <w:t xml:space="preserve"> </w:t>
      </w:r>
      <w:r>
        <w:t xml:space="preserve">registros ou fluxos sem demonstrar implementação, manutenção e</w:t>
      </w:r>
      <w:r>
        <w:t xml:space="preserve"> </w:t>
      </w:r>
      <w:r>
        <w:t xml:space="preserve">integração institucional.</w:t>
      </w:r>
    </w:p>
    <w:p>
      <w:pPr>
        <w:pStyle w:val="916"/>
      </w:pPr>
      <w:r>
        <w:rPr>
          <w:b/>
          <w:bCs/>
        </w:rPr>
        <w:t xml:space="preserve">Critérios de inclusão:</w:t>
      </w:r>
      <w:r>
        <w:t xml:space="preserve"> </w:t>
      </w:r>
      <w:r>
        <w:t xml:space="preserve">criação ou aprimoramento de instrumento</w:t>
      </w:r>
      <w:r>
        <w:t xml:space="preserve"> </w:t>
      </w:r>
      <w:r>
        <w:t xml:space="preserve">formal; ausência de implementação ou monitoramento demonstrado</w:t>
      </w:r>
    </w:p>
    <w:p>
      <w:pPr>
        <w:pStyle w:val="916"/>
      </w:pPr>
      <w:r>
        <w:rPr>
          <w:b/>
          <w:bCs/>
        </w:rPr>
        <w:t xml:space="preserve">Critérios de exclusão:</w:t>
      </w:r>
      <w:r>
        <w:t xml:space="preserve"> </w:t>
      </w:r>
      <w:r>
        <w:t xml:space="preserve">mera citação de norma; execução reiterada por</w:t>
      </w:r>
      <w:r>
        <w:t xml:space="preserve"> </w:t>
      </w:r>
      <w:r>
        <w:t xml:space="preserve">pessoas como mecanismo predominante</w:t>
      </w:r>
    </w:p>
    <w:p>
      <w:pPr>
        <w:pStyle w:val="916"/>
      </w:pPr>
      <w:r>
        <w:rPr>
          <w:b/>
          <w:bCs/>
        </w:rPr>
        <w:t xml:space="preserve">Exemplo 1 (19616_1/676245_1.json)</w:t>
      </w:r>
    </w:p>
    <w:p>
      <w:pPr>
        <w:pStyle w:val="916"/>
      </w:pPr>
      <w:r>
        <w:t xml:space="preserve">Determinar ao DSEI que insira a avaliação de desempenho da convenente no</w:t>
      </w:r>
      <w:r>
        <w:t xml:space="preserve"> </w:t>
      </w:r>
      <w:r>
        <w:t xml:space="preserve">Transferegov, em conformidade ao previsto no § 7º, art. 16, da Portaria</w:t>
      </w:r>
      <w:r>
        <w:t xml:space="preserve"> </w:t>
      </w:r>
      <w:r>
        <w:t xml:space="preserve">de Consolidação nº 1 SESAI/MS, de 17/12/2020.</w:t>
      </w:r>
    </w:p>
    <w:p>
      <w:pPr>
        <w:pStyle w:val="916"/>
      </w:pPr>
      <w:r>
        <w:rPr>
          <w:b/>
          <w:bCs/>
        </w:rPr>
        <w:t xml:space="preserve">Justificativa da IA:</w:t>
      </w:r>
      <w:r>
        <w:t xml:space="preserve"> </w:t>
      </w:r>
      <w:r>
        <w:t xml:space="preserve">A recomendação determina inserir a avaliação de</w:t>
      </w:r>
      <w:r>
        <w:t xml:space="preserve"> </w:t>
      </w:r>
      <w:r>
        <w:t xml:space="preserve">desempenho no Transferegov. A análise inicial interpreta o registro no</w:t>
      </w:r>
      <w:r>
        <w:t xml:space="preserve"> </w:t>
      </w:r>
      <w:r>
        <w:t xml:space="preserve">sistema como procedimento obrigatório e permanente, enquanto a crítica</w:t>
      </w:r>
      <w:r>
        <w:t xml:space="preserve"> </w:t>
      </w:r>
      <w:r>
        <w:t xml:space="preserve">aponta que a mera inserção não assegura a realização semestral nem</w:t>
      </w:r>
      <w:r>
        <w:t xml:space="preserve"> </w:t>
      </w:r>
      <w:r>
        <w:t xml:space="preserve">supervisão. A divergência se concentra na diferença entre formalizar o</w:t>
      </w:r>
      <w:r>
        <w:t xml:space="preserve"> </w:t>
      </w:r>
      <w:r>
        <w:t xml:space="preserve">fluxo no sistema e demonstrar sua execução continuada.</w:t>
      </w:r>
    </w:p>
    <w:p>
      <w:pPr>
        <w:pStyle w:val="916"/>
      </w:pPr>
      <w:r>
        <w:rPr>
          <w:b/>
          <w:bCs/>
        </w:rPr>
        <w:t xml:space="preserve">Limites observados pela IA:</w:t>
      </w:r>
      <w:r>
        <w:t xml:space="preserve"> </w:t>
      </w:r>
      <w:r>
        <w:t xml:space="preserve">Não há previsão expressa de controle</w:t>
      </w:r>
      <w:r>
        <w:t xml:space="preserve"> </w:t>
      </w:r>
      <w:r>
        <w:t xml:space="preserve">sobre a periodicidade, completude ou qualidade das avaliações inseridas.</w:t>
      </w:r>
    </w:p>
    <w:p>
      <w:pPr>
        <w:pStyle w:val="916"/>
      </w:pPr>
      <w:r>
        <w:rPr>
          <w:b/>
          <w:bCs/>
        </w:rPr>
        <w:t xml:space="preserve">Exemplo 2 (19669_1/684465_1.json)</w:t>
      </w:r>
    </w:p>
    <w:p>
      <w:pPr>
        <w:pStyle w:val="916"/>
      </w:pPr>
      <w:r>
        <w:t xml:space="preserve">Cumprir com o que estabelecem os Arts. 95, 96, 97 e 99, todos da</w:t>
      </w:r>
      <w:r>
        <w:t xml:space="preserve"> </w:t>
      </w:r>
      <w:r>
        <w:t xml:space="preserve">Portaria de Consolidação GM/MS n.º 01, de 28 de setembro de 2017, que</w:t>
      </w:r>
      <w:r>
        <w:t xml:space="preserve"> </w:t>
      </w:r>
      <w:r>
        <w:t xml:space="preserve">prevêem que os instrumentos para o planejamento no âmbito do SUS, o</w:t>
      </w:r>
      <w:r>
        <w:t xml:space="preserve"> </w:t>
      </w:r>
      <w:r>
        <w:t xml:space="preserve">Plano de Saúde (PS), as Programações Anuais de Saúde (PAS) e o Relatório</w:t>
      </w:r>
      <w:r>
        <w:t xml:space="preserve"> </w:t>
      </w:r>
      <w:r>
        <w:t xml:space="preserve">Anual de Gestão (RAG) que se interligam compondo um processo cíclico de</w:t>
      </w:r>
      <w:r>
        <w:t xml:space="preserve"> </w:t>
      </w:r>
      <w:r>
        <w:t xml:space="preserve">planejamento para operacionalização integrada, solidária e sistêmica do</w:t>
      </w:r>
      <w:r>
        <w:t xml:space="preserve"> </w:t>
      </w:r>
      <w:r>
        <w:t xml:space="preserve">SUS, onde o PS se configura como base para a execução, o acompanhamento,</w:t>
      </w:r>
      <w:r>
        <w:t xml:space="preserve"> </w:t>
      </w:r>
      <w:r>
        <w:t xml:space="preserve">a avaliação da gestão do sistema de saúde e contempla todas as áreas da</w:t>
      </w:r>
      <w:r>
        <w:t xml:space="preserve"> </w:t>
      </w:r>
      <w:r>
        <w:t xml:space="preserve">atenção à saúde, de modo a garantir a integralidade dessa atenção; que a</w:t>
      </w:r>
      <w:r>
        <w:t xml:space="preserve"> </w:t>
      </w:r>
      <w:r>
        <w:t xml:space="preserve">PAS é o instrumento que operacionaliza as intenções expressas no Plano</w:t>
      </w:r>
      <w:r>
        <w:t xml:space="preserve"> </w:t>
      </w:r>
      <w:r>
        <w:t xml:space="preserve">de Saúde e tem por objetivo anualizar as metas do Plano de Saúde e</w:t>
      </w:r>
      <w:r>
        <w:t xml:space="preserve"> </w:t>
      </w:r>
      <w:r>
        <w:t xml:space="preserve">prever a alocação dos recursos orçamentários a serem executados; e que o</w:t>
      </w:r>
      <w:r>
        <w:t xml:space="preserve"> </w:t>
      </w:r>
      <w:r>
        <w:t xml:space="preserve">RAG é o instrumento de gestão com elaboração anual que permite ao gestor</w:t>
      </w:r>
      <w:r>
        <w:t xml:space="preserve"> </w:t>
      </w:r>
      <w:r>
        <w:t xml:space="preserve">apresentar os resultados alcançados com a execução da PAS e orienta</w:t>
      </w:r>
      <w:r>
        <w:t xml:space="preserve"> </w:t>
      </w:r>
      <w:r>
        <w:t xml:space="preserve">eventuais redirecionamentos que se fizerem necessários no Plano de</w:t>
      </w:r>
      <w:r>
        <w:t xml:space="preserve"> </w:t>
      </w:r>
      <w:r>
        <w:t xml:space="preserve">Saúde.</w:t>
      </w:r>
    </w:p>
    <w:p>
      <w:pPr>
        <w:pStyle w:val="916"/>
      </w:pPr>
      <w:r>
        <w:rPr>
          <w:b/>
          <w:bCs/>
        </w:rPr>
        <w:t xml:space="preserve">Justificativa da IA:</w:t>
      </w:r>
      <w:r>
        <w:t xml:space="preserve"> </w:t>
      </w:r>
      <w:r>
        <w:t xml:space="preserve">A recomendação enfatiza o cumprimento de regras</w:t>
      </w:r>
      <w:r>
        <w:t xml:space="preserve"> </w:t>
      </w:r>
      <w:r>
        <w:t xml:space="preserve">sobre PS, PAS e RAG e descreve suas funções no planejamento e</w:t>
      </w:r>
      <w:r>
        <w:t xml:space="preserve"> </w:t>
      </w:r>
      <w:r>
        <w:t xml:space="preserve">monitoramento. A análise inicial infere estruturas permanentes, mas a</w:t>
      </w:r>
      <w:r>
        <w:t xml:space="preserve"> </w:t>
      </w:r>
      <w:r>
        <w:t xml:space="preserve">análise crítica não confirma que a formalização documental se converta</w:t>
      </w:r>
      <w:r>
        <w:t xml:space="preserve"> </w:t>
      </w:r>
      <w:r>
        <w:t xml:space="preserve">em execução institucional; por isso, o mecanismo predominante é</w:t>
      </w:r>
      <w:r>
        <w:t xml:space="preserve"> </w:t>
      </w:r>
      <w:r>
        <w:t xml:space="preserve">formalização sem institucionalização demonstrada.</w:t>
      </w:r>
    </w:p>
    <w:p>
      <w:pPr>
        <w:pStyle w:val="916"/>
      </w:pPr>
      <w:r>
        <w:rPr>
          <w:b/>
          <w:bCs/>
        </w:rPr>
        <w:t xml:space="preserve">Limites observados pela IA:</w:t>
      </w:r>
      <w:r>
        <w:t xml:space="preserve"> </w:t>
      </w:r>
      <w:r>
        <w:t xml:space="preserve">A análise crítica é inconclusiva e não</w:t>
      </w:r>
      <w:r>
        <w:t xml:space="preserve"> </w:t>
      </w:r>
      <w:r>
        <w:t xml:space="preserve">informa se os instrumentos foram elaborados, utilizados ou monitorados.</w:t>
      </w:r>
    </w:p>
    <w:bookmarkEnd w:id="833"/>
    <w:bookmarkStart w:id="834" w:name="Xc92dce27464fa7829b8d8a803806d71a25ade30"/>
    <w:p>
      <w:pPr>
        <w:pStyle w:val="908"/>
      </w:pPr>
      <w:r>
        <w:t xml:space="preserve">18.1.1.4.9 C7 — Adequação estrutural ou física com efeito material</w:t>
      </w:r>
    </w:p>
    <w:p>
      <w:pPr>
        <w:pStyle w:val="917"/>
      </w:pPr>
      <w:r>
        <w:rPr>
          <w:b/>
          <w:bCs/>
        </w:rPr>
        <w:t xml:space="preserve">Definição:</w:t>
      </w:r>
      <w:r>
        <w:t xml:space="preserve"> </w:t>
      </w:r>
      <w:r>
        <w:t xml:space="preserve">A recomendação determina investimento, construção,</w:t>
      </w:r>
      <w:r>
        <w:t xml:space="preserve"> </w:t>
      </w:r>
      <w:r>
        <w:t xml:space="preserve">adaptação ou modificação física ou técnica que produz uma condição</w:t>
      </w:r>
      <w:r>
        <w:t xml:space="preserve"> </w:t>
      </w:r>
      <w:r>
        <w:t xml:space="preserve">material potencialmente persistente, mas cuja manutenção ou aderência</w:t>
      </w:r>
      <w:r>
        <w:t xml:space="preserve"> </w:t>
      </w:r>
      <w:r>
        <w:t xml:space="preserve">posterior pode afetar a durabilidade.</w:t>
      </w:r>
    </w:p>
    <w:p>
      <w:pPr>
        <w:pStyle w:val="916"/>
      </w:pPr>
      <w:r>
        <w:rPr>
          <w:b/>
          <w:bCs/>
        </w:rPr>
        <w:t xml:space="preserve">Critérios de inclusão:</w:t>
      </w:r>
      <w:r>
        <w:t xml:space="preserve"> </w:t>
      </w:r>
      <w:r>
        <w:t xml:space="preserve">obra, adaptação ou investimento físico como</w:t>
      </w:r>
      <w:r>
        <w:t xml:space="preserve"> </w:t>
      </w:r>
      <w:r>
        <w:t xml:space="preserve">ação central; alteração material de instalações ou infraestrutura;</w:t>
      </w:r>
      <w:r>
        <w:t xml:space="preserve"> </w:t>
      </w:r>
      <w:r>
        <w:t xml:space="preserve">efeito duradouro inferido da mudança física, sem depender principalmente</w:t>
      </w:r>
      <w:r>
        <w:t xml:space="preserve"> </w:t>
      </w:r>
      <w:r>
        <w:t xml:space="preserve">de formalização documental</w:t>
      </w:r>
    </w:p>
    <w:p>
      <w:pPr>
        <w:pStyle w:val="916"/>
      </w:pPr>
      <w:r>
        <w:rPr>
          <w:b/>
          <w:bCs/>
        </w:rPr>
        <w:t xml:space="preserve">Critérios de exclusão:</w:t>
      </w:r>
      <w:r>
        <w:t xml:space="preserve"> </w:t>
      </w:r>
      <w:r>
        <w:t xml:space="preserve">mera referência a requisitos normativos sem</w:t>
      </w:r>
      <w:r>
        <w:t xml:space="preserve"> </w:t>
      </w:r>
      <w:r>
        <w:t xml:space="preserve">intervenção material definida; rotinas operacionais ou supervisão</w:t>
      </w:r>
      <w:r>
        <w:t xml:space="preserve"> </w:t>
      </w:r>
      <w:r>
        <w:t xml:space="preserve">recorrente como mecanismo predominante; criação ou atualização de</w:t>
      </w:r>
      <w:r>
        <w:t xml:space="preserve"> </w:t>
      </w:r>
      <w:r>
        <w:t xml:space="preserve">documentos, registros ou fluxos</w:t>
      </w:r>
    </w:p>
    <w:p>
      <w:pPr>
        <w:pStyle w:val="916"/>
      </w:pPr>
      <w:r>
        <w:rPr>
          <w:b/>
          <w:bCs/>
        </w:rPr>
        <w:t xml:space="preserve">Exemplo 1 (19727_1/691843_1.json)</w:t>
      </w:r>
    </w:p>
    <w:p>
      <w:pPr>
        <w:pStyle w:val="916"/>
      </w:pPr>
      <w:r>
        <w:t xml:space="preserve">À SMS/CG/PB para realizar os investimentos necessários para adequar as</w:t>
      </w:r>
      <w:r>
        <w:t xml:space="preserve"> </w:t>
      </w:r>
      <w:r>
        <w:t xml:space="preserve">instalações do estabelecimento às exigências legais e às melhores</w:t>
      </w:r>
      <w:r>
        <w:t xml:space="preserve"> </w:t>
      </w:r>
      <w:r>
        <w:t xml:space="preserve">práticas de saúde e segurança, incluindo o dimensionamento levando-se em</w:t>
      </w:r>
      <w:r>
        <w:t xml:space="preserve"> </w:t>
      </w:r>
      <w:r>
        <w:t xml:space="preserve">conta o tamanho da equipe e o número de postos de trabalho e o</w:t>
      </w:r>
      <w:r>
        <w:t xml:space="preserve"> </w:t>
      </w:r>
      <w:r>
        <w:t xml:space="preserve">isolamento acústico para eliminar ruídos e auxiliar no sigilo</w:t>
      </w:r>
      <w:r>
        <w:t xml:space="preserve"> </w:t>
      </w:r>
      <w:r>
        <w:t xml:space="preserve">ético-profissional das informações em conformidade com o Anexo 4 do</w:t>
      </w:r>
      <w:r>
        <w:t xml:space="preserve"> </w:t>
      </w:r>
      <w:r>
        <w:t xml:space="preserve">Anexo III da Portaria de Consolidação nº 3, de 28/09/2017 -</w:t>
      </w:r>
      <w:r>
        <w:t xml:space="preserve"> </w:t>
      </w:r>
      <w:r>
        <w:t xml:space="preserve">dimensionamento técnico para estruturação física das centrais de</w:t>
      </w:r>
      <w:r>
        <w:t xml:space="preserve"> </w:t>
      </w:r>
      <w:r>
        <w:t xml:space="preserve">regulação médica das urgências e Art. 915, Seção IV, Capítulo II, Título</w:t>
      </w:r>
      <w:r>
        <w:t xml:space="preserve"> </w:t>
      </w:r>
      <w:r>
        <w:t xml:space="preserve">VIII da Portaria de Consolidação nº 6, de 28/09/2017.</w:t>
      </w:r>
    </w:p>
    <w:p>
      <w:pPr>
        <w:pStyle w:val="916"/>
      </w:pPr>
      <w:r>
        <w:rPr>
          <w:b/>
          <w:bCs/>
        </w:rPr>
        <w:t xml:space="preserve">Justificativa da IA:</w:t>
      </w:r>
      <w:r>
        <w:t xml:space="preserve"> </w:t>
      </w:r>
      <w:r>
        <w:t xml:space="preserve">A recomendação determina investimentos,</w:t>
      </w:r>
      <w:r>
        <w:t xml:space="preserve"> </w:t>
      </w:r>
      <w:r>
        <w:t xml:space="preserve">dimensionamento e isolamento acústico, produzindo alterações materiais</w:t>
      </w:r>
      <w:r>
        <w:t xml:space="preserve"> </w:t>
      </w:r>
      <w:r>
        <w:t xml:space="preserve">na Central de Regulação. A análise inicial considera essas mudanças</w:t>
      </w:r>
      <w:r>
        <w:t xml:space="preserve"> </w:t>
      </w:r>
      <w:r>
        <w:t xml:space="preserve">permanentes, enquanto a análise crítica ressalta que a manutenção e a</w:t>
      </w:r>
      <w:r>
        <w:t xml:space="preserve"> </w:t>
      </w:r>
      <w:r>
        <w:t xml:space="preserve">aderência posterior às normas não são garantidas apenas pela</w:t>
      </w:r>
      <w:r>
        <w:t xml:space="preserve"> </w:t>
      </w:r>
      <w:r>
        <w:t xml:space="preserve">implementação inicial.</w:t>
      </w:r>
    </w:p>
    <w:p>
      <w:pPr>
        <w:pStyle w:val="916"/>
      </w:pPr>
      <w:r>
        <w:rPr>
          <w:b/>
          <w:bCs/>
        </w:rPr>
        <w:t xml:space="preserve">Limites observados pela IA:</w:t>
      </w:r>
      <w:r>
        <w:t xml:space="preserve"> </w:t>
      </w:r>
      <w:r>
        <w:t xml:space="preserve">A recomendação não especifica mecanismos</w:t>
      </w:r>
      <w:r>
        <w:t xml:space="preserve"> </w:t>
      </w:r>
      <w:r>
        <w:t xml:space="preserve">de manutenção da infraestrutura nem de verificação continuada da</w:t>
      </w:r>
      <w:r>
        <w:t xml:space="preserve"> </w:t>
      </w:r>
      <w:r>
        <w:t xml:space="preserve">conformidade.</w:t>
      </w:r>
    </w:p>
    <w:p>
      <w:pPr>
        <w:pStyle w:val="916"/>
      </w:pPr>
      <w:r>
        <w:rPr>
          <w:b/>
          <w:bCs/>
        </w:rPr>
        <w:t xml:space="preserve">Exemplo 2 (19854_1/701907_3.json)</w:t>
      </w:r>
    </w:p>
    <w:p>
      <w:pPr>
        <w:pStyle w:val="916"/>
      </w:pPr>
      <w:r>
        <w:t xml:space="preserve">Adequar o mobiliário dos postos de trabalho ao disposto no item 17.6, e</w:t>
      </w:r>
      <w:r>
        <w:t xml:space="preserve"> </w:t>
      </w:r>
      <w:r>
        <w:t xml:space="preserve">seus subitens, da Norma Regulamentadora n.º 17 - Ergonomia (Redação dada</w:t>
      </w:r>
      <w:r>
        <w:t xml:space="preserve"> </w:t>
      </w:r>
      <w:r>
        <w:t xml:space="preserve">pela Portaria MTP n.º 423, de 07/10/2021).</w:t>
      </w:r>
    </w:p>
    <w:p>
      <w:pPr>
        <w:pStyle w:val="916"/>
      </w:pPr>
      <w:r>
        <w:rPr>
          <w:b/>
          <w:bCs/>
        </w:rPr>
        <w:t xml:space="preserve">Justificativa da IA:</w:t>
      </w:r>
      <w:r>
        <w:t xml:space="preserve"> </w:t>
      </w:r>
      <w:r>
        <w:t xml:space="preserve">A recomendação determina adequação material do</w:t>
      </w:r>
      <w:r>
        <w:t xml:space="preserve"> </w:t>
      </w:r>
      <w:r>
        <w:t xml:space="preserve">mobiliário, levando a análise inicial a inferir persistência da condição</w:t>
      </w:r>
      <w:r>
        <w:t xml:space="preserve"> </w:t>
      </w:r>
      <w:r>
        <w:t xml:space="preserve">física. A análise crítica ressalta que a correção do mobiliário não</w:t>
      </w:r>
      <w:r>
        <w:t xml:space="preserve"> </w:t>
      </w:r>
      <w:r>
        <w:t xml:space="preserve">demonstra como a unidade manterá a adequação ou evitará nova</w:t>
      </w:r>
      <w:r>
        <w:t xml:space="preserve"> </w:t>
      </w:r>
      <w:r>
        <w:t xml:space="preserve">deterioração.</w:t>
      </w:r>
    </w:p>
    <w:p>
      <w:pPr>
        <w:pStyle w:val="916"/>
      </w:pPr>
      <w:r>
        <w:rPr>
          <w:b/>
          <w:bCs/>
        </w:rPr>
        <w:t xml:space="preserve">Limites observados pela IA:</w:t>
      </w:r>
      <w:r>
        <w:t xml:space="preserve"> </w:t>
      </w:r>
      <w:r>
        <w:t xml:space="preserve">Não são especificados recursos,</w:t>
      </w:r>
      <w:r>
        <w:t xml:space="preserve"> </w:t>
      </w:r>
      <w:r>
        <w:t xml:space="preserve">responsáveis ou procedimentos de manutenção do mobiliário.</w:t>
      </w:r>
    </w:p>
    <w:bookmarkEnd w:id="834"/>
    <w:bookmarkEnd w:id="835"/>
    <w:bookmarkEnd w:id="836"/>
    <w:bookmarkStart w:id="837" w:name="arquivos-produzidos"/>
    <w:p>
      <w:pPr>
        <w:pStyle w:val="906"/>
      </w:pPr>
      <w:r>
        <w:t xml:space="preserve">18.1.2 Arquivos produzidos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918"/>
              <w:jc w:val="left"/>
            </w:pPr>
            <w:r>
              <w:t xml:space="preserve">prompt</w:t>
            </w:r>
          </w:p>
        </w:tc>
        <w:tc>
          <w:tcPr/>
          <w:p>
            <w:pPr>
              <w:pStyle w:val="918"/>
              <w:jc w:val="right"/>
            </w:pPr>
            <w:r>
              <w:t xml:space="preserve">Arquivos JSON salvos</w:t>
            </w:r>
          </w:p>
        </w:tc>
        <w:tc>
          <w:tcPr/>
          <w:p>
            <w:pPr>
              <w:pStyle w:val="918"/>
              <w:jc w:val="left"/>
            </w:pPr>
            <w:r>
              <w:t xml:space="preserve">Diretório</w:t>
            </w:r>
          </w:p>
        </w:tc>
        <w:tc>
          <w:tcPr/>
          <w:p>
            <w:pPr>
              <w:pStyle w:val="918"/>
              <w:jc w:val="right"/>
            </w:pPr>
            <w:r>
              <w:t xml:space="preserve">Semente utilizada</w:t>
            </w:r>
          </w:p>
        </w:tc>
      </w:tr>
      <w:tr>
        <w:tc>
          <w:tcPr/>
          <w:p>
            <w:pPr>
              <w:pStyle w:val="918"/>
              <w:jc w:val="left"/>
            </w:pPr>
            <w:r>
              <w:t xml:space="preserve">etiquetador_divergencias_1</w:t>
            </w:r>
          </w:p>
        </w:tc>
        <w:tc>
          <w:tcPr/>
          <w:p>
            <w:pPr>
              <w:pStyle w:val="918"/>
              <w:jc w:val="right"/>
            </w:pPr>
            <w:r>
              <w:t xml:space="preserve">1</w:t>
            </w:r>
          </w:p>
        </w:tc>
        <w:tc>
          <w:tcPr/>
          <w:p>
            <w:pPr>
              <w:pStyle w:val="918"/>
              <w:jc w:val="left"/>
            </w:pPr>
            <w:r>
              <w:t xml:space="preserve">gpt-5.6-luna/etiquetador_divergencias_1</w:t>
            </w:r>
          </w:p>
        </w:tc>
        <w:tc>
          <w:tcPr/>
          <w:p>
            <w:pPr>
              <w:pStyle w:val="918"/>
              <w:jc w:val="right"/>
            </w:pPr>
            <w:r>
              <w:t xml:space="preserve">42</w:t>
            </w:r>
          </w:p>
        </w:tc>
      </w:tr>
      <w:tr>
        <w:tc>
          <w:tcPr/>
          <w:p>
            <w:pPr>
              <w:pStyle w:val="918"/>
              <w:jc w:val="left"/>
            </w:pPr>
            <w:r>
              <w:t xml:space="preserve">etiquetador_divergencias_2</w:t>
            </w:r>
          </w:p>
        </w:tc>
        <w:tc>
          <w:tcPr/>
          <w:p>
            <w:pPr>
              <w:pStyle w:val="918"/>
              <w:jc w:val="right"/>
            </w:pPr>
            <w:r>
              <w:t xml:space="preserve">1</w:t>
            </w:r>
          </w:p>
        </w:tc>
        <w:tc>
          <w:tcPr/>
          <w:p>
            <w:pPr>
              <w:pStyle w:val="918"/>
              <w:jc w:val="left"/>
            </w:pPr>
            <w:r>
              <w:t xml:space="preserve">gpt-5.6-luna/etiquetador_divergencias_2</w:t>
            </w:r>
          </w:p>
        </w:tc>
        <w:tc>
          <w:tcPr/>
          <w:p>
            <w:pPr>
              <w:pStyle w:val="918"/>
              <w:jc w:val="right"/>
            </w:pPr>
            <w:r>
              <w:t xml:space="preserve">42</w:t>
            </w:r>
          </w:p>
        </w:tc>
      </w:tr>
      <w:tr>
        <w:tc>
          <w:tcPr/>
          <w:p>
            <w:pPr>
              <w:pStyle w:val="918"/>
              <w:jc w:val="left"/>
            </w:pPr>
            <w:r>
              <w:t xml:space="preserve">etiquetador_divergencias_3</w:t>
            </w:r>
          </w:p>
        </w:tc>
        <w:tc>
          <w:tcPr/>
          <w:p>
            <w:pPr>
              <w:pStyle w:val="918"/>
              <w:jc w:val="right"/>
            </w:pPr>
            <w:r>
              <w:t xml:space="preserve">1</w:t>
            </w:r>
          </w:p>
        </w:tc>
        <w:tc>
          <w:tcPr/>
          <w:p>
            <w:pPr>
              <w:pStyle w:val="918"/>
              <w:jc w:val="left"/>
            </w:pPr>
            <w:r>
              <w:t xml:space="preserve">gpt-5.6-luna/etiquetador_divergencias_3</w:t>
            </w:r>
          </w:p>
        </w:tc>
        <w:tc>
          <w:tcPr/>
          <w:p>
            <w:pPr>
              <w:pStyle w:val="918"/>
              <w:jc w:val="right"/>
            </w:pPr>
            <w:r>
              <w:t xml:space="preserve">42</w:t>
            </w:r>
          </w:p>
        </w:tc>
      </w:tr>
      <w:tr>
        <w:tc>
          <w:tcPr/>
          <w:p>
            <w:pPr>
              <w:pStyle w:val="918"/>
              <w:jc w:val="left"/>
            </w:pPr>
            <w:r>
              <w:t xml:space="preserve">etiquetador_divergencias_final</w:t>
            </w:r>
          </w:p>
        </w:tc>
        <w:tc>
          <w:tcPr/>
          <w:p>
            <w:pPr>
              <w:pStyle w:val="918"/>
              <w:jc w:val="right"/>
            </w:pPr>
            <w:r>
              <w:t xml:space="preserve">30</w:t>
            </w:r>
          </w:p>
        </w:tc>
        <w:tc>
          <w:tcPr/>
          <w:p>
            <w:pPr>
              <w:pStyle w:val="918"/>
              <w:jc w:val="left"/>
            </w:pPr>
            <w:r>
              <w:t xml:space="preserve">gpt-5.6-luna/etiquetador_divergencias_final</w:t>
            </w:r>
          </w:p>
        </w:tc>
        <w:tc>
          <w:tcPr/>
          <w:p>
            <w:pPr>
              <w:pStyle w:val="918"/>
              <w:jc w:val="right"/>
            </w:pPr>
            <w:r>
              <w:t xml:space="preserve">42</w:t>
            </w:r>
          </w:p>
        </w:tc>
      </w:tr>
    </w:tbl>
    <w:bookmarkEnd w:id="837"/>
    <w:bookmarkStart w:id="838" w:name="resumo"/>
    <w:p>
      <w:pPr>
        <w:pStyle w:val="906"/>
      </w:pPr>
      <w:r>
        <w:t xml:space="preserve">18.1.3 Resumo</w:t>
      </w:r>
    </w:p>
    <w:p>
      <w:pPr>
        <w:pStyle w:val="917"/>
      </w:pPr>
      <w:r>
        <w:t xml:space="preserve">O quadro abaixo resume a classificação final das 747 recomendações. As rodadas exploratórias subsidiaram a elaboração da taxonomia, mas não integram as frequências finais, pois algumas unidades foram examinadas novamente. Cada recomendação recebeu uma categoria principal.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918"/>
              <w:jc w:val="left"/>
            </w:pPr>
            <w:r>
              <w:t xml:space="preserve">ID da categoria</w:t>
            </w:r>
          </w:p>
        </w:tc>
        <w:tc>
          <w:tcPr/>
          <w:p>
            <w:pPr>
              <w:pStyle w:val="918"/>
              <w:jc w:val="left"/>
            </w:pPr>
            <w:r>
              <w:t xml:space="preserve">Categoria</w:t>
            </w:r>
          </w:p>
        </w:tc>
        <w:tc>
          <w:tcPr/>
          <w:p>
            <w:pPr>
              <w:pStyle w:val="918"/>
              <w:jc w:val="right"/>
            </w:pPr>
            <w:r>
              <w:t xml:space="preserve">Recomendações</w:t>
            </w:r>
          </w:p>
        </w:tc>
      </w:tr>
      <w:tr>
        <w:tc>
          <w:tcPr/>
          <w:p>
            <w:pPr>
              <w:pStyle w:val="918"/>
              <w:jc w:val="left"/>
            </w:pPr>
            <w:r>
              <w:t xml:space="preserve">C1</w:t>
            </w:r>
          </w:p>
        </w:tc>
        <w:tc>
          <w:tcPr/>
          <w:p>
            <w:pPr>
              <w:pStyle w:val="918"/>
              <w:jc w:val="left"/>
            </w:pPr>
            <w:r>
              <w:t xml:space="preserve">Conformidade normativa sem mecanismo de implementação</w:t>
            </w:r>
          </w:p>
        </w:tc>
        <w:tc>
          <w:tcPr/>
          <w:p>
            <w:pPr>
              <w:pStyle w:val="918"/>
              <w:jc w:val="right"/>
            </w:pPr>
            <w:r>
              <w:t xml:space="preserve">117</w:t>
            </w:r>
          </w:p>
        </w:tc>
      </w:tr>
      <w:tr>
        <w:tc>
          <w:tcPr/>
          <w:p>
            <w:pPr>
              <w:pStyle w:val="918"/>
              <w:jc w:val="left"/>
            </w:pPr>
            <w:r>
              <w:t xml:space="preserve">C2</w:t>
            </w:r>
          </w:p>
        </w:tc>
        <w:tc>
          <w:tcPr/>
          <w:p>
            <w:pPr>
              <w:pStyle w:val="918"/>
              <w:jc w:val="left"/>
            </w:pPr>
            <w:r>
              <w:t xml:space="preserve">Execução continuada dependente de adesão</w:t>
            </w:r>
          </w:p>
        </w:tc>
        <w:tc>
          <w:tcPr/>
          <w:p>
            <w:pPr>
              <w:pStyle w:val="918"/>
              <w:jc w:val="right"/>
            </w:pPr>
            <w:r>
              <w:t xml:space="preserve">281</w:t>
            </w:r>
          </w:p>
        </w:tc>
      </w:tr>
      <w:tr>
        <w:tc>
          <w:tcPr/>
          <w:p>
            <w:pPr>
              <w:pStyle w:val="918"/>
              <w:jc w:val="left"/>
            </w:pPr>
            <w:r>
              <w:t xml:space="preserve">C3</w:t>
            </w:r>
          </w:p>
        </w:tc>
        <w:tc>
          <w:tcPr/>
          <w:p>
            <w:pPr>
              <w:pStyle w:val="918"/>
              <w:jc w:val="left"/>
            </w:pPr>
            <w:r>
              <w:t xml:space="preserve">Capacitação sujeita a atualização e retenção</w:t>
            </w:r>
          </w:p>
        </w:tc>
        <w:tc>
          <w:tcPr/>
          <w:p>
            <w:pPr>
              <w:pStyle w:val="918"/>
              <w:jc w:val="right"/>
            </w:pPr>
            <w:r>
              <w:t xml:space="preserve">38</w:t>
            </w:r>
          </w:p>
        </w:tc>
      </w:tr>
      <w:tr>
        <w:tc>
          <w:tcPr/>
          <w:p>
            <w:pPr>
              <w:pStyle w:val="918"/>
              <w:jc w:val="left"/>
            </w:pPr>
            <w:r>
              <w:t xml:space="preserve">C4</w:t>
            </w:r>
          </w:p>
        </w:tc>
        <w:tc>
          <w:tcPr/>
          <w:p>
            <w:pPr>
              <w:pStyle w:val="918"/>
              <w:jc w:val="left"/>
            </w:pPr>
            <w:r>
              <w:t xml:space="preserve">Pacote heterogêneo de ações</w:t>
            </w:r>
          </w:p>
        </w:tc>
        <w:tc>
          <w:tcPr/>
          <w:p>
            <w:pPr>
              <w:pStyle w:val="918"/>
              <w:jc w:val="right"/>
            </w:pPr>
            <w:r>
              <w:t xml:space="preserve">205</w:t>
            </w:r>
          </w:p>
        </w:tc>
      </w:tr>
      <w:tr>
        <w:tc>
          <w:tcPr/>
          <w:p>
            <w:pPr>
              <w:pStyle w:val="918"/>
              <w:jc w:val="left"/>
            </w:pPr>
            <w:r>
              <w:t xml:space="preserve">C5</w:t>
            </w:r>
          </w:p>
        </w:tc>
        <w:tc>
          <w:tcPr/>
          <w:p>
            <w:pPr>
              <w:pStyle w:val="918"/>
              <w:jc w:val="left"/>
            </w:pPr>
            <w:r>
              <w:t xml:space="preserve">Investigação sem tratamento assegurado</w:t>
            </w:r>
          </w:p>
        </w:tc>
        <w:tc>
          <w:tcPr/>
          <w:p>
            <w:pPr>
              <w:pStyle w:val="918"/>
              <w:jc w:val="right"/>
            </w:pPr>
            <w:r>
              <w:t xml:space="preserve">13</w:t>
            </w:r>
          </w:p>
        </w:tc>
      </w:tr>
      <w:tr>
        <w:tc>
          <w:tcPr/>
          <w:p>
            <w:pPr>
              <w:pStyle w:val="918"/>
              <w:jc w:val="left"/>
            </w:pPr>
            <w:r>
              <w:t xml:space="preserve">C6</w:t>
            </w:r>
          </w:p>
        </w:tc>
        <w:tc>
          <w:tcPr/>
          <w:p>
            <w:pPr>
              <w:pStyle w:val="918"/>
              <w:jc w:val="left"/>
            </w:pPr>
            <w:r>
              <w:t xml:space="preserve">Formalização sem institucionalização demonstrada</w:t>
            </w:r>
          </w:p>
        </w:tc>
        <w:tc>
          <w:tcPr/>
          <w:p>
            <w:pPr>
              <w:pStyle w:val="918"/>
              <w:jc w:val="right"/>
            </w:pPr>
            <w:r>
              <w:t xml:space="preserve">85</w:t>
            </w:r>
          </w:p>
        </w:tc>
      </w:tr>
      <w:tr>
        <w:tc>
          <w:tcPr/>
          <w:p>
            <w:pPr>
              <w:pStyle w:val="918"/>
              <w:jc w:val="left"/>
            </w:pPr>
            <w:r>
              <w:t xml:space="preserve">C7</w:t>
            </w:r>
          </w:p>
        </w:tc>
        <w:tc>
          <w:tcPr/>
          <w:p>
            <w:pPr>
              <w:pStyle w:val="918"/>
              <w:jc w:val="left"/>
            </w:pPr>
            <w:r>
              <w:t xml:space="preserve">Adequação estrutural ou física com efeito material</w:t>
            </w:r>
          </w:p>
        </w:tc>
        <w:tc>
          <w:tcPr/>
          <w:p>
            <w:pPr>
              <w:pStyle w:val="918"/>
              <w:jc w:val="right"/>
            </w:pPr>
            <w:r>
              <w:t xml:space="preserve">8</w:t>
            </w:r>
          </w:p>
        </w:tc>
      </w:tr>
      <w:tr>
        <w:tc>
          <w:tcPr/>
          <w:p>
            <w:pPr>
              <w:pStyle w:val="918"/>
              <w:jc w:val="left"/>
            </w:pPr>
            <w:r>
              <w:rPr>
                <w:b/>
                <w:bCs/>
              </w:rPr>
              <w:t xml:space="preserve">Total</w:t>
            </w:r>
          </w:p>
        </w:tc>
        <w:tc>
          <w:tcPr/>
          <w:p>
            <w:pPr>
              <w:pStyle w:val="918"/>
            </w:pPr>
          </w:p>
        </w:tc>
        <w:tc>
          <w:tcPr/>
          <w:p>
            <w:pPr>
              <w:pStyle w:val="918"/>
              <w:jc w:val="right"/>
            </w:pPr>
            <w:r>
              <w:rPr>
                <w:b/>
                <w:bCs/>
              </w:rPr>
              <w:t xml:space="preserve">747</w:t>
            </w:r>
          </w:p>
        </w:tc>
      </w:tr>
    </w:tbl>
    <w:bookmarkEnd w:id="838"/>
    <w:bookmarkStart w:id="841" w:name="referências-2"/>
    <w:p>
      <w:pPr>
        <w:pStyle w:val="906"/>
      </w:pPr>
      <w:r>
        <w:t xml:space="preserve">18.1.4 Referências</w:t>
      </w:r>
    </w:p>
    <w:p>
      <w:pPr>
        <w:pStyle w:val="917"/>
      </w:pPr>
      <w:r>
        <w:t xml:space="preserve">OOMS, Jeroen. The jsonlite Package: A Practical and Consistent Mapping</w:t>
      </w:r>
      <w:r>
        <w:t xml:space="preserve"> </w:t>
      </w:r>
      <w:r>
        <w:t xml:space="preserve">Between JSON Data and R Objects.</w:t>
      </w:r>
      <w:r>
        <w:t xml:space="preserve"> </w:t>
      </w:r>
      <w:r>
        <w:rPr>
          <w:b/>
          <w:bCs/>
        </w:rPr>
        <w:t xml:space="preserve">arXiv:1403.2805 [stat.CO]</w:t>
      </w:r>
      <w:r>
        <w:t xml:space="preserve">, [</w:t>
      </w:r>
      <w:r>
        <w:rPr>
          <w:i/>
          <w:iCs/>
        </w:rPr>
        <w:t xml:space="preserve">s.</w:t>
      </w:r>
      <w:r>
        <w:rPr>
          <w:i/>
          <w:iCs/>
        </w:rPr>
        <w:t xml:space="preserve"> </w:t>
      </w:r>
      <w:r>
        <w:rPr>
          <w:i/>
          <w:iCs/>
        </w:rPr>
        <w:t xml:space="preserve">l.</w:t>
      </w:r>
      <w:r>
        <w:t xml:space="preserve">], 2014. Disponível em:</w:t>
      </w:r>
      <w:r>
        <w:t xml:space="preserve"> </w:t>
      </w:r>
      <w:hyperlink r:id="rId109">
        <w:r>
          <w:rPr>
            <w:rStyle w:val="952"/>
          </w:rPr>
          <w:t xml:space="preserve">https://arxiv.org/abs/1403.2805</w:t>
        </w:r>
      </w:hyperlink>
      <w:r>
        <w:t xml:space="preserve">.</w:t>
      </w:r>
    </w:p>
    <w:p>
      <w:pPr>
        <w:pStyle w:val="916"/>
      </w:pPr>
      <w:r>
        <w:t xml:space="preserve">WICKHAM, Hadley.</w:t>
      </w:r>
      <w:r>
        <w:t xml:space="preserve"> </w:t>
      </w:r>
      <w:r>
        <w:rPr>
          <w:b/>
          <w:bCs/>
        </w:rPr>
        <w:t xml:space="preserve">httr2: Perform HTTP Requests and Process the</w:t>
      </w:r>
      <w:r>
        <w:rPr>
          <w:b/>
          <w:bCs/>
        </w:rPr>
        <w:t xml:space="preserve"> </w:t>
      </w:r>
      <w:r>
        <w:rPr>
          <w:b/>
          <w:bCs/>
        </w:rPr>
        <w:t xml:space="preserve">Responses</w:t>
      </w:r>
      <w:r>
        <w:t xml:space="preserve">. [</w:t>
      </w:r>
      <w:r>
        <w:rPr>
          <w:i/>
          <w:iCs/>
        </w:rPr>
        <w:t xml:space="preserve">S. l.</w:t>
      </w:r>
      <w:r>
        <w:t xml:space="preserve">:</w:t>
      </w:r>
      <w:r>
        <w:t xml:space="preserve"> </w:t>
      </w:r>
      <w:r>
        <w:rPr>
          <w:i/>
          <w:iCs/>
        </w:rPr>
        <w:t xml:space="preserve">s. n.</w:t>
      </w:r>
      <w:r>
        <w:t xml:space="preserve">], 2025. R package version 1.2.1. DOI</w:t>
      </w:r>
      <w:r>
        <w:t xml:space="preserve"> </w:t>
      </w:r>
      <w:hyperlink r:id="rId839">
        <w:r>
          <w:rPr>
            <w:rStyle w:val="952"/>
          </w:rPr>
          <w:t xml:space="preserve">10.32614/CRAN.package.httr2</w:t>
        </w:r>
      </w:hyperlink>
      <w:r>
        <w:t xml:space="preserve">.</w:t>
      </w:r>
      <w:r>
        <w:t xml:space="preserve"> </w:t>
      </w:r>
      <w:r>
        <w:t xml:space="preserve">Disponível em:</w:t>
      </w:r>
      <w:r>
        <w:t xml:space="preserve"> </w:t>
      </w:r>
      <w:hyperlink r:id="rId840">
        <w:r>
          <w:rPr>
            <w:rStyle w:val="952"/>
          </w:rPr>
          <w:t xml:space="preserve">https://CRAN.R-project.org/package=httr2</w:t>
        </w:r>
      </w:hyperlink>
      <w:r>
        <w:t xml:space="preserve">.</w:t>
      </w:r>
    </w:p>
    <w:bookmarkEnd w:id="841"/>
    <w:bookmarkEnd w:id="842"/>
    <w:bookmarkEnd w:id="843"/>
    <w:sectPr>
      <w:headerReference r:id="rId9" w:type="default"/>
      <w:footnotePr>
        <w:numRestart w:val="eachSect"/>
      </w:footnotePr>
      <w:endnotePr/>
      <w:type w:val="nextPage"/>
      <w:pgSz w:h="15840" w:orient="portrait" w:w="12240"/>
      <w:pgMar w:bottom="1417" w:footer="720" w:gutter="0" w:header="720" w:left="1701" w:right="1701" w:top="1417"/>
      <w:cols w:equalWidth="1" w:num="1" w:sep="0"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98AE70">
    <w:pPr>
      <w:pStyle w:val="883"/>
      <w:pBdr/>
      <w:spacing/>
      <w:ind/>
      <w:jc w:val="right"/>
      <w:rPr/>
    </w:pPr>
    <w:fldSimple w:instr="PAGE \* MERGEFORMAT">
      <w:r>
        <w:t xml:space="preserve">1</w:t>
      </w:r>
    </w:fldSimple>
    <w:r/>
    <w:r/>
  </w:p>
  <w:p w14:paraId="5FABF056">
    <w:pPr>
      <w:pStyle w:val="883"/>
      <w:pBdr/>
      <w:spacing/>
      <w:ind/>
      <w:rPr/>
    </w:pPr>
    <w:r/>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170CD2DE"/>
    <w:lvl w:ilvl="0">
      <w:isLgl w:val="false"/>
      <w:lvlJc w:val="left"/>
      <w:lvlText w:val=" "/>
      <w:numFmt w:val="bullet"/>
      <w:pPr>
        <w:pBdr/>
        <w:tabs>
          <w:tab w:leader="none" w:pos="0" w:val="num"/>
        </w:tabs>
        <w:spacing/>
        <w:ind w:hanging="480" w:left="480"/>
      </w:pPr>
      <w:rPr/>
      <w:start w:val="0"/>
      <w:suff w:val="tab"/>
    </w:lvl>
    <w:lvl w:ilvl="1">
      <w:isLgl w:val="false"/>
      <w:lvlJc w:val="left"/>
      <w:lvlText w:val=" "/>
      <w:numFmt w:val="bullet"/>
      <w:pPr>
        <w:pBdr/>
        <w:tabs>
          <w:tab w:leader="none" w:pos="720" w:val="num"/>
        </w:tabs>
        <w:spacing/>
        <w:ind w:hanging="480" w:left="1200"/>
      </w:pPr>
      <w:rPr/>
      <w:start w:val="0"/>
      <w:suff w:val="tab"/>
    </w:lvl>
    <w:lvl w:ilvl="2">
      <w:isLgl w:val="false"/>
      <w:lvlJc w:val="left"/>
      <w:lvlText w:val=" "/>
      <w:numFmt w:val="bullet"/>
      <w:pPr>
        <w:pBdr/>
        <w:tabs>
          <w:tab w:leader="none" w:pos="1440" w:val="num"/>
        </w:tabs>
        <w:spacing/>
        <w:ind w:hanging="480" w:left="1920"/>
      </w:pPr>
      <w:rPr/>
      <w:start w:val="0"/>
      <w:suff w:val="tab"/>
    </w:lvl>
    <w:lvl w:ilvl="3">
      <w:isLgl w:val="false"/>
      <w:lvlJc w:val="left"/>
      <w:lvlText w:val=" "/>
      <w:numFmt w:val="bullet"/>
      <w:pPr>
        <w:pBdr/>
        <w:tabs>
          <w:tab w:leader="none" w:pos="2160" w:val="num"/>
        </w:tabs>
        <w:spacing/>
        <w:ind w:hanging="480" w:left="2640"/>
      </w:pPr>
      <w:rPr/>
      <w:start w:val="0"/>
      <w:suff w:val="tab"/>
    </w:lvl>
    <w:lvl w:ilvl="4">
      <w:isLgl w:val="false"/>
      <w:lvlJc w:val="left"/>
      <w:lvlText w:val=" "/>
      <w:numFmt w:val="bullet"/>
      <w:pPr>
        <w:pBdr/>
        <w:tabs>
          <w:tab w:leader="none" w:pos="2880" w:val="num"/>
        </w:tabs>
        <w:spacing/>
        <w:ind w:hanging="480" w:left="3360"/>
      </w:pPr>
      <w:rPr/>
      <w:start w:val="0"/>
      <w:suff w:val="tab"/>
    </w:lvl>
    <w:lvl w:ilvl="5">
      <w:isLgl w:val="false"/>
      <w:lvlJc w:val="left"/>
      <w:lvlText w:val=" "/>
      <w:numFmt w:val="bullet"/>
      <w:pPr>
        <w:pBdr/>
        <w:tabs>
          <w:tab w:leader="none" w:pos="3600" w:val="num"/>
        </w:tabs>
        <w:spacing/>
        <w:ind w:hanging="480" w:left="4080"/>
      </w:pPr>
      <w:rPr/>
      <w:start w:val="0"/>
      <w:suff w:val="tab"/>
    </w:lvl>
    <w:lvl w:ilvl="6">
      <w:isLgl w:val="false"/>
      <w:lvlJc w:val="left"/>
      <w:lvlText w:val=" "/>
      <w:numFmt w:val="bullet"/>
      <w:pPr>
        <w:pBdr/>
        <w:tabs>
          <w:tab w:leader="none" w:pos="4320" w:val="num"/>
        </w:tabs>
        <w:spacing/>
        <w:ind w:hanging="480" w:left="4800"/>
      </w:pPr>
      <w:rPr/>
      <w:start w:val="0"/>
      <w:suff w:val="tab"/>
    </w:lvl>
    <w:lvl w:ilvl="7">
      <w:isLgl w:val="false"/>
      <w:lvlJc w:val="left"/>
      <w:lvlText w:val=" "/>
      <w:numFmt w:val="bullet"/>
      <w:pPr>
        <w:pBdr/>
        <w:tabs>
          <w:tab w:leader="none" w:pos="5040" w:val="num"/>
        </w:tabs>
        <w:spacing/>
        <w:ind w:hanging="480" w:left="5520"/>
      </w:pPr>
      <w:rPr/>
      <w:start w:val="0"/>
      <w:suff w:val="tab"/>
    </w:lvl>
    <w:lvl w:ilvl="8">
      <w:isLgl w:val="false"/>
      <w:lvlJc w:val="left"/>
      <w:lvlText w:val=" "/>
      <w:numFmt w:val="bullet"/>
      <w:pPr>
        <w:pBdr/>
        <w:tabs>
          <w:tab w:leader="none" w:pos="5760" w:val="num"/>
        </w:tabs>
        <w:spacing/>
        <w:ind w:hanging="480" w:left="6240"/>
      </w:pPr>
      <w:rPr/>
      <w:start w:val="0"/>
      <w:suff w:val="tab"/>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val="false"/>
  <w:doNotTrackMoves/>
  <w:documentProtection/>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strokecolor="00000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hint="default"/>
        <w:sz w:val="24"/>
        <w:szCs w:val="24"/>
        <w:lang w:bidi="ar-SA" w:eastAsia="en-US" w:val="pt-BR"/>
      </w:rPr>
    </w:rPrDefault>
    <w:pPrDefault>
      <w:pPr>
        <w:pBdr/>
        <w:spacing w:after="200" w:afterAutospacing="0" w:before="0" w:beforeAutospacing="0" w:line="240" w:lineRule="auto"/>
        <w:ind/>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styleId="733" w:type="table">
    <w:name w:val="Table Grid"/>
    <w:basedOn w:val="914"/>
    <w:uiPriority w:val="59"/>
    <w:pPr>
      <w:pBdr/>
      <w:spacing w:after="0" w:line="240" w:lineRule="auto"/>
      <w:ind/>
    </w:pPr>
    <w:tblPr>
      <w:tblInd w:type="dxa" w:w="0"/>
      <w:tblCellMar>
        <w:left w:type="dxa" w:w="108"/>
        <w:top w:type="dxa" w:w="0"/>
        <w:right w:type="dxa" w:w="108"/>
        <w:bottom w:type="dxa" w:w="0"/>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4" w:type="table">
    <w:name w:val="Table Grid Light"/>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5" w:type="table">
    <w:name w:val="Plain Table 1"/>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6" w:type="table">
    <w:name w:val="Plain Table 2"/>
    <w:basedOn w:val="914"/>
    <w:uiPriority w:val="59"/>
    <w:pPr>
      <w:pBdr/>
      <w:spacing w:after="0" w:line="240" w:lineRule="auto"/>
      <w:ind/>
    </w:pPr>
    <w:tblPr>
      <w:tblInd w:type="dxa" w:w="0"/>
      <w:tblCellMar>
        <w:left w:type="dxa" w:w="108"/>
        <w:top w:type="dxa" w:w="0"/>
        <w:right w:type="dxa" w:w="108"/>
        <w:bottom w:type="dxa" w:w="0"/>
      </w:tblCellMar>
      <w:tblBorders>
        <w:top w:color="000000" w:space="0" w:sz="4" w:themeColor="text1" w:val="single"/>
        <w:left w:color="000000" w:space="0" w:sz="4" w:themeColor="text1" w:val="none"/>
        <w:bottom w:color="000000" w:space="0" w:sz="4" w:themeColor="text1" w:val="single"/>
        <w:right w:color="000000" w:space="0" w:sz="4" w:themeColor="text1" w:val="none"/>
      </w:tblBorders>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val="single"/>
          <w:bottom w:color="000000" w:space="0" w:sz="4" w:themeColor="text1" w:val="singl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7" w:type="table">
    <w:name w:val="Plain Table 3"/>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color="000000" w:space="0" w:sz="4" w:val="none"/>
          <w:left w:color="000000" w:space="0" w:sz="4" w:val="none"/>
          <w:bottom w:color="000000" w:space="0" w:sz="4" w:val="none"/>
          <w:right w:color="404040" w:space="0" w:sz="4" w:val="single"/>
        </w:tcBorders>
      </w:tcPr>
    </w:tblStylePr>
    <w:tblStylePr w:type="firstRow">
      <w:rPr>
        <w:b/>
        <w:caps/>
        <w:color w:val="404040"/>
      </w:rPr>
      <w:pPr>
        <w:pBdr/>
        <w:spacing/>
        <w:ind/>
      </w:pPr>
      <w:tblPr>
        <w:tblBorders/>
      </w:tblPr>
      <w:tcPr>
        <w:tcBorders>
          <w:top w:color="000000" w:space="0" w:sz="4" w:val="none"/>
          <w:left w:color="000000" w:space="0" w:sz="4" w:val="none"/>
          <w:bottom w:color="404040" w:space="0" w:sz="4" w:val="single"/>
          <w:right w:color="000000" w:space="0" w:sz="4" w:val="none"/>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8" w:type="table">
    <w:name w:val="Plain Table 4"/>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9" w:type="table">
    <w:name w:val="Plain Table 5"/>
    <w:basedOn w:val="914"/>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right w:color="404040" w:space="0" w:sz="4" w:val="single"/>
        </w:tcBorders>
      </w:tcPr>
    </w:tblStylePr>
    <w:tblStylePr w:type="firstRow">
      <w:rPr>
        <w:i/>
        <w:color w:val="404040"/>
      </w:rPr>
      <w:pPr>
        <w:pBdr/>
        <w:spacing/>
        <w:ind/>
      </w:pPr>
      <w:tblPr>
        <w:tblBorders/>
      </w:tblPr>
      <w:tcPr>
        <w:shd w:color="ffffff" w:val="clear"/>
        <w:tcBorders>
          <w:left w:color="000000" w:space="0" w:sz="4" w:val="none"/>
          <w:bottom w:color="404040" w:space="0" w:sz="4" w:val="single"/>
          <w:right w:color="000000" w:space="0" w:sz="4" w:val="none"/>
        </w:tcBorders>
      </w:tcPr>
    </w:tblStylePr>
    <w:tblStylePr w:type="lastCol">
      <w:rPr>
        <w:i/>
        <w:color w:val="404040"/>
      </w:rPr>
      <w:pPr>
        <w:pBdr/>
        <w:spacing/>
        <w:ind/>
      </w:pPr>
      <w:tblPr>
        <w:tblBorders/>
      </w:tblPr>
      <w:tcPr>
        <w:shd w:color="ffffff" w:val="clear"/>
        <w:tcBorders>
          <w:left w:color="404040" w:space="0" w:sz="4" w:val="single"/>
        </w:tcBorders>
      </w:tcPr>
    </w:tblStylePr>
    <w:tblStylePr w:type="lastRow">
      <w:rPr>
        <w:i/>
        <w:color w:val="404040"/>
      </w:rPr>
      <w:pPr>
        <w:pBdr/>
        <w:spacing/>
        <w:ind/>
      </w:pPr>
      <w:tblPr>
        <w:tblBorders/>
      </w:tblPr>
      <w:tcPr>
        <w:shd w:color="ffffff" w:val="clear"/>
        <w:tcBorders>
          <w:top w:color="404040" w:space="0" w:sz="4" w:val="single"/>
          <w:left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0" w:type="table">
    <w:name w:val="Grid Table 1 Light"/>
    <w:basedOn w:val="914"/>
    <w:uiPriority w:val="99"/>
    <w:pPr>
      <w:pBdr/>
      <w:spacing w:after="0" w:line="240" w:lineRule="auto"/>
      <w:ind/>
    </w:pPr>
    <w:tblPr>
      <w:tblStyleRowBandSize w:val="1"/>
      <w:tblStyleColBandSize w:val="1"/>
      <w:tblInd w:type="dxa" w:w="0"/>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tex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1" w:type="table">
    <w:name w:val="Grid Table 1 Light - Accent 1"/>
    <w:basedOn w:val="914"/>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2" w:type="table">
    <w:name w:val="Grid Table 1 Light - Accent 2"/>
    <w:basedOn w:val="914"/>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2"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3" w:type="table">
    <w:name w:val="Grid Table 1 Light - Accent 3"/>
    <w:basedOn w:val="914"/>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3"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4" w:type="table">
    <w:name w:val="Grid Table 1 Light - Accent 4"/>
    <w:basedOn w:val="914"/>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4"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5" w:type="table">
    <w:name w:val="Grid Table 1 Light - Accent 5"/>
    <w:basedOn w:val="914"/>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5"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6" w:type="table">
    <w:name w:val="Grid Table 1 Light - Accent 6"/>
    <w:basedOn w:val="914"/>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6"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7" w:type="table">
    <w:name w:val="Grid Table 2"/>
    <w:basedOn w:val="914"/>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text1" w:themeTint="9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text1" w:themeTint="9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8" w:type="table">
    <w:name w:val="Grid Table 2 - Accent 1"/>
    <w:basedOn w:val="914"/>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1" w:themeTint="E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1" w:themeTint="E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9" w:type="table">
    <w:name w:val="Grid Table 2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2" w:themeTint="97"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0" w:type="table">
    <w:name w:val="Grid Table 2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3" w:themeTint="FE"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1" w:type="table">
    <w:name w:val="Grid Table 2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4" w:themeTint="9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2" w:type="table">
    <w:name w:val="Grid Table 2 - Accent 5"/>
    <w:basedOn w:val="914"/>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3" w:type="table">
    <w:name w:val="Grid Table 2 - Accent 6"/>
    <w:basedOn w:val="914"/>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4" w:type="table">
    <w:name w:val="Grid Table 3"/>
    <w:basedOn w:val="914"/>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5" w:type="table">
    <w:name w:val="Grid Table 3 - Accent 1"/>
    <w:basedOn w:val="914"/>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c0e4f5"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6" w:type="table">
    <w:name w:val="Grid Table 3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7" w:type="table">
    <w:name w:val="Grid Table 3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8" w:type="table">
    <w:name w:val="Grid Table 3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9" w:type="table">
    <w:name w:val="Grid Table 3 - Accent 5"/>
    <w:basedOn w:val="914"/>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0" w:type="table">
    <w:name w:val="Grid Table 3 - Accent 6"/>
    <w:basedOn w:val="914"/>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1" w:type="table">
    <w:name w:val="Grid Table 4"/>
    <w:basedOn w:val="914"/>
    <w:uiPriority w:val="59"/>
    <w:pPr>
      <w:pBdr/>
      <w:spacing w:after="0" w:line="240" w:lineRule="auto"/>
      <w:ind/>
    </w:pPr>
    <w:tblPr>
      <w:tblStyleRowBandSize w:val="1"/>
      <w:tblStyleColBandSize w:val="1"/>
      <w:tblInd w:type="dxa" w:w="0"/>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2" w:type="table">
    <w:name w:val="Grid Table 4 - Accent 1"/>
    <w:basedOn w:val="914"/>
    <w:uiPriority w:val="5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1Vert">
      <w:rPr>
        <w:rFonts w:ascii="Arial" w:hAnsi="Arial"/>
        <w:color w:val="404040"/>
        <w:sz w:val="22"/>
      </w:rPr>
      <w:pPr>
        <w:pBdr/>
        <w:spacing/>
        <w:ind/>
      </w:pPr>
      <w:tblPr>
        <w:tblBorders/>
      </w:tblPr>
      <w:tcPr>
        <w:shd w:color="ffffff" w:fill="c2e5f5" w:themeColor="accent1" w:themeFill="accent1"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739b" w:themeColor="accent1" w:themeFill="accent1" w:themeFillTint="EA" w:themeTint="EA" w:val="clear"/>
        <w:tcBorders>
          <w:top w:color="000000" w:space="0" w:sz="4" w:themeColor="accent1" w:themeTint="EA" w:val="single"/>
          <w:left w:color="000000" w:space="0" w:sz="4" w:themeColor="accent1" w:themeTint="EA" w:val="single"/>
          <w:bottom w:color="000000" w:space="0" w:sz="4" w:themeColor="accent1" w:themeTint="EA" w:val="single"/>
          <w:right w:color="000000" w:space="0" w:sz="4" w:themeColor="accent1" w:themeTint="E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themeTint="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3" w:type="table">
    <w:name w:val="Grid Table 4 - Accent 2"/>
    <w:basedOn w:val="914"/>
    <w:uiPriority w:val="5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4" w:type="table">
    <w:name w:val="Grid Table 4 - Accent 3"/>
    <w:basedOn w:val="914"/>
    <w:uiPriority w:val="5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c24" w:themeColor="accent3" w:themeFill="accent3" w:themeFillTint="FE" w:themeTint="FE" w:val="clear"/>
        <w:tc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themeTint="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5" w:type="table">
    <w:name w:val="Grid Table 4 - Accent 4"/>
    <w:basedOn w:val="914"/>
    <w:uiPriority w:val="5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6" w:type="table">
    <w:name w:val="Grid Table 4 - Accent 5"/>
    <w:basedOn w:val="914"/>
    <w:uiPriority w:val="5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7" w:type="table">
    <w:name w:val="Grid Table 4 - Accent 6"/>
    <w:basedOn w:val="914"/>
    <w:uiPriority w:val="5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8" w:type="table">
    <w:name w:val="Grid Table 5 Dark"/>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40" w:themeTint="40" w:val="clear"/>
    </w:tblPr>
    <w:tcPr>
      <w:tcBorders/>
    </w:tcPr>
    <w:tblStylePr w:type="band1Horz">
      <w:pPr>
        <w:pBdr/>
        <w:spacing/>
        <w:ind/>
      </w:pPr>
      <w:tblPr>
        <w:tblBorders/>
      </w:tblPr>
      <w:tcPr>
        <w:shd w:color="ffffff" w:fill="8a8a8a" w:themeColor="text1" w:themeFill="text1" w:themeFillTint="75" w:themeTint="75" w:val="clear"/>
        <w:tcBorders/>
      </w:tcPr>
    </w:tblStylePr>
    <w:tblStylePr w:type="band1Vert">
      <w:pPr>
        <w:pBdr/>
        <w:spacing/>
        <w:ind/>
      </w:pPr>
      <w:tblPr>
        <w:tblBorders/>
      </w:tblPr>
      <w:tcPr>
        <w:shd w:color="ffffff" w:fill="8a8a8a" w:themeColor="text1" w:themeFill="tex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00000" w:themeColor="text1" w:themeFill="text1" w:val="clea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rFonts w:ascii="Arial" w:hAnsi="Arial"/>
        <w:b/>
        <w:color w:val="ffffff"/>
        <w:sz w:val="22"/>
      </w:rPr>
      <w:pPr>
        <w:pBdr/>
        <w:spacing/>
        <w:ind/>
      </w:pPr>
      <w:tblPr>
        <w:tblBorders/>
      </w:tblPr>
      <w:tcPr>
        <w:shd w:color="ffffff" w:fill="000000" w:themeColor="text1" w:themeFill="text1" w:val="clear"/>
        <w:tcBorders/>
      </w:tcPr>
    </w:tblStylePr>
    <w:tblStylePr w:type="lastRow">
      <w:rPr>
        <w:rFonts w:ascii="Arial" w:hAnsi="Arial"/>
        <w:b/>
        <w:color w:val="ffffff"/>
        <w:sz w:val="22"/>
      </w:rPr>
      <w:pPr>
        <w:pBdr/>
        <w:spacing/>
        <w:ind/>
      </w:pPr>
      <w:tblPr>
        <w:tblBorders/>
      </w:tblPr>
      <w:tcPr>
        <w:shd w:color="ffffff" w:fill="000000" w:themeColor="text1" w:themeFill="tex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9" w:type="table">
    <w:name w:val="Grid Table 5 Dark- Accent 1"/>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34" w:themeTint="34" w:val="clear"/>
    </w:tblPr>
    <w:tcPr>
      <w:tcBorders/>
    </w:tcPr>
    <w:tblStylePr w:type="band1Horz">
      <w:pPr>
        <w:pBdr/>
        <w:spacing/>
        <w:ind/>
      </w:pPr>
      <w:tblPr>
        <w:tblBorders/>
      </w:tblPr>
      <w:tcPr>
        <w:shd w:color="ffffff" w:fill="71c3e8" w:themeColor="accent1" w:themeFill="accent1" w:themeFillTint="75" w:themeTint="75" w:val="clear"/>
        <w:tcBorders/>
      </w:tcPr>
    </w:tblStylePr>
    <w:tblStylePr w:type="band1Vert">
      <w:pPr>
        <w:pBdr/>
        <w:spacing/>
        <w:ind/>
      </w:pPr>
      <w:tblPr>
        <w:tblBorders/>
      </w:tblPr>
      <w:tcPr>
        <w:shd w:color="ffffff" w:fill="71c3e8" w:themeColor="accent1" w:themeFill="accen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56082" w:themeColor="accent1" w:themeFill="accent1" w:val="clea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rFonts w:ascii="Arial" w:hAnsi="Arial"/>
        <w:b/>
        <w:color w:val="ffffff"/>
        <w:sz w:val="22"/>
      </w:rPr>
      <w:pPr>
        <w:pBdr/>
        <w:spacing/>
        <w:ind/>
      </w:pPr>
      <w:tblPr>
        <w:tblBorders/>
      </w:tblPr>
      <w:tcPr>
        <w:shd w:color="ffffff" w:fill="156082" w:themeColor="accent1" w:themeFill="accent1" w:val="clear"/>
        <w:tcBorders/>
      </w:tcPr>
    </w:tblStylePr>
    <w:tblStylePr w:type="lastRow">
      <w:rPr>
        <w:rFonts w:ascii="Arial" w:hAnsi="Arial"/>
        <w:b/>
        <w:color w:val="ffffff"/>
        <w:sz w:val="22"/>
      </w:rPr>
      <w:pPr>
        <w:pBdr/>
        <w:spacing/>
        <w:ind/>
      </w:pPr>
      <w:tblPr>
        <w:tblBorders/>
      </w:tblPr>
      <w:tcPr>
        <w:shd w:color="ffffff" w:fill="156082" w:themeColor="accent1" w:themeFill="accen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0" w:type="table">
    <w:name w:val="Grid Table 5 Dark - Accent 2"/>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32" w:themeTint="32" w:val="clear"/>
    </w:tblPr>
    <w:tcPr>
      <w:tcBorders/>
    </w:tcPr>
    <w:tblStylePr w:type="band1Horz">
      <w:pPr>
        <w:pBdr/>
        <w:spacing/>
        <w:ind/>
      </w:pPr>
      <w:tblPr>
        <w:tblBorders/>
      </w:tblPr>
      <w:tcPr>
        <w:shd w:color="ffffff" w:fill="f5bea1" w:themeColor="accent2" w:themeFill="accent2" w:themeFillTint="75" w:themeTint="75" w:val="clear"/>
        <w:tcBorders/>
      </w:tcPr>
    </w:tblStylePr>
    <w:tblStylePr w:type="band1Vert">
      <w:pPr>
        <w:pBdr/>
        <w:spacing/>
        <w:ind/>
      </w:pPr>
      <w:tblPr>
        <w:tblBorders/>
      </w:tblPr>
      <w:tcPr>
        <w:shd w:color="ffffff" w:fill="f5bea1" w:themeColor="accent2" w:themeFill="accent2"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e97132" w:themeColor="accent2" w:themeFill="accent2" w:val="clea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rFonts w:ascii="Arial" w:hAnsi="Arial"/>
        <w:b/>
        <w:color w:val="ffffff"/>
        <w:sz w:val="22"/>
      </w:rPr>
      <w:pPr>
        <w:pBdr/>
        <w:spacing/>
        <w:ind/>
      </w:pPr>
      <w:tblPr>
        <w:tblBorders/>
      </w:tblPr>
      <w:tcPr>
        <w:shd w:color="ffffff" w:fill="e97132" w:themeColor="accent2" w:themeFill="accent2" w:val="clear"/>
        <w:tcBorders/>
      </w:tcPr>
    </w:tblStylePr>
    <w:tblStylePr w:type="lastRow">
      <w:rPr>
        <w:rFonts w:ascii="Arial" w:hAnsi="Arial"/>
        <w:b/>
        <w:color w:val="ffffff"/>
        <w:sz w:val="22"/>
      </w:rPr>
      <w:pPr>
        <w:pBdr/>
        <w:spacing/>
        <w:ind/>
      </w:pPr>
      <w:tblPr>
        <w:tblBorders/>
      </w:tblPr>
      <w:tcPr>
        <w:shd w:color="ffffff" w:fill="e97132" w:themeColor="accent2" w:themeFill="accent2"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1" w:type="table">
    <w:name w:val="Grid Table 5 Dark - Accent 3"/>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34" w:themeTint="34" w:val="clear"/>
    </w:tblPr>
    <w:tcPr>
      <w:tcBorders/>
    </w:tcPr>
    <w:tblStylePr w:type="band1Horz">
      <w:pPr>
        <w:pBdr/>
        <w:spacing/>
        <w:ind/>
      </w:pPr>
      <w:tblPr>
        <w:tblBorders/>
      </w:tblPr>
      <w:tcPr>
        <w:shd w:color="ffffff" w:fill="72de81" w:themeColor="accent3" w:themeFill="accent3" w:themeFillTint="75" w:themeTint="75" w:val="clear"/>
        <w:tcBorders/>
      </w:tcPr>
    </w:tblStylePr>
    <w:tblStylePr w:type="band1Vert">
      <w:pPr>
        <w:pBdr/>
        <w:spacing/>
        <w:ind/>
      </w:pPr>
      <w:tblPr>
        <w:tblBorders/>
      </w:tblPr>
      <w:tcPr>
        <w:shd w:color="ffffff" w:fill="72de81" w:themeColor="accent3" w:themeFill="accent3"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196b24" w:themeColor="accent3" w:themeFill="accent3" w:val="clea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rFonts w:ascii="Arial" w:hAnsi="Arial"/>
        <w:b/>
        <w:color w:val="ffffff"/>
        <w:sz w:val="22"/>
      </w:rPr>
      <w:pPr>
        <w:pBdr/>
        <w:spacing/>
        <w:ind/>
      </w:pPr>
      <w:tblPr>
        <w:tblBorders/>
      </w:tblPr>
      <w:tcPr>
        <w:shd w:color="ffffff" w:fill="196b24" w:themeColor="accent3" w:themeFill="accent3" w:val="clear"/>
        <w:tcBorders/>
      </w:tcPr>
    </w:tblStylePr>
    <w:tblStylePr w:type="lastRow">
      <w:rPr>
        <w:rFonts w:ascii="Arial" w:hAnsi="Arial"/>
        <w:b/>
        <w:color w:val="ffffff"/>
        <w:sz w:val="22"/>
      </w:rPr>
      <w:pPr>
        <w:pBdr/>
        <w:spacing/>
        <w:ind/>
      </w:pPr>
      <w:tblPr>
        <w:tblBorders/>
      </w:tblPr>
      <w:tcPr>
        <w:shd w:color="ffffff" w:fill="196b24" w:themeColor="accent3" w:themeFill="accent3"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2" w:type="table">
    <w:name w:val="Grid Table 5 Dark- Accent 4"/>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34" w:themeTint="34" w:val="clear"/>
    </w:tblPr>
    <w:tcPr>
      <w:tcBorders/>
    </w:tcPr>
    <w:tblStylePr w:type="band1Horz">
      <w:pPr>
        <w:pBdr/>
        <w:spacing/>
        <w:ind/>
      </w:pPr>
      <w:tblPr>
        <w:tblBorders/>
      </w:tblPr>
      <w:tcPr>
        <w:shd w:color="ffffff" w:fill="86d7f6" w:themeColor="accent4" w:themeFill="accent4" w:themeFillTint="75" w:themeTint="75" w:val="clear"/>
        <w:tcBorders/>
      </w:tcPr>
    </w:tblStylePr>
    <w:tblStylePr w:type="band1Vert">
      <w:pPr>
        <w:pBdr/>
        <w:spacing/>
        <w:ind/>
      </w:pPr>
      <w:tblPr>
        <w:tblBorders/>
      </w:tblPr>
      <w:tcPr>
        <w:shd w:color="ffffff" w:fill="86d7f6" w:themeColor="accent4" w:themeFill="accent4"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f9ed5" w:themeColor="accent4" w:themeFill="accent4" w:val="clea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rFonts w:ascii="Arial" w:hAnsi="Arial"/>
        <w:b/>
        <w:color w:val="ffffff"/>
        <w:sz w:val="22"/>
      </w:rPr>
      <w:pPr>
        <w:pBdr/>
        <w:spacing/>
        <w:ind/>
      </w:pPr>
      <w:tblPr>
        <w:tblBorders/>
      </w:tblPr>
      <w:tcPr>
        <w:shd w:color="ffffff" w:fill="0f9ed5" w:themeColor="accent4" w:themeFill="accent4" w:val="clear"/>
        <w:tcBorders/>
      </w:tcPr>
    </w:tblStylePr>
    <w:tblStylePr w:type="lastRow">
      <w:rPr>
        <w:rFonts w:ascii="Arial" w:hAnsi="Arial"/>
        <w:b/>
        <w:color w:val="ffffff"/>
        <w:sz w:val="22"/>
      </w:rPr>
      <w:pPr>
        <w:pBdr/>
        <w:spacing/>
        <w:ind/>
      </w:pPr>
      <w:tblPr>
        <w:tblBorders/>
      </w:tblPr>
      <w:tcPr>
        <w:shd w:color="ffffff" w:fill="0f9ed5" w:themeColor="accent4" w:themeFill="accent4"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3" w:type="table">
    <w:name w:val="Grid Table 5 Dark - Accent 5"/>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34" w:themeTint="34" w:val="clear"/>
    </w:tblPr>
    <w:tcPr>
      <w:tcBorders/>
    </w:tcPr>
    <w:tblStylePr w:type="band1Horz">
      <w:pPr>
        <w:pBdr/>
        <w:spacing/>
        <w:ind/>
      </w:pPr>
      <w:tblPr>
        <w:tblBorders/>
      </w:tblPr>
      <w:tcPr>
        <w:shd w:color="ffffff" w:fill="e190d8" w:themeColor="accent5" w:themeFill="accent5" w:themeFillTint="75" w:themeTint="75" w:val="clear"/>
        <w:tcBorders/>
      </w:tcPr>
    </w:tblStylePr>
    <w:tblStylePr w:type="band1Vert">
      <w:pPr>
        <w:pBdr/>
        <w:spacing/>
        <w:ind/>
      </w:pPr>
      <w:tblPr>
        <w:tblBorders/>
      </w:tblPr>
      <w:tcPr>
        <w:shd w:color="ffffff" w:fill="e190d8" w:themeColor="accent5" w:themeFill="accent5"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a02b93" w:themeColor="accent5" w:themeFill="accent5" w:val="clea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rFonts w:ascii="Arial" w:hAnsi="Arial"/>
        <w:b/>
        <w:color w:val="ffffff"/>
        <w:sz w:val="22"/>
      </w:rPr>
      <w:pPr>
        <w:pBdr/>
        <w:spacing/>
        <w:ind/>
      </w:pPr>
      <w:tblPr>
        <w:tblBorders/>
      </w:tblPr>
      <w:tcPr>
        <w:shd w:color="ffffff" w:fill="a02b93" w:themeColor="accent5" w:themeFill="accent5" w:val="clear"/>
        <w:tcBorders/>
      </w:tcPr>
    </w:tblStylePr>
    <w:tblStylePr w:type="lastRow">
      <w:rPr>
        <w:rFonts w:ascii="Arial" w:hAnsi="Arial"/>
        <w:b/>
        <w:color w:val="ffffff"/>
        <w:sz w:val="22"/>
      </w:rPr>
      <w:pPr>
        <w:pBdr/>
        <w:spacing/>
        <w:ind/>
      </w:pPr>
      <w:tblPr>
        <w:tblBorders/>
      </w:tblPr>
      <w:tcPr>
        <w:shd w:color="ffffff" w:fill="a02b93" w:themeColor="accent5" w:themeFill="accent5"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4" w:type="table">
    <w:name w:val="Grid Table 5 Dark - Accent 6"/>
    <w:basedOn w:val="914"/>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34" w:themeTint="34" w:val="clear"/>
    </w:tblPr>
    <w:tcPr>
      <w:tcBorders/>
    </w:tcPr>
    <w:tblStylePr w:type="band1Horz">
      <w:pPr>
        <w:pBdr/>
        <w:spacing/>
        <w:ind/>
      </w:pPr>
      <w:tblPr>
        <w:tblBorders/>
      </w:tblPr>
      <w:tcPr>
        <w:shd w:color="ffffff" w:fill="a9e294" w:themeColor="accent6" w:themeFill="accent6" w:themeFillTint="75" w:themeTint="75" w:val="clear"/>
        <w:tcBorders/>
      </w:tcPr>
    </w:tblStylePr>
    <w:tblStylePr w:type="band1Vert">
      <w:pPr>
        <w:pBdr/>
        <w:spacing/>
        <w:ind/>
      </w:pPr>
      <w:tblPr>
        <w:tblBorders/>
      </w:tblPr>
      <w:tcPr>
        <w:shd w:color="ffffff" w:fill="a9e294" w:themeColor="accent6" w:themeFill="accent6"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4ea72e" w:themeColor="accent6" w:themeFill="accent6" w:val="clea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rFonts w:ascii="Arial" w:hAnsi="Arial"/>
        <w:b/>
        <w:color w:val="ffffff"/>
        <w:sz w:val="22"/>
      </w:rPr>
      <w:pPr>
        <w:pBdr/>
        <w:spacing/>
        <w:ind/>
      </w:pPr>
      <w:tblPr>
        <w:tblBorders/>
      </w:tblPr>
      <w:tcPr>
        <w:shd w:color="ffffff" w:fill="4ea72e" w:themeColor="accent6" w:themeFill="accent6" w:val="clear"/>
        <w:tcBorders/>
      </w:tcPr>
    </w:tblStylePr>
    <w:tblStylePr w:type="lastRow">
      <w:rPr>
        <w:rFonts w:ascii="Arial" w:hAnsi="Arial"/>
        <w:b/>
        <w:color w:val="ffffff"/>
        <w:sz w:val="22"/>
      </w:rPr>
      <w:pPr>
        <w:pBdr/>
        <w:spacing/>
        <w:ind/>
      </w:pPr>
      <w:tblPr>
        <w:tblBorders/>
      </w:tblPr>
      <w:tcPr>
        <w:shd w:color="ffffff" w:fill="4ea72e" w:themeColor="accent6" w:themeFill="accent6"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5" w:type="table">
    <w:name w:val="Grid Table 6 Colorful"/>
    <w:basedOn w:val="914"/>
    <w:uiPriority w:val="99"/>
    <w:pPr>
      <w:pBdr/>
      <w:spacing w:after="0" w:line="240" w:lineRule="auto"/>
      <w:ind/>
    </w:pPr>
    <w:tblPr>
      <w:tblStyleRowBandSize w:val="1"/>
      <w:tblStyleColBandSize w:val="1"/>
      <w:tblInd w:type="dxa" w:w="0"/>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04040"/>
        <w:sz w:val="22"/>
      </w:rPr>
      <w:pPr>
        <w:pBdr/>
        <w:spacing/>
        <w:ind/>
      </w:pPr>
      <w:tblPr>
        <w:tblBorders/>
      </w:tblPr>
      <w:tcPr>
        <w:shd w:color="ffffff" w:fill="cbcbcb" w:themeColor="text1" w:themeFill="text1" w:themeFillTint="34" w:themeTint="34" w:val="clear"/>
        <w:tcBorders/>
      </w:tcPr>
    </w:tblStylePr>
    <w:tblStylePr w:type="band1Vert">
      <w:pPr>
        <w:pBdr/>
        <w:spacing/>
        <w:ind/>
      </w:pPr>
      <w:tblPr>
        <w:tblBorders/>
      </w:tblPr>
      <w:tcPr>
        <w:shd w:color="ffffff" w:fill="cbcbcb" w:themeColor="text1" w:themeFill="text1" w:themeFillTint="34" w:themeTint="34" w:val="clear"/>
        <w:tcBorders/>
      </w:tcPr>
    </w:tblStylePr>
    <w:tblStylePr w:type="band2Horz">
      <w:rPr>
        <w:rFonts w:ascii="Arial" w:hAnsi="Arial"/>
        <w:color w:themeColor="tex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themeShade="95" w:themeTint="80" w:val="4a4a4a"/>
      </w:rPr>
      <w:pPr>
        <w:pBdr/>
        <w:spacing/>
        <w:ind/>
      </w:pPr>
      <w:tblPr>
        <w:tblBorders/>
      </w:tblPr>
      <w:tcPr>
        <w:tcBorders/>
      </w:tcPr>
    </w:tblStylePr>
    <w:tblStylePr w:type="firstRow">
      <w:rPr>
        <w:b/>
        <w:color w:themeColor="text1" w:themeShade="95" w:themeTint="80" w:val="4a4a4a"/>
      </w:rPr>
      <w:pPr>
        <w:pBdr/>
        <w:spacing/>
        <w:ind/>
      </w:pPr>
      <w:tblPr>
        <w:tblBorders/>
      </w:tblPr>
      <w:tcPr>
        <w:tcBorders>
          <w:bottom w:color="000000" w:space="0" w:sz="12" w:themeColor="text1" w:themeTint="80" w:val="single"/>
        </w:tcBorders>
      </w:tcPr>
    </w:tblStylePr>
    <w:tblStylePr w:type="lastCol">
      <w:rPr>
        <w:b/>
        <w:color w:themeColor="text1" w:themeShade="95" w:themeTint="80" w:val="4a4a4a"/>
      </w:rPr>
      <w:pPr>
        <w:pBdr/>
        <w:spacing/>
        <w:ind/>
      </w:pPr>
      <w:tblPr>
        <w:tblBorders/>
      </w:tblPr>
      <w:tcPr>
        <w:tcBorders/>
      </w:tcPr>
    </w:tblStylePr>
    <w:tblStylePr w:type="lastRow">
      <w:rPr>
        <w:b/>
        <w:color w:themeColor="text1" w:themeShade="95" w:themeTint="80"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04040"/>
        <w:sz w:val="22"/>
      </w:rPr>
      <w:pPr>
        <w:pBdr/>
        <w:spacing/>
        <w:ind/>
      </w:pPr>
      <w:tblPr>
        <w:tblBorders/>
      </w:tblPr>
      <w:tcPr>
        <w:tcBorders/>
      </w:tcPr>
    </w:tblStylePr>
  </w:style>
  <w:style w:styleId="776" w:type="table">
    <w:name w:val="Grid Table 6 Colorful - Accent 1"/>
    <w:basedOn w:val="914"/>
    <w:uiPriority w:val="99"/>
    <w:pPr>
      <w:pBdr/>
      <w:spacing w:after="0" w:line="240" w:lineRule="auto"/>
      <w:ind/>
    </w:pPr>
    <w:tblPr>
      <w:tblStyleRowBandSize w:val="1"/>
      <w:tblStyleColBandSize w:val="1"/>
      <w:tblInd w:type="dxa" w:w="0"/>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404040"/>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themeTint="80" w:val="1b7ba6"/>
      </w:rPr>
      <w:pPr>
        <w:pBdr/>
        <w:spacing/>
        <w:ind/>
      </w:pPr>
      <w:tblPr>
        <w:tblBorders/>
      </w:tblPr>
      <w:tcPr>
        <w:tcBorders/>
      </w:tcPr>
    </w:tblStylePr>
    <w:tblStylePr w:type="firstRow">
      <w:rPr>
        <w:b/>
        <w:color w:themeColor="accent1" w:themeShade="95" w:themeTint="80" w:val="1b7ba6"/>
      </w:rPr>
      <w:pPr>
        <w:pBdr/>
        <w:spacing/>
        <w:ind/>
      </w:pPr>
      <w:tblPr>
        <w:tblBorders/>
      </w:tblPr>
      <w:tcPr>
        <w:tcBorders>
          <w:bottom w:color="000000" w:space="0" w:sz="12" w:themeColor="accent1" w:themeTint="80" w:val="single"/>
        </w:tcBorders>
      </w:tcPr>
    </w:tblStylePr>
    <w:tblStylePr w:type="lastCol">
      <w:rPr>
        <w:b/>
        <w:color w:themeColor="accent1" w:themeShade="95" w:themeTint="80" w:val="1b7ba6"/>
      </w:rPr>
      <w:pPr>
        <w:pBdr/>
        <w:spacing/>
        <w:ind/>
      </w:pPr>
      <w:tblPr>
        <w:tblBorders/>
      </w:tblPr>
      <w:tcPr>
        <w:tcBorders/>
      </w:tcPr>
    </w:tblStylePr>
    <w:tblStylePr w:type="lastRow">
      <w:rPr>
        <w:b/>
        <w:color w:themeColor="accent1" w:themeShade="95" w:themeTint="80" w:val="1b7ba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themeTint="80" w:val="404040"/>
        <w:sz w:val="22"/>
      </w:rPr>
      <w:pPr>
        <w:pBdr/>
        <w:spacing/>
        <w:ind/>
      </w:pPr>
      <w:tblPr>
        <w:tblBorders/>
      </w:tblPr>
      <w:tcPr>
        <w:tcBorders/>
      </w:tcPr>
    </w:tblStylePr>
  </w:style>
  <w:style w:styleId="777" w:type="table">
    <w:name w:val="Grid Table 6 Colorful - Accent 2"/>
    <w:basedOn w:val="914"/>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12"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404040"/>
        <w:sz w:val="22"/>
      </w:rPr>
      <w:pPr>
        <w:pBdr/>
        <w:spacing/>
        <w:ind/>
      </w:pPr>
      <w:tblPr>
        <w:tblBorders/>
      </w:tblPr>
      <w:tcPr>
        <w:tcBorders/>
      </w:tcPr>
    </w:tblStylePr>
  </w:style>
  <w:style w:styleId="778" w:type="table">
    <w:name w:val="Grid Table 6 Colorful - Accent 3"/>
    <w:basedOn w:val="914"/>
    <w:uiPriority w:val="99"/>
    <w:pPr>
      <w:pBdr/>
      <w:spacing w:after="0" w:line="240" w:lineRule="auto"/>
      <w:ind/>
    </w:pPr>
    <w:tblPr>
      <w:tblStyleRowBandSize w:val="1"/>
      <w:tblStyleColBandSize w:val="1"/>
      <w:tblInd w:type="dxa" w:w="0"/>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404040"/>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FE" w:val="0f3f15"/>
      </w:rPr>
      <w:pPr>
        <w:pBdr/>
        <w:spacing/>
        <w:ind/>
      </w:pPr>
      <w:tblPr>
        <w:tblBorders/>
      </w:tblPr>
      <w:tcPr>
        <w:tcBorders/>
      </w:tcPr>
    </w:tblStylePr>
    <w:tblStylePr w:type="firstRow">
      <w:rPr>
        <w:b/>
        <w:color w:themeColor="accent3" w:themeShade="95" w:themeTint="FE" w:val="0f3f15"/>
      </w:rPr>
      <w:pPr>
        <w:pBdr/>
        <w:spacing/>
        <w:ind/>
      </w:pPr>
      <w:tblPr>
        <w:tblBorders/>
      </w:tblPr>
      <w:tcPr>
        <w:tcBorders>
          <w:bottom w:color="000000" w:space="0" w:sz="12" w:themeColor="accent3" w:themeTint="FE" w:val="single"/>
        </w:tcBorders>
      </w:tcPr>
    </w:tblStylePr>
    <w:tblStylePr w:type="lastCol">
      <w:rPr>
        <w:b/>
        <w:color w:themeColor="accent3" w:themeShade="95" w:themeTint="FE" w:val="0f3f15"/>
      </w:rPr>
      <w:pPr>
        <w:pBdr/>
        <w:spacing/>
        <w:ind/>
      </w:pPr>
      <w:tblPr>
        <w:tblBorders/>
      </w:tblPr>
      <w:tcPr>
        <w:tcBorders/>
      </w:tcPr>
    </w:tblStylePr>
    <w:tblStylePr w:type="lastRow">
      <w:rPr>
        <w:b/>
        <w:color w:themeColor="accent3" w:themeShade="95" w:themeTint="FE" w:val="0f3f1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FE" w:val="404040"/>
        <w:sz w:val="22"/>
      </w:rPr>
      <w:pPr>
        <w:pBdr/>
        <w:spacing/>
        <w:ind/>
      </w:pPr>
      <w:tblPr>
        <w:tblBorders/>
      </w:tblPr>
      <w:tcPr>
        <w:tcBorders/>
      </w:tcPr>
    </w:tblStylePr>
  </w:style>
  <w:style w:styleId="779" w:type="table">
    <w:name w:val="Grid Table 6 Colorful - Accent 4"/>
    <w:basedOn w:val="914"/>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9"/>
      </w:rPr>
      <w:pPr>
        <w:pBdr/>
        <w:spacing/>
        <w:ind/>
      </w:pPr>
      <w:tblPr>
        <w:tblBorders/>
      </w:tblPr>
      <w:tcPr>
        <w:tcBorders/>
      </w:tcPr>
    </w:tblStylePr>
    <w:tblStylePr w:type="firstRow">
      <w:rPr>
        <w:b/>
        <w:color w:themeColor="accent4" w:themeShade="95" w:themeTint="9A" w:val="0d8ab9"/>
      </w:rPr>
      <w:pPr>
        <w:pBdr/>
        <w:spacing/>
        <w:ind/>
      </w:pPr>
      <w:tblPr>
        <w:tblBorders/>
      </w:tblPr>
      <w:tcPr>
        <w:tcBorders>
          <w:bottom w:color="000000" w:space="0" w:sz="12" w:themeColor="accent4" w:themeTint="9A" w:val="single"/>
        </w:tcBorders>
      </w:tcPr>
    </w:tblStylePr>
    <w:tblStylePr w:type="lastCol">
      <w:rPr>
        <w:b/>
        <w:color w:themeColor="accent4" w:themeShade="95" w:themeTint="9A" w:val="0d8ab9"/>
      </w:rPr>
      <w:pPr>
        <w:pBdr/>
        <w:spacing/>
        <w:ind/>
      </w:pPr>
      <w:tblPr>
        <w:tblBorders/>
      </w:tblPr>
      <w:tcPr>
        <w:tcBorders/>
      </w:tcPr>
    </w:tblStylePr>
    <w:tblStylePr w:type="lastRow">
      <w:rPr>
        <w:b/>
        <w:color w:themeColor="accent4" w:themeShade="95" w:themeTint="9A" w:val="0d8ab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404040"/>
        <w:sz w:val="22"/>
      </w:rPr>
      <w:pPr>
        <w:pBdr/>
        <w:spacing/>
        <w:ind/>
      </w:pPr>
      <w:tblPr>
        <w:tblBorders/>
      </w:tblPr>
      <w:tcPr>
        <w:tcBorders/>
      </w:tcPr>
    </w:tblStylePr>
  </w:style>
  <w:style w:styleId="780" w:type="table">
    <w:name w:val="Grid Table 6 Colorful - Accent 5"/>
    <w:basedOn w:val="914"/>
    <w:uiPriority w:val="99"/>
    <w:pPr>
      <w:pBdr/>
      <w:spacing w:after="0" w:line="240" w:lineRule="auto"/>
      <w:ind/>
    </w:pPr>
    <w:tblPr>
      <w:tblStyleRowBandSize w:val="1"/>
      <w:tblStyleColBandSize w:val="1"/>
      <w:tblInd w:type="dxa" w:w="0"/>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themeColor="accent5" w:themeShade="95" w:val="404040"/>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5"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81" w:type="table">
    <w:name w:val="Grid Table 6 Colorful - Accent 6"/>
    <w:basedOn w:val="914"/>
    <w:uiPriority w:val="99"/>
    <w:pPr>
      <w:pBdr/>
      <w:spacing w:after="0" w:line="240" w:lineRule="auto"/>
      <w:ind/>
    </w:pPr>
    <w:tblPr>
      <w:tblStyleRowBandSize w:val="1"/>
      <w:tblStyleColBandSize w:val="1"/>
      <w:tblInd w:type="dxa" w:w="0"/>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themeColor="accent5" w:themeShade="95" w:val="404040"/>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5d1956"/>
      </w:rPr>
      <w:pPr>
        <w:pBdr/>
        <w:spacing/>
        <w:ind/>
      </w:pPr>
      <w:tblPr>
        <w:tblBorders/>
      </w:tblPr>
      <w:tcPr>
        <w:tcBorders/>
      </w:tcPr>
    </w:tblStylePr>
    <w:tblStylePr w:type="firstRow">
      <w:rPr>
        <w:b/>
        <w:color w:themeColor="accent5" w:themeShade="95" w:val="5d1956"/>
      </w:rPr>
      <w:pPr>
        <w:pBdr/>
        <w:spacing/>
        <w:ind/>
      </w:pPr>
      <w:tblPr>
        <w:tblBorders/>
      </w:tblPr>
      <w:tcPr>
        <w:tcBorders>
          <w:bottom w:color="000000" w:space="0" w:sz="12" w:themeColor="accent6" w:val="single"/>
        </w:tcBorders>
      </w:tcPr>
    </w:tblStylePr>
    <w:tblStylePr w:type="lastCol">
      <w:rPr>
        <w:b/>
        <w:color w:themeColor="accent5" w:themeShade="95" w:val="5d1956"/>
      </w:rPr>
      <w:pPr>
        <w:pBdr/>
        <w:spacing/>
        <w:ind/>
      </w:pPr>
      <w:tblPr>
        <w:tblBorders/>
      </w:tblPr>
      <w:tcPr>
        <w:tcBorders/>
      </w:tcPr>
    </w:tblStylePr>
    <w:tblStylePr w:type="lastRow">
      <w:rPr>
        <w:b/>
        <w:color w:themeColor="accent5" w:themeShade="95" w:val="5d195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82" w:type="table">
    <w:name w:val="Grid Table 7 Colorful"/>
    <w:basedOn w:val="914"/>
    <w:uiPriority w:val="99"/>
    <w:pPr>
      <w:pBdr/>
      <w:spacing w:after="0" w:line="240" w:lineRule="auto"/>
      <w:ind/>
    </w:pPr>
    <w:tblPr>
      <w:tblStyleRowBandSize w:val="1"/>
      <w:tblStyleColBandSize w:val="1"/>
      <w:tblInd w:type="dxa" w:w="0"/>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3" w:type="table">
    <w:name w:val="Grid Table 7 Colorful - Accent 1"/>
    <w:basedOn w:val="914"/>
    <w:uiPriority w:val="99"/>
    <w:pPr>
      <w:pBdr/>
      <w:spacing w:after="0" w:line="240" w:lineRule="auto"/>
      <w:ind/>
    </w:pPr>
    <w:tblPr>
      <w:tblStyleRowBandSize w:val="1"/>
      <w:tblStyleColBandSize w:val="1"/>
      <w:tblInd w:type="dxa" w:w="0"/>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1b7ba6"/>
        <w:sz w:val="22"/>
      </w:rPr>
      <w:pPr>
        <w:pBdr/>
        <w:spacing/>
        <w:ind/>
      </w:pPr>
      <w:tblPr>
        <w:tblBorders/>
      </w:tblPr>
      <w:tcPr>
        <w:shd w:color="ffffff" w:fill="c0e4f5" w:themeColor="accent1" w:themeFill="accent1" w:themeFillTint="34" w:themeTint="34" w:val="clear"/>
        <w:tcBorders/>
      </w:tcPr>
    </w:tblStylePr>
    <w:tblStylePr w:type="band1Vert">
      <w:pPr>
        <w:pBdr/>
        <w:spacing/>
        <w:ind/>
      </w:pPr>
      <w:tblPr>
        <w:tblBorders/>
      </w:tblPr>
      <w:tcPr>
        <w:shd w:color="ffffff" w:fill="c0e4f5" w:themeColor="accent1" w:themeFill="accent1" w:themeFillTint="34" w:themeTint="34" w:val="clear"/>
        <w:tcBorders/>
      </w:tcPr>
    </w:tblStylePr>
    <w:tblStylePr w:type="band2Horz">
      <w:rPr>
        <w:rFonts w:ascii="Arial" w:hAnsi="Arial"/>
        <w:color w:themeColor="accent1" w:themeShade="95" w:themeTint="80" w:val="1b7ba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themeTint="80" w:val="1b7ba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themeTint="80" w:val="single"/>
        </w:tcBorders>
      </w:tcPr>
    </w:tblStylePr>
    <w:tblStylePr w:type="firstRow">
      <w:rPr>
        <w:rFonts w:ascii="Arial" w:hAnsi="Arial"/>
        <w:b/>
        <w:color w:themeColor="accent1" w:themeShade="95" w:themeTint="80" w:val="1b7ba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themeTint="80" w:val="single"/>
          <w:right w:color="000000" w:space="0" w:sz="4" w:val="none"/>
        </w:tcBorders>
      </w:tcPr>
    </w:tblStylePr>
    <w:tblStylePr w:type="lastCol">
      <w:rPr>
        <w:rFonts w:ascii="Arial" w:hAnsi="Arial"/>
        <w:i/>
        <w:color w:themeColor="accent1" w:themeShade="95" w:themeTint="80" w:val="1b7ba6"/>
        <w:sz w:val="22"/>
      </w:rPr>
      <w:pPr>
        <w:pBdr/>
        <w:spacing/>
        <w:ind/>
      </w:pPr>
      <w:tblPr>
        <w:tblBorders/>
      </w:tblPr>
      <w:tcPr>
        <w:shd w:color="ffffff" w:val="clear"/>
        <w:tcBorders>
          <w:top w:color="000000" w:space="0" w:sz="4" w:val="none"/>
          <w:left w:color="000000" w:space="0" w:sz="4" w:themeColor="accent1" w:themeTint="80" w:val="single"/>
          <w:bottom w:color="000000" w:space="0" w:sz="4" w:val="none"/>
          <w:right w:color="000000" w:space="0" w:sz="4" w:val="none"/>
        </w:tcBorders>
      </w:tcPr>
    </w:tblStylePr>
    <w:tblStylePr w:type="lastRow">
      <w:rPr>
        <w:rFonts w:ascii="Arial" w:hAnsi="Arial"/>
        <w:b/>
        <w:color w:themeColor="accent1" w:themeShade="95" w:themeTint="80" w:val="1b7ba6"/>
        <w:sz w:val="22"/>
      </w:rPr>
      <w:pPr>
        <w:pBdr/>
        <w:spacing/>
        <w:ind/>
      </w:pPr>
      <w:tblPr>
        <w:tblBorders/>
      </w:tblPr>
      <w:tcPr>
        <w:shd w:color="ffffff" w:fill="ffffff" w:themeColor="light1" w:themeFill="light1" w:val="clear"/>
        <w:tcBorders>
          <w:top w:color="000000" w:space="0" w:sz="4" w:themeColor="accen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4" w:type="table">
    <w:name w:val="Grid Table 7 Colorful - Accent 2"/>
    <w:basedOn w:val="914"/>
    <w:uiPriority w:val="99"/>
    <w:pPr>
      <w:pBdr/>
      <w:spacing w:after="0" w:line="240" w:lineRule="auto"/>
      <w:ind/>
    </w:pPr>
    <w:tblPr>
      <w:tblStyleRowBandSize w:val="1"/>
      <w:tblStyleColBandSize w:val="1"/>
      <w:tblInd w:type="dxa" w:w="0"/>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be3d7" w:themeColor="accent2" w:themeFill="accent2" w:themeFillTint="32" w:themeTint="32" w:val="clear"/>
        <w:tcBorders/>
      </w:tcPr>
    </w:tblStylePr>
    <w:tblStylePr w:type="band1Vert">
      <w:pPr>
        <w:pBdr/>
        <w:spacing/>
        <w:ind/>
      </w:pPr>
      <w:tblPr>
        <w:tblBorders/>
      </w:tblPr>
      <w:tcPr>
        <w:shd w:color="ffffff" w:fill="fbe3d7" w:themeColor="accent2" w:themeFill="accent2" w:themeFillTint="32" w:themeTint="32"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b/>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5" w:type="table">
    <w:name w:val="Grid Table 7 Colorful - Accent 3"/>
    <w:basedOn w:val="914"/>
    <w:uiPriority w:val="99"/>
    <w:pPr>
      <w:pBdr/>
      <w:spacing w:after="0" w:line="240" w:lineRule="auto"/>
      <w:ind/>
    </w:pPr>
    <w:tblPr>
      <w:tblStyleRowBandSize w:val="1"/>
      <w:tblStyleColBandSize w:val="1"/>
      <w:tblInd w:type="dxa" w:w="0"/>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0f3f15"/>
        <w:sz w:val="22"/>
      </w:rPr>
      <w:pPr>
        <w:pBdr/>
        <w:spacing/>
        <w:ind/>
      </w:pPr>
      <w:tblPr>
        <w:tblBorders/>
      </w:tblPr>
      <w:tcPr>
        <w:shd w:color="ffffff" w:fill="c1f0c7" w:themeColor="accent3" w:themeFill="accent3" w:themeFillTint="34" w:themeTint="34" w:val="clear"/>
        <w:tcBorders/>
      </w:tcPr>
    </w:tblStylePr>
    <w:tblStylePr w:type="band1Vert">
      <w:pPr>
        <w:pBdr/>
        <w:spacing/>
        <w:ind/>
      </w:pPr>
      <w:tblPr>
        <w:tblBorders/>
      </w:tblPr>
      <w:tcPr>
        <w:shd w:color="ffffff" w:fill="c1f0c7" w:themeColor="accent3" w:themeFill="accent3" w:themeFillTint="34" w:themeTint="34" w:val="clear"/>
        <w:tcBorders/>
      </w:tcPr>
    </w:tblStylePr>
    <w:tblStylePr w:type="band2Horz">
      <w:rPr>
        <w:rFonts w:ascii="Arial" w:hAnsi="Arial"/>
        <w:color w:themeColor="accent3" w:themeShade="95" w:themeTint="FE" w:val="0f3f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FE" w:val="0f3f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FE" w:val="single"/>
        </w:tcBorders>
      </w:tcPr>
    </w:tblStylePr>
    <w:tblStylePr w:type="fir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FE" w:val="single"/>
          <w:right w:color="000000" w:space="0" w:sz="4" w:val="none"/>
        </w:tcBorders>
      </w:tcPr>
    </w:tblStylePr>
    <w:tblStylePr w:type="lastCol">
      <w:rPr>
        <w:rFonts w:ascii="Arial" w:hAnsi="Arial"/>
        <w:i/>
        <w:color w:themeColor="accent3" w:themeShade="95" w:themeTint="FE" w:val="0f3f15"/>
        <w:sz w:val="22"/>
      </w:rPr>
      <w:pPr>
        <w:pBdr/>
        <w:spacing/>
        <w:ind/>
      </w:pPr>
      <w:tblPr>
        <w:tblBorders/>
      </w:tblPr>
      <w:tcPr>
        <w:shd w:color="ffffff" w:val="clear"/>
        <w:tcBorders>
          <w:top w:color="000000" w:space="0" w:sz="4" w:val="none"/>
          <w:left w:color="000000" w:space="0" w:sz="4" w:themeColor="accent3" w:themeTint="FE" w:val="single"/>
          <w:bottom w:color="000000" w:space="0" w:sz="4" w:val="none"/>
          <w:right w:color="000000" w:space="0" w:sz="4" w:val="none"/>
        </w:tcBorders>
      </w:tcPr>
    </w:tblStylePr>
    <w:tblStylePr w:type="lastRow">
      <w:rPr>
        <w:rFonts w:ascii="Arial" w:hAnsi="Arial"/>
        <w:b/>
        <w:color w:themeColor="accent3" w:themeShade="95" w:themeTint="FE" w:val="0f3f15"/>
        <w:sz w:val="22"/>
      </w:rPr>
      <w:pPr>
        <w:pBdr/>
        <w:spacing/>
        <w:ind/>
      </w:pPr>
      <w:tblPr>
        <w:tblBorders/>
      </w:tblPr>
      <w:tcPr>
        <w:shd w:color="ffffff" w:fill="ffffff" w:themeColor="light1" w:themeFill="light1"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6" w:type="table">
    <w:name w:val="Grid Table 7 Colorful - Accent 4"/>
    <w:basedOn w:val="914"/>
    <w:uiPriority w:val="99"/>
    <w:pPr>
      <w:pBdr/>
      <w:spacing w:after="0" w:line="240" w:lineRule="auto"/>
      <w:ind/>
    </w:pPr>
    <w:tblPr>
      <w:tblStyleRowBandSize w:val="1"/>
      <w:tblStyleColBandSize w:val="1"/>
      <w:tblInd w:type="dxa" w:w="0"/>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0d8ab9"/>
        <w:sz w:val="22"/>
      </w:rPr>
      <w:pPr>
        <w:pBdr/>
        <w:spacing/>
        <w:ind/>
      </w:pPr>
      <w:tblPr>
        <w:tblBorders/>
      </w:tblPr>
      <w:tcPr>
        <w:shd w:color="ffffff" w:fill="c9edfb" w:themeColor="accent4" w:themeFill="accent4" w:themeFillTint="34" w:themeTint="34" w:val="clear"/>
        <w:tcBorders/>
      </w:tcPr>
    </w:tblStylePr>
    <w:tblStylePr w:type="band1Vert">
      <w:pPr>
        <w:pBdr/>
        <w:spacing/>
        <w:ind/>
      </w:pPr>
      <w:tblPr>
        <w:tblBorders/>
      </w:tblPr>
      <w:tcPr>
        <w:shd w:color="ffffff" w:fill="c9edfb" w:themeColor="accent4" w:themeFill="accent4" w:themeFillTint="34" w:themeTint="34" w:val="clear"/>
        <w:tcBorders/>
      </w:tcPr>
    </w:tblStylePr>
    <w:tblStylePr w:type="band2Horz">
      <w:rPr>
        <w:rFonts w:ascii="Arial" w:hAnsi="Arial"/>
        <w:color w:themeColor="accent4" w:themeShade="95" w:themeTint="9A" w:val="0d8ab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b/>
        <w:color w:themeColor="accent4" w:themeShade="95" w:themeTint="9A" w:val="0d8ab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9"/>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b/>
        <w:color w:themeColor="accent4" w:themeShade="95" w:themeTint="9A" w:val="0d8ab9"/>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7" w:type="table">
    <w:name w:val="Grid Table 7 Colorful - Accent 5"/>
    <w:basedOn w:val="914"/>
    <w:uiPriority w:val="99"/>
    <w:pPr>
      <w:pBdr/>
      <w:spacing w:after="0" w:line="240" w:lineRule="auto"/>
      <w:ind/>
    </w:pPr>
    <w:tblPr>
      <w:tblStyleRowBandSize w:val="1"/>
      <w:tblStyleColBandSize w:val="1"/>
      <w:tblInd w:type="dxa" w:w="0"/>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themeColor="accent5" w:themeShade="95" w:val="5d1956"/>
        <w:sz w:val="22"/>
      </w:rPr>
      <w:pPr>
        <w:pBdr/>
        <w:spacing/>
        <w:ind/>
      </w:pPr>
      <w:tblPr>
        <w:tblBorders/>
      </w:tblPr>
      <w:tcPr>
        <w:shd w:color="ffffff" w:fill="f2ceee" w:themeColor="accent5" w:themeFill="accent5" w:themeFillTint="34" w:themeTint="34" w:val="clear"/>
        <w:tcBorders/>
      </w:tcPr>
    </w:tblStylePr>
    <w:tblStylePr w:type="band1Vert">
      <w:pPr>
        <w:pBdr/>
        <w:spacing/>
        <w:ind/>
      </w:pPr>
      <w:tblPr>
        <w:tblBorders/>
      </w:tblPr>
      <w:tcPr>
        <w:shd w:color="ffffff" w:fill="f2ceee" w:themeColor="accent5" w:themeFill="accent5" w:themeFillTint="34" w:themeTint="34" w:val="clear"/>
        <w:tcBorders/>
      </w:tcPr>
    </w:tblStylePr>
    <w:tblStylePr w:type="band2Horz">
      <w:rPr>
        <w:rFonts w:ascii="Arial" w:hAnsi="Arial"/>
        <w:color w:themeColor="accent5" w:themeShade="95" w:val="5d195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val="5d195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0" w:val="single"/>
        </w:tcBorders>
      </w:tcPr>
    </w:tblStylePr>
    <w:tblStylePr w:type="fir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0" w:val="single"/>
          <w:right w:color="000000" w:space="0" w:sz="4" w:val="none"/>
        </w:tcBorders>
      </w:tcPr>
    </w:tblStylePr>
    <w:tblStylePr w:type="lastCol">
      <w:rPr>
        <w:rFonts w:ascii="Arial" w:hAnsi="Arial"/>
        <w:i/>
        <w:color w:themeColor="accent5" w:themeShade="95" w:val="5d1956"/>
        <w:sz w:val="22"/>
      </w:rPr>
      <w:pPr>
        <w:pBdr/>
        <w:spacing/>
        <w:ind/>
      </w:pPr>
      <w:tblPr>
        <w:tblBorders/>
      </w:tblPr>
      <w:tcPr>
        <w:shd w:color="ffffff" w:val="clear"/>
        <w:tcBorders>
          <w:top w:color="000000" w:space="0" w:sz="4" w:val="none"/>
          <w:left w:color="000000" w:space="0" w:sz="4" w:themeColor="accent5" w:themeTint="90" w:val="single"/>
          <w:bottom w:color="000000" w:space="0" w:sz="4" w:val="none"/>
          <w:right w:color="000000" w:space="0" w:sz="4" w:val="none"/>
        </w:tcBorders>
      </w:tcPr>
    </w:tblStylePr>
    <w:tblStylePr w:type="lastRow">
      <w:rPr>
        <w:rFonts w:ascii="Arial" w:hAnsi="Arial"/>
        <w:b/>
        <w:color w:themeColor="accent5" w:themeShade="95" w:val="5d1956"/>
        <w:sz w:val="22"/>
      </w:rPr>
      <w:pPr>
        <w:pBdr/>
        <w:spacing/>
        <w:ind/>
      </w:pPr>
      <w:tblPr>
        <w:tblBorders/>
      </w:tblPr>
      <w:tcPr>
        <w:shd w:color="ffffff" w:fill="ffffff" w:themeColor="light1" w:themeFill="light1" w:val="clear"/>
        <w:tcBorders>
          <w:top w:color="000000" w:space="0" w:sz="4" w:themeColor="accent5"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8" w:type="table">
    <w:name w:val="Grid Table 7 Colorful - Accent 6"/>
    <w:basedOn w:val="914"/>
    <w:uiPriority w:val="99"/>
    <w:pPr>
      <w:pBdr/>
      <w:spacing w:after="0" w:line="240" w:lineRule="auto"/>
      <w:ind/>
    </w:pPr>
    <w:tblPr>
      <w:tblStyleRowBandSize w:val="1"/>
      <w:tblStyleColBandSize w:val="1"/>
      <w:tblInd w:type="dxa" w:w="0"/>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themeColor="accent6" w:themeShade="95" w:val="2e621b"/>
        <w:sz w:val="22"/>
      </w:rPr>
      <w:pPr>
        <w:pBdr/>
        <w:spacing/>
        <w:ind/>
      </w:pPr>
      <w:tblPr>
        <w:tblBorders/>
      </w:tblPr>
      <w:tcPr>
        <w:shd w:color="ffffff" w:fill="d9f2d0" w:themeColor="accent6" w:themeFill="accent6" w:themeFillTint="34" w:themeTint="34" w:val="clear"/>
        <w:tcBorders/>
      </w:tcPr>
    </w:tblStylePr>
    <w:tblStylePr w:type="band1Vert">
      <w:pPr>
        <w:pBdr/>
        <w:spacing/>
        <w:ind/>
      </w:pPr>
      <w:tblPr>
        <w:tblBorders/>
      </w:tblPr>
      <w:tcPr>
        <w:shd w:color="ffffff" w:fill="d9f2d0" w:themeColor="accent6" w:themeFill="accent6" w:themeFillTint="34" w:themeTint="34" w:val="clear"/>
        <w:tcBorders/>
      </w:tcPr>
    </w:tblStylePr>
    <w:tblStylePr w:type="band2Horz">
      <w:rPr>
        <w:rFonts w:ascii="Arial" w:hAnsi="Arial"/>
        <w:color w:themeColor="accent6" w:themeShade="95" w:val="2e621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val="2e621b"/>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0" w:val="single"/>
        </w:tcBorders>
      </w:tcPr>
    </w:tblStylePr>
    <w:tblStylePr w:type="fir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0" w:val="single"/>
          <w:right w:color="000000" w:space="0" w:sz="4" w:val="none"/>
        </w:tcBorders>
      </w:tcPr>
    </w:tblStylePr>
    <w:tblStylePr w:type="lastCol">
      <w:rPr>
        <w:rFonts w:ascii="Arial" w:hAnsi="Arial"/>
        <w:i/>
        <w:color w:themeColor="accent6" w:themeShade="95" w:val="2e621b"/>
        <w:sz w:val="22"/>
      </w:rPr>
      <w:pPr>
        <w:pBdr/>
        <w:spacing/>
        <w:ind/>
      </w:pPr>
      <w:tblPr>
        <w:tblBorders/>
      </w:tblPr>
      <w:tcPr>
        <w:shd w:color="ffffff" w:val="clear"/>
        <w:tcBorders>
          <w:top w:color="000000" w:space="0" w:sz="4" w:val="none"/>
          <w:left w:color="000000" w:space="0" w:sz="4" w:themeColor="accent6" w:themeTint="90" w:val="single"/>
          <w:bottom w:color="000000" w:space="0" w:sz="4" w:val="none"/>
          <w:right w:color="000000" w:space="0" w:sz="4" w:val="none"/>
        </w:tcBorders>
      </w:tcPr>
    </w:tblStylePr>
    <w:tblStylePr w:type="lastRow">
      <w:rPr>
        <w:rFonts w:ascii="Arial" w:hAnsi="Arial"/>
        <w:b/>
        <w:color w:themeColor="accent6" w:themeShade="95" w:val="2e621b"/>
        <w:sz w:val="22"/>
      </w:rPr>
      <w:pPr>
        <w:pBdr/>
        <w:spacing/>
        <w:ind/>
      </w:pPr>
      <w:tblPr>
        <w:tblBorders/>
      </w:tblPr>
      <w:tcPr>
        <w:shd w:color="ffffff" w:fill="ffffff" w:themeColor="light1" w:themeFill="light1" w:val="clear"/>
        <w:tcBorders>
          <w:top w:color="000000" w:space="0" w:sz="4" w:themeColor="accent6"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9" w:type="table">
    <w:name w:val="List Table 1 Light"/>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0" w:type="table">
    <w:name w:val="List Table 1 Light - Accent 1"/>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1" w:type="table">
    <w:name w:val="List Table 1 Light - Accent 2"/>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2" w:type="table">
    <w:name w:val="List Table 1 Light - Accent 3"/>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3" w:type="table">
    <w:name w:val="List Table 1 Light - Accent 4"/>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4" w:type="table">
    <w:name w:val="List Table 1 Light - Accent 5"/>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5" w:type="table">
    <w:name w:val="List Table 1 Light - Accent 6"/>
    <w:basedOn w:val="914"/>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6" w:type="table">
    <w:name w:val="List Table 2"/>
    <w:basedOn w:val="914"/>
    <w:uiPriority w:val="99"/>
    <w:pPr>
      <w:pBdr/>
      <w:spacing w:after="0" w:line="240" w:lineRule="auto"/>
      <w:ind/>
    </w:pPr>
    <w:tblPr>
      <w:tblStyleRowBandSize w:val="1"/>
      <w:tblStyleColBandSize w:val="1"/>
      <w:tblInd w:type="dxa" w:w="0"/>
      <w:tblBorders>
        <w:top w:color="000000" w:space="0" w:sz="4" w:themeColor="text1" w:themeTint="90" w:val="single"/>
        <w:bottom w:color="000000" w:space="0" w:sz="4" w:themeColor="text1" w:themeTint="90" w:val="single"/>
        <w:insideH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7" w:type="table">
    <w:name w:val="List Table 2 - Accent 1"/>
    <w:basedOn w:val="914"/>
    <w:uiPriority w:val="99"/>
    <w:pPr>
      <w:pBdr/>
      <w:spacing w:after="0" w:line="240" w:lineRule="auto"/>
      <w:ind/>
    </w:pPr>
    <w:tblPr>
      <w:tblStyleRowBandSize w:val="1"/>
      <w:tblStyleColBandSize w:val="1"/>
      <w:tblInd w:type="dxa" w:w="0"/>
      <w:tblBorders>
        <w:top w:color="000000" w:space="0" w:sz="4" w:themeColor="accent1" w:themeTint="90" w:val="single"/>
        <w:bottom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8" w:type="table">
    <w:name w:val="List Table 2 - Accent 2"/>
    <w:basedOn w:val="914"/>
    <w:uiPriority w:val="99"/>
    <w:pPr>
      <w:pBdr/>
      <w:spacing w:after="0" w:line="240" w:lineRule="auto"/>
      <w:ind/>
    </w:pPr>
    <w:tblPr>
      <w:tblStyleRowBandSize w:val="1"/>
      <w:tblStyleColBandSize w:val="1"/>
      <w:tblInd w:type="dxa" w:w="0"/>
      <w:tblBorders>
        <w:top w:color="000000" w:space="0" w:sz="4" w:themeColor="accent2" w:themeTint="90" w:val="single"/>
        <w:bottom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9" w:type="table">
    <w:name w:val="List Table 2 - Accent 3"/>
    <w:basedOn w:val="914"/>
    <w:uiPriority w:val="99"/>
    <w:pPr>
      <w:pBdr/>
      <w:spacing w:after="0" w:line="240" w:lineRule="auto"/>
      <w:ind/>
    </w:pPr>
    <w:tblPr>
      <w:tblStyleRowBandSize w:val="1"/>
      <w:tblStyleColBandSize w:val="1"/>
      <w:tblInd w:type="dxa" w:w="0"/>
      <w:tblBorders>
        <w:top w:color="000000" w:space="0" w:sz="4" w:themeColor="accent3" w:themeTint="90" w:val="single"/>
        <w:bottom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0" w:type="table">
    <w:name w:val="List Table 2 - Accent 4"/>
    <w:basedOn w:val="914"/>
    <w:uiPriority w:val="99"/>
    <w:pPr>
      <w:pBdr/>
      <w:spacing w:after="0" w:line="240" w:lineRule="auto"/>
      <w:ind/>
    </w:pPr>
    <w:tblPr>
      <w:tblStyleRowBandSize w:val="1"/>
      <w:tblStyleColBandSize w:val="1"/>
      <w:tblInd w:type="dxa" w:w="0"/>
      <w:tblBorders>
        <w:top w:color="000000" w:space="0" w:sz="4" w:themeColor="accent4" w:themeTint="90" w:val="single"/>
        <w:bottom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1" w:type="table">
    <w:name w:val="List Table 2 - Accent 5"/>
    <w:basedOn w:val="914"/>
    <w:uiPriority w:val="99"/>
    <w:pPr>
      <w:pBdr/>
      <w:spacing w:after="0" w:line="240" w:lineRule="auto"/>
      <w:ind/>
    </w:pPr>
    <w:tblPr>
      <w:tblStyleRowBandSize w:val="1"/>
      <w:tblStyleColBandSize w:val="1"/>
      <w:tblInd w:type="dxa" w:w="0"/>
      <w:tblBorders>
        <w:top w:color="000000" w:space="0" w:sz="4" w:themeColor="accent5" w:themeTint="90" w:val="single"/>
        <w:bottom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2" w:type="table">
    <w:name w:val="List Table 2 - Accent 6"/>
    <w:basedOn w:val="914"/>
    <w:uiPriority w:val="99"/>
    <w:pPr>
      <w:pBdr/>
      <w:spacing w:after="0" w:line="240" w:lineRule="auto"/>
      <w:ind/>
    </w:pPr>
    <w:tblPr>
      <w:tblStyleRowBandSize w:val="1"/>
      <w:tblStyleColBandSize w:val="1"/>
      <w:tblInd w:type="dxa" w:w="0"/>
      <w:tblBorders>
        <w:top w:color="000000" w:space="0" w:sz="4" w:themeColor="accent6" w:themeTint="90" w:val="single"/>
        <w:bottom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3" w:type="table">
    <w:name w:val="List Table 3"/>
    <w:basedOn w:val="914"/>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rPr>
        <w:rFonts w:ascii="Arial" w:hAnsi="Arial"/>
        <w:color w:val="404040"/>
        <w:sz w:val="22"/>
      </w:rPr>
      <w:pPr>
        <w:pBdr/>
        <w:spacing/>
        <w:ind/>
      </w:pPr>
      <w:tblPr>
        <w:tblBorders/>
      </w:tblPr>
      <w:tcPr>
        <w:tcBorders>
          <w:top w:color="000000" w:space="0" w:sz="4" w:themeColor="text1" w:val="single"/>
          <w:bottom w:color="000000" w:space="0" w:sz="4" w:themeColor="text1" w:val="single"/>
        </w:tcBorders>
      </w:tcPr>
    </w:tblStylePr>
    <w:tblStylePr w:type="band1Vert">
      <w:rPr>
        <w:rFonts w:ascii="Arial" w:hAnsi="Arial"/>
        <w:color w:val="404040"/>
        <w:sz w:val="22"/>
      </w:rPr>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4" w:type="table">
    <w:name w:val="List Table 3 - Accent 1"/>
    <w:basedOn w:val="914"/>
    <w:uiPriority w:val="99"/>
    <w:pPr>
      <w:pBdr/>
      <w:spacing w:after="0" w:line="240" w:lineRule="auto"/>
      <w:ind/>
    </w:pPr>
    <w:tblPr>
      <w:tblStyleRowBandSize w:val="1"/>
      <w:tblStyleColBandSize w:val="1"/>
      <w:tblInd w:type="dxa" w:w="0"/>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rPr>
        <w:rFonts w:ascii="Arial" w:hAnsi="Arial"/>
        <w:color w:val="404040"/>
        <w:sz w:val="22"/>
      </w:rPr>
      <w:pPr>
        <w:pBdr/>
        <w:spacing/>
        <w:ind/>
      </w:pPr>
      <w:tblPr>
        <w:tblBorders/>
      </w:tblPr>
      <w:tcPr>
        <w:tcBorders>
          <w:top w:color="000000" w:space="0" w:sz="4" w:themeColor="accent1" w:val="single"/>
          <w:bottom w:color="000000" w:space="0" w:sz="4" w:themeColor="accent1" w:val="single"/>
        </w:tcBorders>
      </w:tcPr>
    </w:tblStylePr>
    <w:tblStylePr w:type="band1Vert">
      <w:rPr>
        <w:rFonts w:ascii="Arial" w:hAnsi="Arial"/>
        <w:color w:val="404040"/>
        <w:sz w:val="22"/>
      </w:rPr>
      <w:pPr>
        <w:pBdr/>
        <w:spacing/>
        <w:ind/>
      </w:p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5" w:type="table">
    <w:name w:val="List Table 3 - Accent 2"/>
    <w:basedOn w:val="914"/>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97" w:val="single"/>
          <w:bottom w:color="000000" w:space="0" w:sz="4" w:themeColor="accent2" w:themeTint="97" w:val="single"/>
        </w:tcBorders>
      </w:tcPr>
    </w:tblStylePr>
    <w:tblStylePr w:type="band1Vert">
      <w:rPr>
        <w:rFonts w:ascii="Arial" w:hAnsi="Arial"/>
        <w:color w:val="404040"/>
        <w:sz w:val="22"/>
      </w:rPr>
      <w:pPr>
        <w:pBdr/>
        <w:spacing/>
        <w:ind/>
      </w:pPr>
      <w:tblPr>
        <w:tblBorders/>
      </w:tblPr>
      <w:tcPr>
        <w:tcBorders>
          <w:left w:color="000000" w:space="0" w:sz="4" w:themeColor="accent2" w:themeTint="97" w:val="single"/>
          <w:right w:color="000000" w:space="0" w:sz="4" w:themeColor="accent2" w:themeTint="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2ab86" w:themeColor="accent2" w:themeFill="accent2" w:themeFillTint="97" w:themeTint="97"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6" w:type="table">
    <w:name w:val="List Table 3 - Accent 3"/>
    <w:basedOn w:val="914"/>
    <w:uiPriority w:val="99"/>
    <w:pPr>
      <w:pBdr/>
      <w:spacing w:after="0" w:line="240" w:lineRule="auto"/>
      <w:ind/>
    </w:pPr>
    <w:tblPr>
      <w:tblStyleRowBandSize w:val="1"/>
      <w:tblStyleColBandSize w:val="1"/>
      <w:tblInd w:type="dxa" w:w="0"/>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98" w:val="single"/>
          <w:bottom w:color="000000" w:space="0" w:sz="4" w:themeColor="accent3" w:themeTint="98" w:val="single"/>
        </w:tcBorders>
      </w:tcPr>
    </w:tblStylePr>
    <w:tblStylePr w:type="band1Vert">
      <w:rPr>
        <w:rFonts w:ascii="Arial" w:hAnsi="Arial"/>
        <w:color w:val="404040"/>
        <w:sz w:val="22"/>
      </w:rPr>
      <w:pPr>
        <w:pBdr/>
        <w:spacing/>
        <w:ind/>
      </w:pPr>
      <w:tblPr>
        <w:tblBorders/>
      </w:tblPr>
      <w:tcPr>
        <w:tcBorders>
          <w:left w:color="000000" w:space="0" w:sz="4" w:themeColor="accent3" w:themeTint="98" w:val="single"/>
          <w:right w:color="000000" w:space="0" w:sz="4" w:themeColor="accent3"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8d45b" w:themeColor="accent3" w:themeFill="accent3"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7" w:type="table">
    <w:name w:val="List Table 3 - Accent 4"/>
    <w:basedOn w:val="914"/>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9A" w:val="single"/>
          <w:bottom w:color="000000" w:space="0" w:sz="4" w:themeColor="accent4" w:themeTint="9A" w:val="single"/>
        </w:tcBorders>
      </w:tcPr>
    </w:tblStylePr>
    <w:tblStylePr w:type="band1Vert">
      <w:rPr>
        <w:rFonts w:ascii="Arial" w:hAnsi="Arial"/>
        <w:color w:val="404040"/>
        <w:sz w:val="22"/>
      </w:rPr>
      <w:pPr>
        <w:pBdr/>
        <w:spacing/>
        <w:ind/>
      </w:pPr>
      <w:tblPr>
        <w:tblBorders/>
      </w:tblPr>
      <w:tcPr>
        <w:tcBorders>
          <w:left w:color="000000" w:space="0" w:sz="4" w:themeColor="accent4" w:themeTint="9A" w:val="single"/>
          <w:right w:color="000000" w:space="0" w:sz="4" w:themeColor="accent4"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0cbf4" w:themeColor="accent4" w:themeFill="accent4"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8" w:type="table">
    <w:name w:val="List Table 3 - Accent 5"/>
    <w:basedOn w:val="914"/>
    <w:uiPriority w:val="99"/>
    <w:pPr>
      <w:pBdr/>
      <w:spacing w:after="0" w:line="240" w:lineRule="auto"/>
      <w:ind/>
    </w:pPr>
    <w:tblPr>
      <w:tblStyleRowBandSize w:val="1"/>
      <w:tblStyleColBandSize w:val="1"/>
      <w:tblInd w:type="dxa" w:w="0"/>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9A" w:val="single"/>
          <w:bottom w:color="000000" w:space="0" w:sz="4" w:themeColor="accent5" w:themeTint="9A" w:val="single"/>
        </w:tcBorders>
      </w:tcPr>
    </w:tblStylePr>
    <w:tblStylePr w:type="band1Vert">
      <w:rPr>
        <w:rFonts w:ascii="Arial" w:hAnsi="Arial"/>
        <w:color w:val="404040"/>
        <w:sz w:val="22"/>
      </w:rPr>
      <w:pPr>
        <w:pBdr/>
        <w:spacing/>
        <w:ind/>
      </w:pPr>
      <w:tblPr>
        <w:tblBorders/>
      </w:tblPr>
      <w:tcPr>
        <w:tcBorders>
          <w:left w:color="000000" w:space="0" w:sz="4" w:themeColor="accent5" w:themeTint="9A" w:val="single"/>
          <w:right w:color="000000" w:space="0" w:sz="4" w:themeColor="accent5"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d86dcc" w:themeColor="accent5" w:themeFill="accent5"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9" w:type="table">
    <w:name w:val="List Table 3 - Accent 6"/>
    <w:basedOn w:val="914"/>
    <w:uiPriority w:val="99"/>
    <w:pPr>
      <w:pBdr/>
      <w:spacing w:after="0" w:line="240" w:lineRule="auto"/>
      <w:ind/>
    </w:pPr>
    <w:tblPr>
      <w:tblStyleRowBandSize w:val="1"/>
      <w:tblStyleColBandSize w:val="1"/>
      <w:tblInd w:type="dxa" w:w="0"/>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98" w:val="single"/>
          <w:bottom w:color="000000" w:space="0" w:sz="4" w:themeColor="accent6" w:themeTint="98" w:val="single"/>
        </w:tcBorders>
      </w:tcPr>
    </w:tblStylePr>
    <w:tblStylePr w:type="band1Vert">
      <w:rPr>
        <w:rFonts w:ascii="Arial" w:hAnsi="Arial"/>
        <w:color w:val="404040"/>
        <w:sz w:val="22"/>
      </w:rPr>
      <w:pPr>
        <w:pBdr/>
        <w:spacing/>
        <w:ind/>
      </w:pPr>
      <w:tblPr>
        <w:tblBorders/>
      </w:tblPr>
      <w:tcPr>
        <w:tcBorders>
          <w:left w:color="000000" w:space="0" w:sz="4" w:themeColor="accent6" w:themeTint="98" w:val="single"/>
          <w:right w:color="000000" w:space="0" w:sz="4" w:themeColor="accent6"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8fd974" w:themeColor="accent6" w:themeFill="accent6"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0" w:type="table">
    <w:name w:val="List Table 4"/>
    <w:basedOn w:val="914"/>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1" w:type="table">
    <w:name w:val="List Table 4 - Accent 1"/>
    <w:basedOn w:val="914"/>
    <w:uiPriority w:val="9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b1def2"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56082"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2" w:type="table">
    <w:name w:val="List Table 4 - Accent 2"/>
    <w:basedOn w:val="914"/>
    <w:uiPriority w:val="9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9dbcc"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e97132" w:themeColor="accent2" w:themeFill="accent2"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3" w:type="table">
    <w:name w:val="List Table 4 - Accent 3"/>
    <w:basedOn w:val="914"/>
    <w:uiPriority w:val="9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b2edba"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196b24" w:themeColor="accent3" w:themeFill="accent3"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4" w:type="table">
    <w:name w:val="List Table 4 - Accent 4"/>
    <w:basedOn w:val="914"/>
    <w:uiPriority w:val="9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bde9fa"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f9ed5" w:themeColor="accent4" w:themeFill="accent4"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5" w:type="table">
    <w:name w:val="List Table 4 - Accent 5"/>
    <w:basedOn w:val="914"/>
    <w:uiPriority w:val="9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efc2ea"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02b93" w:themeColor="accent5" w:themeFill="accent5"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6" w:type="table">
    <w:name w:val="List Table 4 - Accent 6"/>
    <w:basedOn w:val="914"/>
    <w:uiPriority w:val="9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0efc5"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ea72e" w:themeColor="accent6" w:themeFill="accent6"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7" w:type="table">
    <w:name w:val="List Table 5 Dark"/>
    <w:basedOn w:val="914"/>
    <w:uiPriority w:val="99"/>
    <w:pPr>
      <w:pBdr/>
      <w:spacing w:after="0" w:line="240" w:lineRule="auto"/>
      <w:ind/>
    </w:pPr>
    <w:tblPr>
      <w:tblStyleRowBandSize w:val="1"/>
      <w:tblStyleColBandSize w:val="1"/>
      <w:tblInd w:type="dxa" w:w="0"/>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shd w:color="ffffff" w:fill="7f7f7f" w:themeColor="text1" w:themeFill="text1" w:themeFillTint="80" w:themeTint="80" w:val="clear"/>
    </w:tblPr>
    <w:tcPr>
      <w:tcBorders/>
    </w:tcPr>
    <w:tblStylePr w:type="band1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7f7f7f" w:themeColor="text1" w:themeFill="text1" w:themeFillTint="80" w:themeTint="80"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text1" w:themeTint="80"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7f7f7f" w:themeColor="text1" w:themeFill="text1" w:themeFillTint="80" w:themeTint="80" w:val="clear"/>
        <w:tcBorders>
          <w:top w:color="000000" w:space="0" w:sz="32" w:themeColor="text1" w:themeTint="80"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text1" w:themeTint="80"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18" w:type="table">
    <w:name w:val="List Table 5 Dark - Accent 1"/>
    <w:basedOn w:val="914"/>
    <w:uiPriority w:val="99"/>
    <w:pPr>
      <w:pBdr/>
      <w:spacing w:after="0" w:line="240" w:lineRule="auto"/>
      <w:ind/>
    </w:pPr>
    <w:tblPr>
      <w:tblStyleRowBandSize w:val="1"/>
      <w:tblStyleColBandSize w:val="1"/>
      <w:tblInd w:type="dxa" w:w="0"/>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156082" w:themeColor="accent1" w:themeFill="accent1"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156082" w:themeColor="accent1" w:themeFill="accent1"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1"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156082" w:themeColor="accent1" w:themeFill="accent1" w:val="clear"/>
        <w:tcBorders>
          <w:top w:color="000000" w:space="0" w:sz="32" w:themeColor="accent1"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19" w:type="table">
    <w:name w:val="List Table 5 Dark - Accent 2"/>
    <w:basedOn w:val="914"/>
    <w:uiPriority w:val="99"/>
    <w:pPr>
      <w:pBdr/>
      <w:spacing w:after="0" w:line="240" w:lineRule="auto"/>
      <w:ind/>
    </w:pPr>
    <w:tblPr>
      <w:tblStyleRowBandSize w:val="1"/>
      <w:tblStyleColBandSize w:val="1"/>
      <w:tblInd w:type="dxa" w:w="0"/>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shd w:color="ffffff" w:fill="f2ab86" w:themeColor="accent2" w:themeFill="accent2" w:themeFillTint="97" w:themeTint="97" w:val="clear"/>
    </w:tblPr>
    <w:tcPr>
      <w:tcBorders/>
    </w:tcPr>
    <w:tblStylePr w:type="band1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f2ab86" w:themeColor="accent2" w:themeFill="accent2" w:themeFillTint="97" w:themeTint="97"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f2ab86" w:themeColor="accent2" w:themeFill="accent2" w:themeFillTint="97" w:themeTint="97"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2" w:themeTint="97"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f2ab86" w:themeColor="accent2" w:themeFill="accent2" w:themeFillTint="97" w:themeTint="97" w:val="clear"/>
        <w:tcBorders>
          <w:top w:color="000000" w:space="0" w:sz="32" w:themeColor="accent2" w:themeTint="97"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2" w:themeTint="97"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0" w:type="table">
    <w:name w:val="List Table 5 Dark - Accent 3"/>
    <w:basedOn w:val="914"/>
    <w:uiPriority w:val="99"/>
    <w:pPr>
      <w:pBdr/>
      <w:spacing w:after="0" w:line="240" w:lineRule="auto"/>
      <w:ind/>
    </w:pPr>
    <w:tblPr>
      <w:tblStyleRowBandSize w:val="1"/>
      <w:tblStyleColBandSize w:val="1"/>
      <w:tblInd w:type="dxa" w:w="0"/>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shd w:color="ffffff" w:fill="48d45b" w:themeColor="accent3" w:themeFill="accent3" w:themeFillTint="98" w:themeTint="98" w:val="clear"/>
    </w:tblPr>
    <w:tcPr>
      <w:tcBorders/>
    </w:tcPr>
    <w:tblStylePr w:type="band1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48d45b" w:themeColor="accent3" w:themeFill="accent3"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48d45b" w:themeColor="accent3" w:themeFill="accent3"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3"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48d45b" w:themeColor="accent3" w:themeFill="accent3" w:themeFillTint="98" w:themeTint="98" w:val="clear"/>
        <w:tcBorders>
          <w:top w:color="000000" w:space="0" w:sz="32" w:themeColor="accent3"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3"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1" w:type="table">
    <w:name w:val="List Table 5 Dark - Accent 4"/>
    <w:basedOn w:val="914"/>
    <w:uiPriority w:val="99"/>
    <w:pPr>
      <w:pBdr/>
      <w:spacing w:after="0" w:line="240" w:lineRule="auto"/>
      <w:ind/>
    </w:pPr>
    <w:tblPr>
      <w:tblStyleRowBandSize w:val="1"/>
      <w:tblStyleColBandSize w:val="1"/>
      <w:tblInd w:type="dxa" w:w="0"/>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shd w:color="ffffff" w:fill="60cbf4" w:themeColor="accent4" w:themeFill="accent4" w:themeFillTint="9A" w:themeTint="9A" w:val="clear"/>
    </w:tblPr>
    <w:tcPr>
      <w:tcBorders/>
    </w:tcPr>
    <w:tblStylePr w:type="band1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60cbf4" w:themeColor="accent4" w:themeFill="accent4"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60cbf4" w:themeColor="accent4" w:themeFill="accent4"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4"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60cbf4" w:themeColor="accent4" w:themeFill="accent4" w:themeFillTint="9A" w:themeTint="9A" w:val="clear"/>
        <w:tcBorders>
          <w:top w:color="000000" w:space="0" w:sz="32" w:themeColor="accent4"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4"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2" w:type="table">
    <w:name w:val="List Table 5 Dark - Accent 5"/>
    <w:basedOn w:val="914"/>
    <w:uiPriority w:val="99"/>
    <w:pPr>
      <w:pBdr/>
      <w:spacing w:after="0" w:line="240" w:lineRule="auto"/>
      <w:ind/>
    </w:pPr>
    <w:tblPr>
      <w:tblStyleRowBandSize w:val="1"/>
      <w:tblStyleColBandSize w:val="1"/>
      <w:tblInd w:type="dxa" w:w="0"/>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shd w:color="ffffff" w:fill="d86dcc" w:themeColor="accent5" w:themeFill="accent5" w:themeFillTint="9A" w:themeTint="9A" w:val="clear"/>
    </w:tblPr>
    <w:tcPr>
      <w:tcBorders/>
    </w:tcPr>
    <w:tblStylePr w:type="band1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d86dcc" w:themeColor="accent5" w:themeFill="accent5"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d86dcc" w:themeColor="accent5" w:themeFill="accent5"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5"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d86dcc" w:themeColor="accent5" w:themeFill="accent5" w:themeFillTint="9A" w:themeTint="9A" w:val="clear"/>
        <w:tcBorders>
          <w:top w:color="000000" w:space="0" w:sz="32" w:themeColor="accent5"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5"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3" w:type="table">
    <w:name w:val="List Table 5 Dark - Accent 6"/>
    <w:basedOn w:val="914"/>
    <w:uiPriority w:val="99"/>
    <w:pPr>
      <w:pBdr/>
      <w:spacing w:after="0" w:line="240" w:lineRule="auto"/>
      <w:ind/>
    </w:pPr>
    <w:tblPr>
      <w:tblStyleRowBandSize w:val="1"/>
      <w:tblStyleColBandSize w:val="1"/>
      <w:tblInd w:type="dxa" w:w="0"/>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shd w:color="ffffff" w:fill="8fd974" w:themeColor="accent6" w:themeFill="accent6" w:themeFillTint="98" w:themeTint="98" w:val="clear"/>
    </w:tblPr>
    <w:tcPr>
      <w:tcBorders/>
    </w:tcPr>
    <w:tblStylePr w:type="band1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8fd974" w:themeColor="accent6" w:themeFill="accent6"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8fd974" w:themeColor="accent6" w:themeFill="accent6"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6"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8fd974" w:themeColor="accent6" w:themeFill="accent6" w:themeFillTint="98" w:themeTint="98" w:val="clear"/>
        <w:tcBorders>
          <w:top w:color="000000" w:space="0" w:sz="32" w:themeColor="accent6"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6"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824" w:type="table">
    <w:name w:val="List Table 6 Colorful"/>
    <w:basedOn w:val="914"/>
    <w:uiPriority w:val="99"/>
    <w:pPr>
      <w:pBdr/>
      <w:spacing w:after="0" w:line="240" w:lineRule="auto"/>
      <w:ind/>
    </w:pPr>
    <w:tblPr>
      <w:tblStyleRowBandSize w:val="1"/>
      <w:tblStyleColBandSize w:val="1"/>
      <w:tblInd w:type="dxa" w:w="0"/>
      <w:tblBorders>
        <w:top w:color="000000" w:space="0" w:sz="4" w:themeColor="text1" w:themeTint="80" w:val="single"/>
        <w:bottom w:color="000000" w:space="0" w:sz="4" w:themeColor="text1" w:themeTint="80" w:val="single"/>
      </w:tblBorders>
    </w:tblPr>
    <w:tcPr>
      <w:tcBorders/>
    </w:tcPr>
    <w:tblStylePr w:type="band1Horz">
      <w:rPr>
        <w:rFonts w:ascii="Arial" w:hAnsi="Arial"/>
        <w:color w:themeColor="text1" w:val="404040"/>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val="000000"/>
      </w:rPr>
      <w:pPr>
        <w:pBdr/>
        <w:spacing/>
        <w:ind/>
      </w:pPr>
      <w:tblPr>
        <w:tblBorders/>
      </w:tblPr>
      <w:tcPr>
        <w:tcBorders/>
      </w:tcPr>
    </w:tblStylePr>
    <w:tblStylePr w:type="firstRow">
      <w:rPr>
        <w:b/>
        <w:color w:themeColor="text1" w:val="000000"/>
      </w:rPr>
      <w:pPr>
        <w:pBdr/>
        <w:spacing/>
        <w:ind/>
      </w:pPr>
      <w:tblPr>
        <w:tblBorders/>
      </w:tblPr>
      <w:tcPr>
        <w:tcBorders>
          <w:bottom w:color="000000" w:space="0" w:sz="4" w:themeColor="text1" w:themeTint="80" w:val="single"/>
        </w:tcBorders>
      </w:tcPr>
    </w:tblStylePr>
    <w:tblStylePr w:type="lastCol">
      <w:rPr>
        <w:b/>
        <w:color w:themeColor="text1" w:val="000000"/>
      </w:rPr>
      <w:pPr>
        <w:pBdr/>
        <w:spacing/>
        <w:ind/>
      </w:pPr>
      <w:tblPr>
        <w:tblBorders/>
      </w:tblPr>
      <w:tcPr>
        <w:tcBorders/>
      </w:tcPr>
    </w:tblStylePr>
    <w:tblStylePr w:type="lastRow">
      <w:rPr>
        <w:b/>
        <w:color w:themeColor="text1" w:val="000000"/>
      </w:rPr>
      <w:pPr>
        <w:pBdr/>
        <w:spacing/>
        <w:ind/>
      </w:pPr>
      <w:tblPr>
        <w:tblBorders/>
      </w:tblPr>
      <w:tcPr>
        <w:tcBorders>
          <w:top w:color="000000" w:space="0" w:sz="4"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5" w:type="table">
    <w:name w:val="List Table 6 Colorful - Accent 1"/>
    <w:basedOn w:val="914"/>
    <w:uiPriority w:val="99"/>
    <w:pPr>
      <w:pBdr/>
      <w:spacing w:after="0" w:line="240" w:lineRule="auto"/>
      <w:ind/>
    </w:pPr>
    <w:tblPr>
      <w:tblStyleRowBandSize w:val="1"/>
      <w:tblStyleColBandSize w:val="1"/>
      <w:tblInd w:type="dxa" w:w="0"/>
      <w:tblBorders>
        <w:top w:color="000000" w:space="0" w:sz="4" w:themeColor="accent1" w:val="single"/>
        <w:bottom w:color="000000" w:space="0" w:sz="4" w:themeColor="accent1" w:val="single"/>
      </w:tblBorders>
    </w:tblPr>
    <w:tcPr>
      <w:tcBorders/>
    </w:tcPr>
    <w:tblStylePr w:type="band1Horz">
      <w:rPr>
        <w:rFonts w:ascii="Arial" w:hAnsi="Arial"/>
        <w:color w:themeColor="accent1" w:themeShade="95" w:val="404040"/>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val="0c384c"/>
      </w:rPr>
      <w:pPr>
        <w:pBdr/>
        <w:spacing/>
        <w:ind/>
      </w:pPr>
      <w:tblPr>
        <w:tblBorders/>
      </w:tblPr>
      <w:tcPr>
        <w:tcBorders/>
      </w:tcPr>
    </w:tblStylePr>
    <w:tblStylePr w:type="firstRow">
      <w:rPr>
        <w:b/>
        <w:color w:themeColor="accent1" w:themeShade="95" w:val="0c384c"/>
      </w:rPr>
      <w:pPr>
        <w:pBdr/>
        <w:spacing/>
        <w:ind/>
      </w:pPr>
      <w:tblPr>
        <w:tblBorders/>
      </w:tblPr>
      <w:tcPr>
        <w:tcBorders>
          <w:bottom w:color="000000" w:space="0" w:sz="4" w:themeColor="accent1" w:val="single"/>
        </w:tcBorders>
      </w:tcPr>
    </w:tblStylePr>
    <w:tblStylePr w:type="lastCol">
      <w:rPr>
        <w:b/>
        <w:color w:themeColor="accent1" w:themeShade="95" w:val="0c384c"/>
      </w:rPr>
      <w:pPr>
        <w:pBdr/>
        <w:spacing/>
        <w:ind/>
      </w:pPr>
      <w:tblPr>
        <w:tblBorders/>
      </w:tblPr>
      <w:tcPr>
        <w:tcBorders/>
      </w:tcPr>
    </w:tblStylePr>
    <w:tblStylePr w:type="lastRow">
      <w:rPr>
        <w:b/>
        <w:color w:themeColor="accent1" w:themeShade="95" w:val="0c384c"/>
      </w:rPr>
      <w:pPr>
        <w:pBdr/>
        <w:spacing/>
        <w:ind/>
      </w:p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6" w:type="table">
    <w:name w:val="List Table 6 Colorful - Accent 2"/>
    <w:basedOn w:val="914"/>
    <w:uiPriority w:val="99"/>
    <w:pPr>
      <w:pBdr/>
      <w:spacing w:after="0" w:line="240" w:lineRule="auto"/>
      <w:ind/>
    </w:pPr>
    <w:tblPr>
      <w:tblStyleRowBandSize w:val="1"/>
      <w:tblStyleColBandSize w:val="1"/>
      <w:tblInd w:type="dxa" w:w="0"/>
      <w:tblBorders>
        <w:top w:color="000000" w:space="0" w:sz="4" w:themeColor="accent2" w:themeTint="97" w:val="single"/>
        <w:bottom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65215"/>
      </w:rPr>
      <w:pPr>
        <w:pBdr/>
        <w:spacing/>
        <w:ind/>
      </w:pPr>
      <w:tblPr>
        <w:tblBorders/>
      </w:tblPr>
      <w:tcPr>
        <w:tcBorders/>
      </w:tcPr>
    </w:tblStylePr>
    <w:tblStylePr w:type="firstRow">
      <w:rPr>
        <w:b/>
        <w:color w:themeColor="accent2" w:themeShade="95" w:themeTint="97" w:val="c65215"/>
      </w:rPr>
      <w:pPr>
        <w:pBdr/>
        <w:spacing/>
        <w:ind/>
      </w:pPr>
      <w:tblPr>
        <w:tblBorders/>
      </w:tblPr>
      <w:tcPr>
        <w:tcBorders>
          <w:bottom w:color="000000" w:space="0" w:sz="4" w:themeColor="accent2" w:themeTint="97" w:val="single"/>
        </w:tcBorders>
      </w:tcPr>
    </w:tblStylePr>
    <w:tblStylePr w:type="lastCol">
      <w:rPr>
        <w:b/>
        <w:color w:themeColor="accent2" w:themeShade="95" w:themeTint="97" w:val="c65215"/>
      </w:rPr>
      <w:pPr>
        <w:pBdr/>
        <w:spacing/>
        <w:ind/>
      </w:pPr>
      <w:tblPr>
        <w:tblBorders/>
      </w:tblPr>
      <w:tcPr>
        <w:tcBorders/>
      </w:tcPr>
    </w:tblStylePr>
    <w:tblStylePr w:type="lastRow">
      <w:rPr>
        <w:b/>
        <w:color w:themeColor="accent2" w:themeShade="95" w:themeTint="97" w:val="c65215"/>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7" w:type="table">
    <w:name w:val="List Table 6 Colorful - Accent 3"/>
    <w:basedOn w:val="914"/>
    <w:uiPriority w:val="99"/>
    <w:pPr>
      <w:pBdr/>
      <w:spacing w:after="0" w:line="240" w:lineRule="auto"/>
      <w:ind/>
    </w:pPr>
    <w:tblPr>
      <w:tblStyleRowBandSize w:val="1"/>
      <w:tblStyleColBandSize w:val="1"/>
      <w:tblInd w:type="dxa" w:w="0"/>
      <w:tblBorders>
        <w:top w:color="000000" w:space="0" w:sz="4" w:themeColor="accent3" w:themeTint="98" w:val="single"/>
        <w:bottom w:color="000000" w:space="0" w:sz="4" w:themeColor="accent3" w:themeTint="98" w:val="single"/>
      </w:tblBorders>
    </w:tblPr>
    <w:tcPr>
      <w:tcBorders/>
    </w:tcPr>
    <w:tblStylePr w:type="band1Horz">
      <w:rPr>
        <w:rFonts w:ascii="Arial" w:hAnsi="Arial"/>
        <w:color w:themeColor="accent3" w:themeShade="95" w:themeTint="98" w:val="404040"/>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98" w:val="20872d"/>
      </w:rPr>
      <w:pPr>
        <w:pBdr/>
        <w:spacing/>
        <w:ind/>
      </w:pPr>
      <w:tblPr>
        <w:tblBorders/>
      </w:tblPr>
      <w:tcPr>
        <w:tcBorders/>
      </w:tcPr>
    </w:tblStylePr>
    <w:tblStylePr w:type="firstRow">
      <w:rPr>
        <w:b/>
        <w:color w:themeColor="accent3" w:themeShade="95" w:themeTint="98" w:val="20872d"/>
      </w:rPr>
      <w:pPr>
        <w:pBdr/>
        <w:spacing/>
        <w:ind/>
      </w:pPr>
      <w:tblPr>
        <w:tblBorders/>
      </w:tblPr>
      <w:tcPr>
        <w:tcBorders>
          <w:bottom w:color="000000" w:space="0" w:sz="4" w:themeColor="accent3" w:themeTint="98" w:val="single"/>
        </w:tcBorders>
      </w:tcPr>
    </w:tblStylePr>
    <w:tblStylePr w:type="lastCol">
      <w:rPr>
        <w:b/>
        <w:color w:themeColor="accent3" w:themeShade="95" w:themeTint="98" w:val="20872d"/>
      </w:rPr>
      <w:pPr>
        <w:pBdr/>
        <w:spacing/>
        <w:ind/>
      </w:pPr>
      <w:tblPr>
        <w:tblBorders/>
      </w:tblPr>
      <w:tcPr>
        <w:tcBorders/>
      </w:tcPr>
    </w:tblStylePr>
    <w:tblStylePr w:type="lastRow">
      <w:rPr>
        <w:b/>
        <w:color w:themeColor="accent3" w:themeShade="95" w:themeTint="98" w:val="20872d"/>
      </w:rPr>
      <w:pPr>
        <w:pBdr/>
        <w:spacing/>
        <w:ind/>
      </w:pPr>
      <w:tblPr>
        <w:tblBorders/>
      </w:tblPr>
      <w:tcPr>
        <w:tcBorders>
          <w:top w:color="000000" w:space="0" w:sz="4"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8" w:type="table">
    <w:name w:val="List Table 6 Colorful - Accent 4"/>
    <w:basedOn w:val="914"/>
    <w:uiPriority w:val="99"/>
    <w:pPr>
      <w:pBdr/>
      <w:spacing w:after="0" w:line="240" w:lineRule="auto"/>
      <w:ind/>
    </w:pPr>
    <w:tblPr>
      <w:tblStyleRowBandSize w:val="1"/>
      <w:tblStyleColBandSize w:val="1"/>
      <w:tblInd w:type="dxa" w:w="0"/>
      <w:tblBorders>
        <w:top w:color="000000" w:space="0" w:sz="4" w:themeColor="accent4" w:themeTint="9A" w:val="single"/>
        <w:bottom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0d8ab9"/>
      </w:rPr>
      <w:pPr>
        <w:pBdr/>
        <w:spacing/>
        <w:ind/>
      </w:pPr>
      <w:tblPr>
        <w:tblBorders/>
      </w:tblPr>
      <w:tcPr>
        <w:tcBorders/>
      </w:tcPr>
    </w:tblStylePr>
    <w:tblStylePr w:type="firstRow">
      <w:rPr>
        <w:b/>
        <w:color w:themeColor="accent4" w:themeShade="95" w:themeTint="9A" w:val="0d8ab9"/>
      </w:rPr>
      <w:pPr>
        <w:pBdr/>
        <w:spacing/>
        <w:ind/>
      </w:pPr>
      <w:tblPr>
        <w:tblBorders/>
      </w:tblPr>
      <w:tcPr>
        <w:tcBorders>
          <w:bottom w:color="000000" w:space="0" w:sz="4" w:themeColor="accent4" w:themeTint="9A" w:val="single"/>
        </w:tcBorders>
      </w:tcPr>
    </w:tblStylePr>
    <w:tblStylePr w:type="lastCol">
      <w:rPr>
        <w:b/>
        <w:color w:themeColor="accent4" w:themeShade="95" w:themeTint="9A" w:val="0d8ab9"/>
      </w:rPr>
      <w:pPr>
        <w:pBdr/>
        <w:spacing/>
        <w:ind/>
      </w:pPr>
      <w:tblPr>
        <w:tblBorders/>
      </w:tblPr>
      <w:tcPr>
        <w:tcBorders/>
      </w:tcPr>
    </w:tblStylePr>
    <w:tblStylePr w:type="lastRow">
      <w:rPr>
        <w:b/>
        <w:color w:themeColor="accent4" w:themeShade="95" w:themeTint="9A" w:val="0d8ab9"/>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9" w:type="table">
    <w:name w:val="List Table 6 Colorful - Accent 5"/>
    <w:basedOn w:val="914"/>
    <w:uiPriority w:val="99"/>
    <w:pPr>
      <w:pBdr/>
      <w:spacing w:after="0" w:line="240" w:lineRule="auto"/>
      <w:ind/>
    </w:pPr>
    <w:tblPr>
      <w:tblStyleRowBandSize w:val="1"/>
      <w:tblStyleColBandSize w:val="1"/>
      <w:tblInd w:type="dxa" w:w="0"/>
      <w:tblBorders>
        <w:top w:color="000000" w:space="0" w:sz="4" w:themeColor="accent5" w:themeTint="9A" w:val="single"/>
        <w:bottom w:color="000000" w:space="0" w:sz="4" w:themeColor="accent5" w:themeTint="9A" w:val="single"/>
      </w:tblBorders>
    </w:tblPr>
    <w:tcPr>
      <w:tcBorders/>
    </w:tcPr>
    <w:tblStylePr w:type="band1Horz">
      <w:rPr>
        <w:rFonts w:ascii="Arial" w:hAnsi="Arial"/>
        <w:color w:themeColor="accent5" w:themeShade="95" w:themeTint="9A" w:val="404040"/>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themeTint="9A" w:val="952889"/>
      </w:rPr>
      <w:pPr>
        <w:pBdr/>
        <w:spacing/>
        <w:ind/>
      </w:pPr>
      <w:tblPr>
        <w:tblBorders/>
      </w:tblPr>
      <w:tcPr>
        <w:tcBorders/>
      </w:tcPr>
    </w:tblStylePr>
    <w:tblStylePr w:type="firstRow">
      <w:rPr>
        <w:b/>
        <w:color w:themeColor="accent5" w:themeShade="95" w:themeTint="9A" w:val="952889"/>
      </w:rPr>
      <w:pPr>
        <w:pBdr/>
        <w:spacing/>
        <w:ind/>
      </w:pPr>
      <w:tblPr>
        <w:tblBorders/>
      </w:tblPr>
      <w:tcPr>
        <w:tcBorders>
          <w:bottom w:color="000000" w:space="0" w:sz="4" w:themeColor="accent5" w:themeTint="9A" w:val="single"/>
        </w:tcBorders>
      </w:tcPr>
    </w:tblStylePr>
    <w:tblStylePr w:type="lastCol">
      <w:rPr>
        <w:b/>
        <w:color w:themeColor="accent5" w:themeShade="95" w:themeTint="9A" w:val="952889"/>
      </w:rPr>
      <w:pPr>
        <w:pBdr/>
        <w:spacing/>
        <w:ind/>
      </w:pPr>
      <w:tblPr>
        <w:tblBorders/>
      </w:tblPr>
      <w:tcPr>
        <w:tcBorders/>
      </w:tcPr>
    </w:tblStylePr>
    <w:tblStylePr w:type="lastRow">
      <w:rPr>
        <w:b/>
        <w:color w:themeColor="accent5" w:themeShade="95" w:themeTint="9A" w:val="952889"/>
      </w:rPr>
      <w:pPr>
        <w:pBdr/>
        <w:spacing/>
        <w:ind/>
      </w:pPr>
      <w:tblPr>
        <w:tblBorders/>
      </w:tblPr>
      <w:tcPr>
        <w:tcBorders>
          <w:top w:color="000000" w:space="0" w:sz="4"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0" w:type="table">
    <w:name w:val="List Table 6 Colorful - Accent 6"/>
    <w:basedOn w:val="914"/>
    <w:uiPriority w:val="99"/>
    <w:pPr>
      <w:pBdr/>
      <w:spacing w:after="0" w:line="240" w:lineRule="auto"/>
      <w:ind/>
    </w:pPr>
    <w:tblPr>
      <w:tblStyleRowBandSize w:val="1"/>
      <w:tblStyleColBandSize w:val="1"/>
      <w:tblInd w:type="dxa" w:w="0"/>
      <w:tblBorders>
        <w:top w:color="000000" w:space="0" w:sz="4" w:themeColor="accent6" w:themeTint="98" w:val="single"/>
        <w:bottom w:color="000000" w:space="0" w:sz="4" w:themeColor="accent6" w:themeTint="98" w:val="single"/>
      </w:tblBorders>
    </w:tblPr>
    <w:tcPr>
      <w:tcBorders/>
    </w:tcPr>
    <w:tblStylePr w:type="band1Horz">
      <w:rPr>
        <w:rFonts w:ascii="Arial" w:hAnsi="Arial"/>
        <w:color w:themeColor="accent6" w:themeShade="95" w:themeTint="98" w:val="404040"/>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6" w:themeShade="95" w:themeTint="98" w:val="47992a"/>
      </w:rPr>
      <w:pPr>
        <w:pBdr/>
        <w:spacing/>
        <w:ind/>
      </w:pPr>
      <w:tblPr>
        <w:tblBorders/>
      </w:tblPr>
      <w:tcPr>
        <w:tcBorders/>
      </w:tcPr>
    </w:tblStylePr>
    <w:tblStylePr w:type="firstRow">
      <w:rPr>
        <w:b/>
        <w:color w:themeColor="accent6" w:themeShade="95" w:themeTint="98" w:val="47992a"/>
      </w:rPr>
      <w:pPr>
        <w:pBdr/>
        <w:spacing/>
        <w:ind/>
      </w:pPr>
      <w:tblPr>
        <w:tblBorders/>
      </w:tblPr>
      <w:tcPr>
        <w:tcBorders>
          <w:bottom w:color="000000" w:space="0" w:sz="4" w:themeColor="accent6" w:themeTint="98" w:val="single"/>
        </w:tcBorders>
      </w:tcPr>
    </w:tblStylePr>
    <w:tblStylePr w:type="lastCol">
      <w:rPr>
        <w:b/>
        <w:color w:themeColor="accent6" w:themeShade="95" w:themeTint="98" w:val="47992a"/>
      </w:rPr>
      <w:pPr>
        <w:pBdr/>
        <w:spacing/>
        <w:ind/>
      </w:pPr>
      <w:tblPr>
        <w:tblBorders/>
      </w:tblPr>
      <w:tcPr>
        <w:tcBorders/>
      </w:tcPr>
    </w:tblStylePr>
    <w:tblStylePr w:type="lastRow">
      <w:rPr>
        <w:b/>
        <w:color w:themeColor="accent6" w:themeShade="95" w:themeTint="98" w:val="47992a"/>
      </w:rPr>
      <w:pPr>
        <w:pBdr/>
        <w:spacing/>
        <w:ind/>
      </w:pPr>
      <w:tblPr>
        <w:tblBorders/>
      </w:tblPr>
      <w:tcPr>
        <w:tcBorders>
          <w:top w:color="000000" w:space="0" w:sz="4"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1" w:type="table">
    <w:name w:val="List Table 7 Colorful"/>
    <w:basedOn w:val="914"/>
    <w:uiPriority w:val="99"/>
    <w:pPr>
      <w:pBdr/>
      <w:spacing w:after="0" w:line="240" w:lineRule="auto"/>
      <w:ind/>
    </w:pPr>
    <w:tblPr>
      <w:tblStyleRowBandSize w:val="1"/>
      <w:tblStyleColBandSize w:val="1"/>
      <w:tblInd w:type="dxa" w:w="0"/>
      <w:tblBorders>
        <w:right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a4a4a"/>
        <w:sz w:val="22"/>
      </w:rPr>
      <w:pPr>
        <w:pBdr/>
        <w:spacing/>
        <w:ind/>
      </w:pPr>
      <w:tblPr>
        <w:tblBorders/>
      </w:tblPr>
      <w:tcPr>
        <w:tcBorders/>
      </w:tcPr>
    </w:tblStylePr>
  </w:style>
  <w:style w:styleId="832" w:type="table">
    <w:name w:val="List Table 7 Colorful - Accent 1"/>
    <w:basedOn w:val="914"/>
    <w:uiPriority w:val="99"/>
    <w:pPr>
      <w:pBdr/>
      <w:spacing w:after="0" w:line="240" w:lineRule="auto"/>
      <w:ind/>
    </w:pPr>
    <w:tblPr>
      <w:tblStyleRowBandSize w:val="1"/>
      <w:tblStyleColBandSize w:val="1"/>
      <w:tblInd w:type="dxa" w:w="0"/>
      <w:tblBorders>
        <w:right w:color="000000" w:space="0" w:sz="4" w:themeColor="accent1" w:val="single"/>
      </w:tblBorders>
    </w:tblPr>
    <w:tcPr>
      <w:tcBorders/>
    </w:tcPr>
    <w:tblStylePr w:type="band1Horz">
      <w:rPr>
        <w:rFonts w:ascii="Arial" w:hAnsi="Arial"/>
        <w:color w:themeColor="accent1" w:themeShade="95" w:val="0c384c"/>
        <w:sz w:val="22"/>
      </w:rPr>
      <w:pPr>
        <w:pBdr/>
        <w:spacing/>
        <w:ind/>
      </w:pPr>
      <w:tblPr>
        <w:tblBorders/>
      </w:tblPr>
      <w:tcPr>
        <w:shd w:color="ffffff" w:fill="b1def2" w:themeColor="accent1" w:themeFill="accent1" w:themeFillTint="40" w:themeTint="40" w:val="clear"/>
        <w:tcBorders/>
      </w:tcPr>
    </w:tblStylePr>
    <w:tblStylePr w:type="band1Vert">
      <w:pPr>
        <w:pBdr/>
        <w:spacing/>
        <w:ind/>
      </w:pPr>
      <w:tblPr>
        <w:tblBorders/>
      </w:tblPr>
      <w:tcPr>
        <w:shd w:color="ffffff" w:fill="b1def2" w:themeColor="accent1" w:themeFill="accent1" w:themeFillTint="40" w:themeTint="40" w:val="clear"/>
        <w:tcBorders/>
      </w:tcPr>
    </w:tblStylePr>
    <w:tblStylePr w:type="band2Horz">
      <w:rPr>
        <w:rFonts w:ascii="Arial" w:hAnsi="Arial"/>
        <w:color w:themeColor="accent1" w:themeShade="95" w:val="0c384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val="0c384c"/>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val="single"/>
        </w:tcBorders>
      </w:tcPr>
    </w:tblStylePr>
    <w:tblStylePr w:type="fir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val="single"/>
          <w:right w:color="000000" w:space="0" w:sz="4" w:val="none"/>
        </w:tcBorders>
      </w:tcPr>
    </w:tblStylePr>
    <w:tblStylePr w:type="lastCol">
      <w:rPr>
        <w:rFonts w:ascii="Arial" w:hAnsi="Arial"/>
        <w:i/>
        <w:color w:themeColor="accent1" w:themeShade="95" w:val="0c384c"/>
        <w:sz w:val="22"/>
      </w:rPr>
      <w:pPr>
        <w:pBdr/>
        <w:spacing/>
        <w:ind/>
      </w:pPr>
      <w:tblPr>
        <w:tblBorders/>
      </w:tblPr>
      <w:tcPr>
        <w:shd w:color="ffffff" w:val="clear"/>
        <w:tcBorders>
          <w:top w:color="000000" w:space="0" w:sz="4" w:val="none"/>
          <w:left w:color="000000" w:space="0" w:sz="4" w:themeColor="accent1" w:val="single"/>
          <w:bottom w:color="000000" w:space="0" w:sz="4" w:val="none"/>
          <w:right w:color="000000" w:space="0" w:sz="4" w:val="none"/>
        </w:tcBorders>
      </w:tcPr>
    </w:tblStylePr>
    <w:tblStylePr w:type="lastRow">
      <w:rPr>
        <w:rFonts w:ascii="Arial" w:hAnsi="Arial"/>
        <w:i/>
        <w:color w:themeColor="accent1" w:themeShade="95" w:val="0c384c"/>
        <w:sz w:val="22"/>
      </w:rPr>
      <w:pPr>
        <w:pBdr/>
        <w:spacing/>
        <w:ind/>
      </w:pPr>
      <w:tblPr>
        <w:tblBorders/>
      </w:tblPr>
      <w:tcPr>
        <w:shd w:color="ffffff" w:fill="ffffff" w:themeColor="light1" w:themeFill="light1" w:val="clea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val="0c384c"/>
        <w:sz w:val="22"/>
      </w:rPr>
      <w:pPr>
        <w:pBdr/>
        <w:spacing/>
        <w:ind/>
      </w:pPr>
      <w:tblPr>
        <w:tblBorders/>
      </w:tblPr>
      <w:tcPr>
        <w:tcBorders/>
      </w:tcPr>
    </w:tblStylePr>
  </w:style>
  <w:style w:styleId="833" w:type="table">
    <w:name w:val="List Table 7 Colorful - Accent 2"/>
    <w:basedOn w:val="914"/>
    <w:uiPriority w:val="99"/>
    <w:pPr>
      <w:pBdr/>
      <w:spacing w:after="0" w:line="240" w:lineRule="auto"/>
      <w:ind/>
    </w:pPr>
    <w:tblPr>
      <w:tblStyleRowBandSize w:val="1"/>
      <w:tblStyleColBandSize w:val="1"/>
      <w:tblInd w:type="dxa" w:w="0"/>
      <w:tblBorders>
        <w:right w:color="000000" w:space="0" w:sz="4" w:themeColor="accent2" w:themeTint="97" w:val="single"/>
      </w:tblBorders>
    </w:tblPr>
    <w:tcPr>
      <w:tcBorders/>
    </w:tcPr>
    <w:tblStylePr w:type="band1Horz">
      <w:rPr>
        <w:rFonts w:ascii="Arial" w:hAnsi="Arial"/>
        <w:color w:themeColor="accent2" w:themeShade="95" w:themeTint="97" w:val="c65215"/>
        <w:sz w:val="22"/>
      </w:rPr>
      <w:pPr>
        <w:pBdr/>
        <w:spacing/>
        <w:ind/>
      </w:pPr>
      <w:tblPr>
        <w:tblBorders/>
      </w:tblPr>
      <w:tcPr>
        <w:shd w:color="ffffff" w:fill="f9dbcc" w:themeColor="accent2" w:themeFill="accent2" w:themeFillTint="40" w:themeTint="40" w:val="clear"/>
        <w:tcBorders/>
      </w:tcPr>
    </w:tblStylePr>
    <w:tblStylePr w:type="band1Vert">
      <w:pPr>
        <w:pBdr/>
        <w:spacing/>
        <w:ind/>
      </w:pPr>
      <w:tblPr>
        <w:tblBorders/>
      </w:tblPr>
      <w:tcPr>
        <w:shd w:color="ffffff" w:fill="f9dbcc" w:themeColor="accent2" w:themeFill="accent2" w:themeFillTint="40" w:themeTint="40" w:val="clear"/>
        <w:tcBorders/>
      </w:tcPr>
    </w:tblStylePr>
    <w:tblStylePr w:type="band2Horz">
      <w:rPr>
        <w:rFonts w:ascii="Arial" w:hAnsi="Arial"/>
        <w:color w:themeColor="accent2" w:themeShade="95" w:themeTint="97" w:val="c6521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6521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65215"/>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i/>
        <w:color w:themeColor="accent2" w:themeShade="95" w:themeTint="97" w:val="c65215"/>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c65215"/>
        <w:sz w:val="22"/>
      </w:rPr>
      <w:pPr>
        <w:pBdr/>
        <w:spacing/>
        <w:ind/>
      </w:pPr>
      <w:tblPr>
        <w:tblBorders/>
      </w:tblPr>
      <w:tcPr>
        <w:tcBorders/>
      </w:tcPr>
    </w:tblStylePr>
  </w:style>
  <w:style w:styleId="834" w:type="table">
    <w:name w:val="List Table 7 Colorful - Accent 3"/>
    <w:basedOn w:val="914"/>
    <w:uiPriority w:val="99"/>
    <w:pPr>
      <w:pBdr/>
      <w:spacing w:after="0" w:line="240" w:lineRule="auto"/>
      <w:ind/>
    </w:pPr>
    <w:tblPr>
      <w:tblStyleRowBandSize w:val="1"/>
      <w:tblStyleColBandSize w:val="1"/>
      <w:tblInd w:type="dxa" w:w="0"/>
      <w:tblBorders>
        <w:right w:color="000000" w:space="0" w:sz="4" w:themeColor="accent3" w:themeTint="98" w:val="single"/>
      </w:tblBorders>
    </w:tblPr>
    <w:tcPr>
      <w:tcBorders/>
    </w:tcPr>
    <w:tblStylePr w:type="band1Horz">
      <w:rPr>
        <w:rFonts w:ascii="Arial" w:hAnsi="Arial"/>
        <w:color w:themeColor="accent3" w:themeShade="95" w:themeTint="98" w:val="20872d"/>
        <w:sz w:val="22"/>
      </w:rPr>
      <w:pPr>
        <w:pBdr/>
        <w:spacing/>
        <w:ind/>
      </w:pPr>
      <w:tblPr>
        <w:tblBorders/>
      </w:tblPr>
      <w:tcPr>
        <w:shd w:color="ffffff" w:fill="b2edba" w:themeColor="accent3" w:themeFill="accent3" w:themeFillTint="40" w:themeTint="40" w:val="clear"/>
        <w:tcBorders/>
      </w:tcPr>
    </w:tblStylePr>
    <w:tblStylePr w:type="band1Vert">
      <w:pPr>
        <w:pBdr/>
        <w:spacing/>
        <w:ind/>
      </w:pPr>
      <w:tblPr>
        <w:tblBorders/>
      </w:tblPr>
      <w:tcPr>
        <w:shd w:color="ffffff" w:fill="b2edba" w:themeColor="accent3" w:themeFill="accent3" w:themeFillTint="40" w:themeTint="40" w:val="clear"/>
        <w:tcBorders/>
      </w:tcPr>
    </w:tblStylePr>
    <w:tblStylePr w:type="band2Horz">
      <w:rPr>
        <w:rFonts w:ascii="Arial" w:hAnsi="Arial"/>
        <w:color w:themeColor="accent3" w:themeShade="95" w:themeTint="98" w:val="20872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98" w:val="20872d"/>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98" w:val="single"/>
        </w:tcBorders>
      </w:tcPr>
    </w:tblStylePr>
    <w:tblStylePr w:type="firstRow">
      <w:rPr>
        <w:rFonts w:ascii="Arial" w:hAnsi="Arial"/>
        <w:i/>
        <w:color w:themeColor="accent3" w:themeShade="95" w:themeTint="98" w:val="20872d"/>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98" w:val="single"/>
          <w:right w:color="000000" w:space="0" w:sz="4" w:val="none"/>
        </w:tcBorders>
      </w:tcPr>
    </w:tblStylePr>
    <w:tblStylePr w:type="lastCol">
      <w:rPr>
        <w:rFonts w:ascii="Arial" w:hAnsi="Arial"/>
        <w:i/>
        <w:color w:themeColor="accent3" w:themeShade="95" w:themeTint="98" w:val="20872d"/>
        <w:sz w:val="22"/>
      </w:rPr>
      <w:pPr>
        <w:pBdr/>
        <w:spacing/>
        <w:ind/>
      </w:pPr>
      <w:tblPr>
        <w:tblBorders/>
      </w:tblPr>
      <w:tcPr>
        <w:shd w:color="ffffff" w:val="clear"/>
        <w:tcBorders>
          <w:top w:color="000000" w:space="0" w:sz="4" w:val="none"/>
          <w:left w:color="000000" w:space="0" w:sz="4" w:themeColor="accent3" w:themeTint="98" w:val="single"/>
          <w:bottom w:color="000000" w:space="0" w:sz="4" w:val="none"/>
          <w:right w:color="000000" w:space="0" w:sz="4" w:val="none"/>
        </w:tcBorders>
      </w:tcPr>
    </w:tblStylePr>
    <w:tblStylePr w:type="lastRow">
      <w:rPr>
        <w:rFonts w:ascii="Arial" w:hAnsi="Arial"/>
        <w:i/>
        <w:color w:themeColor="accent3" w:themeShade="95" w:themeTint="98" w:val="20872d"/>
        <w:sz w:val="22"/>
      </w:rPr>
      <w:pPr>
        <w:pBdr/>
        <w:spacing/>
        <w:ind/>
      </w:pPr>
      <w:tblPr>
        <w:tblBorders/>
      </w:tblPr>
      <w:tcPr>
        <w:shd w:color="ffffff" w:fill="ffffff" w:themeColor="light1" w:themeFill="light1" w:val="clear"/>
        <w:tcBorders>
          <w:top w:color="000000" w:space="0" w:sz="4" w:themeColor="accent3"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98" w:val="20872d"/>
        <w:sz w:val="22"/>
      </w:rPr>
      <w:pPr>
        <w:pBdr/>
        <w:spacing/>
        <w:ind/>
      </w:pPr>
      <w:tblPr>
        <w:tblBorders/>
      </w:tblPr>
      <w:tcPr>
        <w:tcBorders/>
      </w:tcPr>
    </w:tblStylePr>
  </w:style>
  <w:style w:styleId="835" w:type="table">
    <w:name w:val="List Table 7 Colorful - Accent 4"/>
    <w:basedOn w:val="914"/>
    <w:uiPriority w:val="99"/>
    <w:pPr>
      <w:pBdr/>
      <w:spacing w:after="0" w:line="240" w:lineRule="auto"/>
      <w:ind/>
    </w:pPr>
    <w:tblPr>
      <w:tblStyleRowBandSize w:val="1"/>
      <w:tblStyleColBandSize w:val="1"/>
      <w:tblInd w:type="dxa" w:w="0"/>
      <w:tblBorders>
        <w:right w:color="000000" w:space="0" w:sz="4" w:themeColor="accent4" w:themeTint="9A" w:val="single"/>
      </w:tblBorders>
    </w:tblPr>
    <w:tcPr>
      <w:tcBorders/>
    </w:tcPr>
    <w:tblStylePr w:type="band1Horz">
      <w:rPr>
        <w:rFonts w:ascii="Arial" w:hAnsi="Arial"/>
        <w:color w:themeColor="accent4" w:themeShade="95" w:themeTint="9A" w:val="0d8ab9"/>
        <w:sz w:val="22"/>
      </w:rPr>
      <w:pPr>
        <w:pBdr/>
        <w:spacing/>
        <w:ind/>
      </w:pPr>
      <w:tblPr>
        <w:tblBorders/>
      </w:tblPr>
      <w:tcPr>
        <w:shd w:color="ffffff" w:fill="bde9fa" w:themeColor="accent4" w:themeFill="accent4" w:themeFillTint="40" w:themeTint="40" w:val="clear"/>
        <w:tcBorders/>
      </w:tcPr>
    </w:tblStylePr>
    <w:tblStylePr w:type="band1Vert">
      <w:pPr>
        <w:pBdr/>
        <w:spacing/>
        <w:ind/>
      </w:pPr>
      <w:tblPr>
        <w:tblBorders/>
      </w:tblPr>
      <w:tcPr>
        <w:shd w:color="ffffff" w:fill="bde9fa" w:themeColor="accent4" w:themeFill="accent4" w:themeFillTint="40" w:themeTint="40" w:val="clear"/>
        <w:tcBorders/>
      </w:tcPr>
    </w:tblStylePr>
    <w:tblStylePr w:type="band2Horz">
      <w:rPr>
        <w:rFonts w:ascii="Arial" w:hAnsi="Arial"/>
        <w:color w:themeColor="accent4" w:themeShade="95" w:themeTint="9A" w:val="0d8ab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0d8ab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i/>
        <w:color w:themeColor="accent4" w:themeShade="95" w:themeTint="9A" w:val="0d8ab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0d8ab9"/>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i/>
        <w:color w:themeColor="accent4" w:themeShade="95" w:themeTint="9A" w:val="0d8ab9"/>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0d8ab9"/>
        <w:sz w:val="22"/>
      </w:rPr>
      <w:pPr>
        <w:pBdr/>
        <w:spacing/>
        <w:ind/>
      </w:pPr>
      <w:tblPr>
        <w:tblBorders/>
      </w:tblPr>
      <w:tcPr>
        <w:tcBorders/>
      </w:tcPr>
    </w:tblStylePr>
  </w:style>
  <w:style w:styleId="836" w:type="table">
    <w:name w:val="List Table 7 Colorful - Accent 5"/>
    <w:basedOn w:val="914"/>
    <w:uiPriority w:val="99"/>
    <w:pPr>
      <w:pBdr/>
      <w:spacing w:after="0" w:line="240" w:lineRule="auto"/>
      <w:ind/>
    </w:pPr>
    <w:tblPr>
      <w:tblStyleRowBandSize w:val="1"/>
      <w:tblStyleColBandSize w:val="1"/>
      <w:tblInd w:type="dxa" w:w="0"/>
      <w:tblBorders>
        <w:right w:color="000000" w:space="0" w:sz="4" w:themeColor="accent5" w:themeTint="9A" w:val="single"/>
      </w:tblBorders>
    </w:tblPr>
    <w:tcPr>
      <w:tcBorders/>
    </w:tcPr>
    <w:tblStylePr w:type="band1Horz">
      <w:rPr>
        <w:rFonts w:ascii="Arial" w:hAnsi="Arial"/>
        <w:color w:themeColor="accent5" w:themeShade="95" w:themeTint="9A" w:val="952889"/>
        <w:sz w:val="22"/>
      </w:rPr>
      <w:pPr>
        <w:pBdr/>
        <w:spacing/>
        <w:ind/>
      </w:pPr>
      <w:tblPr>
        <w:tblBorders/>
      </w:tblPr>
      <w:tcPr>
        <w:shd w:color="ffffff" w:fill="efc2ea" w:themeColor="accent5" w:themeFill="accent5" w:themeFillTint="40" w:themeTint="40" w:val="clear"/>
        <w:tcBorders/>
      </w:tcPr>
    </w:tblStylePr>
    <w:tblStylePr w:type="band1Vert">
      <w:pPr>
        <w:pBdr/>
        <w:spacing/>
        <w:ind/>
      </w:pPr>
      <w:tblPr>
        <w:tblBorders/>
      </w:tblPr>
      <w:tcPr>
        <w:shd w:color="ffffff" w:fill="efc2ea" w:themeColor="accent5" w:themeFill="accent5" w:themeFillTint="40" w:themeTint="40" w:val="clear"/>
        <w:tcBorders/>
      </w:tcPr>
    </w:tblStylePr>
    <w:tblStylePr w:type="band2Horz">
      <w:rPr>
        <w:rFonts w:ascii="Arial" w:hAnsi="Arial"/>
        <w:color w:themeColor="accent5" w:themeShade="95" w:themeTint="9A" w:val="95288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themeTint="9A" w:val="95288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A" w:val="single"/>
        </w:tcBorders>
      </w:tcPr>
    </w:tblStylePr>
    <w:tblStylePr w:type="firstRow">
      <w:rPr>
        <w:rFonts w:ascii="Arial" w:hAnsi="Arial"/>
        <w:i/>
        <w:color w:themeColor="accent5" w:themeShade="95" w:themeTint="9A" w:val="95288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A" w:val="single"/>
          <w:right w:color="000000" w:space="0" w:sz="4" w:val="none"/>
        </w:tcBorders>
      </w:tcPr>
    </w:tblStylePr>
    <w:tblStylePr w:type="lastCol">
      <w:rPr>
        <w:rFonts w:ascii="Arial" w:hAnsi="Arial"/>
        <w:i/>
        <w:color w:themeColor="accent5" w:themeShade="95" w:themeTint="9A" w:val="952889"/>
        <w:sz w:val="22"/>
      </w:rPr>
      <w:pPr>
        <w:pBdr/>
        <w:spacing/>
        <w:ind/>
      </w:pPr>
      <w:tblPr>
        <w:tblBorders/>
      </w:tblPr>
      <w:tcPr>
        <w:shd w:color="ffffff" w:val="clear"/>
        <w:tcBorders>
          <w:top w:color="000000" w:space="0" w:sz="4" w:val="none"/>
          <w:left w:color="000000" w:space="0" w:sz="4" w:themeColor="accent5" w:themeTint="9A" w:val="single"/>
          <w:bottom w:color="000000" w:space="0" w:sz="4" w:val="none"/>
          <w:right w:color="000000" w:space="0" w:sz="4" w:val="none"/>
        </w:tcBorders>
      </w:tcPr>
    </w:tblStylePr>
    <w:tblStylePr w:type="lastRow">
      <w:rPr>
        <w:rFonts w:ascii="Arial" w:hAnsi="Arial"/>
        <w:i/>
        <w:color w:themeColor="accent5" w:themeShade="95" w:themeTint="9A" w:val="952889"/>
        <w:sz w:val="22"/>
      </w:rPr>
      <w:pPr>
        <w:pBdr/>
        <w:spacing/>
        <w:ind/>
      </w:pPr>
      <w:tblPr>
        <w:tblBorders/>
      </w:tblPr>
      <w:tcPr>
        <w:shd w:color="ffffff" w:fill="ffffff" w:themeColor="light1" w:themeFill="light1" w:val="clear"/>
        <w:tcBorders>
          <w:top w:color="000000" w:space="0" w:sz="4" w:themeColor="accent5"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themeTint="9A" w:val="952889"/>
        <w:sz w:val="22"/>
      </w:rPr>
      <w:pPr>
        <w:pBdr/>
        <w:spacing/>
        <w:ind/>
      </w:pPr>
      <w:tblPr>
        <w:tblBorders/>
      </w:tblPr>
      <w:tcPr>
        <w:tcBorders/>
      </w:tcPr>
    </w:tblStylePr>
  </w:style>
  <w:style w:styleId="837" w:type="table">
    <w:name w:val="List Table 7 Colorful - Accent 6"/>
    <w:basedOn w:val="914"/>
    <w:uiPriority w:val="99"/>
    <w:pPr>
      <w:pBdr/>
      <w:spacing w:after="0" w:line="240" w:lineRule="auto"/>
      <w:ind/>
    </w:pPr>
    <w:tblPr>
      <w:tblStyleRowBandSize w:val="1"/>
      <w:tblStyleColBandSize w:val="1"/>
      <w:tblInd w:type="dxa" w:w="0"/>
      <w:tblBorders>
        <w:right w:color="000000" w:space="0" w:sz="4" w:themeColor="accent6" w:themeTint="98" w:val="single"/>
      </w:tblBorders>
    </w:tblPr>
    <w:tcPr>
      <w:tcBorders/>
    </w:tcPr>
    <w:tblStylePr w:type="band1Horz">
      <w:rPr>
        <w:rFonts w:ascii="Arial" w:hAnsi="Arial"/>
        <w:color w:themeColor="accent6" w:themeShade="95" w:themeTint="98" w:val="47992a"/>
        <w:sz w:val="22"/>
      </w:rPr>
      <w:pPr>
        <w:pBdr/>
        <w:spacing/>
        <w:ind/>
      </w:pPr>
      <w:tblPr>
        <w:tblBorders/>
      </w:tblPr>
      <w:tcPr>
        <w:shd w:color="ffffff" w:fill="d0efc5" w:themeColor="accent6" w:themeFill="accent6" w:themeFillTint="40" w:themeTint="40" w:val="clear"/>
        <w:tcBorders/>
      </w:tcPr>
    </w:tblStylePr>
    <w:tblStylePr w:type="band1Vert">
      <w:pPr>
        <w:pBdr/>
        <w:spacing/>
        <w:ind/>
      </w:pPr>
      <w:tblPr>
        <w:tblBorders/>
      </w:tblPr>
      <w:tcPr>
        <w:shd w:color="ffffff" w:fill="d0efc5" w:themeColor="accent6" w:themeFill="accent6" w:themeFillTint="40" w:themeTint="40" w:val="clear"/>
        <w:tcBorders/>
      </w:tcPr>
    </w:tblStylePr>
    <w:tblStylePr w:type="band2Horz">
      <w:rPr>
        <w:rFonts w:ascii="Arial" w:hAnsi="Arial"/>
        <w:color w:themeColor="accent6" w:themeShade="95" w:themeTint="98" w:val="47992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themeTint="98" w:val="47992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8" w:val="single"/>
        </w:tcBorders>
      </w:tcPr>
    </w:tblStylePr>
    <w:tblStylePr w:type="fir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8" w:val="single"/>
          <w:right w:color="000000" w:space="0" w:sz="4" w:val="none"/>
        </w:tcBorders>
      </w:tcPr>
    </w:tblStylePr>
    <w:tblStylePr w:type="lastCol">
      <w:rPr>
        <w:rFonts w:ascii="Arial" w:hAnsi="Arial"/>
        <w:i/>
        <w:color w:themeColor="accent6" w:themeShade="95" w:themeTint="98" w:val="47992a"/>
        <w:sz w:val="22"/>
      </w:rPr>
      <w:pPr>
        <w:pBdr/>
        <w:spacing/>
        <w:ind/>
      </w:pPr>
      <w:tblPr>
        <w:tblBorders/>
      </w:tblPr>
      <w:tcPr>
        <w:shd w:color="ffffff" w:val="clear"/>
        <w:tcBorders>
          <w:top w:color="000000" w:space="0" w:sz="4" w:val="none"/>
          <w:left w:color="000000" w:space="0" w:sz="4" w:themeColor="accent6" w:themeTint="98" w:val="single"/>
          <w:bottom w:color="000000" w:space="0" w:sz="4" w:val="none"/>
          <w:right w:color="000000" w:space="0" w:sz="4" w:val="none"/>
        </w:tcBorders>
      </w:tcPr>
    </w:tblStylePr>
    <w:tblStylePr w:type="lastRow">
      <w:rPr>
        <w:rFonts w:ascii="Arial" w:hAnsi="Arial"/>
        <w:i/>
        <w:color w:themeColor="accent6" w:themeShade="95" w:themeTint="98" w:val="47992a"/>
        <w:sz w:val="22"/>
      </w:rPr>
      <w:pPr>
        <w:pBdr/>
        <w:spacing/>
        <w:ind/>
      </w:pPr>
      <w:tblPr>
        <w:tblBorders/>
      </w:tblPr>
      <w:tcPr>
        <w:shd w:color="ffffff" w:fill="ffffff" w:themeColor="light1" w:themeFill="light1" w:val="clear"/>
        <w:tcBorders>
          <w:top w:color="000000" w:space="0" w:sz="4" w:themeColor="accent6"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6" w:themeShade="95" w:themeTint="98" w:val="47992a"/>
        <w:sz w:val="22"/>
      </w:rPr>
      <w:pPr>
        <w:pBdr/>
        <w:spacing/>
        <w:ind/>
      </w:pPr>
      <w:tblPr>
        <w:tblBorders/>
      </w:tblPr>
      <w:tcPr>
        <w:tcBorders/>
      </w:tcPr>
    </w:tblStylePr>
  </w:style>
  <w:style w:styleId="838" w:type="table">
    <w:name w:val="Lined - Accent"/>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39" w:type="table">
    <w:name w:val="Lined - Accent 1"/>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0" w:type="table">
    <w:name w:val="Lined - Accent 2"/>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1" w:type="table">
    <w:name w:val="Lined - Accent 3"/>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2" w:type="table">
    <w:name w:val="Lined - Accent 4"/>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3" w:type="table">
    <w:name w:val="Lined - Accent 5"/>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4" w:type="table">
    <w:name w:val="Lined - Accent 6"/>
    <w:basedOn w:val="914"/>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5" w:type="table">
    <w:name w:val="Bordered &amp; Lined - Accent"/>
    <w:basedOn w:val="914"/>
    <w:uiPriority w:val="99"/>
    <w:pPr>
      <w:pBdr/>
      <w:spacing w:after="0" w:line="240" w:lineRule="auto"/>
      <w:ind/>
    </w:pPr>
    <w:rPr>
      <w:color w:val="404040"/>
    </w:rPr>
    <w:tblPr>
      <w:tblStyleRowBandSize w:val="1"/>
      <w:tblStyleColBandSize w:val="1"/>
      <w:tblInd w:type="dxa" w:w="0"/>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6" w:type="table">
    <w:name w:val="Bordered &amp; Lined - Accent 1"/>
    <w:basedOn w:val="914"/>
    <w:uiPriority w:val="99"/>
    <w:pPr>
      <w:pBdr/>
      <w:spacing w:after="0" w:line="240" w:lineRule="auto"/>
      <w:ind/>
    </w:pPr>
    <w:rPr>
      <w:color w:val="404040"/>
    </w:rPr>
    <w:tblPr>
      <w:tblStyleRowBandSize w:val="1"/>
      <w:tblStyleColBandSize w:val="1"/>
      <w:tblInd w:type="dxa" w:w="0"/>
      <w:tblBorders>
        <w:top w:color="000000" w:space="0" w:sz="4" w:themeColor="accent1" w:themeShade="95" w:val="single"/>
        <w:left w:color="000000" w:space="0" w:sz="4" w:themeColor="accent1" w:themeShade="95" w:val="single"/>
        <w:bottom w:color="000000" w:space="0" w:sz="4" w:themeColor="accent1" w:themeShade="95" w:val="single"/>
        <w:right w:color="000000" w:space="0" w:sz="4" w:themeColor="accent1" w:themeShade="95" w:val="single"/>
        <w:insideH w:color="000000" w:space="0" w:sz="4" w:themeColor="accent1" w:themeShade="95" w:val="single"/>
        <w:insideV w:color="000000" w:space="0" w:sz="4" w:themeColor="accent1"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9ed6ef"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19739b"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7" w:type="table">
    <w:name w:val="Bordered &amp; Lined - Accent 2"/>
    <w:basedOn w:val="914"/>
    <w:uiPriority w:val="99"/>
    <w:pPr>
      <w:pBdr/>
      <w:spacing w:after="0" w:line="240" w:lineRule="auto"/>
      <w:ind/>
    </w:pPr>
    <w:rPr>
      <w:color w:val="404040"/>
    </w:rPr>
    <w:tblPr>
      <w:tblStyleRowBandSize w:val="1"/>
      <w:tblStyleColBandSize w:val="1"/>
      <w:tblInd w:type="dxa" w:w="0"/>
      <w:tblBorders>
        <w:top w:color="000000" w:space="0" w:sz="4" w:themeColor="accent2" w:themeShade="95" w:val="single"/>
        <w:left w:color="000000" w:space="0" w:sz="4" w:themeColor="accent2" w:themeShade="95" w:val="single"/>
        <w:bottom w:color="000000" w:space="0" w:sz="4" w:themeColor="accent2" w:themeShade="95" w:val="single"/>
        <w:right w:color="000000" w:space="0" w:sz="4" w:themeColor="accent2" w:themeShade="95" w:val="single"/>
        <w:insideH w:color="000000" w:space="0" w:sz="4" w:themeColor="accent2" w:themeShade="95" w:val="single"/>
        <w:insideV w:color="000000" w:space="0" w:sz="4" w:themeColor="accent2"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3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2ab86"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8" w:type="table">
    <w:name w:val="Bordered &amp; Lined - Accent 3"/>
    <w:basedOn w:val="914"/>
    <w:uiPriority w:val="99"/>
    <w:pPr>
      <w:pBdr/>
      <w:spacing w:after="0" w:line="240" w:lineRule="auto"/>
      <w:ind/>
    </w:pPr>
    <w:rPr>
      <w:color w:val="404040"/>
    </w:rPr>
    <w:tblPr>
      <w:tblStyleRowBandSize w:val="1"/>
      <w:tblStyleColBandSize w:val="1"/>
      <w:tblInd w:type="dxa" w:w="0"/>
      <w:tblBorders>
        <w:top w:color="000000" w:space="0" w:sz="4" w:themeColor="accent3" w:themeShade="95" w:val="single"/>
        <w:left w:color="000000" w:space="0" w:sz="4" w:themeColor="accent3" w:themeShade="95" w:val="single"/>
        <w:bottom w:color="000000" w:space="0" w:sz="4" w:themeColor="accent3" w:themeShade="95" w:val="single"/>
        <w:right w:color="000000" w:space="0" w:sz="4" w:themeColor="accent3" w:themeShade="95" w:val="single"/>
        <w:insideH w:color="000000" w:space="0" w:sz="4" w:themeColor="accent3" w:themeShade="95" w:val="single"/>
        <w:insideV w:color="000000" w:space="0" w:sz="4" w:themeColor="accent3"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c1f0c7"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196c24"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49" w:type="table">
    <w:name w:val="Bordered &amp; Lined - Accent 4"/>
    <w:basedOn w:val="914"/>
    <w:uiPriority w:val="99"/>
    <w:pPr>
      <w:pBdr/>
      <w:spacing w:after="0" w:line="240" w:lineRule="auto"/>
      <w:ind/>
    </w:pPr>
    <w:rPr>
      <w:color w:val="404040"/>
    </w:rPr>
    <w:tblPr>
      <w:tblStyleRowBandSize w:val="1"/>
      <w:tblStyleColBandSize w:val="1"/>
      <w:tblInd w:type="dxa" w:w="0"/>
      <w:tblBorders>
        <w:top w:color="000000" w:space="0" w:sz="4" w:themeColor="accent4" w:themeShade="95" w:val="single"/>
        <w:left w:color="000000" w:space="0" w:sz="4" w:themeColor="accent4" w:themeShade="95" w:val="single"/>
        <w:bottom w:color="000000" w:space="0" w:sz="4" w:themeColor="accent4" w:themeShade="95" w:val="single"/>
        <w:right w:color="000000" w:space="0" w:sz="4" w:themeColor="accent4" w:themeShade="95" w:val="single"/>
        <w:insideH w:color="000000" w:space="0" w:sz="4" w:themeColor="accent4" w:themeShade="95" w:val="single"/>
        <w:insideV w:color="000000" w:space="0" w:sz="4" w:themeColor="accent4"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c9edf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60cbf4"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0" w:type="table">
    <w:name w:val="Bordered &amp; Lined - Accent 5"/>
    <w:basedOn w:val="914"/>
    <w:uiPriority w:val="99"/>
    <w:pPr>
      <w:pBdr/>
      <w:spacing w:after="0" w:line="240" w:lineRule="auto"/>
      <w:ind/>
    </w:pPr>
    <w:rPr>
      <w:color w:val="404040"/>
    </w:rPr>
    <w:tblPr>
      <w:tblStyleRowBandSize w:val="1"/>
      <w:tblStyleColBandSize w:val="1"/>
      <w:tblInd w:type="dxa" w:w="0"/>
      <w:tblBorders>
        <w:top w:color="000000" w:space="0" w:sz="4" w:themeColor="accent5" w:themeShade="95" w:val="single"/>
        <w:left w:color="000000" w:space="0" w:sz="4" w:themeColor="accent5" w:themeShade="95" w:val="single"/>
        <w:bottom w:color="000000" w:space="0" w:sz="4" w:themeColor="accent5" w:themeShade="95" w:val="single"/>
        <w:right w:color="000000" w:space="0" w:sz="4" w:themeColor="accent5" w:themeShade="95" w:val="single"/>
        <w:insideH w:color="000000" w:space="0" w:sz="4" w:themeColor="accent5" w:themeShade="95" w:val="single"/>
        <w:insideV w:color="000000" w:space="0" w:sz="4" w:themeColor="accent5"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f2ceee"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a02b93" w:themeColor="accent5" w:themeFill="accent5" w:val="clear"/>
        <w:tcBorders/>
      </w:tcPr>
    </w:tblStylePr>
    <w:tblStylePr w:type="firstRow">
      <w:rPr>
        <w:rFonts w:ascii="Arial" w:hAnsi="Arial"/>
        <w:color w:val="f2f2f2"/>
        <w:sz w:val="22"/>
      </w:rPr>
      <w:pPr>
        <w:pBdr/>
        <w:spacing/>
        <w:ind/>
      </w:pPr>
      <w:tblPr>
        <w:tblBorders/>
      </w:tblPr>
      <w:tcPr>
        <w:shd w:color="ffffff" w:fill="a02b93" w:themeColor="accent5" w:themeFill="accent5" w:val="clear"/>
        <w:tcBorders/>
      </w:tcPr>
    </w:tblStylePr>
    <w:tblStylePr w:type="lastCol">
      <w:rPr>
        <w:rFonts w:ascii="Arial" w:hAnsi="Arial"/>
        <w:color w:val="f2f2f2"/>
        <w:sz w:val="22"/>
      </w:rPr>
      <w:pPr>
        <w:pBdr/>
        <w:spacing/>
        <w:ind/>
      </w:pPr>
      <w:tblPr>
        <w:tblBorders/>
      </w:tblPr>
      <w:tcPr>
        <w:shd w:color="ffffff" w:fill="a02b93" w:themeColor="accent5" w:themeFill="accent5" w:val="clear"/>
        <w:tcBorders/>
      </w:tcPr>
    </w:tblStylePr>
    <w:tblStylePr w:type="lastRow">
      <w:rPr>
        <w:rFonts w:ascii="Arial" w:hAnsi="Arial"/>
        <w:color w:val="f2f2f2"/>
        <w:sz w:val="22"/>
      </w:rPr>
      <w:pPr>
        <w:pBdr/>
        <w:spacing/>
        <w:ind/>
      </w:pPr>
      <w:tblPr>
        <w:tblBorders/>
      </w:tblPr>
      <w:tcPr>
        <w:shd w:color="ffffff" w:fill="a02b93"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1" w:type="table">
    <w:name w:val="Bordered &amp; Lined - Accent 6"/>
    <w:basedOn w:val="914"/>
    <w:uiPriority w:val="99"/>
    <w:pPr>
      <w:pBdr/>
      <w:spacing w:after="0" w:line="240" w:lineRule="auto"/>
      <w:ind/>
    </w:pPr>
    <w:rPr>
      <w:color w:val="404040"/>
    </w:rPr>
    <w:tblPr>
      <w:tblStyleRowBandSize w:val="1"/>
      <w:tblStyleColBandSize w:val="1"/>
      <w:tblInd w:type="dxa" w:w="0"/>
      <w:tblBorders>
        <w:top w:color="000000" w:space="0" w:sz="4" w:themeColor="accent6" w:themeShade="95" w:val="single"/>
        <w:left w:color="000000" w:space="0" w:sz="4" w:themeColor="accent6" w:themeShade="95" w:val="single"/>
        <w:bottom w:color="000000" w:space="0" w:sz="4" w:themeColor="accent6" w:themeShade="95" w:val="single"/>
        <w:right w:color="000000" w:space="0" w:sz="4" w:themeColor="accent6" w:themeShade="95" w:val="single"/>
        <w:insideH w:color="000000" w:space="0" w:sz="4" w:themeColor="accent6" w:themeShade="95" w:val="single"/>
        <w:insideV w:color="000000" w:space="0" w:sz="4" w:themeColor="accent6"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d9f2d0"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4ea72e" w:themeColor="accent6" w:themeFill="accent6" w:val="clear"/>
        <w:tcBorders/>
      </w:tcPr>
    </w:tblStylePr>
    <w:tblStylePr w:type="firstRow">
      <w:rPr>
        <w:rFonts w:ascii="Arial" w:hAnsi="Arial"/>
        <w:color w:val="f2f2f2"/>
        <w:sz w:val="22"/>
      </w:rPr>
      <w:pPr>
        <w:pBdr/>
        <w:spacing/>
        <w:ind/>
      </w:pPr>
      <w:tblPr>
        <w:tblBorders/>
      </w:tblPr>
      <w:tcPr>
        <w:shd w:color="ffffff" w:fill="4ea72e" w:themeColor="accent6" w:themeFill="accent6" w:val="clear"/>
        <w:tcBorders/>
      </w:tcPr>
    </w:tblStylePr>
    <w:tblStylePr w:type="lastCol">
      <w:rPr>
        <w:rFonts w:ascii="Arial" w:hAnsi="Arial"/>
        <w:color w:val="f2f2f2"/>
        <w:sz w:val="22"/>
      </w:rPr>
      <w:pPr>
        <w:pBdr/>
        <w:spacing/>
        <w:ind/>
      </w:pPr>
      <w:tblPr>
        <w:tblBorders/>
      </w:tblPr>
      <w:tcPr>
        <w:shd w:color="ffffff" w:fill="4ea72e" w:themeColor="accent6" w:themeFill="accent6" w:val="clear"/>
        <w:tcBorders/>
      </w:tcPr>
    </w:tblStylePr>
    <w:tblStylePr w:type="lastRow">
      <w:rPr>
        <w:rFonts w:ascii="Arial" w:hAnsi="Arial"/>
        <w:color w:val="f2f2f2"/>
        <w:sz w:val="22"/>
      </w:rPr>
      <w:pPr>
        <w:pBdr/>
        <w:spacing/>
        <w:ind/>
      </w:pPr>
      <w:tblPr>
        <w:tblBorders/>
      </w:tblPr>
      <w:tcPr>
        <w:shd w:color="ffffff" w:fill="4ea72e"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2" w:type="table">
    <w:name w:val="Bordered"/>
    <w:basedOn w:val="914"/>
    <w:uiPriority w:val="99"/>
    <w:pPr>
      <w:pBdr/>
      <w:spacing w:after="0" w:line="240" w:lineRule="auto"/>
      <w:ind/>
    </w:pPr>
    <w:tblPr>
      <w:tblStyleRowBandSize w:val="1"/>
      <w:tblStyleColBandSize w:val="1"/>
      <w:tblInd w:type="dxa" w:w="0"/>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text1" w:themeTint="80" w:val="single"/>
        </w:tcBorders>
      </w:tcPr>
    </w:tblStylePr>
    <w:tblStylePr w:type="lastCol">
      <w:rPr>
        <w:rFonts w:ascii="Arial" w:hAnsi="Arial"/>
        <w:color w:val="404040"/>
        <w:sz w:val="22"/>
      </w:rPr>
      <w:pPr>
        <w:pBdr/>
        <w:spacing/>
        <w:ind/>
      </w:pPr>
      <w:tblPr>
        <w:tblBorders/>
      </w:tblPr>
      <w:tcPr>
        <w:tcBorders>
          <w:left w:color="000000" w:space="0" w:sz="12" w:themeColor="text1" w:themeTint="80" w:val="single"/>
        </w:tcBorders>
      </w:tcPr>
    </w:tblStylePr>
    <w:tblStylePr w:type="lastRow">
      <w:rPr>
        <w:rFonts w:ascii="Arial" w:hAnsi="Arial"/>
        <w:color w:val="404040"/>
        <w:sz w:val="22"/>
      </w:rPr>
      <w:pPr>
        <w:pBdr/>
        <w:spacing/>
        <w:ind/>
      </w:pPr>
      <w:tblPr>
        <w:tblBorders/>
      </w:tblPr>
      <w:tcPr>
        <w:tcBorders>
          <w:top w:color="000000" w:space="0" w:sz="12"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3" w:type="table">
    <w:name w:val="Bordered - Accent 1"/>
    <w:basedOn w:val="914"/>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1" w:val="single"/>
        </w:tcBorders>
      </w:tcPr>
    </w:tblStylePr>
    <w:tblStylePr w:type="lastCol">
      <w:rPr>
        <w:rFonts w:ascii="Arial" w:hAnsi="Arial"/>
        <w:color w:val="404040"/>
        <w:sz w:val="22"/>
      </w:rPr>
      <w:pPr>
        <w:pBdr/>
        <w:spacing/>
        <w:ind/>
      </w:pPr>
      <w:tblPr>
        <w:tblBorders/>
      </w:tblPr>
      <w:tcPr>
        <w:tcBorders>
          <w:left w:color="000000" w:space="0" w:sz="12" w:themeColor="accent1" w:val="single"/>
        </w:tcBorders>
      </w:tcPr>
    </w:tblStylePr>
    <w:tblStylePr w:type="lastRow">
      <w:rPr>
        <w:rFonts w:ascii="Arial" w:hAnsi="Arial"/>
        <w:color w:val="404040"/>
        <w:sz w:val="22"/>
      </w:rPr>
      <w:pPr>
        <w:pBdr/>
        <w:spacing/>
        <w:ind/>
      </w:p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4" w:type="table">
    <w:name w:val="Bordered - Accent 2"/>
    <w:basedOn w:val="914"/>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2" w:themeTint="97" w:val="single"/>
        </w:tcBorders>
      </w:tcPr>
    </w:tblStylePr>
    <w:tblStylePr w:type="lastCol">
      <w:rPr>
        <w:rFonts w:ascii="Arial" w:hAnsi="Arial"/>
        <w:color w:val="404040"/>
        <w:sz w:val="22"/>
      </w:rPr>
      <w:pPr>
        <w:pBdr/>
        <w:spacing/>
        <w:ind/>
      </w:pPr>
      <w:tblPr>
        <w:tblBorders/>
      </w:tblPr>
      <w:tcPr>
        <w:tcBorders>
          <w:left w:color="000000" w:space="0" w:sz="12" w:themeColor="accent2" w:themeTint="97" w:val="single"/>
        </w:tcBorders>
      </w:tcPr>
    </w:tblStylePr>
    <w:tblStylePr w:type="lastRow">
      <w:rPr>
        <w:rFonts w:ascii="Arial" w:hAnsi="Arial"/>
        <w:color w:val="404040"/>
        <w:sz w:val="22"/>
      </w:rPr>
      <w:pPr>
        <w:pBdr/>
        <w:spacing/>
        <w:ind/>
      </w:pPr>
      <w:tblPr>
        <w:tblBorders/>
      </w:tblPr>
      <w:tcPr>
        <w:tcBorders>
          <w:top w:color="000000" w:space="0" w:sz="12"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5" w:type="table">
    <w:name w:val="Bordered - Accent 3"/>
    <w:basedOn w:val="914"/>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3" w:themeTint="98" w:val="single"/>
        </w:tcBorders>
      </w:tcPr>
    </w:tblStylePr>
    <w:tblStylePr w:type="lastCol">
      <w:rPr>
        <w:rFonts w:ascii="Arial" w:hAnsi="Arial"/>
        <w:color w:val="404040"/>
        <w:sz w:val="22"/>
      </w:rPr>
      <w:pPr>
        <w:pBdr/>
        <w:spacing/>
        <w:ind/>
      </w:pPr>
      <w:tblPr>
        <w:tblBorders/>
      </w:tblPr>
      <w:tcPr>
        <w:tcBorders>
          <w:left w:color="000000" w:space="0" w:sz="12" w:themeColor="accent3" w:themeTint="98" w:val="single"/>
        </w:tcBorders>
      </w:tcPr>
    </w:tblStylePr>
    <w:tblStylePr w:type="lastRow">
      <w:rPr>
        <w:rFonts w:ascii="Arial" w:hAnsi="Arial"/>
        <w:color w:val="404040"/>
        <w:sz w:val="22"/>
      </w:rPr>
      <w:pPr>
        <w:pBdr/>
        <w:spacing/>
        <w:ind/>
      </w:pPr>
      <w:tblPr>
        <w:tblBorders/>
      </w:tblPr>
      <w:tcPr>
        <w:tcBorders>
          <w:top w:color="000000" w:space="0" w:sz="12"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6" w:type="table">
    <w:name w:val="Bordered - Accent 4"/>
    <w:basedOn w:val="914"/>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4" w:themeTint="9A" w:val="single"/>
        </w:tcBorders>
      </w:tcPr>
    </w:tblStylePr>
    <w:tblStylePr w:type="lastCol">
      <w:rPr>
        <w:rFonts w:ascii="Arial" w:hAnsi="Arial"/>
        <w:color w:val="404040"/>
        <w:sz w:val="22"/>
      </w:rPr>
      <w:pPr>
        <w:pBdr/>
        <w:spacing/>
        <w:ind/>
      </w:pPr>
      <w:tblPr>
        <w:tblBorders/>
      </w:tblPr>
      <w:tcPr>
        <w:tcBorders>
          <w:left w:color="000000" w:space="0" w:sz="12" w:themeColor="accent4" w:themeTint="9A" w:val="single"/>
        </w:tcBorders>
      </w:tcPr>
    </w:tblStylePr>
    <w:tblStylePr w:type="lastRow">
      <w:rPr>
        <w:rFonts w:ascii="Arial" w:hAnsi="Arial"/>
        <w:color w:val="404040"/>
        <w:sz w:val="22"/>
      </w:rPr>
      <w:pPr>
        <w:pBdr/>
        <w:spacing/>
        <w:ind/>
      </w:pPr>
      <w:tblPr>
        <w:tblBorders/>
      </w:tblPr>
      <w:tcPr>
        <w:tcBorders>
          <w:top w:color="000000" w:space="0" w:sz="12"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7" w:type="table">
    <w:name w:val="Bordered - Accent 5"/>
    <w:basedOn w:val="914"/>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5" w:themeTint="9A" w:val="single"/>
        </w:tcBorders>
      </w:tcPr>
    </w:tblStylePr>
    <w:tblStylePr w:type="lastCol">
      <w:rPr>
        <w:rFonts w:ascii="Arial" w:hAnsi="Arial"/>
        <w:color w:val="404040"/>
        <w:sz w:val="22"/>
      </w:rPr>
      <w:pPr>
        <w:pBdr/>
        <w:spacing/>
        <w:ind/>
      </w:pPr>
      <w:tblPr>
        <w:tblBorders/>
      </w:tblPr>
      <w:tcPr>
        <w:tcBorders>
          <w:left w:color="000000" w:space="0" w:sz="12" w:themeColor="accent5" w:themeTint="9A" w:val="single"/>
        </w:tcBorders>
      </w:tcPr>
    </w:tblStylePr>
    <w:tblStylePr w:type="lastRow">
      <w:rPr>
        <w:rFonts w:ascii="Arial" w:hAnsi="Arial"/>
        <w:color w:val="404040"/>
        <w:sz w:val="22"/>
      </w:rPr>
      <w:pPr>
        <w:pBdr/>
        <w:spacing/>
        <w:ind/>
      </w:pPr>
      <w:tblPr>
        <w:tblBorders/>
      </w:tblPr>
      <w:tcPr>
        <w:tcBorders>
          <w:top w:color="000000" w:space="0" w:sz="12"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8" w:type="table">
    <w:name w:val="Bordered - Accent 6"/>
    <w:basedOn w:val="914"/>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6" w:themeTint="98" w:val="single"/>
        </w:tcBorders>
      </w:tcPr>
    </w:tblStylePr>
    <w:tblStylePr w:type="lastCol">
      <w:rPr>
        <w:rFonts w:ascii="Arial" w:hAnsi="Arial"/>
        <w:color w:val="404040"/>
        <w:sz w:val="22"/>
      </w:rPr>
      <w:pPr>
        <w:pBdr/>
        <w:spacing/>
        <w:ind/>
      </w:pPr>
      <w:tblPr>
        <w:tblBorders/>
      </w:tblPr>
      <w:tcPr>
        <w:tcBorders>
          <w:left w:color="000000" w:space="0" w:sz="12" w:themeColor="accent6" w:themeTint="98" w:val="single"/>
        </w:tcBorders>
      </w:tcPr>
    </w:tblStylePr>
    <w:tblStylePr w:type="lastRow">
      <w:rPr>
        <w:rFonts w:ascii="Arial" w:hAnsi="Arial"/>
        <w:color w:val="404040"/>
        <w:sz w:val="22"/>
      </w:rPr>
      <w:pPr>
        <w:pBdr/>
        <w:spacing/>
        <w:ind/>
      </w:pPr>
      <w:tblPr>
        <w:tblBorders/>
      </w:tblPr>
      <w:tcPr>
        <w:tcBorders>
          <w:top w:color="000000" w:space="0" w:sz="12"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59" w:type="character">
    <w:name w:val="Heading 1 Char"/>
    <w:basedOn w:val="913"/>
    <w:link w:val="904"/>
    <w:uiPriority w:val="9"/>
    <w:pPr>
      <w:pBdr/>
      <w:spacing/>
      <w:ind/>
    </w:pPr>
    <w:rPr>
      <w:rFonts w:ascii="Arial" w:cs="Arial" w:eastAsia="Arial" w:hAnsi="Arial"/>
      <w:color w:themeColor="accent1" w:themeShade="BF" w:val="0f4761"/>
      <w:sz w:val="40"/>
      <w:szCs w:val="40"/>
    </w:rPr>
  </w:style>
  <w:style w:styleId="860" w:type="character">
    <w:name w:val="Heading 2 Char"/>
    <w:basedOn w:val="913"/>
    <w:link w:val="905"/>
    <w:uiPriority w:val="9"/>
    <w:pPr>
      <w:pBdr/>
      <w:spacing/>
      <w:ind/>
    </w:pPr>
    <w:rPr>
      <w:rFonts w:ascii="Arial" w:cs="Arial" w:eastAsia="Arial" w:hAnsi="Arial"/>
      <w:color w:themeColor="accent1" w:themeShade="BF" w:val="0f4761"/>
      <w:sz w:val="32"/>
      <w:szCs w:val="32"/>
    </w:rPr>
  </w:style>
  <w:style w:styleId="861" w:type="character">
    <w:name w:val="Heading 3 Char"/>
    <w:basedOn w:val="913"/>
    <w:link w:val="906"/>
    <w:uiPriority w:val="9"/>
    <w:pPr>
      <w:pBdr/>
      <w:spacing/>
      <w:ind/>
    </w:pPr>
    <w:rPr>
      <w:rFonts w:ascii="Arial" w:cs="Arial" w:eastAsia="Arial" w:hAnsi="Arial"/>
      <w:color w:themeColor="accent1" w:themeShade="BF" w:val="0f4761"/>
      <w:sz w:val="28"/>
      <w:szCs w:val="28"/>
    </w:rPr>
  </w:style>
  <w:style w:styleId="862" w:type="character">
    <w:name w:val="Heading 4 Char"/>
    <w:basedOn w:val="913"/>
    <w:link w:val="907"/>
    <w:uiPriority w:val="9"/>
    <w:pPr>
      <w:pBdr/>
      <w:spacing/>
      <w:ind/>
    </w:pPr>
    <w:rPr>
      <w:rFonts w:ascii="Arial" w:cs="Arial" w:eastAsia="Arial" w:hAnsi="Arial"/>
      <w:i/>
      <w:iCs/>
      <w:color w:themeColor="accent1" w:themeShade="BF" w:val="0f4761"/>
    </w:rPr>
  </w:style>
  <w:style w:styleId="863" w:type="character">
    <w:name w:val="Heading 5 Char"/>
    <w:basedOn w:val="913"/>
    <w:link w:val="908"/>
    <w:uiPriority w:val="9"/>
    <w:pPr>
      <w:pBdr/>
      <w:spacing/>
      <w:ind/>
    </w:pPr>
    <w:rPr>
      <w:rFonts w:ascii="Arial" w:cs="Arial" w:eastAsia="Arial" w:hAnsi="Arial"/>
      <w:color w:themeColor="accent1" w:themeShade="BF" w:val="0f4761"/>
    </w:rPr>
  </w:style>
  <w:style w:styleId="864" w:type="character">
    <w:name w:val="Heading 6 Char"/>
    <w:basedOn w:val="913"/>
    <w:link w:val="909"/>
    <w:uiPriority w:val="9"/>
    <w:pPr>
      <w:pBdr/>
      <w:spacing/>
      <w:ind/>
    </w:pPr>
    <w:rPr>
      <w:rFonts w:ascii="Arial" w:cs="Arial" w:eastAsia="Arial" w:hAnsi="Arial"/>
      <w:i/>
      <w:iCs/>
      <w:color w:themeColor="text1" w:themeTint="A6" w:val="595959"/>
    </w:rPr>
  </w:style>
  <w:style w:styleId="865" w:type="character">
    <w:name w:val="Heading 7 Char"/>
    <w:basedOn w:val="913"/>
    <w:link w:val="910"/>
    <w:uiPriority w:val="9"/>
    <w:pPr>
      <w:pBdr/>
      <w:spacing/>
      <w:ind/>
    </w:pPr>
    <w:rPr>
      <w:rFonts w:ascii="Arial" w:cs="Arial" w:eastAsia="Arial" w:hAnsi="Arial"/>
      <w:color w:themeColor="text1" w:themeTint="A6" w:val="595959"/>
    </w:rPr>
  </w:style>
  <w:style w:styleId="866" w:type="character">
    <w:name w:val="Heading 8 Char"/>
    <w:basedOn w:val="913"/>
    <w:link w:val="911"/>
    <w:uiPriority w:val="9"/>
    <w:pPr>
      <w:pBdr/>
      <w:spacing/>
      <w:ind/>
    </w:pPr>
    <w:rPr>
      <w:rFonts w:ascii="Arial" w:cs="Arial" w:eastAsia="Arial" w:hAnsi="Arial"/>
      <w:i/>
      <w:iCs/>
      <w:color w:themeColor="text1" w:themeTint="D8" w:val="272727"/>
    </w:rPr>
  </w:style>
  <w:style w:styleId="867" w:type="character">
    <w:name w:val="Heading 9 Char"/>
    <w:basedOn w:val="913"/>
    <w:link w:val="912"/>
    <w:uiPriority w:val="9"/>
    <w:pPr>
      <w:pBdr/>
      <w:spacing/>
      <w:ind/>
    </w:pPr>
    <w:rPr>
      <w:rFonts w:ascii="Arial" w:cs="Arial" w:eastAsia="Arial" w:hAnsi="Arial"/>
      <w:i/>
      <w:iCs/>
      <w:color w:themeColor="text1" w:themeTint="D8" w:val="272727"/>
    </w:rPr>
  </w:style>
  <w:style w:styleId="868" w:type="character">
    <w:name w:val="Title Char"/>
    <w:basedOn w:val="913"/>
    <w:link w:val="919"/>
    <w:uiPriority w:val="10"/>
    <w:pPr>
      <w:pBdr/>
      <w:spacing/>
      <w:ind/>
    </w:pPr>
    <w:rPr>
      <w:rFonts w:ascii="Arial" w:cs="Arial" w:eastAsia="Arial" w:hAnsi="Arial"/>
      <w:spacing w:val="-10"/>
      <w:sz w:val="56"/>
      <w:szCs w:val="56"/>
    </w:rPr>
  </w:style>
  <w:style w:styleId="869" w:type="character">
    <w:name w:val="Subtitle Char"/>
    <w:basedOn w:val="913"/>
    <w:link w:val="921"/>
    <w:uiPriority w:val="11"/>
    <w:pPr>
      <w:pBdr/>
      <w:spacing/>
      <w:ind/>
    </w:pPr>
    <w:rPr>
      <w:color w:themeColor="text1" w:themeTint="A6" w:val="595959"/>
      <w:spacing w:val="15"/>
      <w:sz w:val="28"/>
      <w:szCs w:val="28"/>
    </w:rPr>
  </w:style>
  <w:style w:styleId="870" w:type="paragraph">
    <w:name w:val="Quote"/>
    <w:basedOn w:val="903"/>
    <w:next w:val="903"/>
    <w:link w:val="871"/>
    <w:uiPriority w:val="29"/>
    <w:qFormat/>
    <w:pPr>
      <w:pBdr/>
      <w:spacing w:before="160"/>
      <w:ind/>
      <w:jc w:val="center"/>
    </w:pPr>
    <w:rPr>
      <w:i/>
      <w:iCs/>
      <w:color w:themeColor="text1" w:themeTint="BF" w:val="404040"/>
    </w:rPr>
  </w:style>
  <w:style w:styleId="871" w:type="character">
    <w:name w:val="Quote Char"/>
    <w:basedOn w:val="913"/>
    <w:link w:val="870"/>
    <w:uiPriority w:val="29"/>
    <w:pPr>
      <w:pBdr/>
      <w:spacing/>
      <w:ind/>
    </w:pPr>
    <w:rPr>
      <w:i/>
      <w:iCs/>
      <w:color w:themeColor="text1" w:themeTint="BF" w:val="404040"/>
    </w:rPr>
  </w:style>
  <w:style w:styleId="872" w:type="paragraph">
    <w:name w:val="List Paragraph"/>
    <w:basedOn w:val="903"/>
    <w:uiPriority w:val="34"/>
    <w:qFormat/>
    <w:pPr>
      <w:pBdr/>
      <w:spacing/>
      <w:ind w:left="720"/>
      <w:contextualSpacing w:val="true"/>
    </w:pPr>
  </w:style>
  <w:style w:styleId="873" w:type="character">
    <w:name w:val="Intense Emphasis"/>
    <w:basedOn w:val="913"/>
    <w:uiPriority w:val="21"/>
    <w:qFormat/>
    <w:pPr>
      <w:pBdr/>
      <w:spacing/>
      <w:ind/>
    </w:pPr>
    <w:rPr>
      <w:i/>
      <w:iCs/>
      <w:color w:themeColor="accent1" w:themeShade="BF" w:val="0f4761"/>
    </w:rPr>
  </w:style>
  <w:style w:styleId="874" w:type="paragraph">
    <w:name w:val="Intense Quote"/>
    <w:basedOn w:val="903"/>
    <w:next w:val="903"/>
    <w:link w:val="875"/>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875" w:type="character">
    <w:name w:val="Intense Quote Char"/>
    <w:basedOn w:val="913"/>
    <w:link w:val="874"/>
    <w:uiPriority w:val="30"/>
    <w:pPr>
      <w:pBdr/>
      <w:spacing/>
      <w:ind/>
    </w:pPr>
    <w:rPr>
      <w:i/>
      <w:iCs/>
      <w:color w:themeColor="accent1" w:themeShade="BF" w:val="0f4761"/>
    </w:rPr>
  </w:style>
  <w:style w:styleId="876" w:type="character">
    <w:name w:val="Intense Reference"/>
    <w:basedOn w:val="913"/>
    <w:uiPriority w:val="32"/>
    <w:qFormat/>
    <w:pPr>
      <w:pBdr/>
      <w:spacing/>
      <w:ind/>
    </w:pPr>
    <w:rPr>
      <w:b/>
      <w:bCs/>
      <w:smallCaps/>
      <w:color w:themeColor="accent1" w:themeShade="BF" w:val="0f4761"/>
      <w:spacing w:val="5"/>
    </w:rPr>
  </w:style>
  <w:style w:styleId="877" w:type="paragraph">
    <w:name w:val="No Spacing"/>
    <w:basedOn w:val="903"/>
    <w:uiPriority w:val="1"/>
    <w:qFormat/>
    <w:pPr>
      <w:pBdr/>
      <w:spacing w:after="0" w:line="240" w:lineRule="auto"/>
      <w:ind/>
    </w:pPr>
  </w:style>
  <w:style w:styleId="878" w:type="character">
    <w:name w:val="Subtle Emphasis"/>
    <w:basedOn w:val="913"/>
    <w:uiPriority w:val="19"/>
    <w:qFormat/>
    <w:pPr>
      <w:pBdr/>
      <w:spacing/>
      <w:ind/>
    </w:pPr>
    <w:rPr>
      <w:i/>
      <w:iCs/>
      <w:color w:themeColor="text1" w:themeTint="BF" w:val="404040"/>
    </w:rPr>
  </w:style>
  <w:style w:styleId="879" w:type="character">
    <w:name w:val="Emphasis"/>
    <w:basedOn w:val="913"/>
    <w:uiPriority w:val="20"/>
    <w:qFormat/>
    <w:pPr>
      <w:pBdr/>
      <w:spacing/>
      <w:ind/>
    </w:pPr>
    <w:rPr>
      <w:i/>
      <w:iCs/>
    </w:rPr>
  </w:style>
  <w:style w:styleId="880" w:type="character">
    <w:name w:val="Strong"/>
    <w:basedOn w:val="913"/>
    <w:uiPriority w:val="22"/>
    <w:qFormat/>
    <w:pPr>
      <w:pBdr/>
      <w:spacing/>
      <w:ind/>
    </w:pPr>
    <w:rPr>
      <w:b/>
      <w:bCs/>
    </w:rPr>
  </w:style>
  <w:style w:styleId="881" w:type="character">
    <w:name w:val="Subtle Reference"/>
    <w:basedOn w:val="913"/>
    <w:uiPriority w:val="31"/>
    <w:qFormat/>
    <w:pPr>
      <w:pBdr/>
      <w:spacing/>
      <w:ind/>
    </w:pPr>
    <w:rPr>
      <w:smallCaps/>
      <w:color w:themeColor="text1" w:themeTint="A5" w:val="5a5a5a"/>
    </w:rPr>
  </w:style>
  <w:style w:styleId="882" w:type="character">
    <w:name w:val="Book Title"/>
    <w:basedOn w:val="913"/>
    <w:uiPriority w:val="33"/>
    <w:qFormat/>
    <w:pPr>
      <w:pBdr/>
      <w:spacing/>
      <w:ind/>
    </w:pPr>
    <w:rPr>
      <w:b/>
      <w:bCs/>
      <w:i/>
      <w:iCs/>
      <w:spacing w:val="5"/>
    </w:rPr>
  </w:style>
  <w:style w:styleId="883" w:type="paragraph">
    <w:name w:val="Header"/>
    <w:basedOn w:val="903"/>
    <w:link w:val="884"/>
    <w:uiPriority w:val="99"/>
    <w:unhideWhenUsed/>
    <w:pPr>
      <w:pBdr/>
      <w:tabs>
        <w:tab w:leader="none" w:pos="4844" w:val="center"/>
        <w:tab w:leader="none" w:pos="9689" w:val="right"/>
      </w:tabs>
      <w:spacing w:after="0" w:line="240" w:lineRule="auto"/>
      <w:ind/>
    </w:pPr>
  </w:style>
  <w:style w:styleId="884" w:type="character">
    <w:name w:val="Header Char"/>
    <w:basedOn w:val="913"/>
    <w:link w:val="883"/>
    <w:uiPriority w:val="99"/>
    <w:pPr>
      <w:pBdr/>
      <w:spacing/>
      <w:ind/>
    </w:pPr>
  </w:style>
  <w:style w:styleId="885" w:type="paragraph">
    <w:name w:val="Footer"/>
    <w:basedOn w:val="903"/>
    <w:link w:val="886"/>
    <w:uiPriority w:val="99"/>
    <w:unhideWhenUsed/>
    <w:pPr>
      <w:pBdr/>
      <w:tabs>
        <w:tab w:leader="none" w:pos="4844" w:val="center"/>
        <w:tab w:leader="none" w:pos="9689" w:val="right"/>
      </w:tabs>
      <w:spacing w:after="0" w:line="240" w:lineRule="auto"/>
      <w:ind/>
    </w:pPr>
  </w:style>
  <w:style w:styleId="886" w:type="character">
    <w:name w:val="Footer Char"/>
    <w:basedOn w:val="913"/>
    <w:link w:val="885"/>
    <w:uiPriority w:val="99"/>
    <w:pPr>
      <w:pBdr/>
      <w:spacing/>
      <w:ind/>
    </w:pPr>
  </w:style>
  <w:style w:styleId="887" w:type="character">
    <w:name w:val="Footnote Text Char"/>
    <w:basedOn w:val="913"/>
    <w:link w:val="938"/>
    <w:uiPriority w:val="99"/>
    <w:semiHidden/>
    <w:pPr>
      <w:pBdr/>
      <w:spacing/>
      <w:ind/>
    </w:pPr>
    <w:rPr>
      <w:sz w:val="20"/>
      <w:szCs w:val="20"/>
    </w:rPr>
  </w:style>
  <w:style w:styleId="888" w:type="paragraph">
    <w:name w:val="endnote text"/>
    <w:basedOn w:val="903"/>
    <w:link w:val="889"/>
    <w:uiPriority w:val="99"/>
    <w:semiHidden/>
    <w:unhideWhenUsed/>
    <w:pPr>
      <w:pBdr/>
      <w:spacing w:after="0" w:line="240" w:lineRule="auto"/>
      <w:ind/>
    </w:pPr>
    <w:rPr>
      <w:sz w:val="20"/>
      <w:szCs w:val="20"/>
    </w:rPr>
  </w:style>
  <w:style w:styleId="889" w:type="character">
    <w:name w:val="Endnote Text Char"/>
    <w:basedOn w:val="913"/>
    <w:link w:val="888"/>
    <w:uiPriority w:val="99"/>
    <w:semiHidden/>
    <w:pPr>
      <w:pBdr/>
      <w:spacing/>
      <w:ind/>
    </w:pPr>
    <w:rPr>
      <w:sz w:val="20"/>
      <w:szCs w:val="20"/>
    </w:rPr>
  </w:style>
  <w:style w:styleId="890" w:type="character">
    <w:name w:val="endnote reference"/>
    <w:basedOn w:val="913"/>
    <w:uiPriority w:val="99"/>
    <w:semiHidden/>
    <w:unhideWhenUsed/>
    <w:pPr>
      <w:pBdr/>
      <w:spacing/>
      <w:ind/>
    </w:pPr>
    <w:rPr>
      <w:vertAlign w:val="superscript"/>
    </w:rPr>
  </w:style>
  <w:style w:styleId="891" w:type="character">
    <w:name w:val="FollowedHyperlink"/>
    <w:basedOn w:val="913"/>
    <w:uiPriority w:val="99"/>
    <w:semiHidden/>
    <w:unhideWhenUsed/>
    <w:pPr>
      <w:pBdr/>
      <w:spacing/>
      <w:ind/>
    </w:pPr>
    <w:rPr>
      <w:color w:themeColor="followedHyperlink" w:val="954f72"/>
      <w:u w:val="single"/>
    </w:rPr>
  </w:style>
  <w:style w:styleId="892" w:type="paragraph">
    <w:name w:val="toc 1"/>
    <w:basedOn w:val="903"/>
    <w:next w:val="903"/>
    <w:uiPriority w:val="39"/>
    <w:unhideWhenUsed/>
    <w:pPr>
      <w:pBdr/>
      <w:spacing w:after="100"/>
      <w:ind/>
    </w:pPr>
  </w:style>
  <w:style w:styleId="893" w:type="paragraph">
    <w:name w:val="toc 2"/>
    <w:basedOn w:val="903"/>
    <w:next w:val="903"/>
    <w:uiPriority w:val="39"/>
    <w:unhideWhenUsed/>
    <w:pPr>
      <w:pBdr/>
      <w:spacing w:after="100"/>
      <w:ind w:left="220"/>
    </w:pPr>
  </w:style>
  <w:style w:styleId="894" w:type="paragraph">
    <w:name w:val="toc 3"/>
    <w:basedOn w:val="903"/>
    <w:next w:val="903"/>
    <w:uiPriority w:val="39"/>
    <w:unhideWhenUsed/>
    <w:pPr>
      <w:pBdr/>
      <w:spacing w:after="100"/>
      <w:ind w:left="440"/>
    </w:pPr>
  </w:style>
  <w:style w:styleId="895" w:type="paragraph">
    <w:name w:val="toc 4"/>
    <w:basedOn w:val="903"/>
    <w:next w:val="903"/>
    <w:uiPriority w:val="39"/>
    <w:unhideWhenUsed/>
    <w:pPr>
      <w:pBdr/>
      <w:spacing w:after="100"/>
      <w:ind w:left="660"/>
    </w:pPr>
  </w:style>
  <w:style w:styleId="896" w:type="paragraph">
    <w:name w:val="toc 5"/>
    <w:basedOn w:val="903"/>
    <w:next w:val="903"/>
    <w:uiPriority w:val="39"/>
    <w:unhideWhenUsed/>
    <w:pPr>
      <w:pBdr/>
      <w:spacing w:after="100"/>
      <w:ind w:left="880"/>
    </w:pPr>
  </w:style>
  <w:style w:styleId="897" w:type="paragraph">
    <w:name w:val="toc 6"/>
    <w:basedOn w:val="903"/>
    <w:next w:val="903"/>
    <w:uiPriority w:val="39"/>
    <w:unhideWhenUsed/>
    <w:pPr>
      <w:pBdr/>
      <w:spacing w:after="100"/>
      <w:ind w:left="1100"/>
    </w:pPr>
  </w:style>
  <w:style w:styleId="898" w:type="paragraph">
    <w:name w:val="toc 7"/>
    <w:basedOn w:val="903"/>
    <w:next w:val="903"/>
    <w:uiPriority w:val="39"/>
    <w:unhideWhenUsed/>
    <w:pPr>
      <w:pBdr/>
      <w:spacing w:after="100"/>
      <w:ind w:left="1320"/>
    </w:pPr>
  </w:style>
  <w:style w:styleId="899" w:type="paragraph">
    <w:name w:val="toc 8"/>
    <w:basedOn w:val="903"/>
    <w:next w:val="903"/>
    <w:uiPriority w:val="39"/>
    <w:unhideWhenUsed/>
    <w:pPr>
      <w:pBdr/>
      <w:spacing w:after="100"/>
      <w:ind w:left="1540"/>
    </w:pPr>
  </w:style>
  <w:style w:styleId="900" w:type="paragraph">
    <w:name w:val="toc 9"/>
    <w:basedOn w:val="903"/>
    <w:next w:val="903"/>
    <w:uiPriority w:val="39"/>
    <w:unhideWhenUsed/>
    <w:pPr>
      <w:pBdr/>
      <w:spacing w:after="100"/>
      <w:ind w:left="1760"/>
    </w:pPr>
  </w:style>
  <w:style w:styleId="901" w:type="character">
    <w:name w:val="Placeholder Text"/>
    <w:basedOn w:val="913"/>
    <w:uiPriority w:val="99"/>
    <w:semiHidden/>
    <w:pPr>
      <w:pBdr/>
      <w:spacing/>
      <w:ind/>
    </w:pPr>
    <w:rPr>
      <w:color w:val="666666"/>
    </w:rPr>
  </w:style>
  <w:style w:styleId="902" w:type="paragraph">
    <w:name w:val="table of figures"/>
    <w:basedOn w:val="903"/>
    <w:next w:val="903"/>
    <w:uiPriority w:val="99"/>
    <w:unhideWhenUsed/>
    <w:pPr>
      <w:pBdr/>
      <w:spacing w:after="0" w:afterAutospacing="0"/>
      <w:ind/>
    </w:pPr>
  </w:style>
  <w:style w:default="1" w:styleId="903" w:type="paragraph">
    <w:name w:val="Normal"/>
    <w:qFormat/>
    <w:pPr>
      <w:keepNext w:val="true"/>
      <w:pBdr/>
      <w:spacing w:after="60" w:before="0"/>
      <w:ind/>
      <w:jc w:val="left"/>
    </w:pPr>
    <w:rPr>
      <w:rFonts w:ascii="Cambria" w:cs="Cambria" w:eastAsia="Cambria" w:hAnsi="Cambria"/>
      <w:sz w:val="22"/>
      <w:szCs w:val="22"/>
    </w:rPr>
  </w:style>
  <w:style w:styleId="904" w:type="paragraph">
    <w:name w:val="Heading 1"/>
    <w:basedOn w:val="903"/>
    <w:next w:val="916"/>
    <w:link w:val="928"/>
    <w:uiPriority w:val="9"/>
    <w:qFormat/>
    <w:pPr>
      <w:keepNext w:val="true"/>
      <w:keepLines w:val="true"/>
      <w:pBdr/>
      <w:spacing w:after="80" w:before="360"/>
      <w:ind/>
      <w:outlineLvl w:val="0"/>
    </w:pPr>
    <w:rPr>
      <w:rFonts w:ascii="Cambria" w:cs="Cambria" w:eastAsia="Cambria" w:hAnsi="Cambria"/>
      <w:color w:themeColor="accent1" w:themeShade="BF" w:val="0f4761"/>
      <w:sz w:val="40"/>
      <w:szCs w:val="40"/>
    </w:rPr>
  </w:style>
  <w:style w:styleId="905" w:type="paragraph">
    <w:name w:val="Heading 2"/>
    <w:basedOn w:val="903"/>
    <w:next w:val="916"/>
    <w:link w:val="929"/>
    <w:uiPriority w:val="9"/>
    <w:semiHidden/>
    <w:unhideWhenUsed/>
    <w:qFormat/>
    <w:pPr>
      <w:keepNext w:val="true"/>
      <w:keepLines w:val="true"/>
      <w:pBdr/>
      <w:spacing w:after="80" w:before="160"/>
      <w:ind/>
      <w:outlineLvl w:val="1"/>
    </w:pPr>
    <w:rPr>
      <w:rFonts w:ascii="Cambria" w:cs="Cambria" w:eastAsia="Cambria" w:hAnsi="Cambria"/>
      <w:color w:themeColor="accent1" w:themeShade="BF" w:val="0f4761"/>
      <w:sz w:val="32"/>
      <w:szCs w:val="32"/>
    </w:rPr>
  </w:style>
  <w:style w:styleId="906" w:type="paragraph">
    <w:name w:val="Heading 3"/>
    <w:basedOn w:val="903"/>
    <w:next w:val="916"/>
    <w:link w:val="930"/>
    <w:uiPriority w:val="9"/>
    <w:semiHidden/>
    <w:unhideWhenUsed/>
    <w:qFormat/>
    <w:pPr>
      <w:keepNext w:val="true"/>
      <w:keepLines w:val="true"/>
      <w:pBdr/>
      <w:spacing w:after="80" w:before="160"/>
      <w:ind/>
      <w:outlineLvl w:val="2"/>
    </w:pPr>
    <w:rPr>
      <w:rFonts w:ascii="Cambria" w:cs="Cambria" w:eastAsia="Cambria" w:hAnsi="Cambria"/>
      <w:color w:themeColor="accent1" w:themeShade="BF" w:val="0f4761"/>
      <w:sz w:val="28"/>
      <w:szCs w:val="28"/>
    </w:rPr>
  </w:style>
  <w:style w:styleId="907" w:type="paragraph">
    <w:name w:val="Heading 4"/>
    <w:basedOn w:val="903"/>
    <w:next w:val="916"/>
    <w:link w:val="931"/>
    <w:uiPriority w:val="9"/>
    <w:semiHidden/>
    <w:unhideWhenUsed/>
    <w:qFormat/>
    <w:pPr>
      <w:keepNext w:val="true"/>
      <w:keepLines w:val="true"/>
      <w:pBdr/>
      <w:spacing w:after="40" w:before="80"/>
      <w:ind/>
      <w:outlineLvl w:val="3"/>
    </w:pPr>
    <w:rPr>
      <w:rFonts w:ascii="Cambria" w:cs="Cambria" w:eastAsia="Cambria" w:hAnsi="Cambria"/>
      <w:i/>
      <w:iCs/>
      <w:color w:themeColor="accent1" w:themeShade="BF" w:val="0f4761"/>
    </w:rPr>
  </w:style>
  <w:style w:styleId="908" w:type="paragraph">
    <w:name w:val="Heading 5"/>
    <w:basedOn w:val="903"/>
    <w:next w:val="916"/>
    <w:link w:val="932"/>
    <w:uiPriority w:val="9"/>
    <w:semiHidden/>
    <w:unhideWhenUsed/>
    <w:qFormat/>
    <w:pPr>
      <w:keepNext w:val="true"/>
      <w:keepLines w:val="true"/>
      <w:pBdr/>
      <w:spacing w:after="40" w:before="80"/>
      <w:ind/>
      <w:outlineLvl w:val="4"/>
    </w:pPr>
    <w:rPr>
      <w:rFonts w:ascii="Cambria" w:cs="Cambria" w:eastAsia="Cambria" w:hAnsi="Cambria"/>
      <w:color w:themeColor="accent1" w:themeShade="BF" w:val="0f4761"/>
    </w:rPr>
  </w:style>
  <w:style w:styleId="909" w:type="paragraph">
    <w:name w:val="Heading 6"/>
    <w:basedOn w:val="903"/>
    <w:next w:val="916"/>
    <w:link w:val="933"/>
    <w:uiPriority w:val="9"/>
    <w:semiHidden/>
    <w:unhideWhenUsed/>
    <w:qFormat/>
    <w:pPr>
      <w:keepNext w:val="true"/>
      <w:keepLines w:val="true"/>
      <w:pBdr/>
      <w:spacing w:after="0" w:before="40"/>
      <w:ind/>
      <w:outlineLvl w:val="5"/>
    </w:pPr>
    <w:rPr>
      <w:rFonts w:ascii="Cambria" w:cs="Cambria" w:eastAsia="Cambria" w:hAnsi="Cambria"/>
      <w:i/>
      <w:iCs/>
      <w:color w:themeColor="text1" w:themeTint="A6" w:val="595959"/>
    </w:rPr>
  </w:style>
  <w:style w:styleId="910" w:type="paragraph">
    <w:name w:val="Heading 7"/>
    <w:basedOn w:val="903"/>
    <w:next w:val="916"/>
    <w:link w:val="934"/>
    <w:uiPriority w:val="9"/>
    <w:semiHidden/>
    <w:unhideWhenUsed/>
    <w:qFormat/>
    <w:pPr>
      <w:keepNext w:val="true"/>
      <w:keepLines w:val="true"/>
      <w:pBdr/>
      <w:spacing w:after="0" w:before="40"/>
      <w:ind/>
      <w:outlineLvl w:val="6"/>
    </w:pPr>
    <w:rPr>
      <w:rFonts w:ascii="Cambria" w:cs="Cambria" w:eastAsia="Cambria" w:hAnsi="Cambria"/>
      <w:color w:themeColor="text1" w:themeTint="A6" w:val="595959"/>
    </w:rPr>
  </w:style>
  <w:style w:styleId="911" w:type="paragraph">
    <w:name w:val="Heading 8"/>
    <w:basedOn w:val="903"/>
    <w:next w:val="916"/>
    <w:link w:val="935"/>
    <w:uiPriority w:val="9"/>
    <w:semiHidden/>
    <w:unhideWhenUsed/>
    <w:qFormat/>
    <w:pPr>
      <w:keepNext w:val="true"/>
      <w:keepLines w:val="true"/>
      <w:pBdr/>
      <w:spacing w:after="0"/>
      <w:ind/>
      <w:outlineLvl w:val="7"/>
    </w:pPr>
    <w:rPr>
      <w:rFonts w:ascii="Cambria" w:cs="Cambria" w:eastAsia="Cambria" w:hAnsi="Cambria"/>
      <w:i/>
      <w:iCs/>
      <w:color w:themeColor="text1" w:themeTint="D8" w:val="272727"/>
    </w:rPr>
  </w:style>
  <w:style w:styleId="912" w:type="paragraph">
    <w:name w:val="Heading 9"/>
    <w:basedOn w:val="903"/>
    <w:next w:val="916"/>
    <w:link w:val="936"/>
    <w:uiPriority w:val="9"/>
    <w:semiHidden/>
    <w:unhideWhenUsed/>
    <w:qFormat/>
    <w:pPr>
      <w:keepNext w:val="true"/>
      <w:keepLines w:val="true"/>
      <w:pBdr/>
      <w:spacing w:after="0"/>
      <w:ind/>
      <w:outlineLvl w:val="8"/>
    </w:pPr>
    <w:rPr>
      <w:rFonts w:ascii="Cambria" w:cs="Cambria" w:eastAsia="Cambria" w:hAnsi="Cambria"/>
      <w:color w:themeColor="text1" w:themeTint="D8" w:val="272727"/>
    </w:rPr>
  </w:style>
  <w:style w:default="1" w:styleId="913" w:type="character">
    <w:name w:val="Default Paragraph Font"/>
    <w:uiPriority w:val="1"/>
    <w:semiHidden/>
    <w:unhideWhenUsed/>
    <w:pPr>
      <w:pBdr/>
      <w:spacing/>
      <w:ind/>
    </w:pPr>
  </w:style>
  <w:style w:default="1" w:styleId="914" w:type="table">
    <w:name w:val="Normal Table"/>
    <w:uiPriority w:val="99"/>
    <w:semiHidden/>
    <w:unhideWhenUsed/>
    <w:pPr>
      <w:pBdr/>
      <w:spacing/>
      <w:ind/>
    </w:pPr>
    <w:tblPr>
      <w:tblInd w:type="dxa" w:w="0"/>
      <w:tblCellMar>
        <w:left w:type="dxa" w:w="108"/>
        <w:top w:type="dxa" w:w="0"/>
        <w:right w:type="dxa" w:w="108"/>
        <w:bottom w:type="dxa" w:w="0"/>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default="1" w:styleId="915" w:type="numbering">
    <w:name w:val="No List"/>
    <w:uiPriority w:val="99"/>
    <w:semiHidden/>
    <w:unhideWhenUsed/>
    <w:pPr>
      <w:pBdr/>
      <w:spacing/>
      <w:ind/>
    </w:pPr>
  </w:style>
  <w:style w:styleId="916" w:type="paragraph">
    <w:name w:val="Body Text"/>
    <w:basedOn w:val="903"/>
    <w:qFormat/>
    <w:pPr>
      <w:suppressLineNumbers w:val="false"/>
      <w:pBdr/>
      <w:spacing w:after="119" w:afterAutospacing="0" w:afterLines="0" w:before="0" w:beforeAutospacing="0" w:beforeLines="0" w:line="360" w:lineRule="auto"/>
      <w:ind w:firstLine="1134"/>
      <w:jc w:val="both"/>
    </w:pPr>
    <w:rPr>
      <w:rFonts w:ascii="Cambria" w:cs="Cambria" w:eastAsia="Cambria" w:hAnsi="Cambria"/>
    </w:rPr>
  </w:style>
  <w:style w:customStyle="1" w:styleId="917" w:type="paragraph">
    <w:name w:val="First Paragraph"/>
    <w:basedOn w:val="916"/>
    <w:next w:val="916"/>
    <w:qFormat/>
    <w:pPr>
      <w:suppressLineNumbers w:val="false"/>
      <w:pBdr/>
      <w:spacing w:after="181" w:afterAutospacing="0" w:afterLines="0" w:before="0" w:beforeAutospacing="0" w:beforeLines="0" w:line="240" w:lineRule="auto"/>
      <w:ind w:firstLine="0"/>
    </w:pPr>
    <w:rPr>
      <w:rFonts w:ascii="Cambria" w:cs="Cambria" w:eastAsia="Cambria" w:hAnsi="Cambria"/>
    </w:rPr>
  </w:style>
  <w:style w:customStyle="1" w:styleId="918" w:type="paragraph">
    <w:name w:val="Compact"/>
    <w:basedOn w:val="916"/>
    <w:qFormat/>
    <w:pPr>
      <w:pBdr/>
      <w:spacing w:after="36" w:before="36"/>
      <w:ind/>
    </w:pPr>
    <w:rPr>
      <w:sz w:val="20"/>
    </w:rPr>
  </w:style>
  <w:style w:styleId="919" w:type="paragraph">
    <w:name w:val="Title"/>
    <w:basedOn w:val="903"/>
    <w:next w:val="916"/>
    <w:link w:val="920"/>
    <w:uiPriority w:val="10"/>
    <w:qFormat/>
    <w:pPr>
      <w:pBdr/>
      <w:spacing w:after="80"/>
      <w:ind/>
      <w:contextualSpacing w:val="true"/>
      <w:jc w:val="center"/>
    </w:pPr>
    <w:rPr>
      <w:rFonts w:ascii="Cambria" w:cs="Cambria" w:eastAsia="Cambria" w:hAnsi="Cambria"/>
      <w:sz w:val="56"/>
      <w:szCs w:val="56"/>
    </w:rPr>
  </w:style>
  <w:style w:customStyle="1" w:styleId="920" w:type="character">
    <w:name w:val="Título Char"/>
    <w:link w:val="919"/>
    <w:uiPriority w:val="10"/>
    <w:pPr>
      <w:pBdr/>
      <w:spacing/>
      <w:ind/>
    </w:pPr>
    <w:rPr>
      <w:rFonts w:ascii="Cambria" w:cs="Cambria" w:eastAsia="Cambria" w:hAnsi="Cambria"/>
    </w:rPr>
  </w:style>
  <w:style w:styleId="921" w:type="paragraph">
    <w:name w:val="Subtitle"/>
    <w:basedOn w:val="919"/>
    <w:next w:val="916"/>
    <w:link w:val="922"/>
    <w:uiPriority w:val="11"/>
    <w:qFormat/>
    <w:pPr>
      <w:numPr>
        <w:ilvl w:val="1"/>
      </w:numPr>
      <w:pBdr/>
      <w:spacing/>
      <w:ind/>
    </w:pPr>
    <w:rPr>
      <w:rFonts w:ascii="Cambria" w:cs="Cambria" w:eastAsia="Cambria" w:hAnsi="Cambria"/>
      <w:spacing w:val="15"/>
      <w:sz w:val="28"/>
      <w:szCs w:val="28"/>
    </w:rPr>
  </w:style>
  <w:style w:customStyle="1" w:styleId="922" w:type="character">
    <w:name w:val="Subtítulo Char"/>
    <w:link w:val="921"/>
    <w:uiPriority w:val="11"/>
    <w:pPr>
      <w:pBdr/>
      <w:spacing/>
      <w:ind/>
    </w:pPr>
    <w:rPr>
      <w:rFonts w:ascii="Cambria" w:cs="Cambria" w:eastAsia="Cambria" w:hAnsi="Cambria"/>
    </w:rPr>
  </w:style>
  <w:style w:customStyle="1" w:styleId="923" w:type="paragraph">
    <w:name w:val="Author"/>
    <w:basedOn w:val="919"/>
    <w:next w:val="916"/>
    <w:qFormat/>
    <w:pPr>
      <w:keepNext w:val="true"/>
      <w:keepLines w:val="true"/>
      <w:pBdr/>
      <w:spacing/>
      <w:ind/>
    </w:pPr>
    <w:rPr>
      <w:rFonts w:ascii="Cambria" w:cs="Cambria" w:eastAsia="Cambria" w:hAnsi="Cambria"/>
      <w:sz w:val="24"/>
      <w:szCs w:val="24"/>
    </w:rPr>
  </w:style>
  <w:style w:styleId="924" w:type="paragraph">
    <w:name w:val="Date"/>
    <w:basedOn w:val="919"/>
    <w:next w:val="916"/>
    <w:qFormat/>
    <w:pPr>
      <w:keepNext w:val="true"/>
      <w:keepLines w:val="true"/>
      <w:pBdr/>
      <w:spacing/>
      <w:ind/>
    </w:pPr>
    <w:rPr>
      <w:rFonts w:ascii="Cambria" w:cs="Cambria" w:eastAsia="Cambria" w:hAnsi="Cambria"/>
      <w:sz w:val="24"/>
      <w:szCs w:val="24"/>
    </w:rPr>
  </w:style>
  <w:style w:customStyle="1" w:styleId="925" w:type="paragraph">
    <w:name w:val="Abstract Title"/>
    <w:basedOn w:val="903"/>
    <w:next w:val="926"/>
    <w:qFormat/>
    <w:pPr>
      <w:keepNext w:val="true"/>
      <w:keepLines w:val="true"/>
      <w:pBdr/>
      <w:spacing w:after="0" w:before="300"/>
      <w:ind/>
      <w:jc w:val="center"/>
    </w:pPr>
    <w:rPr>
      <w:b/>
      <w:sz w:val="20"/>
      <w:szCs w:val="20"/>
    </w:rPr>
  </w:style>
  <w:style w:customStyle="1" w:styleId="926" w:type="paragraph">
    <w:name w:val="Abstract"/>
    <w:basedOn w:val="903"/>
    <w:next w:val="916"/>
    <w:qFormat/>
    <w:pPr>
      <w:keepNext w:val="true"/>
      <w:keepLines w:val="true"/>
      <w:pBdr/>
      <w:spacing w:after="300" w:before="100"/>
      <w:ind/>
    </w:pPr>
    <w:rPr>
      <w:sz w:val="20"/>
      <w:szCs w:val="20"/>
    </w:rPr>
  </w:style>
  <w:style w:styleId="927" w:type="paragraph">
    <w:name w:val="Bibliography"/>
    <w:basedOn w:val="903"/>
    <w:qFormat/>
    <w:pPr>
      <w:pBdr/>
      <w:spacing/>
      <w:ind/>
    </w:pPr>
  </w:style>
  <w:style w:customStyle="1" w:styleId="928" w:type="character">
    <w:name w:val="Título 1 Char"/>
    <w:link w:val="904"/>
    <w:uiPriority w:val="9"/>
    <w:pPr>
      <w:pBdr/>
      <w:spacing/>
      <w:ind/>
    </w:pPr>
    <w:rPr>
      <w:rFonts w:ascii="Cambria" w:cs="Cambria" w:eastAsia="Cambria" w:hAnsi="Cambria"/>
    </w:rPr>
  </w:style>
  <w:style w:customStyle="1" w:styleId="929" w:type="character">
    <w:name w:val="Título 2 Char"/>
    <w:link w:val="905"/>
    <w:uiPriority w:val="9"/>
    <w:semiHidden/>
    <w:pPr>
      <w:pBdr/>
      <w:spacing/>
      <w:ind/>
    </w:pPr>
    <w:rPr>
      <w:rFonts w:ascii="Cambria" w:cs="Cambria" w:eastAsia="Cambria" w:hAnsi="Cambria"/>
    </w:rPr>
  </w:style>
  <w:style w:customStyle="1" w:styleId="930" w:type="character">
    <w:name w:val="Título 3 Char"/>
    <w:link w:val="906"/>
    <w:uiPriority w:val="9"/>
    <w:semiHidden/>
    <w:pPr>
      <w:pBdr/>
      <w:spacing/>
      <w:ind/>
    </w:pPr>
    <w:rPr>
      <w:rFonts w:ascii="Cambria" w:cs="Cambria" w:eastAsia="Cambria" w:hAnsi="Cambria"/>
    </w:rPr>
  </w:style>
  <w:style w:customStyle="1" w:styleId="931" w:type="character">
    <w:name w:val="Título 4 Char"/>
    <w:link w:val="907"/>
    <w:uiPriority w:val="9"/>
    <w:semiHidden/>
    <w:pPr>
      <w:pBdr/>
      <w:spacing/>
      <w:ind/>
    </w:pPr>
    <w:rPr>
      <w:rFonts w:ascii="Cambria" w:cs="Cambria" w:eastAsia="Cambria" w:hAnsi="Cambria"/>
    </w:rPr>
  </w:style>
  <w:style w:customStyle="1" w:styleId="932" w:type="character">
    <w:name w:val="Título 5 Char"/>
    <w:link w:val="908"/>
    <w:uiPriority w:val="9"/>
    <w:semiHidden/>
    <w:pPr>
      <w:pBdr/>
      <w:spacing/>
      <w:ind/>
    </w:pPr>
    <w:rPr>
      <w:rFonts w:ascii="Cambria" w:cs="Cambria" w:eastAsia="Cambria" w:hAnsi="Cambria"/>
    </w:rPr>
  </w:style>
  <w:style w:customStyle="1" w:styleId="933" w:type="character">
    <w:name w:val="Título 6 Char"/>
    <w:link w:val="909"/>
    <w:uiPriority w:val="9"/>
    <w:semiHidden/>
    <w:pPr>
      <w:pBdr/>
      <w:spacing/>
      <w:ind/>
    </w:pPr>
    <w:rPr>
      <w:rFonts w:ascii="Cambria" w:cs="Cambria" w:eastAsia="Cambria" w:hAnsi="Cambria"/>
    </w:rPr>
  </w:style>
  <w:style w:customStyle="1" w:styleId="934" w:type="character">
    <w:name w:val="Título 7 Char"/>
    <w:link w:val="910"/>
    <w:uiPriority w:val="9"/>
    <w:semiHidden/>
    <w:pPr>
      <w:pBdr/>
      <w:spacing/>
      <w:ind/>
    </w:pPr>
    <w:rPr>
      <w:rFonts w:ascii="Cambria" w:cs="Cambria" w:eastAsia="Cambria" w:hAnsi="Cambria"/>
    </w:rPr>
  </w:style>
  <w:style w:customStyle="1" w:styleId="935" w:type="character">
    <w:name w:val="Título 8 Char"/>
    <w:link w:val="911"/>
    <w:uiPriority w:val="9"/>
    <w:semiHidden/>
    <w:pPr>
      <w:pBdr/>
      <w:spacing/>
      <w:ind/>
    </w:pPr>
    <w:rPr>
      <w:rFonts w:ascii="Cambria" w:cs="Cambria" w:eastAsia="Cambria" w:hAnsi="Cambria"/>
    </w:rPr>
  </w:style>
  <w:style w:customStyle="1" w:styleId="936" w:type="character">
    <w:name w:val="Título 9 Char"/>
    <w:link w:val="912"/>
    <w:uiPriority w:val="9"/>
    <w:semiHidden/>
    <w:pPr>
      <w:pBdr/>
      <w:spacing/>
      <w:ind/>
    </w:pPr>
    <w:rPr>
      <w:rFonts w:ascii="Cambria" w:cs="Cambria" w:eastAsia="Cambria" w:hAnsi="Cambria"/>
    </w:rPr>
  </w:style>
  <w:style w:styleId="937" w:type="paragraph">
    <w:name w:val="Block Text"/>
    <w:basedOn w:val="916"/>
    <w:next w:val="916"/>
    <w:uiPriority w:val="9"/>
    <w:unhideWhenUsed/>
    <w:qFormat/>
    <w:pPr>
      <w:pBdr/>
      <w:spacing w:after="100" w:before="100"/>
      <w:ind w:left="480" w:right="480"/>
    </w:pPr>
  </w:style>
  <w:style w:styleId="938" w:type="paragraph">
    <w:name w:val="footnote text"/>
    <w:basedOn w:val="903"/>
    <w:uiPriority w:val="9"/>
    <w:unhideWhenUsed/>
    <w:qFormat/>
    <w:pPr>
      <w:pBdr/>
      <w:spacing/>
      <w:ind/>
    </w:pPr>
    <w:rPr>
      <w:rFonts w:ascii="Cambria" w:cs="Cambria" w:eastAsia="Cambria" w:hAnsi="Cambria"/>
    </w:rPr>
  </w:style>
  <w:style w:customStyle="1" w:styleId="939" w:type="paragraph">
    <w:name w:val="Footnote Block Text"/>
    <w:basedOn w:val="938"/>
    <w:next w:val="938"/>
    <w:uiPriority w:val="9"/>
    <w:unhideWhenUsed/>
    <w:qFormat/>
    <w:pPr>
      <w:pBdr/>
      <w:spacing w:after="100" w:before="100"/>
      <w:ind w:left="480" w:right="480"/>
    </w:pPr>
  </w:style>
  <w:style w:customStyle="1" w:styleId="940" w:type="table">
    <w:name w:val="Table"/>
    <w:semiHidden/>
    <w:unhideWhenUsed/>
    <w:qFormat/>
    <w:pPr>
      <w:pBdr/>
      <w:spacing/>
      <w:ind/>
    </w:pPr>
    <w:tblPr>
      <w:tblInd w:type="dxa" w:w="0"/>
      <w:tblCellMar>
        <w:left w:type="dxa" w:w="108"/>
        <w:top w:type="dxa" w:w="0"/>
        <w:right w:type="dxa" w:w="108"/>
        <w:bottom w:type="dxa" w:w="0"/>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color="000000" w:space="0" w:sz="0" w:val="single"/>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customStyle="1" w:styleId="941" w:type="paragraph">
    <w:name w:val="Definition Term"/>
    <w:basedOn w:val="903"/>
    <w:next w:val="942"/>
    <w:pPr>
      <w:keepNext w:val="true"/>
      <w:keepLines w:val="true"/>
      <w:pBdr/>
      <w:spacing w:after="0"/>
      <w:ind/>
    </w:pPr>
    <w:rPr>
      <w:b/>
    </w:rPr>
  </w:style>
  <w:style w:customStyle="1" w:styleId="942" w:type="paragraph">
    <w:name w:val="Definition"/>
    <w:basedOn w:val="903"/>
    <w:pPr>
      <w:pBdr/>
      <w:spacing/>
      <w:ind/>
    </w:pPr>
  </w:style>
  <w:style w:styleId="943" w:type="paragraph">
    <w:name w:val="Caption"/>
    <w:basedOn w:val="903"/>
    <w:link w:val="948"/>
    <w:pPr>
      <w:pBdr/>
      <w:spacing w:after="120"/>
      <w:ind/>
    </w:pPr>
    <w:rPr>
      <w:i/>
    </w:rPr>
  </w:style>
  <w:style w:customStyle="1" w:styleId="944" w:type="paragraph">
    <w:name w:val="Table Caption"/>
    <w:basedOn w:val="943"/>
    <w:pPr>
      <w:keepNext w:val="true"/>
      <w:pBdr/>
      <w:spacing/>
      <w:ind/>
    </w:pPr>
  </w:style>
  <w:style w:customStyle="1" w:styleId="945" w:type="paragraph">
    <w:name w:val="Image Caption"/>
    <w:basedOn w:val="943"/>
    <w:pPr>
      <w:pBdr/>
      <w:spacing/>
      <w:ind/>
    </w:pPr>
  </w:style>
  <w:style w:customStyle="1" w:styleId="946" w:type="paragraph">
    <w:name w:val="Figure"/>
    <w:basedOn w:val="903"/>
    <w:pPr>
      <w:pBdr/>
      <w:spacing/>
      <w:ind/>
    </w:pPr>
  </w:style>
  <w:style w:customStyle="1" w:styleId="947" w:type="paragraph">
    <w:name w:val="Captioned Figure"/>
    <w:basedOn w:val="946"/>
    <w:pPr>
      <w:keepNext w:val="true"/>
      <w:pBdr/>
      <w:spacing/>
      <w:ind/>
    </w:pPr>
  </w:style>
  <w:style w:customStyle="1" w:styleId="948" w:type="character">
    <w:name w:val="Legenda Char"/>
    <w:basedOn w:val="913"/>
    <w:link w:val="943"/>
    <w:pPr>
      <w:pBdr/>
      <w:spacing/>
      <w:ind/>
    </w:pPr>
  </w:style>
  <w:style w:customStyle="1" w:styleId="949" w:type="character">
    <w:name w:val="Verbatim Char"/>
    <w:basedOn w:val="948"/>
    <w:pPr>
      <w:pBdr/>
      <w:spacing/>
      <w:ind/>
    </w:pPr>
    <w:rPr>
      <w:rFonts w:ascii="Consolas" w:hAnsi="Consolas"/>
      <w:sz w:val="20"/>
    </w:rPr>
  </w:style>
  <w:style w:customStyle="1" w:styleId="950" w:type="character">
    <w:name w:val="Section Number"/>
    <w:basedOn w:val="948"/>
    <w:pPr>
      <w:pBdr/>
      <w:spacing/>
      <w:ind/>
    </w:pPr>
  </w:style>
  <w:style w:styleId="951" w:type="character">
    <w:name w:val="footnote reference"/>
    <w:basedOn w:val="948"/>
    <w:pPr>
      <w:pBdr/>
      <w:spacing/>
      <w:ind/>
    </w:pPr>
    <w:rPr>
      <w:vertAlign w:val="superscript"/>
    </w:rPr>
  </w:style>
  <w:style w:styleId="952" w:type="character">
    <w:name w:val="Hyperlink"/>
    <w:basedOn w:val="948"/>
    <w:pPr>
      <w:pBdr/>
      <w:spacing/>
      <w:ind/>
    </w:pPr>
    <w:rPr>
      <w:color w:themeColor="accent1" w:val="156082"/>
    </w:rPr>
  </w:style>
  <w:style w:styleId="953" w:type="paragraph">
    <w:name w:val="TOC Heading"/>
    <w:basedOn w:val="904"/>
    <w:next w:val="916"/>
    <w:uiPriority w:val="39"/>
    <w:unhideWhenUsed/>
    <w:qFormat/>
    <w:pPr>
      <w:pBdr/>
      <w:spacing w:before="240" w:line="259" w:lineRule="auto"/>
      <w:ind/>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header1.xml" Type="http://schemas.openxmlformats.org/officeDocument/2006/relationships/header"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18" Target="media/rId18.png" /><Relationship Type="http://schemas.openxmlformats.org/officeDocument/2006/relationships/hyperlink" Id="rId840" Target="https://CRAN.R-project.org/package=httr2" TargetMode="External" /><Relationship Type="http://schemas.openxmlformats.org/officeDocument/2006/relationships/hyperlink" Id="rId109" Target="https://arxiv.org/abs/1403.2805" TargetMode="External" /><Relationship Type="http://schemas.openxmlformats.org/officeDocument/2006/relationships/hyperlink" Id="rId107" Target="https://cran.r-project.org/package=doParallel" TargetMode="External" /><Relationship Type="http://schemas.openxmlformats.org/officeDocument/2006/relationships/hyperlink" Id="rId108" Target="https://cran.r-project.org/package=foreach" TargetMode="External" /><Relationship Type="http://schemas.openxmlformats.org/officeDocument/2006/relationships/hyperlink" Id="rId110" Target="https://cran.r-project.org/package=httr2" TargetMode="External" /><Relationship Type="http://schemas.openxmlformats.org/officeDocument/2006/relationships/hyperlink" Id="rId839" Target="https://doi.org/10.32614/CRAN.package.httr2" TargetMode="External" /><Relationship Type="http://schemas.openxmlformats.org/officeDocument/2006/relationships/hyperlink" Id="rId84" Target="https://scholar.google.com.tw/citations?view_op=view_citation&amp;hl=en&amp;user=Nu_ZRkcAAAAJ&amp;citation_for_view=Nu_ZRkcAAAAJ:d1gkVwhDpl0C" TargetMode="External" /></Relationships>
</file>

<file path=word/_rels/endnotes.xml.rels><?xml version="1.0" encoding="UTF-8" standalone="yes"?><Relationships xmlns="http://schemas.openxmlformats.org/package/2006/relationships"></Relationships>
</file>

<file path=word/_rels/footnotes.xml.rels><?xml version="1.0" encoding="UTF-8"?><Relationships xmlns="http://schemas.openxmlformats.org/package/2006/relationships"><Relationship Type="http://schemas.openxmlformats.org/officeDocument/2006/relationships/hyperlink" Id="rId840" Target="https://CRAN.R-project.org/package=httr2" TargetMode="External" /><Relationship Type="http://schemas.openxmlformats.org/officeDocument/2006/relationships/hyperlink" Id="rId109" Target="https://arxiv.org/abs/1403.2805" TargetMode="External" /><Relationship Type="http://schemas.openxmlformats.org/officeDocument/2006/relationships/hyperlink" Id="rId107" Target="https://cran.r-project.org/package=doParallel" TargetMode="External" /><Relationship Type="http://schemas.openxmlformats.org/officeDocument/2006/relationships/hyperlink" Id="rId108" Target="https://cran.r-project.org/package=foreach" TargetMode="External" /><Relationship Type="http://schemas.openxmlformats.org/officeDocument/2006/relationships/hyperlink" Id="rId110" Target="https://cran.r-project.org/package=httr2" TargetMode="External" /><Relationship Type="http://schemas.openxmlformats.org/officeDocument/2006/relationships/hyperlink" Id="rId839" Target="https://doi.org/10.32614/CRAN.package.httr2" TargetMode="External" /><Relationship Type="http://schemas.openxmlformats.org/officeDocument/2006/relationships/hyperlink" Id="rId84" Target="https://scholar.google.com.tw/citations?view_op=view_citation&amp;hl=en&amp;user=Nu_ZRkcAAAAJ&amp;citation_for_view=Nu_ZRkcAAAAJ:d1gkVwhDpl0C" TargetMode="External" /></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 e Condição: o papel das recomendações do DENASUS na indução de mudanças institucionais no SUS</dc:title>
  <dc:creator/>
  <dc:language>pt-BR</dc:language>
  <cp:keywords/>
  <dcterms:created xsi:type="dcterms:W3CDTF">2026-09-24T22:25:42Z</dcterms:created>
  <dcterms:modified xsi:type="dcterms:W3CDTF">2026-09-24T22:25:42Z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./Quarto/referencias.bibtex</vt:lpwstr>
  </property>
  <property fmtid="{D5CDD505-2E9C-101B-9397-08002B2CF9AE}" pid="4" name="csl">
    <vt:lpwstr>./Quarto/abnt-nbr-6023-2018-citacao-autor-data.csl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lot">
    <vt:lpwstr>True</vt:lpwstr>
  </property>
  <property fmtid="{D5CDD505-2E9C-101B-9397-08002B2CF9AE}" pid="12" name="lot-title">
    <vt:lpwstr>Lista de Tabelas</vt:lpwstr>
  </property>
  <property fmtid="{D5CDD505-2E9C-101B-9397-08002B2CF9AE}" pid="13" name="toc-title">
    <vt:lpwstr>Sumário</vt:lpwstr>
  </property>
</Properties>
</file>