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23"/>
        <w:pBdr/>
        <w:spacing/>
        <w:ind/>
        <w:rPr/>
      </w:pPr>
      <w:r>
        <w:t xml:space="preserve">Análise de Resultados. Documento Temporário</w:t>
      </w:r>
      <w:r/>
    </w:p>
    <w:p>
      <w:pPr>
        <w:pStyle w:val="708"/>
        <w:pBdr/>
        <w:spacing/>
        <w:ind/>
        <w:rPr/>
      </w:pPr>
      <w:r/>
      <w:bookmarkStart w:id="20" w:name="prompt"/>
      <w:r>
        <w:t xml:space="preserve">Prompt</w:t>
      </w:r>
      <w:r/>
    </w:p>
    <w:p>
      <w:pPr>
        <w:pStyle w:val="758"/>
        <w:pBdr/>
        <w:spacing/>
        <w:ind/>
        <w:rPr/>
      </w:pPr>
      <w:r>
        <w:rPr>
          <w:rStyle w:val="753"/>
        </w:rPr>
        <w:t xml:space="preserve"> O usuário é um pesquisador que está desenvolvendo uma pesquisa sobre o potencial do Departamento Nacional </w:t>
      </w:r>
      <w:r>
        <w:rPr>
          <w:rStyle w:val="753"/>
        </w:rPr>
        <w:t xml:space="preserve">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753"/>
        </w:rPr>
        <w:t xml:space="preserve">Os resultados das auditorias realizadas pelo DENASUS são materializados em relatórios, os quais apontam constatações (também chamadas de achados de auditoria) que expõem condições observadas que não atendem aos critérios requeridos definidos pela equipe de</w:t>
      </w:r>
      <w:r>
        <w:rPr>
          <w:rStyle w:val="753"/>
        </w:rPr>
        <w:t xml:space="preserve"> auditoria. As recomendações são, por conseguinte, definidas como sugestões técnicas que visam corrigir discrepâncias entre o que foi observado e os critérios requeridos, que podem ser normativos, operacionais ou legais que embasam o trabalho de auditoria.</w:t>
      </w:r>
      <w:r>
        <w:br/>
      </w:r>
      <w:r>
        <w:br/>
      </w:r>
      <w:r>
        <w:rPr>
          <w:rStyle w:val="753"/>
        </w:rPr>
        <w:t xml:space="preserve">Segundo a tipologia difundida pelo Institute of Internal Auditors (IIA) as recomendações que tem foco na causa (cause-based) são aquelas que propõem ações nec</w:t>
      </w:r>
      <w:r>
        <w:rPr>
          <w:rStyle w:val="753"/>
        </w:rPr>
        <w:t xml:space="preserve">essárias para evitar que a condição ou a observação volte a ocorrer. Normalmente envolvem soluções de longo prazo e podem demandar mais tempo para a sua implementação (exemplo: criação e implementação de uma política de revisão de acessos). Já recomendaçõe</w:t>
      </w:r>
      <w:r>
        <w:rPr>
          <w:rStyle w:val="753"/>
        </w:rPr>
        <w:t xml:space="preserve">s que consistem em medidas cuja finalidade é corrigir a condição encontrada, fornecem uma solução temporária para corrigir a condição atual (exemplo: remoção de acessos indevidos) e são consideradas, portanto, como tendo foco na condição (condition-based).</w:t>
      </w:r>
      <w:r>
        <w:br/>
      </w:r>
      <w:r>
        <w:br/>
      </w:r>
      <w:r>
        <w:rPr>
          <w:rStyle w:val="753"/>
        </w:rPr>
        <w:t xml:space="preserve">O objetivo do trabalho consiste em identificar as recomendações exaradas pelo DENASUS que possuam foco na causa.</w:t>
      </w:r>
      <w:r>
        <w:br/>
      </w:r>
      <w:r>
        <w:br/>
      </w:r>
      <w:r>
        <w:rPr>
          <w:rStyle w:val="753"/>
        </w:rPr>
        <w:t xml:space="preserve">Para realizar essa identificação, o usuário pesquisador irá fornecer uma breve </w:t>
      </w:r>
      <w:r>
        <w:rPr>
          <w:rStyle w:val="753"/>
        </w:rPr>
        <w:t xml:space="preserve">descrição da finalidade do trabalho de auditoria realizado, a constatação que expressa a condição encontrada que motivou a emissão da recomendação e a própria recomendação. Sua função consistirá em avaliar a recomendação em relação aos seguintes critérios:</w:t>
      </w:r>
      <w:r>
        <w:br/>
      </w:r>
      <w:r>
        <w:br/>
      </w:r>
      <w:r>
        <w:rPr>
          <w:rStyle w:val="753"/>
        </w:rPr>
        <w:t xml:space="preserve">- Critério "Foco Causa": Há alguma ação proposta na recomendação que trate da causa do problema que gerou a condição encontrada? Responda somente "Sim" ou "Não. </w:t>
      </w:r>
      <w:r>
        <w:br/>
      </w:r>
      <w:r>
        <w:rPr>
          <w:rStyle w:val="753"/>
        </w:rPr>
        <w:t xml:space="preserve">- Critério "Efeitos Duradouros": Os efeitos pretendidos pela ação sugeri</w:t>
      </w:r>
      <w:r>
        <w:rPr>
          <w:rStyle w:val="753"/>
        </w:rPr>
        <w:t xml:space="preserve">da para tratar a causa da condição permanecem mesmo se os atores envolvidos eventualmente mudarem? A avaliação deste critério deve se dar somente quando o critério "Foco Causa" for "Sim". Se a resposta para "Foco Causa" for "Não", responda "Não se Aplica".</w:t>
      </w:r>
      <w:r>
        <w:br/>
      </w:r>
      <w:r>
        <w:br/>
      </w:r>
      <w:r>
        <w:rPr>
          <w:rStyle w:val="753"/>
        </w:rPr>
        <w:t xml:space="preserve">A análise para avaliar cada critério deverá constar no campo "Análise" da resposta, que será sucedido pelos campos referentes aos critérios delineados acima.</w:t>
      </w:r>
      <w:r>
        <w:br/>
      </w:r>
      <w:r>
        <w:br/>
      </w:r>
      <w:r>
        <w:rPr>
          <w:rStyle w:val="753"/>
        </w:rPr>
        <w:t xml:space="preserve">Caso a recomendação não contenha uma recomendação de fato, responda "Não se aplica" para os dois critérios.</w:t>
      </w:r>
      <w:r>
        <w:br/>
      </w:r>
      <w:r>
        <w:br/>
      </w:r>
      <w:r>
        <w:rPr>
          <w:rStyle w:val="753"/>
        </w:rPr>
        <w:t xml:space="preserve">Formate sua resposta no format Json com a seguinte estrutura:</w:t>
      </w:r>
      <w:r>
        <w:br/>
      </w:r>
      <w:r>
        <w:br/>
      </w:r>
      <w:r>
        <w:rPr>
          <w:rStyle w:val="753"/>
        </w:rPr>
        <w:t xml:space="preserve">EXAMPLE JSON OUTPUT:</w:t>
      </w:r>
      <w:r>
        <w:br/>
      </w:r>
      <w:r>
        <w:br/>
      </w:r>
      <w:r>
        <w:rPr>
          <w:rStyle w:val="753"/>
        </w:rPr>
        <w:t xml:space="preserve">{</w:t>
      </w:r>
      <w:r>
        <w:br/>
      </w:r>
      <w:r>
        <w:rPr>
          <w:rStyle w:val="753"/>
        </w:rPr>
        <w:t xml:space="preserve">   "Análise": "Em relação ao foco, a recomendação... Ja em relação aos efeitos pretendidos pela recomendação...",</w:t>
      </w:r>
      <w:r>
        <w:br/>
      </w:r>
      <w:r>
        <w:rPr>
          <w:rStyle w:val="753"/>
        </w:rPr>
        <w:t xml:space="preserve">   "Foco Causa": "Sim",</w:t>
      </w:r>
      <w:r>
        <w:br/>
      </w:r>
      <w:r>
        <w:rPr>
          <w:rStyle w:val="753"/>
        </w:rPr>
        <w:t xml:space="preserve">   "Efeitos Duradouros": "Sim"</w:t>
      </w:r>
      <w:r>
        <w:br/>
      </w:r>
      <w:r>
        <w:rPr>
          <w:rStyle w:val="753"/>
        </w:rPr>
        <w:t xml:space="preserve">} </w:t>
      </w:r>
      <w:bookmarkEnd w:id="20"/>
      <w:r/>
    </w:p>
    <w:p>
      <w:pPr>
        <w:pStyle w:val="708"/>
        <w:pBdr/>
        <w:spacing/>
        <w:ind/>
        <w:rPr/>
      </w:pPr>
      <w:r/>
      <w:bookmarkStart w:id="21" w:name="resultados"/>
      <w:r>
        <w:t xml:space="preserve">Resultados</w:t>
      </w:r>
      <w:r/>
    </w:p>
    <w:tbl>
      <w:tblPr>
        <w:tblStyle w:val="744"/>
        <w:tblW w:w="0" w:type="auto"/>
        <w:tblBorders/>
        <w:tblLook w:val="0020" w:firstRow="1" w:lastRow="0" w:firstColumn="0" w:lastColumn="0" w:noHBand="0" w:noVBand="0"/>
      </w:tblPr>
      <w:tblGrid>
        <w:gridCol w:w="1980"/>
        <w:gridCol w:w="1980"/>
        <w:gridCol w:w="1980"/>
        <w:gridCol w:w="1980"/>
      </w:tblGrid>
      <w:tr>
        <w:trPr>
          <w:tblHeader/>
        </w:trPr>
        <w:tc>
          <w:tcPr>
            <w:tcBorders/>
          </w:tcPr>
          <w:p>
            <w:pPr>
              <w:pStyle w:val="722"/>
              <w:pBdr/>
              <w:spacing/>
              <w:ind/>
              <w:jc w:val="left"/>
              <w:rPr/>
            </w:pPr>
            <w:r>
              <w:t xml:space="preserve">Foco Causa</w:t>
            </w:r>
            <w:r/>
          </w:p>
        </w:tc>
        <w:tc>
          <w:tcPr>
            <w:tcBorders/>
          </w:tcPr>
          <w:p>
            <w:pPr>
              <w:pStyle w:val="722"/>
              <w:pBdr/>
              <w:spacing/>
              <w:ind/>
              <w:jc w:val="left"/>
              <w:rPr/>
            </w:pPr>
            <w:r>
              <w:t xml:space="preserve">Efeitos Duradouros</w:t>
            </w:r>
            <w:r/>
          </w:p>
        </w:tc>
        <w:tc>
          <w:tcPr>
            <w:tcBorders/>
          </w:tcPr>
          <w:p>
            <w:pPr>
              <w:pStyle w:val="722"/>
              <w:pBdr/>
              <w:spacing/>
              <w:ind/>
              <w:jc w:val="right"/>
              <w:rPr/>
            </w:pPr>
            <w:r>
              <w:t xml:space="preserve">Total</w:t>
            </w:r>
            <w:r/>
          </w:p>
        </w:tc>
        <w:tc>
          <w:tcPr>
            <w:tcBorders/>
          </w:tcPr>
          <w:p>
            <w:pPr>
              <w:pStyle w:val="722"/>
              <w:pBdr/>
              <w:spacing/>
              <w:ind/>
              <w:jc w:val="right"/>
              <w:rPr/>
            </w:pPr>
            <w:r>
              <w:t xml:space="preserve">%</w:t>
            </w:r>
            <w:r/>
          </w:p>
        </w:tc>
      </w:tr>
      <w:tr>
        <w:trPr/>
        <w:tc>
          <w:tcPr>
            <w:tcBorders/>
          </w:tcPr>
          <w:p>
            <w:pPr>
              <w:pStyle w:val="722"/>
              <w:pBdr/>
              <w:spacing/>
              <w:ind/>
              <w:jc w:val="left"/>
              <w:rPr/>
            </w:pPr>
            <w:r>
              <w:t xml:space="preserve">Não</w:t>
            </w:r>
            <w:r/>
          </w:p>
        </w:tc>
        <w:tc>
          <w:tcPr>
            <w:tcBorders/>
          </w:tcPr>
          <w:p>
            <w:pPr>
              <w:pStyle w:val="722"/>
              <w:pBdr/>
              <w:spacing/>
              <w:ind/>
              <w:jc w:val="left"/>
              <w:rPr/>
            </w:pPr>
            <w:r>
              <w:t xml:space="preserve">Não se Aplica</w:t>
            </w:r>
            <w:r/>
          </w:p>
        </w:tc>
        <w:tc>
          <w:tcPr>
            <w:tcBorders/>
          </w:tcPr>
          <w:p>
            <w:pPr>
              <w:pStyle w:val="722"/>
              <w:pBdr/>
              <w:spacing/>
              <w:ind/>
              <w:jc w:val="right"/>
              <w:rPr/>
            </w:pPr>
            <w:r>
              <w:t xml:space="preserve">2</w:t>
            </w:r>
            <w:r/>
          </w:p>
        </w:tc>
        <w:tc>
          <w:tcPr>
            <w:tcBorders/>
          </w:tcPr>
          <w:p>
            <w:pPr>
              <w:pStyle w:val="722"/>
              <w:pBdr/>
              <w:spacing/>
              <w:ind/>
              <w:jc w:val="right"/>
              <w:rPr/>
            </w:pPr>
            <w:r>
              <w:t xml:space="preserve">10</w:t>
            </w:r>
            <w:r/>
          </w:p>
        </w:tc>
      </w:tr>
      <w:tr>
        <w:trPr/>
        <w:tc>
          <w:tcPr>
            <w:tcBorders/>
          </w:tcPr>
          <w:p>
            <w:pPr>
              <w:pStyle w:val="722"/>
              <w:pBdr/>
              <w:spacing/>
              <w:ind/>
              <w:jc w:val="left"/>
              <w:rPr/>
            </w:pPr>
            <w:r>
              <w:t xml:space="preserve">Sim</w:t>
            </w:r>
            <w:r/>
          </w:p>
        </w:tc>
        <w:tc>
          <w:tcPr>
            <w:tcBorders/>
          </w:tcPr>
          <w:p>
            <w:pPr>
              <w:pStyle w:val="722"/>
              <w:pBdr/>
              <w:spacing/>
              <w:ind/>
              <w:jc w:val="left"/>
              <w:rPr/>
            </w:pPr>
            <w:r>
              <w:t xml:space="preserve">Sim</w:t>
            </w:r>
            <w:r/>
          </w:p>
        </w:tc>
        <w:tc>
          <w:tcPr>
            <w:tcBorders/>
          </w:tcPr>
          <w:p>
            <w:pPr>
              <w:pStyle w:val="722"/>
              <w:pBdr/>
              <w:spacing/>
              <w:ind/>
              <w:jc w:val="right"/>
              <w:rPr/>
            </w:pPr>
            <w:r>
              <w:t xml:space="preserve">14</w:t>
            </w:r>
            <w:r/>
          </w:p>
        </w:tc>
        <w:tc>
          <w:tcPr>
            <w:tcBorders/>
          </w:tcPr>
          <w:p>
            <w:pPr>
              <w:pStyle w:val="722"/>
              <w:pBdr/>
              <w:spacing/>
              <w:ind/>
              <w:jc w:val="right"/>
              <w:rPr/>
            </w:pPr>
            <w:r>
              <w:t xml:space="preserve">70</w:t>
            </w:r>
            <w:r/>
          </w:p>
        </w:tc>
      </w:tr>
      <w:tr>
        <w:trPr/>
        <w:tc>
          <w:tcPr>
            <w:tcBorders/>
          </w:tcPr>
          <w:p>
            <w:pPr>
              <w:pStyle w:val="722"/>
              <w:pBdr/>
              <w:spacing/>
              <w:ind/>
              <w:jc w:val="left"/>
              <w:rPr/>
            </w:pPr>
            <w:r>
              <w:t xml:space="preserve">Não</w:t>
            </w:r>
            <w:r/>
          </w:p>
        </w:tc>
        <w:tc>
          <w:tcPr>
            <w:tcBorders/>
          </w:tcPr>
          <w:p>
            <w:pPr>
              <w:pStyle w:val="722"/>
              <w:pBdr/>
              <w:spacing/>
              <w:ind/>
              <w:jc w:val="left"/>
              <w:rPr/>
            </w:pPr>
            <w:r>
              <w:t xml:space="preserve">Não se aplica</w:t>
            </w:r>
            <w:r/>
          </w:p>
        </w:tc>
        <w:tc>
          <w:tcPr>
            <w:tcBorders/>
          </w:tcPr>
          <w:p>
            <w:pPr>
              <w:pStyle w:val="722"/>
              <w:pBdr/>
              <w:spacing/>
              <w:ind/>
              <w:jc w:val="right"/>
              <w:rPr/>
            </w:pPr>
            <w:r>
              <w:t xml:space="preserve">4</w:t>
            </w:r>
            <w:r/>
          </w:p>
        </w:tc>
        <w:tc>
          <w:tcPr>
            <w:tcBorders/>
          </w:tcPr>
          <w:p>
            <w:pPr>
              <w:pStyle w:val="722"/>
              <w:pBdr/>
              <w:spacing/>
              <w:ind/>
              <w:jc w:val="right"/>
              <w:rPr/>
            </w:pPr>
            <w:r>
              <w:t xml:space="preserve">20</w:t>
            </w:r>
            <w:bookmarkEnd w:id="21"/>
            <w:r/>
          </w:p>
        </w:tc>
      </w:tr>
    </w:tbl>
    <w:p>
      <w:pPr>
        <w:pStyle w:val="708"/>
        <w:pBdr/>
        <w:spacing/>
        <w:ind/>
        <w:rPr/>
      </w:pPr>
      <w:r/>
      <w:bookmarkStart w:id="42" w:name="listagem"/>
      <w:r>
        <w:t xml:space="preserve">Listagem</w:t>
      </w:r>
      <w:r/>
    </w:p>
    <w:p>
      <w:pPr>
        <w:pStyle w:val="709"/>
        <w:pBdr/>
        <w:spacing/>
        <w:ind/>
        <w:rPr/>
      </w:pPr>
      <w:r/>
      <w:bookmarkStart w:id="22" w:name="auditoria-18885-constatação-nº-664863-4"/>
      <w:r>
        <w:t xml:space="preserve">Auditoria 18885, Constatação Nº 664863 (#4)</w:t>
      </w:r>
      <w:r/>
    </w:p>
    <w:p>
      <w:pPr>
        <w:pStyle w:val="721"/>
        <w:pBdr/>
        <w:spacing/>
        <w:ind/>
        <w:rPr/>
      </w:pPr>
      <w:r>
        <w:rPr>
          <w:b/>
          <w:bCs/>
        </w:rPr>
        <w:t xml:space="preserve">Finalidade</w:t>
      </w:r>
      <w:r>
        <w:t xml:space="preserve">: Auditar a SMS de Catanduva/SP, focando Contrato de Gestão n°. 01/2015, com OSCIP Mahatma Gandhi</w:t>
      </w:r>
      <w:r/>
    </w:p>
    <w:p>
      <w:pPr>
        <w:pStyle w:val="720"/>
        <w:pBdr/>
        <w:spacing/>
        <w:ind/>
        <w:rPr/>
      </w:pPr>
      <w:r>
        <w:rPr>
          <w:b/>
          <w:bCs/>
        </w:rPr>
        <w:t xml:space="preserve">Constatação</w:t>
      </w:r>
      <w:r>
        <w:t xml:space="preserve">: Foram liquidadas despesas sem a comprovação da execução dos serviços, objeto do Contrato de Gestão nº 01/2015, em desacordo com a legislação.</w:t>
      </w:r>
      <w:r/>
    </w:p>
    <w:p>
      <w:pPr>
        <w:pStyle w:val="720"/>
        <w:pBdr/>
        <w:spacing/>
        <w:ind/>
        <w:rPr/>
      </w:pPr>
      <w:r>
        <w:rPr>
          <w:b/>
          <w:bCs/>
        </w:rPr>
        <w:t xml:space="preserve">Recomendação</w:t>
      </w:r>
      <w:r>
        <w:t xml:space="preserve">: À Secretaria Municipal de Saúde, para adotar medidas com os responsáveis pelas irregularidades, que deram causa ao dano, identificados neste relatório para que</w:t>
      </w:r>
      <w:r>
        <w:t xml:space="preserve"> seja efetuado à devolução ao Fundo Nacional de Saúde, o valor de R$ 10.584.219,68 (dez milhões, quinhentos e oitenta e quatro mil, duzentos e dezenove reais e sessenta e oito centavos) atualizado monetariamente e com os acréscimos legais adotados por esse</w:t>
      </w:r>
      <w:r>
        <w:t xml:space="preserve"> ente federado conforme indicativo na Planilha de Devolução do Módulo do SisaudSUS parte integrante deste Relatório de Auditoria, de acordo com os princípios norteadores dos processos administrativos, contidos no Art. 2º da Lei Federal 9.784 de 29/01/1999.</w:t>
      </w:r>
      <w:r/>
    </w:p>
    <w:p>
      <w:pPr>
        <w:pStyle w:val="720"/>
        <w:pBdr/>
        <w:spacing/>
        <w:ind/>
        <w:rPr/>
      </w:pPr>
      <w:r>
        <w:rPr>
          <w:b/>
          <w:bCs/>
        </w:rPr>
        <w:t xml:space="preserve">Análise Codificação</w:t>
      </w:r>
      <w:r>
        <w:t xml:space="preserve">: Em relação ao foco, a recomendação propõe a devolução de valores indevidamente liquidados, o que constitui uma medida para corrigir a condição específic</w:t>
      </w:r>
      <w:r>
        <w:t xml:space="preserve">a de despesas liquidadas sem comprovação, mas não identifica ações para tratar a causa subjacente que permitiu essa irregularidade, como falhas em processos de controle ou fiscalização. Portanto, o foco é na condição imediata, não na causa. Como o critério</w:t>
      </w:r>
      <w:r>
        <w:t xml:space="preserve"> </w:t>
      </w:r>
      <w:r>
        <w:t xml:space="preserve">‘Foco Causa’</w:t>
      </w:r>
      <w:r>
        <w:t xml:space="preserve"> </w:t>
      </w:r>
      <w:r>
        <w:t xml:space="preserve">não é atendido, a análise de efeitos duradouros não se aplica.</w:t>
      </w:r>
      <w:r/>
    </w:p>
    <w:p>
      <w:pPr>
        <w:pStyle w:val="722"/>
        <w:numPr>
          <w:ilvl w:val="0"/>
          <w:numId w:val="3"/>
        </w:numPr>
        <w:pBdr/>
        <w:spacing/>
        <w:ind/>
        <w:rPr/>
      </w:pPr>
      <w:r>
        <w:t xml:space="preserve">Foco Causa: Não</w:t>
      </w:r>
      <w:r/>
    </w:p>
    <w:p>
      <w:pPr>
        <w:pStyle w:val="722"/>
        <w:numPr>
          <w:ilvl w:val="0"/>
          <w:numId w:val="3"/>
        </w:numPr>
        <w:pBdr/>
        <w:spacing/>
        <w:ind/>
        <w:rPr/>
      </w:pPr>
      <w:r>
        <w:t xml:space="preserve">Efeitos Duradouros: Não se Aplica</w:t>
      </w:r>
      <w:bookmarkEnd w:id="22"/>
      <w:r/>
    </w:p>
    <w:p>
      <w:pPr>
        <w:pStyle w:val="709"/>
        <w:pBdr/>
        <w:spacing/>
        <w:ind/>
        <w:rPr/>
      </w:pPr>
      <w:r/>
      <w:bookmarkStart w:id="23" w:name="auditoria-19001-constatação-nº-654964-1"/>
      <w:r>
        <w:t xml:space="preserve">Auditoria 19001, Constatação Nº 654964 (#1)</w:t>
      </w:r>
      <w:r/>
    </w:p>
    <w:p>
      <w:pPr>
        <w:pStyle w:val="721"/>
        <w:pBdr/>
        <w:spacing/>
        <w:ind/>
        <w:rPr/>
      </w:pPr>
      <w:r>
        <w:rPr>
          <w:b/>
          <w:bCs/>
        </w:rPr>
        <w:t xml:space="preserve">Finalidade</w:t>
      </w:r>
      <w:r>
        <w:t xml:space="preserve">: Verificar a correta aplicação do PMAQ-AB, pela SMS de Palmas/TO.</w:t>
      </w:r>
      <w:r/>
    </w:p>
    <w:p>
      <w:pPr>
        <w:pStyle w:val="720"/>
        <w:pBdr/>
        <w:spacing/>
        <w:ind/>
        <w:rPr/>
      </w:pPr>
      <w:r>
        <w:rPr>
          <w:b/>
          <w:bCs/>
        </w:rPr>
        <w:t xml:space="preserve">Constatação</w:t>
      </w:r>
      <w:r>
        <w:t xml:space="preserve">: A Secretaria Municipal de Saúde (SMS) de Palmas/TO realizou pagamento de gratificações do Programa Nacional de Melhoria do Acesso e da Qualidade da Atenção Básica (PMAQ-AB) sem a devida previsão legal.</w:t>
      </w:r>
      <w:r/>
    </w:p>
    <w:p>
      <w:pPr>
        <w:pStyle w:val="720"/>
        <w:pBdr/>
        <w:spacing/>
        <w:ind/>
        <w:rPr/>
      </w:pPr>
      <w:r>
        <w:rPr>
          <w:b/>
          <w:bCs/>
        </w:rPr>
        <w:t xml:space="preserve">Recomendação</w:t>
      </w:r>
      <w:r>
        <w:t xml:space="preserve">: Regulamentar por meio de lei toda e qualquer forma de remuneração dos servidores da secretaria municipal conforme prevê o inciso X, Artigo 37, Seção I, Capítulo VII da Constituição Federal de 1988.</w:t>
      </w:r>
      <w:r/>
    </w:p>
    <w:p>
      <w:pPr>
        <w:pStyle w:val="720"/>
        <w:pBdr/>
        <w:spacing/>
        <w:ind/>
        <w:rPr/>
      </w:pPr>
      <w:r>
        <w:rPr>
          <w:b/>
          <w:bCs/>
        </w:rPr>
        <w:t xml:space="preserve">Análise Codificação</w:t>
      </w:r>
      <w:r>
        <w:t xml:space="preserve">: Em relação ao foco, a recomendação propõe a regulamentação legal de todas as formas de remuneração dos servidores, o que visa tratar a causa do problema (ausência de previsão legal) ao estabelecer um marco normativo permanente. Já em re</w:t>
      </w:r>
      <w:r>
        <w:t xml:space="preserve">lação aos efeitos pretendidos pela recomendação, a regulamentação por lei cria uma estrutura duradoura que permanece independentemente de mudanças nos atores envolvidos, pois as leis municipais continuam válidas mesmo com a troca de gestores ou servidores.</w:t>
      </w:r>
      <w:r/>
    </w:p>
    <w:p>
      <w:pPr>
        <w:pStyle w:val="722"/>
        <w:numPr>
          <w:ilvl w:val="0"/>
          <w:numId w:val="4"/>
        </w:numPr>
        <w:pBdr/>
        <w:spacing/>
        <w:ind/>
        <w:rPr/>
      </w:pPr>
      <w:r>
        <w:t xml:space="preserve">Foco Causa: Sim</w:t>
      </w:r>
      <w:r/>
    </w:p>
    <w:p>
      <w:pPr>
        <w:pStyle w:val="722"/>
        <w:numPr>
          <w:ilvl w:val="0"/>
          <w:numId w:val="4"/>
        </w:numPr>
        <w:pBdr/>
        <w:spacing/>
        <w:ind/>
        <w:rPr/>
      </w:pPr>
      <w:r>
        <w:t xml:space="preserve">Efeitos Duradouros: Sim</w:t>
      </w:r>
      <w:bookmarkEnd w:id="23"/>
      <w:r/>
    </w:p>
    <w:p>
      <w:pPr>
        <w:pStyle w:val="709"/>
        <w:pBdr/>
        <w:spacing/>
        <w:ind/>
        <w:rPr/>
      </w:pPr>
      <w:r/>
      <w:bookmarkStart w:id="24" w:name="auditoria-19197-constatação-nº-658360-4"/>
      <w:r>
        <w:t xml:space="preserve">Auditoria 19197, Constatação Nº 658360 (#4)</w:t>
      </w:r>
      <w:r/>
    </w:p>
    <w:p>
      <w:pPr>
        <w:pStyle w:val="721"/>
        <w:pBdr/>
        <w:spacing/>
        <w:ind/>
        <w:rPr/>
      </w:pPr>
      <w:r>
        <w:rPr>
          <w:b/>
          <w:bCs/>
        </w:rPr>
        <w:t xml:space="preserve">Finalidade</w:t>
      </w:r>
      <w:r>
        <w:t xml:space="preserve">: Verificar a regularidade nos proc. de adesão às Atas de Registro de Preços p/ aq. de OPME pelo HFI</w:t>
      </w:r>
      <w:r/>
    </w:p>
    <w:p>
      <w:pPr>
        <w:pStyle w:val="720"/>
        <w:pBdr/>
        <w:spacing/>
        <w:ind/>
        <w:rPr/>
      </w:pPr>
      <w:r>
        <w:rPr>
          <w:b/>
          <w:bCs/>
        </w:rPr>
        <w:t xml:space="preserve">Constatação</w:t>
      </w:r>
      <w:r>
        <w:t xml:space="preserve">: Ausência de planejamento de aquisições de OPMEs na Unidade.</w:t>
      </w:r>
      <w:r/>
    </w:p>
    <w:p>
      <w:pPr>
        <w:pStyle w:val="720"/>
        <w:pBdr/>
        <w:spacing/>
        <w:ind/>
        <w:rPr/>
      </w:pPr>
      <w:r>
        <w:rPr>
          <w:b/>
          <w:bCs/>
        </w:rPr>
        <w:t xml:space="preserve">Recomendação</w:t>
      </w:r>
      <w:r>
        <w:t xml:space="preserve">: Elaborar o Plano de Contratações Anual de OPME, regulamentado pelo Decreto nº 10.947/2022, e planejar as futuras aquisições de OPME a partir desse plano, nos termos do art. 12, inciso VII c/c art. 18, da Lei nº 14.133/2021.</w:t>
      </w:r>
      <w:r/>
    </w:p>
    <w:p>
      <w:pPr>
        <w:pStyle w:val="720"/>
        <w:pBdr/>
        <w:spacing/>
        <w:ind/>
        <w:rPr/>
      </w:pPr>
      <w:r>
        <w:rPr>
          <w:b/>
          <w:bCs/>
        </w:rPr>
        <w:t xml:space="preserve">Análise Codificação</w:t>
      </w:r>
      <w:r>
        <w:t xml:space="preserve">: Em relação ao foco, a recomendação propõe a elaboração de um Plano de Contratações Anual de OPME, o que visa tratar a causa raiz da ausência de planejamento, estabelecendo um processo estruturado para futuras aquisiç</w:t>
      </w:r>
      <w:r>
        <w:t xml:space="preserve">ões. Já em relação aos efeitos pretendidos pela recomendação, a implementação de um plano formalizado cria um mecanismo institucional que permanece independentemente de mudanças nos atores envolvidos, garantindo continuidade no planejamento das aquisições.</w:t>
      </w:r>
      <w:r/>
    </w:p>
    <w:p>
      <w:pPr>
        <w:pStyle w:val="722"/>
        <w:numPr>
          <w:ilvl w:val="0"/>
          <w:numId w:val="5"/>
        </w:numPr>
        <w:pBdr/>
        <w:spacing/>
        <w:ind/>
        <w:rPr/>
      </w:pPr>
      <w:r>
        <w:t xml:space="preserve">Foco Causa: Sim</w:t>
      </w:r>
      <w:r/>
    </w:p>
    <w:p>
      <w:pPr>
        <w:pStyle w:val="722"/>
        <w:numPr>
          <w:ilvl w:val="0"/>
          <w:numId w:val="5"/>
        </w:numPr>
        <w:pBdr/>
        <w:spacing/>
        <w:ind/>
        <w:rPr/>
      </w:pPr>
      <w:r>
        <w:t xml:space="preserve">Efeitos Duradouros: Sim</w:t>
      </w:r>
      <w:bookmarkEnd w:id="24"/>
      <w:r/>
    </w:p>
    <w:p>
      <w:pPr>
        <w:pStyle w:val="709"/>
        <w:pBdr/>
        <w:spacing/>
        <w:ind/>
        <w:rPr/>
      </w:pPr>
      <w:r/>
      <w:bookmarkStart w:id="25" w:name="auditoria-19484-constatação-nº-682580-1"/>
      <w:r>
        <w:t xml:space="preserve">Auditoria 19484, Constatação Nº 682580 (#1)</w:t>
      </w:r>
      <w:r/>
    </w:p>
    <w:p>
      <w:pPr>
        <w:pStyle w:val="721"/>
        <w:pBdr/>
        <w:spacing/>
        <w:ind/>
        <w:rPr/>
      </w:pPr>
      <w:r>
        <w:rPr>
          <w:b/>
          <w:bCs/>
        </w:rPr>
        <w:t xml:space="preserve">Finalidade</w:t>
      </w:r>
      <w:r>
        <w:t xml:space="preserve">: Verificar regularidade execução contrato SMS Bom Jesus Itabapoana e o Hospital São Vicente de Paula</w:t>
      </w:r>
      <w:r/>
    </w:p>
    <w:p>
      <w:pPr>
        <w:pStyle w:val="720"/>
        <w:pBdr/>
        <w:spacing/>
        <w:ind/>
        <w:rPr/>
      </w:pPr>
      <w:r>
        <w:rPr>
          <w:b/>
          <w:bCs/>
        </w:rPr>
        <w:t xml:space="preserve">Constatação</w:t>
      </w:r>
      <w:r>
        <w:t xml:space="preserve">: A Secretaria Municipal de Saúde de Bom Jesus do Itabapoana/RJ não apresentou documentação que comprovasse a existência da Comissão de Acompanhamento da Contratualização com o Hospital São Vicente de Paulo.</w:t>
      </w:r>
      <w:r/>
    </w:p>
    <w:p>
      <w:pPr>
        <w:pStyle w:val="720"/>
        <w:pBdr/>
        <w:spacing/>
        <w:ind/>
        <w:rPr/>
      </w:pPr>
      <w:r>
        <w:rPr>
          <w:b/>
          <w:bCs/>
        </w:rPr>
        <w:t xml:space="preserve">Recomendação</w:t>
      </w:r>
      <w:r>
        <w:t xml:space="preserve">: Adotar medidas capazes de assegurar o cumprimen</w:t>
      </w:r>
      <w:r>
        <w:t xml:space="preserve">to do estabelecido no instrumento contratual e no art. 32, seção IV, Anexo XXIV do Anexo 2 da Portaria de Consolidação nº 2 de 03 de setembro de 2017, quanto à instituição, funcionamento e composição da Comissão de Acompanhamento da Contratualização. Não o</w:t>
      </w:r>
      <w:r>
        <w:t xml:space="preserve">bstante, assegurar com que sejam cumpridos os conteúdos dispostos na Lei Municipal n.º 1.453, de 11 de março de 2021, no que se refere à constituição e funcionamento do Núcleo de Controle Interno da Secretaria Municipal de Saúde previsto no §1° do art. 14.</w:t>
      </w:r>
      <w:r/>
    </w:p>
    <w:p>
      <w:pPr>
        <w:pStyle w:val="720"/>
        <w:pBdr/>
        <w:spacing/>
        <w:ind/>
        <w:rPr/>
      </w:pPr>
      <w:r>
        <w:rPr>
          <w:b/>
          <w:bCs/>
        </w:rPr>
        <w:t xml:space="preserve">Análise Codificação</w:t>
      </w:r>
      <w:r>
        <w:t xml:space="preserve">: A recomendação propõe a adoção de medidas para assegurar o cumprimento de normas específicas sobre a instituição, funcionamento e composição da Comissão de Acompanhamento da Contratualização, bem como do Núcleo de Controle Interno. Isso visa e</w:t>
      </w:r>
      <w:r>
        <w:t xml:space="preserve">stabelecer estruturas e processos permanentes para garantir a conformidade com os instrumentos contratuais e legais, tratando assim a causa subjacente da ausência de documentação comprobatória, que é a falta de implementação desses mecanismos de controle. </w:t>
      </w:r>
      <w:r>
        <w:t xml:space="preserve">Quanto aos efeitos duradouros, a implementação de comissões e núcleos com bases normativas cria estruturas organizacionais que devem persistir independentemente de mudanças nos atores envolvidos, pois estão institucionalizadas por meio de leis e portarias.</w:t>
      </w:r>
      <w:r/>
    </w:p>
    <w:p>
      <w:pPr>
        <w:pStyle w:val="722"/>
        <w:numPr>
          <w:ilvl w:val="0"/>
          <w:numId w:val="6"/>
        </w:numPr>
        <w:pBdr/>
        <w:spacing/>
        <w:ind/>
        <w:rPr/>
      </w:pPr>
      <w:r>
        <w:t xml:space="preserve">Foco Causa: Sim</w:t>
      </w:r>
      <w:r/>
    </w:p>
    <w:p>
      <w:pPr>
        <w:pStyle w:val="722"/>
        <w:numPr>
          <w:ilvl w:val="0"/>
          <w:numId w:val="6"/>
        </w:numPr>
        <w:pBdr/>
        <w:spacing/>
        <w:ind/>
        <w:rPr/>
      </w:pPr>
      <w:r>
        <w:t xml:space="preserve">Efeitos Duradouros: Sim</w:t>
      </w:r>
      <w:bookmarkEnd w:id="25"/>
      <w:r/>
    </w:p>
    <w:p>
      <w:pPr>
        <w:pStyle w:val="709"/>
        <w:pBdr/>
        <w:spacing/>
        <w:ind/>
        <w:rPr/>
      </w:pPr>
      <w:r/>
      <w:bookmarkStart w:id="26" w:name="auditoria-19484-constatação-nº-682951-1"/>
      <w:r>
        <w:t xml:space="preserve">Auditoria 19484, Constatação Nº 682951 (#1)</w:t>
      </w:r>
      <w:r/>
    </w:p>
    <w:p>
      <w:pPr>
        <w:pStyle w:val="721"/>
        <w:pBdr/>
        <w:spacing/>
        <w:ind/>
        <w:rPr/>
      </w:pPr>
      <w:r>
        <w:rPr>
          <w:b/>
          <w:bCs/>
        </w:rPr>
        <w:t xml:space="preserve">Finalidade</w:t>
      </w:r>
      <w:r>
        <w:t xml:space="preserve">: Verificar regularidade execução contrato SMS Bom Jesus Itabapoana e o Hospital São Vicente de Paula</w:t>
      </w:r>
      <w:r/>
    </w:p>
    <w:p>
      <w:pPr>
        <w:pStyle w:val="720"/>
        <w:pBdr/>
        <w:spacing/>
        <w:ind/>
        <w:rPr/>
      </w:pPr>
      <w:r>
        <w:rPr>
          <w:b/>
          <w:bCs/>
        </w:rPr>
        <w:t xml:space="preserve">Constatação</w:t>
      </w:r>
      <w:r>
        <w:t xml:space="preserve">: A Secretaria </w:t>
      </w:r>
      <w:r>
        <w:t xml:space="preserve">Municipal de Saúde de bom Jesus do Itabapoana/RJ não comprovou a existência de instrumentos para regulação de consultas ambulatoriais e procedimentos especializados ofertados pelo Hospital São Vicente de Paulo aos usuários do SUS no período de 2017 a 2019.</w:t>
      </w:r>
      <w:r/>
    </w:p>
    <w:p>
      <w:pPr>
        <w:pStyle w:val="720"/>
        <w:pBdr/>
        <w:spacing/>
        <w:ind/>
        <w:rPr/>
      </w:pPr>
      <w:r>
        <w:rPr>
          <w:b/>
          <w:bCs/>
        </w:rPr>
        <w:t xml:space="preserve">Recomendação</w:t>
      </w:r>
      <w:r>
        <w:t xml:space="preserve">: Adotar providências no sentido de que sejam estabelecidos sistemas e processos que assegurem o cumprimento da Portaria GM/MS de Consolidação n° 2, de 28/09/2017, no Anexo XXIV, Capítulo III, seção I, art. 8º</w:t>
      </w:r>
      <w:r>
        <w:t xml:space="preserve"> </w:t>
      </w:r>
      <w:r>
        <w:t xml:space="preserve">“A assistência hospitalar no S</w:t>
      </w:r>
      <w:r>
        <w:t xml:space="preserve">US será organizada a partir das necessidades da população, com a finalidade de garantir o atendimento aos usuários, baseado em equipe multiprofissional, na horizontalização do cuidado, na organização de linhas de cuidado e na regulação do acesso, art. 11.”</w:t>
      </w:r>
      <w:r>
        <w:t xml:space="preserve">O acesso </w:t>
      </w:r>
      <w:r>
        <w:t xml:space="preserve">à atenção hospitalar será realizado de forma regulada, a partir de demanda referenciada e/ou espontânea, assegurando a equidade e a transparência, com priorização por meio de critérios que avaliem riscos e vulnerabilidades.” e na seção VII no art. 37, § 3º</w:t>
      </w:r>
      <w:r>
        <w:t xml:space="preserve"> </w:t>
      </w:r>
      <w:r>
        <w:t xml:space="preserve">“Compete às Secretarias Municipais de Saúde e do Distrito Federal: (…) VII - esta</w:t>
      </w:r>
      <w:r>
        <w:t xml:space="preserve">belecer mecanismos de controle, regulação, monitoramento e avaliação das ações realizadas no âmbito hospitalar em seu território, através de indicadores de desempenho e qualidade, bem como o disposto no Anexo XXVI, especialmente em seu capítulo I, art. 4º”</w:t>
      </w:r>
      <w:r>
        <w:t xml:space="preserve">A Regulação da Atenção à Saúde efetivada pela contratação de serviços de saúde, controle e avaliação de serviços e da produção assistencial, regulação do acesso à assistência e auditoria assistencial…” e art. 5º</w:t>
      </w:r>
      <w:r>
        <w:t xml:space="preserve"> </w:t>
      </w:r>
      <w:r>
        <w:t xml:space="preserve">“A Regulação do Acesso à Assistência efetivada pela disponibilização da alternativa assistencial mais adequada à necessidade do cidadão por meio de atendimentos às urgências, consultas, leitos e outros que se fizerem necessários…”</w:t>
      </w:r>
      <w:r>
        <w:t xml:space="preserve">.</w:t>
      </w:r>
      <w:r/>
    </w:p>
    <w:p>
      <w:pPr>
        <w:pStyle w:val="720"/>
        <w:pBdr/>
        <w:spacing/>
        <w:ind/>
        <w:rPr/>
      </w:pPr>
      <w:r>
        <w:rPr>
          <w:b/>
          <w:bCs/>
        </w:rPr>
        <w:t xml:space="preserve">Análise Codificação</w:t>
      </w:r>
      <w:r>
        <w:t xml:space="preserve">: Em relação ao foco, a recomendação propõe a adoção de providências para estabelecer sistemas e processos que assegurem o cumprimento de normas específicas, o que visa tratar a</w:t>
      </w:r>
      <w:r>
        <w:t xml:space="preserve"> causa subjacente da falta de instrumentos de regulação, ao invés de apenas corrigir a condição imediata. Isso inclui a criação de mecanismos de controle e regulação, indicando uma abordagem preventiva e de longo prazo. Já em relação aos efeitos pretendido</w:t>
      </w:r>
      <w:r>
        <w:t xml:space="preserve">s pela recomendação, a implementação de sistemas e processos estruturados tende a gerar efeitos duradouros, pois estabelece uma base organizacional que pode persistir independentemente de mudanças nos atores envolvidos, como a rotatividade de funcionários.</w:t>
      </w:r>
      <w:r/>
    </w:p>
    <w:p>
      <w:pPr>
        <w:pStyle w:val="722"/>
        <w:numPr>
          <w:ilvl w:val="0"/>
          <w:numId w:val="7"/>
        </w:numPr>
        <w:pBdr/>
        <w:spacing/>
        <w:ind/>
        <w:rPr/>
      </w:pPr>
      <w:r>
        <w:t xml:space="preserve">Foco Causa: Sim</w:t>
      </w:r>
      <w:r/>
    </w:p>
    <w:p>
      <w:pPr>
        <w:pStyle w:val="722"/>
        <w:numPr>
          <w:ilvl w:val="0"/>
          <w:numId w:val="7"/>
        </w:numPr>
        <w:pBdr/>
        <w:spacing/>
        <w:ind/>
        <w:rPr/>
      </w:pPr>
      <w:r>
        <w:t xml:space="preserve">Efeitos Duradouros: Sim</w:t>
      </w:r>
      <w:bookmarkEnd w:id="26"/>
      <w:r/>
    </w:p>
    <w:p>
      <w:pPr>
        <w:pStyle w:val="709"/>
        <w:pBdr/>
        <w:spacing/>
        <w:ind/>
        <w:rPr/>
      </w:pPr>
      <w:r/>
      <w:bookmarkStart w:id="27" w:name="auditoria-19513-constatação-nº-671419-2"/>
      <w:r>
        <w:t xml:space="preserve">Auditoria 19513, Constatação Nº 671419 (#2)</w:t>
      </w:r>
      <w:r/>
    </w:p>
    <w:p>
      <w:pPr>
        <w:pStyle w:val="721"/>
        <w:pBdr/>
        <w:spacing/>
        <w:ind/>
        <w:rPr/>
      </w:pPr>
      <w:r>
        <w:rPr>
          <w:b/>
          <w:bCs/>
        </w:rPr>
        <w:t xml:space="preserve">Finalidade</w:t>
      </w:r>
      <w:r>
        <w:t xml:space="preserve">: Apurar a regularidade da produção inserida nos sistemas do SUS com incremento nos tetos PAB e MAC</w:t>
      </w:r>
      <w:r/>
    </w:p>
    <w:p>
      <w:pPr>
        <w:pStyle w:val="720"/>
        <w:pBdr/>
        <w:spacing/>
        <w:ind/>
        <w:rPr/>
      </w:pPr>
      <w:r>
        <w:rPr>
          <w:b/>
          <w:bCs/>
        </w:rPr>
        <w:t xml:space="preserve">Constatação</w:t>
      </w:r>
      <w:r>
        <w:t xml:space="preserve">: A Secretaria Municipal de Saúde de Poção de Pedras nos exercícios de 2020 e 2021 alimentou parcialmente a totalidade dos atendimentos realizados pelos profissionais enfermeiro, f</w:t>
      </w:r>
      <w:r>
        <w:t xml:space="preserve">isioterapeuta e nutricionista no Sistema de Informações Ambulatoriais - SIA/SUS para o procedimento Consulta de profissionais de nível superior na Atenção Especializada (exceto médico), Código 03.01.01.004-8, no Hospital Maternidade Agostinho Cruz Marques.</w:t>
      </w:r>
      <w:r/>
    </w:p>
    <w:p>
      <w:pPr>
        <w:pStyle w:val="720"/>
        <w:pBdr/>
        <w:spacing/>
        <w:ind/>
        <w:rPr/>
      </w:pPr>
      <w:r>
        <w:rPr>
          <w:b/>
          <w:bCs/>
        </w:rPr>
        <w:t xml:space="preserve">Recomendação</w:t>
      </w:r>
      <w:r>
        <w:t xml:space="preserve">: À Secretária Atenção Especializada à Saúde (SAES/MS) para c</w:t>
      </w:r>
      <w:r>
        <w:t xml:space="preserve">onhecimento da presente constatação e adoção dos procedimentos a seu cargo, conforme estabelecido no Art. 25, do Decreto n.º 11.358, de 1º de janeiro de 2023, objetivando melhor controle, monitoramento e avaliação das produções informadas pelos municípios.</w:t>
      </w:r>
      <w:r/>
    </w:p>
    <w:p>
      <w:pPr>
        <w:pStyle w:val="720"/>
        <w:pBdr/>
        <w:spacing/>
        <w:ind/>
        <w:rPr/>
      </w:pPr>
      <w:r>
        <w:rPr>
          <w:b/>
          <w:bCs/>
        </w:rPr>
        <w:t xml:space="preserve">Análise Codificação</w:t>
      </w:r>
      <w:r>
        <w:t xml:space="preserve">: A recomendação não propõe ações específicas para tratar a causa do problema (alimentação parcial dos atendimentos no sistema), limitando-se a solicitar conhe</w:t>
      </w:r>
      <w:r>
        <w:t xml:space="preserve">cimento da constatação e adoção de procedimentos genéricos de controle, monitoramento e avaliação. Não há menção a ações que ataquem diretamente as razões que levaram ao registro incompleto, como falhas de processo, capacitação ou recursos. Como o critério</w:t>
      </w:r>
      <w:r>
        <w:t xml:space="preserve"> </w:t>
      </w:r>
      <w:r>
        <w:t xml:space="preserve">‘Foco Causa’</w:t>
      </w:r>
      <w:r>
        <w:t xml:space="preserve"> </w:t>
      </w:r>
      <w:r>
        <w:t xml:space="preserve">não é atendido, o critério</w:t>
      </w:r>
      <w:r>
        <w:t xml:space="preserve"> </w:t>
      </w:r>
      <w:r>
        <w:t xml:space="preserve">‘Efeitos Duradouros’</w:t>
      </w:r>
      <w:r>
        <w:t xml:space="preserve"> </w:t>
      </w:r>
      <w:r>
        <w:t xml:space="preserve">não se aplica.</w:t>
      </w:r>
      <w:r/>
    </w:p>
    <w:p>
      <w:pPr>
        <w:pStyle w:val="722"/>
        <w:numPr>
          <w:ilvl w:val="0"/>
          <w:numId w:val="8"/>
        </w:numPr>
        <w:pBdr/>
        <w:spacing/>
        <w:ind/>
        <w:rPr/>
      </w:pPr>
      <w:r>
        <w:t xml:space="preserve">Foco Causa: Não</w:t>
      </w:r>
      <w:r/>
    </w:p>
    <w:p>
      <w:pPr>
        <w:pStyle w:val="722"/>
        <w:numPr>
          <w:ilvl w:val="0"/>
          <w:numId w:val="8"/>
        </w:numPr>
        <w:pBdr/>
        <w:spacing/>
        <w:ind/>
        <w:rPr/>
      </w:pPr>
      <w:r>
        <w:t xml:space="preserve">Efeitos Duradouros: Não se aplica</w:t>
      </w:r>
      <w:bookmarkEnd w:id="27"/>
      <w:r/>
    </w:p>
    <w:p>
      <w:pPr>
        <w:pStyle w:val="709"/>
        <w:pBdr/>
        <w:spacing/>
        <w:ind/>
        <w:rPr/>
      </w:pPr>
      <w:r/>
      <w:bookmarkStart w:id="28" w:name="auditoria-19535-constatação-nº-681951-1"/>
      <w:r>
        <w:t xml:space="preserve">Auditoria 19535, Constatação Nº 681951 (#1)</w:t>
      </w:r>
      <w:r/>
    </w:p>
    <w:p>
      <w:pPr>
        <w:pStyle w:val="721"/>
        <w:pBdr/>
        <w:spacing/>
        <w:ind/>
        <w:rPr/>
      </w:pPr>
      <w:r>
        <w:rPr>
          <w:b/>
          <w:bCs/>
        </w:rPr>
        <w:t xml:space="preserve">Finalidade</w:t>
      </w:r>
      <w:r>
        <w:t xml:space="preserve">: Verificar a regularidade da execução do Programa Farmácia Popular do Brasil/PFPB</w:t>
      </w:r>
      <w:r/>
    </w:p>
    <w:p>
      <w:pPr>
        <w:pStyle w:val="720"/>
        <w:pBdr/>
        <w:spacing/>
        <w:ind/>
        <w:rPr/>
      </w:pPr>
      <w:r>
        <w:rPr>
          <w:b/>
          <w:bCs/>
        </w:rPr>
        <w:t xml:space="preserve">Constatação</w:t>
      </w:r>
      <w:r>
        <w:t xml:space="preserve">: Não apresentação das cópias dos cupons vinculados e receitas médicas solicitadas.</w:t>
      </w:r>
      <w:r/>
    </w:p>
    <w:p>
      <w:pPr>
        <w:pStyle w:val="720"/>
        <w:pBdr/>
        <w:spacing/>
        <w:ind/>
        <w:rPr/>
      </w:pPr>
      <w:r>
        <w:rPr>
          <w:b/>
          <w:bCs/>
        </w:rPr>
        <w:t xml:space="preserve">Recomendação</w:t>
      </w:r>
      <w:r>
        <w:t xml:space="preserve">: Ao Departamento de Assistência Farmacêutica e Insumos Estratégicos/DAF/SCTIE/M</w:t>
      </w:r>
      <w:r>
        <w:t xml:space="preserve">S para conhecimento da presente constatação e adoção dos procedimentos a seu cargo, conforme estabelece o inciso IV do art. 17 do Decreto nº 9.795, de 21 de maio de 2019, combinado com o inciso VIII do art. 2º do Decreto nº 3.964, de 11 de outubro de 2001,</w:t>
      </w:r>
      <w:r>
        <w:t xml:space="preserve"> visando à elisão do dano e/ou impropriedade ocorrida com recursos de origem federal, indicado no Capítulo Proposição de Devolução, do presente relatório, com os devidos acréscimos legais, observados os princípios norteadores dos processos administrativos.</w:t>
      </w:r>
      <w:r/>
    </w:p>
    <w:p>
      <w:pPr>
        <w:pStyle w:val="720"/>
        <w:pBdr/>
        <w:spacing/>
        <w:ind/>
        <w:rPr/>
      </w:pPr>
      <w:r>
        <w:rPr>
          <w:b/>
          <w:bCs/>
        </w:rPr>
        <w:t xml:space="preserve">Análise Codificação</w:t>
      </w:r>
      <w:r>
        <w:t xml:space="preserve">: A recomendação não propõe ações específicas para tratar a causa da não apresentação dos cupons e receitas médicas, limitando-se a enc</w:t>
      </w:r>
      <w:r>
        <w:t xml:space="preserve">aminhar a constatação para conhecimento e adoção de procedimentos genéricos conforme dispositivos legais, sem indicar medidas concretas para prevenir a reincidência do problema. Portanto, não há ação proposta que trate da causa do problema. Como o critério</w:t>
      </w:r>
      <w:r>
        <w:t xml:space="preserve"> </w:t>
      </w:r>
      <w:r>
        <w:t xml:space="preserve">‘Foco Causa’</w:t>
      </w:r>
      <w:r>
        <w:t xml:space="preserve"> </w:t>
      </w:r>
      <w:r>
        <w:t xml:space="preserve">é</w:t>
      </w:r>
      <w:r>
        <w:t xml:space="preserve"> </w:t>
      </w:r>
      <w:r>
        <w:t xml:space="preserve">‘Não’</w:t>
      </w:r>
      <w:r>
        <w:t xml:space="preserve">, o critério</w:t>
      </w:r>
      <w:r>
        <w:t xml:space="preserve"> </w:t>
      </w:r>
      <w:r>
        <w:t xml:space="preserve">‘Efeitos Duradouros’</w:t>
      </w:r>
      <w:r>
        <w:t xml:space="preserve"> </w:t>
      </w:r>
      <w:r>
        <w:t xml:space="preserve">não se aplica.</w:t>
      </w:r>
      <w:r/>
    </w:p>
    <w:p>
      <w:pPr>
        <w:pStyle w:val="722"/>
        <w:numPr>
          <w:ilvl w:val="0"/>
          <w:numId w:val="9"/>
        </w:numPr>
        <w:pBdr/>
        <w:spacing/>
        <w:ind/>
        <w:rPr/>
      </w:pPr>
      <w:r>
        <w:t xml:space="preserve">Foco Causa: Não</w:t>
      </w:r>
      <w:r/>
    </w:p>
    <w:p>
      <w:pPr>
        <w:pStyle w:val="722"/>
        <w:numPr>
          <w:ilvl w:val="0"/>
          <w:numId w:val="9"/>
        </w:numPr>
        <w:pBdr/>
        <w:spacing/>
        <w:ind/>
        <w:rPr/>
      </w:pPr>
      <w:r>
        <w:t xml:space="preserve">Efeitos Duradouros: Não se aplica</w:t>
      </w:r>
      <w:bookmarkEnd w:id="28"/>
      <w:r/>
    </w:p>
    <w:p>
      <w:pPr>
        <w:pStyle w:val="709"/>
        <w:pBdr/>
        <w:spacing/>
        <w:ind/>
        <w:rPr/>
      </w:pPr>
      <w:r/>
      <w:bookmarkStart w:id="29" w:name="auditoria-19544-constatação-nº-676948-1"/>
      <w:r>
        <w:t xml:space="preserve">Auditoria 19544, Constatação Nº 676948 (#1)</w:t>
      </w:r>
      <w:r/>
    </w:p>
    <w:p>
      <w:pPr>
        <w:pStyle w:val="721"/>
        <w:pBdr/>
        <w:spacing/>
        <w:ind/>
        <w:rPr/>
      </w:pPr>
      <w:r>
        <w:rPr>
          <w:b/>
          <w:bCs/>
        </w:rPr>
        <w:t xml:space="preserve">Finalidade</w:t>
      </w:r>
      <w:r>
        <w:t xml:space="preserve">: Avaliar acuidade das informações prestada pelo Munic. de Feijó, ref. ao Prog. Previne Brasil. A.P</w:t>
      </w:r>
      <w:r/>
    </w:p>
    <w:p>
      <w:pPr>
        <w:pStyle w:val="720"/>
        <w:pBdr/>
        <w:spacing/>
        <w:ind/>
        <w:rPr/>
      </w:pPr>
      <w:r>
        <w:rPr>
          <w:b/>
          <w:bCs/>
        </w:rPr>
        <w:t xml:space="preserve">Constatação</w:t>
      </w:r>
      <w:r>
        <w:t xml:space="preserve">: Os dados do indicador 2, referentes à proporção de gestantes com realização de exames para sífilis e HIV, apresentados no SISAB, não são equivalentes aos registrados nos demais sistemas de registro dos procedimentos.</w:t>
      </w:r>
      <w:r/>
    </w:p>
    <w:p>
      <w:pPr>
        <w:pStyle w:val="720"/>
        <w:pBdr/>
        <w:spacing/>
        <w:ind/>
        <w:rPr/>
      </w:pPr>
      <w:r>
        <w:rPr>
          <w:b/>
          <w:bCs/>
        </w:rPr>
        <w:t xml:space="preserve">Recomendação</w:t>
      </w:r>
      <w:r>
        <w:t xml:space="preserve">: Alimentar, analisar e verificar a qualidade e a consistência dos dados inseridos nos sistemas nacionais de informação, em </w:t>
      </w:r>
      <w:r>
        <w:t xml:space="preserve">conformidade com o item 2.2.2.1 - Registro das Informações do Manual Instrutivo do Previne Brasil, 1ª ed., p. 37, 2021, concomitante com a PRC nº 02/2017, Anexo I do Anexo XXII, incisos X e XV, item 4, sobre Atribuições dos profissionais da Atenção Básica.</w:t>
      </w:r>
      <w:r/>
    </w:p>
    <w:p>
      <w:pPr>
        <w:pStyle w:val="720"/>
        <w:pBdr/>
        <w:spacing/>
        <w:ind/>
        <w:rPr/>
      </w:pPr>
      <w:r>
        <w:rPr>
          <w:b/>
          <w:bCs/>
        </w:rPr>
        <w:t xml:space="preserve">Análise Codificação</w:t>
      </w:r>
      <w:r>
        <w:t xml:space="preserve">: Em relação ao foco, a recomendação propõe ações como</w:t>
      </w:r>
      <w:r>
        <w:t xml:space="preserve"> </w:t>
      </w:r>
      <w:r>
        <w:t xml:space="preserve">‘alimentar, analisar e verificar a qualidade e a consistência dos dados’</w:t>
      </w:r>
      <w:r>
        <w:t xml:space="preserve">, que v</w:t>
      </w:r>
      <w:r>
        <w:t xml:space="preserve">isam tratar a causa subjacente da inconsistência dos dados, que é a falta de processos robustos de gestão da informação. Isso aborda a raiz do problema, não apenas a condição imediata de disparidade entre sistemas. Já em relação aos efeitos pretendidos pel</w:t>
      </w:r>
      <w:r>
        <w:t xml:space="preserve">a recomendação, as ações sugeridas, como a implementação de verificações de qualidade e conformidade com manuais, estabelecem procedimentos sistemáticos que devem persistir independentemente de mudanças nos atores envolvidos, promovendo efeitos duradouros.</w:t>
      </w:r>
      <w:r/>
    </w:p>
    <w:p>
      <w:pPr>
        <w:pStyle w:val="722"/>
        <w:numPr>
          <w:ilvl w:val="0"/>
          <w:numId w:val="10"/>
        </w:numPr>
        <w:pBdr/>
        <w:spacing/>
        <w:ind/>
        <w:rPr/>
      </w:pPr>
      <w:r>
        <w:t xml:space="preserve">Foco Causa: Sim</w:t>
      </w:r>
      <w:r/>
    </w:p>
    <w:p>
      <w:pPr>
        <w:pStyle w:val="722"/>
        <w:numPr>
          <w:ilvl w:val="0"/>
          <w:numId w:val="10"/>
        </w:numPr>
        <w:pBdr/>
        <w:spacing/>
        <w:ind/>
        <w:rPr/>
      </w:pPr>
      <w:r>
        <w:t xml:space="preserve">Efeitos Duradouros: Sim</w:t>
      </w:r>
      <w:bookmarkEnd w:id="29"/>
      <w:r/>
    </w:p>
    <w:p>
      <w:pPr>
        <w:pStyle w:val="709"/>
        <w:pBdr/>
        <w:spacing/>
        <w:ind/>
        <w:rPr/>
      </w:pPr>
      <w:r/>
      <w:bookmarkStart w:id="30" w:name="auditoria-19554-constatação-nº-673263-1"/>
      <w:r>
        <w:t xml:space="preserve">Auditoria 19554, Constatação Nº 673263 (#1)</w:t>
      </w:r>
      <w:r/>
    </w:p>
    <w:p>
      <w:pPr>
        <w:pStyle w:val="721"/>
        <w:pBdr/>
        <w:spacing/>
        <w:ind/>
        <w:rPr/>
      </w:pPr>
      <w:r>
        <w:rPr>
          <w:b/>
          <w:bCs/>
        </w:rPr>
        <w:t xml:space="preserve">Finalidade</w:t>
      </w:r>
      <w:r>
        <w:t xml:space="preserve">: Avaliar a atuação dos municípios através dos indicadores por desempenho do Programa Previne Brasil</w:t>
      </w:r>
      <w:r/>
    </w:p>
    <w:p>
      <w:pPr>
        <w:pStyle w:val="720"/>
        <w:pBdr/>
        <w:spacing/>
        <w:ind/>
        <w:rPr/>
      </w:pPr>
      <w:r>
        <w:rPr>
          <w:b/>
          <w:bCs/>
        </w:rPr>
        <w:t xml:space="preserve">Constatação</w:t>
      </w:r>
      <w:r>
        <w:t xml:space="preserve">: Os dados registrados no SISAB demonstram que o município não atingiu a meta de cobertura vacinal do Indicador 5, havendo ainda divergência em relação aos dados registrados no Sistema de Informação do Programa Nacional de Imunizações (SI-PNI).</w:t>
      </w:r>
      <w:r/>
    </w:p>
    <w:p>
      <w:pPr>
        <w:pStyle w:val="720"/>
        <w:pBdr/>
        <w:spacing/>
        <w:ind/>
        <w:rPr/>
      </w:pPr>
      <w:r>
        <w:rPr>
          <w:b/>
          <w:bCs/>
        </w:rPr>
        <w:t xml:space="preserve">Recomendação</w:t>
      </w:r>
      <w:r>
        <w:t xml:space="preserve">: A dot</w:t>
      </w:r>
      <w:r>
        <w:t xml:space="preserve">ar as recomendações para melhoria dos resultados do Indicador 5, estabelecidas no item 5 da Nota Técnica nº 22/2022-DESF/SAPS/MS, tais como: garantir que as vacinas que compõem o calendário vacinal sejam ofertadas cotidianamente nas unidades básicas de saú</w:t>
      </w:r>
      <w:r>
        <w:t xml:space="preserve">de e não restritas a ações focalizadas; elaborar protocolos locais que organizem a atenção, o rastreamento, a busca ativa de crianças com esquema vacinal incompleto e realização do acompanhamento dos faltosos (atraso no calendário vacinal) individualmente.</w:t>
      </w:r>
      <w:r/>
    </w:p>
    <w:p>
      <w:pPr>
        <w:pStyle w:val="720"/>
        <w:pBdr/>
        <w:spacing/>
        <w:ind/>
        <w:rPr/>
      </w:pPr>
      <w:r>
        <w:rPr>
          <w:b/>
          <w:bCs/>
        </w:rPr>
        <w:t xml:space="preserve">Análise Codificação</w:t>
      </w:r>
      <w:r>
        <w:t xml:space="preserve">: Em relação ao foco, a recomendação propõe a</w:t>
      </w:r>
      <w:r>
        <w:t xml:space="preserve">ções que tratam das causas do problema, como a oferta cotidiana de vacinas (em vez de ações focalizadas) e a elaboração de protocolos locais para organização da atenção, rastreamento e busca ativa de crianças com esquema vacinal incompleto, visando preveni</w:t>
      </w:r>
      <w:r>
        <w:t xml:space="preserve">r a reocorrência da baixa cobertura vacinal. Já em relação aos efeitos pretendidos, as ações sugeridas (como protocolos locais e oferta contínua) são estruturadas para permanecerem mesmo com mudanças nos atores envolvidos, pois institucionalizam processos.</w:t>
      </w:r>
      <w:r/>
    </w:p>
    <w:p>
      <w:pPr>
        <w:pStyle w:val="722"/>
        <w:numPr>
          <w:ilvl w:val="0"/>
          <w:numId w:val="11"/>
        </w:numPr>
        <w:pBdr/>
        <w:spacing/>
        <w:ind/>
        <w:rPr/>
      </w:pPr>
      <w:r>
        <w:t xml:space="preserve">Foco Causa: Sim</w:t>
      </w:r>
      <w:r/>
    </w:p>
    <w:p>
      <w:pPr>
        <w:pStyle w:val="722"/>
        <w:numPr>
          <w:ilvl w:val="0"/>
          <w:numId w:val="11"/>
        </w:numPr>
        <w:pBdr/>
        <w:spacing/>
        <w:ind/>
        <w:rPr/>
      </w:pPr>
      <w:r>
        <w:t xml:space="preserve">Efeitos Duradouros: Sim</w:t>
      </w:r>
      <w:bookmarkEnd w:id="30"/>
      <w:r/>
    </w:p>
    <w:p>
      <w:pPr>
        <w:pStyle w:val="709"/>
        <w:pBdr/>
        <w:spacing/>
        <w:ind/>
        <w:rPr/>
      </w:pPr>
      <w:r/>
      <w:bookmarkStart w:id="31" w:name="auditoria-19611-constatação-nº-674292-1"/>
      <w:r>
        <w:t xml:space="preserve">Auditoria 19611, Constatação Nº 674292 (#1)</w:t>
      </w:r>
      <w:r/>
    </w:p>
    <w:p>
      <w:pPr>
        <w:pStyle w:val="721"/>
        <w:pBdr/>
        <w:spacing/>
        <w:ind/>
        <w:rPr/>
      </w:pPr>
      <w:r>
        <w:rPr>
          <w:b/>
          <w:bCs/>
        </w:rPr>
        <w:t xml:space="preserve">Finalidade</w:t>
      </w:r>
      <w:r>
        <w:t xml:space="preserve">: Avaliar a execução dos convênios firmados com organizações sociais no âmbito da Saúde Indígena</w:t>
      </w:r>
      <w:r/>
    </w:p>
    <w:p>
      <w:pPr>
        <w:pStyle w:val="720"/>
        <w:pBdr/>
        <w:spacing/>
        <w:ind/>
        <w:rPr/>
      </w:pPr>
      <w:r>
        <w:rPr>
          <w:b/>
          <w:bCs/>
        </w:rPr>
        <w:t xml:space="preserve">Constatação</w:t>
      </w:r>
      <w:r>
        <w:t xml:space="preserve">: Ausência de comprovação da capacidade técnica e operacional do Instituto Ovídio Machado (IOM) para realização do objeto e das atividades previstas no Convênio nº 878454/2018 - DSEI Tocantins.</w:t>
      </w:r>
      <w:r/>
    </w:p>
    <w:p>
      <w:pPr>
        <w:pStyle w:val="720"/>
        <w:pBdr/>
        <w:spacing/>
        <w:ind/>
        <w:rPr/>
      </w:pPr>
      <w:r>
        <w:rPr>
          <w:b/>
          <w:bCs/>
        </w:rPr>
        <w:t xml:space="preserve">Recomendação</w:t>
      </w:r>
      <w:r>
        <w:t xml:space="preserve">: Adotar providências no sentido de estabelecer critérios de avaliação objetivos para a demonstração da capacidade gerencial, técnica e operacional das proponentes como requisito obrigatório nos hamamentos públicos para a seleção de ent</w:t>
      </w:r>
      <w:r>
        <w:t xml:space="preserve">idades sem fins lucrativos que prestam serviços complementares de atenção à saúde indígena. Observando não somente a composição do corpo profissional da entidade, mas também a comprovação da existência de instalações adequadas para atendimento ao convênio.</w:t>
      </w:r>
      <w:r/>
    </w:p>
    <w:p>
      <w:pPr>
        <w:pStyle w:val="720"/>
        <w:pBdr/>
        <w:spacing/>
        <w:ind/>
        <w:rPr/>
      </w:pPr>
      <w:r>
        <w:rPr>
          <w:b/>
          <w:bCs/>
        </w:rPr>
        <w:t xml:space="preserve">Análise Codificação</w:t>
      </w:r>
      <w:r>
        <w:t xml:space="preserve">: Em relação ao foco, a recomendação propõe a criação de critérios objetivos para avaliar a capacidade técnica e operacional das proponentes, o que visa prevenir a ocorrência futura de problemas semelhantes, tratando assim a causa raiz da aus</w:t>
      </w:r>
      <w:r>
        <w:t xml:space="preserve">ência de comprovação. Já em relação aos efeitos duradouros, a implementação de critérios padronizados e obrigatórios nos editais públicos tende a persistir independentemente de mudanças nos atores envolvidos, pois se baseia em procedimentos institucionais.</w:t>
      </w:r>
      <w:r/>
    </w:p>
    <w:p>
      <w:pPr>
        <w:pStyle w:val="722"/>
        <w:numPr>
          <w:ilvl w:val="0"/>
          <w:numId w:val="12"/>
        </w:numPr>
        <w:pBdr/>
        <w:spacing/>
        <w:ind/>
        <w:rPr/>
      </w:pPr>
      <w:r>
        <w:t xml:space="preserve">Foco Causa: Sim</w:t>
      </w:r>
      <w:r/>
    </w:p>
    <w:p>
      <w:pPr>
        <w:pStyle w:val="722"/>
        <w:numPr>
          <w:ilvl w:val="0"/>
          <w:numId w:val="12"/>
        </w:numPr>
        <w:pBdr/>
        <w:spacing/>
        <w:ind/>
        <w:rPr/>
      </w:pPr>
      <w:r>
        <w:t xml:space="preserve">Efeitos Duradouros: Sim</w:t>
      </w:r>
      <w:bookmarkEnd w:id="31"/>
      <w:r/>
    </w:p>
    <w:p>
      <w:pPr>
        <w:pStyle w:val="709"/>
        <w:pBdr/>
        <w:spacing/>
        <w:ind/>
        <w:rPr/>
      </w:pPr>
      <w:r/>
      <w:bookmarkStart w:id="32" w:name="auditoria-19614-constatação-nº-676574-1"/>
      <w:r>
        <w:t xml:space="preserve">Auditoria 19614, Constatação Nº 676574 (#1)</w:t>
      </w:r>
      <w:r/>
    </w:p>
    <w:p>
      <w:pPr>
        <w:pStyle w:val="721"/>
        <w:pBdr/>
        <w:spacing/>
        <w:ind/>
        <w:rPr/>
      </w:pPr>
      <w:r>
        <w:rPr>
          <w:b/>
          <w:bCs/>
        </w:rPr>
        <w:t xml:space="preserve">Finalidade</w:t>
      </w:r>
      <w:r>
        <w:t xml:space="preserve">: Avaliar a execução dos convênios firmados com organizações sociais no âmbito da Saúde Indígena</w:t>
      </w:r>
      <w:r/>
    </w:p>
    <w:p>
      <w:pPr>
        <w:pStyle w:val="720"/>
        <w:pBdr/>
        <w:spacing/>
        <w:ind/>
        <w:rPr/>
      </w:pPr>
      <w:r>
        <w:rPr>
          <w:b/>
          <w:bCs/>
        </w:rPr>
        <w:t xml:space="preserve">Constatação</w:t>
      </w:r>
      <w:r>
        <w:t xml:space="preserve">: Existência de profissionais da área de saúde não inscritos no Cadastro Nacional de Estabelecimentos de Saúde (CNES).</w:t>
      </w:r>
      <w:r/>
    </w:p>
    <w:p>
      <w:pPr>
        <w:pStyle w:val="720"/>
        <w:pBdr/>
        <w:spacing/>
        <w:ind/>
        <w:rPr/>
      </w:pPr>
      <w:r>
        <w:rPr>
          <w:b/>
          <w:bCs/>
        </w:rPr>
        <w:t xml:space="preserve">Recomendação</w:t>
      </w:r>
      <w:r>
        <w:t xml:space="preserve">: Notificar a convenente a v</w:t>
      </w:r>
      <w:r>
        <w:t xml:space="preserve">erificar os registros no CNES mencionados nesta constatação, bem como orientar o DSEI e a convenente a manterem atualizadas as informações no CNES de forma periódica, conforme os arts. 131, 154, 294, 358, 359 e 361 da Portaria de Consolidação nº 1/MS/2017.</w:t>
      </w:r>
      <w:r/>
    </w:p>
    <w:p>
      <w:pPr>
        <w:pStyle w:val="720"/>
        <w:pBdr/>
        <w:spacing/>
        <w:ind/>
        <w:rPr/>
      </w:pPr>
      <w:r>
        <w:rPr>
          <w:b/>
          <w:bCs/>
        </w:rPr>
        <w:t xml:space="preserve">Análise Codificação</w:t>
      </w:r>
      <w:r>
        <w:t xml:space="preserve">: Em relação ao foco, a recomendação propõe duas ações: uma notificação para verificar registros no CNES (foco na condição, para corrigir a situação atual de pr</w:t>
      </w:r>
      <w:r>
        <w:t xml:space="preserve">ofissionais não inscritos) e a orientação para manter atualizadas as informações no CNES de forma periódica (foco na causa, pois visa prevenir a reocorrência do problema através de uma ação contínua). Como há pelo menos uma ação focada na causa, o critério</w:t>
      </w:r>
      <w:r>
        <w:t xml:space="preserve"> </w:t>
      </w:r>
      <w:r>
        <w:t xml:space="preserve">‘Foco Causa’</w:t>
      </w:r>
      <w:r>
        <w:t xml:space="preserve"> </w:t>
      </w:r>
      <w:r>
        <w:t xml:space="preserve">é atendido. Já em relação aos efeitos duradouros, a</w:t>
      </w:r>
      <w:r>
        <w:t xml:space="preserve"> ação de manter atualizações periódicas no CNES estabelece um processo sistemático que independe de atores específicos, pois a periodicidade assegura que as informações permaneçam atualizadas mesmo com mudanças de pessoal, resultando em efeitos duradouros.</w:t>
      </w:r>
      <w:r/>
    </w:p>
    <w:p>
      <w:pPr>
        <w:pStyle w:val="722"/>
        <w:numPr>
          <w:ilvl w:val="0"/>
          <w:numId w:val="13"/>
        </w:numPr>
        <w:pBdr/>
        <w:spacing/>
        <w:ind/>
        <w:rPr/>
      </w:pPr>
      <w:r>
        <w:t xml:space="preserve">Foco Causa: Sim</w:t>
      </w:r>
      <w:r/>
    </w:p>
    <w:p>
      <w:pPr>
        <w:pStyle w:val="722"/>
        <w:numPr>
          <w:ilvl w:val="0"/>
          <w:numId w:val="13"/>
        </w:numPr>
        <w:pBdr/>
        <w:spacing/>
        <w:ind/>
        <w:rPr/>
      </w:pPr>
      <w:r>
        <w:t xml:space="preserve">Efeitos Duradouros: Sim</w:t>
      </w:r>
      <w:bookmarkEnd w:id="32"/>
      <w:r/>
    </w:p>
    <w:p>
      <w:pPr>
        <w:pStyle w:val="709"/>
        <w:pBdr/>
        <w:spacing/>
        <w:ind/>
        <w:rPr/>
      </w:pPr>
      <w:r/>
      <w:bookmarkStart w:id="33" w:name="auditoria-19615-constatação-nº-675097-2"/>
      <w:r>
        <w:t xml:space="preserve">Auditoria 19615, Constatação Nº 675097 (#2)</w:t>
      </w:r>
      <w:r/>
    </w:p>
    <w:p>
      <w:pPr>
        <w:pStyle w:val="721"/>
        <w:pBdr/>
        <w:spacing/>
        <w:ind/>
        <w:rPr/>
      </w:pPr>
      <w:r>
        <w:rPr>
          <w:b/>
          <w:bCs/>
        </w:rPr>
        <w:t xml:space="preserve">Finalidade</w:t>
      </w:r>
      <w:r>
        <w:t xml:space="preserve">: Avaliar a execução dos convênios firmados com organizações sociais no âmbito da Saúde Indígena</w:t>
      </w:r>
      <w:r/>
    </w:p>
    <w:p>
      <w:pPr>
        <w:pStyle w:val="720"/>
        <w:pBdr/>
        <w:spacing/>
        <w:ind/>
        <w:rPr/>
      </w:pPr>
      <w:r>
        <w:rPr>
          <w:b/>
          <w:bCs/>
        </w:rPr>
        <w:t xml:space="preserve">Constatação</w:t>
      </w:r>
      <w:r>
        <w:t xml:space="preserve">: Impropriedades relacionadas aos documentos de suporte aos relatórios mensais de acompanhamento dos Eixos de Saneamento Ambiental e Edificações de Saúde Indígena.</w:t>
      </w:r>
      <w:r/>
    </w:p>
    <w:p>
      <w:pPr>
        <w:pStyle w:val="720"/>
        <w:pBdr/>
        <w:spacing/>
        <w:ind/>
        <w:rPr/>
      </w:pPr>
      <w:r>
        <w:rPr>
          <w:b/>
          <w:bCs/>
        </w:rPr>
        <w:t xml:space="preserve">Recomendação</w:t>
      </w:r>
      <w:r>
        <w:t xml:space="preserve">: Determina</w:t>
      </w:r>
      <w:r>
        <w:t xml:space="preserve">r ao DSEI realizar a conferência da documentação comprobatória/complementar inserida no Transferegov a fim de evitar manutenção de informações incorretas no sistema, cumprindo o exposto no inciso IV, art. 11, da Portaria de Consolidação nº 1 SESAI/MS/2020.</w:t>
      </w:r>
      <w:r/>
    </w:p>
    <w:p>
      <w:pPr>
        <w:pStyle w:val="720"/>
        <w:pBdr/>
        <w:spacing/>
        <w:ind/>
        <w:rPr/>
      </w:pPr>
      <w:r>
        <w:rPr>
          <w:b/>
          <w:bCs/>
        </w:rPr>
        <w:t xml:space="preserve">Análise Codificação</w:t>
      </w:r>
      <w:r>
        <w:t xml:space="preserve">: Em relação ao foco, a recomendação propõe que o DSEI realize a conferência da documentação comprobatória/complementar no Transferegov para evitar a manutenção de informações incorretas no sistema. Esta ação visa prevenir a reocorrência do problema (i</w:t>
      </w:r>
      <w:r>
        <w:t xml:space="preserve">nformações incorretas) ao estabelecer um processo de verificação contínua, tratando assim a causa (falta de verificação adequada da documentação) e não apenas corrigindo a condição atual. Já em relação aos efeitos pretendidos pela recomendação, a implement</w:t>
      </w:r>
      <w:r>
        <w:t xml:space="preserve">ação de um processo de conferência sistemática da documentação tende a criar um mecanismo que permanece efetivo mesmo com mudanças nos atores envolvidos, pois se baseia em procedimentos formais e não em ações pontuais dependentes de indivíduos específicos.</w:t>
      </w:r>
      <w:r/>
    </w:p>
    <w:p>
      <w:pPr>
        <w:pStyle w:val="722"/>
        <w:numPr>
          <w:ilvl w:val="0"/>
          <w:numId w:val="14"/>
        </w:numPr>
        <w:pBdr/>
        <w:spacing/>
        <w:ind/>
        <w:rPr/>
      </w:pPr>
      <w:r>
        <w:t xml:space="preserve">Foco Causa: Sim</w:t>
      </w:r>
      <w:r/>
    </w:p>
    <w:p>
      <w:pPr>
        <w:pStyle w:val="722"/>
        <w:numPr>
          <w:ilvl w:val="0"/>
          <w:numId w:val="14"/>
        </w:numPr>
        <w:pBdr/>
        <w:spacing/>
        <w:ind/>
        <w:rPr/>
      </w:pPr>
      <w:r>
        <w:t xml:space="preserve">Efeitos Duradouros: Sim</w:t>
      </w:r>
      <w:bookmarkEnd w:id="33"/>
      <w:r/>
    </w:p>
    <w:p>
      <w:pPr>
        <w:pStyle w:val="709"/>
        <w:pBdr/>
        <w:spacing/>
        <w:ind/>
        <w:rPr/>
      </w:pPr>
      <w:r/>
      <w:bookmarkStart w:id="34" w:name="auditoria-19628-constatação-nº-685444-2"/>
      <w:r>
        <w:t xml:space="preserve">Auditoria 19628, Constatação Nº 685444 (#2)</w:t>
      </w:r>
      <w:r/>
    </w:p>
    <w:p>
      <w:pPr>
        <w:pStyle w:val="721"/>
        <w:pBdr/>
        <w:spacing/>
        <w:ind/>
        <w:rPr/>
      </w:pPr>
      <w:r>
        <w:rPr>
          <w:b/>
          <w:bCs/>
        </w:rPr>
        <w:t xml:space="preserve">Finalidade</w:t>
      </w:r>
      <w:r>
        <w:t xml:space="preserve">: Verificar regularidade de recebimento, armazenamento, saída, dispensação e utilização das OPME</w:t>
      </w:r>
      <w:r/>
    </w:p>
    <w:p>
      <w:pPr>
        <w:pStyle w:val="720"/>
        <w:pBdr/>
        <w:spacing/>
        <w:ind/>
        <w:rPr/>
      </w:pPr>
      <w:r>
        <w:rPr>
          <w:b/>
          <w:bCs/>
        </w:rPr>
        <w:t xml:space="preserve">Constatação</w:t>
      </w:r>
      <w:r>
        <w:t xml:space="preserve">: O Hospital Federal de Bonsucesso (HFB) não comprovou a destinação de 7 OPME Cardiovasculares.</w:t>
      </w:r>
      <w:r/>
    </w:p>
    <w:p>
      <w:pPr>
        <w:pStyle w:val="720"/>
        <w:pBdr/>
        <w:spacing/>
        <w:ind/>
        <w:rPr/>
      </w:pPr>
      <w:r>
        <w:rPr>
          <w:b/>
          <w:bCs/>
        </w:rPr>
        <w:t xml:space="preserve">Recomendação</w:t>
      </w:r>
      <w:r>
        <w:t xml:space="preserve">: Estabelecer medidas capazes de assegurar a rastreabilidade das OPME, conforme disposto no item 6.4 - Rastreabilidade do Manual de Boas Práticas em Órtese, Próteses e Materiais Especiais do Ministério da Saúde - Ministério da Saúde, 2016.</w:t>
      </w:r>
      <w:r/>
    </w:p>
    <w:p>
      <w:pPr>
        <w:pStyle w:val="720"/>
        <w:pBdr/>
        <w:spacing/>
        <w:ind/>
        <w:rPr/>
      </w:pPr>
      <w:r>
        <w:rPr>
          <w:b/>
          <w:bCs/>
        </w:rPr>
        <w:t xml:space="preserve">Análise Codificação</w:t>
      </w:r>
      <w:r>
        <w:t xml:space="preserve">: A recomendação propõe a implem</w:t>
      </w:r>
      <w:r>
        <w:t xml:space="preserve">entação de medidas para assegurar a rastreabilidade das OPME, o que visa abordar a causa subjacente da falta de comprovação de destinação, como possíveis falhas nos processos de registro e monitoramento. Isso sugere um foco na causa, pois busca prevenir a </w:t>
      </w:r>
      <w:r>
        <w:t xml:space="preserve">recorrência do problema. Quanto aos efeitos duradouros, a implementação de um sistema de rastreabilidade, baseado em diretrizes estabelecidas, tende a criar estruturas permanentes que mantêm sua eficácia independentemente de mudanças nos atores envolvidos.</w:t>
      </w:r>
      <w:r/>
    </w:p>
    <w:p>
      <w:pPr>
        <w:pStyle w:val="722"/>
        <w:numPr>
          <w:ilvl w:val="0"/>
          <w:numId w:val="15"/>
        </w:numPr>
        <w:pBdr/>
        <w:spacing/>
        <w:ind/>
        <w:rPr/>
      </w:pPr>
      <w:r>
        <w:t xml:space="preserve">Foco Causa: Sim</w:t>
      </w:r>
      <w:r/>
    </w:p>
    <w:p>
      <w:pPr>
        <w:pStyle w:val="722"/>
        <w:numPr>
          <w:ilvl w:val="0"/>
          <w:numId w:val="15"/>
        </w:numPr>
        <w:pBdr/>
        <w:spacing/>
        <w:ind/>
        <w:rPr/>
      </w:pPr>
      <w:r>
        <w:t xml:space="preserve">Efeitos Duradouros: Sim</w:t>
      </w:r>
      <w:bookmarkEnd w:id="34"/>
      <w:r/>
    </w:p>
    <w:p>
      <w:pPr>
        <w:pStyle w:val="709"/>
        <w:pBdr/>
        <w:spacing/>
        <w:ind/>
        <w:rPr/>
      </w:pPr>
      <w:r/>
      <w:bookmarkStart w:id="35" w:name="auditoria-19671-constatação-nº-688498-1"/>
      <w:r>
        <w:t xml:space="preserve">Auditoria 19671, Constatação Nº 688498 (#1)</w:t>
      </w:r>
      <w:r/>
    </w:p>
    <w:p>
      <w:pPr>
        <w:pStyle w:val="721"/>
        <w:pBdr/>
        <w:spacing/>
        <w:ind/>
        <w:rPr/>
      </w:pPr>
      <w:r>
        <w:rPr>
          <w:b/>
          <w:bCs/>
        </w:rPr>
        <w:t xml:space="preserve">Finalidade</w:t>
      </w:r>
      <w:r>
        <w:t xml:space="preserve">: Verificar a Política Nacional de Atenção ao Portador de Doença Renal Crônica em tratamento dialítico</w:t>
      </w:r>
      <w:r/>
    </w:p>
    <w:p>
      <w:pPr>
        <w:pStyle w:val="720"/>
        <w:pBdr/>
        <w:spacing/>
        <w:ind/>
        <w:rPr/>
      </w:pPr>
      <w:r>
        <w:rPr>
          <w:b/>
          <w:bCs/>
        </w:rPr>
        <w:t xml:space="preserve">Constatação</w:t>
      </w:r>
      <w:r>
        <w:t xml:space="preserve">: Não constam, nos instrumentos de planejamento do Município de Itabaiana/SE, informações sobre a organização e a estruturação da rede para atendimento integral ao portador Doença Renal Crônica (DRC).</w:t>
      </w:r>
      <w:r/>
    </w:p>
    <w:p>
      <w:pPr>
        <w:pStyle w:val="720"/>
        <w:pBdr/>
        <w:spacing/>
        <w:ind/>
        <w:rPr/>
      </w:pPr>
      <w:r>
        <w:rPr>
          <w:b/>
          <w:bCs/>
        </w:rPr>
        <w:t xml:space="preserve">Recomendação</w:t>
      </w:r>
      <w:r>
        <w:t xml:space="preserve">: Incluir informações sobre a organização e estruturação da rede para atendimento integral ao portador d</w:t>
      </w:r>
      <w:r>
        <w:t xml:space="preserve">e DRC nos instrumentos de planejamento de saúde do Município, como também, constituir e incluir o Plano de Prevenção e Tratamento das Doenças Renais no Plano Municipal de Saúde, com o propósito de organizar e estruturar a rede para atendimento integral ao </w:t>
      </w:r>
      <w:r>
        <w:t xml:space="preserve">portador de DRC conforme o artigo 2º (A Política Nacional de Atenção ao Portador de Doença Renal será organizada de forma articulada entre o Ministério da Saúde, as Secretarias de Estado da Saúde e as Secretarias Municipais de Saúde) e Inciso IV do art. 3º</w:t>
      </w:r>
      <w:r>
        <w:t xml:space="preserve">, Anexo XXXIII da Portaria de Consolidação GM/MS de nº 02, de 28/9/2017, que trata da inclusão do plano de Prevenção e Tratamento das Doenças Renais nos Planos Municipais de Saúde e nos Planos de Desenvolvimento Regionais dos Estados e do Distrito Federal.</w:t>
      </w:r>
      <w:r/>
    </w:p>
    <w:p>
      <w:pPr>
        <w:pStyle w:val="720"/>
        <w:pBdr/>
        <w:spacing/>
        <w:ind/>
        <w:rPr/>
      </w:pPr>
      <w:r>
        <w:rPr>
          <w:b/>
          <w:bCs/>
        </w:rPr>
        <w:t xml:space="preserve">Análise Codificação</w:t>
      </w:r>
      <w:r>
        <w:t xml:space="preserve">: Em relação ao foco, a </w:t>
      </w:r>
      <w:r>
        <w:t xml:space="preserve">recomendação propõe a inclusão de informações sobre a organização e estruturação da rede de atendimento ao portador de DRC nos instrumentos de planejamento municipal e a constituição do Plano de Prevenção e Tratamento das Doenças Renais no Plano Municipal </w:t>
      </w:r>
      <w:r>
        <w:t xml:space="preserve">de Saúde. Essas ações visam tratar a causa do problema, que é a ausência de planejamento e estruturação formal da rede, promovendo uma solução de longo prazo para evitar a reincidência da condição observada. Já em relação aos efeitos pretendidos pela recom</w:t>
      </w:r>
      <w:r>
        <w:t xml:space="preserve">endação, a implementação de instrumentos formais de planejamento e a inclusão do plano específico nos documentos municipais criam estruturas permanentes que devem persistir independentemente de mudanças nos atores envolvidos, garantindo efeitos duradouros.</w:t>
      </w:r>
      <w:r/>
    </w:p>
    <w:p>
      <w:pPr>
        <w:pStyle w:val="722"/>
        <w:numPr>
          <w:ilvl w:val="0"/>
          <w:numId w:val="16"/>
        </w:numPr>
        <w:pBdr/>
        <w:spacing/>
        <w:ind/>
        <w:rPr/>
      </w:pPr>
      <w:r>
        <w:t xml:space="preserve">Foco Causa: Sim</w:t>
      </w:r>
      <w:r/>
    </w:p>
    <w:p>
      <w:pPr>
        <w:pStyle w:val="722"/>
        <w:numPr>
          <w:ilvl w:val="0"/>
          <w:numId w:val="16"/>
        </w:numPr>
        <w:pBdr/>
        <w:spacing/>
        <w:ind/>
        <w:rPr/>
      </w:pPr>
      <w:r>
        <w:t xml:space="preserve">Efeitos Duradouros: Sim</w:t>
      </w:r>
      <w:bookmarkEnd w:id="35"/>
      <w:r/>
    </w:p>
    <w:p>
      <w:pPr>
        <w:pStyle w:val="709"/>
        <w:pBdr/>
        <w:spacing/>
        <w:ind/>
        <w:rPr/>
      </w:pPr>
      <w:r/>
      <w:bookmarkStart w:id="36" w:name="auditoria-19679-constatação-nº-685257-3"/>
      <w:r>
        <w:t xml:space="preserve">Auditoria 19679, Constatação Nº 685257 (#3)</w:t>
      </w:r>
      <w:r/>
    </w:p>
    <w:p>
      <w:pPr>
        <w:pStyle w:val="721"/>
        <w:pBdr/>
        <w:spacing/>
        <w:ind/>
        <w:rPr/>
      </w:pPr>
      <w:r>
        <w:rPr>
          <w:b/>
          <w:bCs/>
        </w:rPr>
        <w:t xml:space="preserve">Finalidade</w:t>
      </w:r>
      <w:r>
        <w:t xml:space="preserve">: Realizar auditoria no Convênio 882492/2019 com a Associação Paulista Desenvolvimento da Medicina</w:t>
      </w:r>
      <w:r/>
    </w:p>
    <w:p>
      <w:pPr>
        <w:pStyle w:val="720"/>
        <w:pBdr/>
        <w:spacing/>
        <w:ind/>
        <w:rPr/>
      </w:pPr>
      <w:r>
        <w:rPr>
          <w:b/>
          <w:bCs/>
        </w:rPr>
        <w:t xml:space="preserve">Constatação</w:t>
      </w:r>
      <w:r>
        <w:t xml:space="preserve">: Irregularidade no processo de licitação nº 0122/2019 para locação de imóvel no município de Redenção/PA.</w:t>
      </w:r>
      <w:r/>
    </w:p>
    <w:p>
      <w:pPr>
        <w:pStyle w:val="720"/>
        <w:pBdr/>
        <w:spacing/>
        <w:ind/>
        <w:rPr/>
      </w:pPr>
      <w:r>
        <w:rPr>
          <w:b/>
          <w:bCs/>
        </w:rPr>
        <w:t xml:space="preserve">Recomendação</w:t>
      </w:r>
      <w:r>
        <w:t xml:space="preserve">: Adotar providências visando orientar o fiscal e o gestor concedente</w:t>
      </w:r>
      <w:r>
        <w:t xml:space="preserve"> para que realize o acompanhamento dos processos de contratualização e de execução realizados pela convenente cumprindo os dispositivos previstos nas alíneas d, f, g e h do inciso II, art. 6º e inciso II do art. 59 da Portaria Interministerial nº 424/2016.</w:t>
      </w:r>
      <w:r/>
    </w:p>
    <w:p>
      <w:pPr>
        <w:pStyle w:val="720"/>
        <w:pBdr/>
        <w:spacing/>
        <w:ind/>
        <w:rPr/>
      </w:pPr>
      <w:r>
        <w:rPr>
          <w:b/>
          <w:bCs/>
        </w:rPr>
        <w:t xml:space="preserve">Análise Codificação</w:t>
      </w:r>
      <w:r>
        <w:t xml:space="preserve">: A recomendação propõe a adoção de prov</w:t>
      </w:r>
      <w:r>
        <w:t xml:space="preserve">idências para orientar o fiscal e o gestor concedente sobre o acompanhamento adequado dos processos de contratualização e execução, referenciando dispositivos legais específicos. Isso indica uma ação voltada para a causa do problema, que é a falta de orien</w:t>
      </w:r>
      <w:r>
        <w:t xml:space="preserve">tação e acompanhamento adequado, visando prevenir a reincidência da irregularidade. Quanto aos efeitos duradouros, a orientação fornecida pode perdurar mesmo com mudanças nos atores envolvidos, pois estabelece um padrão de conduta baseado em normas legais.</w:t>
      </w:r>
      <w:r/>
    </w:p>
    <w:p>
      <w:pPr>
        <w:pStyle w:val="722"/>
        <w:numPr>
          <w:ilvl w:val="0"/>
          <w:numId w:val="17"/>
        </w:numPr>
        <w:pBdr/>
        <w:spacing/>
        <w:ind/>
        <w:rPr/>
      </w:pPr>
      <w:r>
        <w:t xml:space="preserve">Foco Causa: Sim</w:t>
      </w:r>
      <w:r/>
    </w:p>
    <w:p>
      <w:pPr>
        <w:pStyle w:val="722"/>
        <w:numPr>
          <w:ilvl w:val="0"/>
          <w:numId w:val="17"/>
        </w:numPr>
        <w:pBdr/>
        <w:spacing/>
        <w:ind/>
        <w:rPr/>
      </w:pPr>
      <w:r>
        <w:t xml:space="preserve">Efeitos Duradouros: Sim</w:t>
      </w:r>
      <w:bookmarkEnd w:id="36"/>
      <w:r/>
    </w:p>
    <w:p>
      <w:pPr>
        <w:pStyle w:val="709"/>
        <w:pBdr/>
        <w:spacing/>
        <w:ind/>
        <w:rPr/>
      </w:pPr>
      <w:r/>
      <w:bookmarkStart w:id="37" w:name="auditoria-19735-constatação-nº-693664-1"/>
      <w:r>
        <w:t xml:space="preserve">Auditoria 19735, Constatação Nº 693664 (#1)</w:t>
      </w:r>
      <w:r/>
    </w:p>
    <w:p>
      <w:pPr>
        <w:pStyle w:val="721"/>
        <w:pBdr/>
        <w:spacing/>
        <w:ind/>
        <w:rPr/>
      </w:pPr>
      <w:r>
        <w:rPr>
          <w:b/>
          <w:bCs/>
        </w:rPr>
        <w:t xml:space="preserve">Finalidade</w:t>
      </w:r>
      <w:r>
        <w:t xml:space="preserve">: Verificar irregularidades na gestão e no sistema de sobreaviso dos Médicos Vinculados ao Hospital</w:t>
      </w:r>
      <w:r/>
    </w:p>
    <w:p>
      <w:pPr>
        <w:pStyle w:val="720"/>
        <w:pBdr/>
        <w:spacing/>
        <w:ind/>
        <w:rPr/>
      </w:pPr>
      <w:r>
        <w:rPr>
          <w:b/>
          <w:bCs/>
        </w:rPr>
        <w:t xml:space="preserve">Constatação</w:t>
      </w:r>
      <w:r>
        <w:t xml:space="preserve">: O Contrato de Gestão FMS 01/2023 para gerenciamento, ope</w:t>
      </w:r>
      <w:r>
        <w:t xml:space="preserve">racionalização e execução das ações e serviços da UPA não está sendo executado dentro do pactuado, verificando-se descumprimento de metas qualitativas e quantitativas para a efetiva prestação de serviços aos usuários e o pagamento da prestação de serviços.</w:t>
      </w:r>
      <w:r/>
    </w:p>
    <w:p>
      <w:pPr>
        <w:pStyle w:val="720"/>
        <w:pBdr/>
        <w:spacing/>
        <w:ind/>
        <w:rPr/>
      </w:pPr>
      <w:r>
        <w:rPr>
          <w:b/>
          <w:bCs/>
        </w:rPr>
        <w:t xml:space="preserve">Recomendação</w:t>
      </w:r>
      <w:r>
        <w:t xml:space="preserve">: A Secretaria</w:t>
      </w:r>
      <w:r>
        <w:t xml:space="preserve"> Municipal de Saúde (SMS) de Canoinhas deve tomar medidas imediatas para corrigir o não cumprimento das obrigações contratuais. Primeiramente, a pesquisa de satisfação realizada na UPA não está de acordo com os requisitos do PNASS, sendo necessário revisar</w:t>
      </w:r>
      <w:r>
        <w:t xml:space="preserve"> sua metodologia, incluir perguntas sobre tempo de espera e qualidade do atendimento, e garantir que a amostra seja representativa. Além disso, a UPA não está oferecendo o serviço de pediatria com um especialista com Registro de Qualificação de Especialist</w:t>
      </w:r>
      <w:r>
        <w:t xml:space="preserve">a (RQE), conforme previsto no contrato. A SMS deve contratar imediatamente um pediatra qualificado para atender a essa demanda. Essas falhas devem ser corrigidas com urgência para garantir a conformidade contratual e a qualidade do atendimento à população.</w:t>
      </w:r>
      <w:r/>
    </w:p>
    <w:p>
      <w:pPr>
        <w:pStyle w:val="720"/>
        <w:pBdr/>
        <w:spacing/>
        <w:ind/>
        <w:rPr/>
      </w:pPr>
      <w:r>
        <w:rPr>
          <w:b/>
          <w:bCs/>
        </w:rPr>
        <w:t xml:space="preserve">Análise Codificação</w:t>
      </w:r>
      <w:r>
        <w:t xml:space="preserve">: Em relação ao foco, a recomendação propõe ações para corrigir condições específicas identificadas (metodo</w:t>
      </w:r>
      <w:r>
        <w:t xml:space="preserve">logia inadequada da pesquisa de satisfação e falta de pediatra com RQE), sem abordar as causas subjacentes que levaram a essas condições, como falhas nos processos de gestão contratual ou monitoramento. Já em relação aos efeitos duradouros, como o critério</w:t>
      </w:r>
      <w:r>
        <w:t xml:space="preserve"> </w:t>
      </w:r>
      <w:r>
        <w:t xml:space="preserve">‘Foco Causa’</w:t>
      </w:r>
      <w:r>
        <w:t xml:space="preserve"> </w:t>
      </w:r>
      <w:r>
        <w:t xml:space="preserve">não foi atendido, esta análise não se aplica.</w:t>
      </w:r>
      <w:r/>
    </w:p>
    <w:p>
      <w:pPr>
        <w:pStyle w:val="722"/>
        <w:numPr>
          <w:ilvl w:val="0"/>
          <w:numId w:val="18"/>
        </w:numPr>
        <w:pBdr/>
        <w:spacing/>
        <w:ind/>
        <w:rPr/>
      </w:pPr>
      <w:r>
        <w:t xml:space="preserve">Foco Causa: Não</w:t>
      </w:r>
      <w:r/>
    </w:p>
    <w:p>
      <w:pPr>
        <w:pStyle w:val="722"/>
        <w:numPr>
          <w:ilvl w:val="0"/>
          <w:numId w:val="18"/>
        </w:numPr>
        <w:pBdr/>
        <w:spacing/>
        <w:ind/>
        <w:rPr/>
      </w:pPr>
      <w:r>
        <w:t xml:space="preserve">Efeitos Duradouros: Não se Aplica</w:t>
      </w:r>
      <w:bookmarkEnd w:id="37"/>
      <w:r/>
    </w:p>
    <w:p>
      <w:pPr>
        <w:pStyle w:val="709"/>
        <w:pBdr/>
        <w:spacing/>
        <w:ind/>
        <w:rPr/>
      </w:pPr>
      <w:r/>
      <w:bookmarkStart w:id="38" w:name="auditoria-19773-constatação-nº-692874-1"/>
      <w:r>
        <w:t xml:space="preserve">Auditoria 19773, Constatação Nº 692874 (#1)</w:t>
      </w:r>
      <w:r/>
    </w:p>
    <w:p>
      <w:pPr>
        <w:pStyle w:val="721"/>
        <w:pBdr/>
        <w:spacing/>
        <w:ind/>
        <w:rPr/>
      </w:pPr>
      <w:r>
        <w:rPr>
          <w:b/>
          <w:bCs/>
        </w:rPr>
        <w:t xml:space="preserve">Finalidade</w:t>
      </w:r>
      <w:r>
        <w:t xml:space="preserve">: Verificar se a SM possui controles internos capazes de assegurar adequadamente a Cadeia de Frio</w:t>
      </w:r>
      <w:r/>
    </w:p>
    <w:p>
      <w:pPr>
        <w:pStyle w:val="720"/>
        <w:pBdr/>
        <w:spacing/>
        <w:ind/>
        <w:rPr/>
      </w:pPr>
      <w:r>
        <w:rPr>
          <w:b/>
          <w:bCs/>
        </w:rPr>
        <w:t xml:space="preserve">Constatação</w:t>
      </w:r>
      <w:r>
        <w:t xml:space="preserve">: A CMRF de Volta Redonda/RJ não utiliza o</w:t>
      </w:r>
      <w:r>
        <w:t xml:space="preserve"> </w:t>
      </w:r>
      <w:r>
        <w:t xml:space="preserve">“Mapa Ilustrativo”</w:t>
      </w:r>
      <w:r>
        <w:t xml:space="preserve"> </w:t>
      </w:r>
      <w:r>
        <w:t xml:space="preserve">nas câmaras frias.</w:t>
      </w:r>
      <w:r/>
    </w:p>
    <w:p>
      <w:pPr>
        <w:pStyle w:val="720"/>
        <w:pBdr/>
        <w:spacing/>
        <w:ind/>
        <w:rPr/>
      </w:pPr>
      <w:r>
        <w:rPr>
          <w:b/>
          <w:bCs/>
        </w:rPr>
        <w:t xml:space="preserve">Recomendação</w:t>
      </w:r>
      <w:r>
        <w:t xml:space="preserve">: Utilizar o modelo de</w:t>
      </w:r>
      <w:r>
        <w:t xml:space="preserve"> </w:t>
      </w:r>
      <w:r>
        <w:t xml:space="preserve">“Mapa ilustrativo”</w:t>
      </w:r>
      <w:r>
        <w:t xml:space="preserve">, com vistas a permitir a identificação do conteúdo existente no interior das câmaras frias da CMRF de Volta Redonda/RJ, conforme disposto no item 6.6.2, p. 57, do Manual de Rede de Frio do PNI, 2017.</w:t>
      </w:r>
      <w:r/>
    </w:p>
    <w:p>
      <w:pPr>
        <w:pStyle w:val="720"/>
        <w:pBdr/>
        <w:spacing/>
        <w:ind/>
        <w:rPr/>
      </w:pPr>
      <w:r>
        <w:rPr>
          <w:b/>
          <w:bCs/>
        </w:rPr>
        <w:t xml:space="preserve">Análise Codificação</w:t>
      </w:r>
      <w:r>
        <w:t xml:space="preserve">: A recomendação propõe a utilização do</w:t>
      </w:r>
      <w:r>
        <w:t xml:space="preserve"> </w:t>
      </w:r>
      <w:r>
        <w:t xml:space="preserve">‘Mapa Ilustrativo’</w:t>
      </w:r>
      <w:r>
        <w:t xml:space="preserve"> </w:t>
      </w:r>
      <w:r>
        <w:t xml:space="preserve">para permitir a identificação do conteúdo das câmaras frias, o que visa corrigir diretamente a condição encontrada de não utilização deste mapa. No entanto, não há menção a ações que</w:t>
      </w:r>
      <w:r>
        <w:t xml:space="preserve"> tratem das causas subjacentes para a não utilização do mapa, como falhas em processos, treinamento inadequado ou falta de supervisão. Portanto, a recomendação é focada na condição imediata, não na causa raiz. Quanto aos efeitos duradouros, como o critério</w:t>
      </w:r>
      <w:r>
        <w:t xml:space="preserve"> </w:t>
      </w:r>
      <w:r>
        <w:t xml:space="preserve">‘Foco Causa’</w:t>
      </w:r>
      <w:r>
        <w:t xml:space="preserve"> </w:t>
      </w:r>
      <w:r>
        <w:t xml:space="preserve">não foi atendido, esta análise não se aplica.</w:t>
      </w:r>
      <w:r/>
    </w:p>
    <w:p>
      <w:pPr>
        <w:pStyle w:val="722"/>
        <w:numPr>
          <w:ilvl w:val="0"/>
          <w:numId w:val="19"/>
        </w:numPr>
        <w:pBdr/>
        <w:spacing/>
        <w:ind/>
        <w:rPr/>
      </w:pPr>
      <w:r>
        <w:t xml:space="preserve">Foco Causa: Não</w:t>
      </w:r>
      <w:r/>
    </w:p>
    <w:p>
      <w:pPr>
        <w:pStyle w:val="722"/>
        <w:numPr>
          <w:ilvl w:val="0"/>
          <w:numId w:val="19"/>
        </w:numPr>
        <w:pBdr/>
        <w:spacing/>
        <w:ind/>
        <w:rPr/>
      </w:pPr>
      <w:r>
        <w:t xml:space="preserve">Efeitos Duradouros: Não se aplica</w:t>
      </w:r>
      <w:bookmarkEnd w:id="38"/>
      <w:r/>
    </w:p>
    <w:p>
      <w:pPr>
        <w:pStyle w:val="709"/>
        <w:pBdr/>
        <w:spacing/>
        <w:ind/>
        <w:rPr/>
      </w:pPr>
      <w:r/>
      <w:bookmarkStart w:id="39" w:name="auditoria-19806-constatação-nº-694412-1"/>
      <w:r>
        <w:t xml:space="preserve">Auditoria 19806, Constatação Nº 694412 (#1)</w:t>
      </w:r>
      <w:r/>
    </w:p>
    <w:p>
      <w:pPr>
        <w:pStyle w:val="721"/>
        <w:pBdr/>
        <w:spacing/>
        <w:ind/>
        <w:rPr/>
      </w:pPr>
      <w:r>
        <w:rPr>
          <w:b/>
          <w:bCs/>
        </w:rPr>
        <w:t xml:space="preserve">Finalidade</w:t>
      </w:r>
      <w:r>
        <w:t xml:space="preserve">: Auditoria na PNSMAD - 2024. Verificar se a APS está exercendo as atribuições de coord. da Raps.</w:t>
      </w:r>
      <w:r/>
    </w:p>
    <w:p>
      <w:pPr>
        <w:pStyle w:val="720"/>
        <w:pBdr/>
        <w:spacing/>
        <w:ind/>
        <w:rPr/>
      </w:pPr>
      <w:r>
        <w:rPr>
          <w:b/>
          <w:bCs/>
        </w:rPr>
        <w:t xml:space="preserve">Constatação</w:t>
      </w:r>
      <w:r>
        <w:t xml:space="preserve">: As UBS visitadas não possuem estratégias definidas para atendimento de pacientes após a notificação de casos de violência autoprovocada, doméstica, dentre outras.</w:t>
      </w:r>
      <w:r/>
    </w:p>
    <w:p>
      <w:pPr>
        <w:pStyle w:val="720"/>
        <w:pBdr/>
        <w:spacing/>
        <w:ind/>
        <w:rPr/>
      </w:pPr>
      <w:r>
        <w:rPr>
          <w:b/>
          <w:bCs/>
        </w:rPr>
        <w:t xml:space="preserve">Recomendação</w:t>
      </w:r>
      <w:r>
        <w:t xml:space="preserve">: Definir estratégias para o atendimento de pacientes após a notificação de casos de violência autoprovocada, doméstica, dentre outras, de modo que a Atenção Primária seja a porta de entrada preferencial, sendo garantido a conti</w:t>
      </w:r>
      <w:r>
        <w:t xml:space="preserve">nuidade do cuidado nos casos de acesso por outro nível de atenção, em consonância ao disposto no Anexo 1 do Anexo XXII, Capítulo I Item 5, III da Portaria de Consolidação n.° 2/2017, Art.1º da Lei n.º 10.778/2003, e no Anexo 1 do Anexo V da PRC n.° 4/2017.</w:t>
      </w:r>
      <w:r/>
    </w:p>
    <w:p>
      <w:pPr>
        <w:pStyle w:val="720"/>
        <w:pBdr/>
        <w:spacing/>
        <w:ind/>
        <w:rPr/>
      </w:pPr>
      <w:r>
        <w:rPr>
          <w:b/>
          <w:bCs/>
        </w:rPr>
        <w:t xml:space="preserve">Análise Codificação</w:t>
      </w:r>
      <w:r>
        <w:t xml:space="preserve">: Em relação ao foco, a recomendação propõe a definição de estratégias para o atendimento de pacientes após notificação de casos de violência, o que aborda diretamente a causa da ausência de procedimentos estabelecidos, caracte</w:t>
      </w:r>
      <w:r>
        <w:t xml:space="preserve">rizando-se como uma ação de foco na causa. Já em relação aos efeitos pretendidos, a implementação de estratégias formais tende a criar processos estruturados que permanecem independentemente de mudanças nos atores envolvidos, garantindo efeitos duradouros.</w:t>
      </w:r>
      <w:r/>
    </w:p>
    <w:p>
      <w:pPr>
        <w:pStyle w:val="722"/>
        <w:numPr>
          <w:ilvl w:val="0"/>
          <w:numId w:val="20"/>
        </w:numPr>
        <w:pBdr/>
        <w:spacing/>
        <w:ind/>
        <w:rPr/>
      </w:pPr>
      <w:r>
        <w:t xml:space="preserve">Foco Causa: Sim</w:t>
      </w:r>
      <w:r/>
    </w:p>
    <w:p>
      <w:pPr>
        <w:pStyle w:val="722"/>
        <w:numPr>
          <w:ilvl w:val="0"/>
          <w:numId w:val="20"/>
        </w:numPr>
        <w:pBdr/>
        <w:spacing/>
        <w:ind/>
        <w:rPr/>
      </w:pPr>
      <w:r>
        <w:t xml:space="preserve">Efeitos Duradouros: Sim</w:t>
      </w:r>
      <w:bookmarkEnd w:id="39"/>
      <w:r/>
    </w:p>
    <w:p>
      <w:pPr>
        <w:pStyle w:val="709"/>
        <w:pBdr/>
        <w:spacing/>
        <w:ind/>
        <w:rPr/>
      </w:pPr>
      <w:r/>
      <w:bookmarkStart w:id="40" w:name="auditoria-19826-constatação-nº-694648-1"/>
      <w:r>
        <w:t xml:space="preserve">Auditoria 19826, Constatação Nº 694648 (#1)</w:t>
      </w:r>
      <w:r/>
    </w:p>
    <w:p>
      <w:pPr>
        <w:pStyle w:val="721"/>
        <w:pBdr/>
        <w:spacing/>
        <w:ind/>
        <w:rPr/>
      </w:pPr>
      <w:r>
        <w:rPr>
          <w:b/>
          <w:bCs/>
        </w:rPr>
        <w:t xml:space="preserve">Finalidade</w:t>
      </w:r>
      <w:r>
        <w:t xml:space="preserve">: Verificar a regularidade da produção inserida nos sistemas do SUS.</w:t>
      </w:r>
      <w:r/>
    </w:p>
    <w:p>
      <w:pPr>
        <w:pStyle w:val="720"/>
        <w:pBdr/>
        <w:spacing/>
        <w:ind/>
        <w:rPr/>
      </w:pPr>
      <w:r>
        <w:rPr>
          <w:b/>
          <w:bCs/>
        </w:rPr>
        <w:t xml:space="preserve">Constatação</w:t>
      </w:r>
      <w:r>
        <w:t xml:space="preserve">: A capacidade profissional da </w:t>
      </w:r>
      <w:r>
        <w:t xml:space="preserve">Santa Casa de Auriflama foi insuficiente para execução do procedimento Atendimento Médico em Unidade de Pronto Atendimento (código Sigtap 03.01.06.009-6) informado no Sistema de Informações Ambulatoriais (SIA-SUS), no período de janeiro a dezembro de 2022.</w:t>
      </w:r>
      <w:r/>
    </w:p>
    <w:p>
      <w:pPr>
        <w:pStyle w:val="720"/>
        <w:pBdr/>
        <w:spacing/>
        <w:ind/>
        <w:rPr/>
      </w:pPr>
      <w:r>
        <w:rPr>
          <w:b/>
          <w:bCs/>
        </w:rPr>
        <w:t xml:space="preserve">Recomendação</w:t>
      </w:r>
      <w:r>
        <w:t xml:space="preserve">: Utilizar como referência o desejável de atendimento de no máximo 3 pacientes por hora/ por médico, conforme recomenda o Item 4 do Anexo</w:t>
      </w:r>
      <w:r>
        <w:t xml:space="preserve"> I Resolução CFM nº 2.077/2014. Fiscalizar, auditar, validar ou alterar, quando necessário, o cadastro dos estabelecimentos de saúde integrantes do SUS que estejam sob seu comando conforme estabelece o art. 369 da Portaria de Consolidação GM/MS nº 01/2017.</w:t>
      </w:r>
      <w:r/>
    </w:p>
    <w:p>
      <w:pPr>
        <w:pStyle w:val="720"/>
        <w:pBdr/>
        <w:spacing/>
        <w:ind/>
        <w:rPr/>
      </w:pPr>
      <w:r>
        <w:rPr>
          <w:b/>
          <w:bCs/>
        </w:rPr>
        <w:t xml:space="preserve">Análise Codificação</w:t>
      </w:r>
      <w:r>
        <w:t xml:space="preserve">: Em relação ao foco, a recomendação propõe ações que visam prevenir a ocorrência futura da condição de c</w:t>
      </w:r>
      <w:r>
        <w:t xml:space="preserve">apacidade profissional insuficiente, estabelecendo parâmetros de referência para atendimento e implementando processos de fiscalização e validação de cadastros, o que trata a causa subjacente do problema. Já em relação aos efeitos pretendidos pela recomend</w:t>
      </w:r>
      <w:r>
        <w:t xml:space="preserve">ação, as ações sugeridas, como o uso de referências padronizadas e a implementação de processos de fiscalização e validação, criam estruturas e procedimentos que permanecem independentemente de mudanças nos atores envolvidos, promovendo efeitos duradouros.</w:t>
      </w:r>
      <w:r/>
    </w:p>
    <w:p>
      <w:pPr>
        <w:pStyle w:val="722"/>
        <w:numPr>
          <w:ilvl w:val="0"/>
          <w:numId w:val="21"/>
        </w:numPr>
        <w:pBdr/>
        <w:spacing/>
        <w:ind/>
        <w:rPr/>
      </w:pPr>
      <w:r>
        <w:t xml:space="preserve">Foco Causa: Sim</w:t>
      </w:r>
      <w:r/>
    </w:p>
    <w:p>
      <w:pPr>
        <w:pStyle w:val="722"/>
        <w:numPr>
          <w:ilvl w:val="0"/>
          <w:numId w:val="21"/>
        </w:numPr>
        <w:pBdr/>
        <w:spacing/>
        <w:ind/>
        <w:rPr/>
      </w:pPr>
      <w:r>
        <w:t xml:space="preserve">Efeitos Duradouros: Sim</w:t>
      </w:r>
      <w:bookmarkEnd w:id="40"/>
      <w:r/>
    </w:p>
    <w:p>
      <w:pPr>
        <w:pStyle w:val="709"/>
        <w:pBdr/>
        <w:spacing/>
        <w:ind/>
        <w:rPr/>
      </w:pPr>
      <w:r/>
      <w:bookmarkStart w:id="41" w:name="auditoria-19829-constatação-nº-697041-1"/>
      <w:r>
        <w:t xml:space="preserve">Auditoria 19829, Constatação Nº 697041 (#1)</w:t>
      </w:r>
      <w:r/>
    </w:p>
    <w:p>
      <w:pPr>
        <w:pStyle w:val="721"/>
        <w:pBdr/>
        <w:spacing/>
        <w:ind/>
        <w:rPr/>
      </w:pPr>
      <w:r>
        <w:rPr>
          <w:b/>
          <w:bCs/>
        </w:rPr>
        <w:t xml:space="preserve">Finalidade</w:t>
      </w:r>
      <w:r>
        <w:t xml:space="preserve">: Auditoria na PNSMAD - 2024</w:t>
      </w:r>
      <w:r/>
    </w:p>
    <w:p>
      <w:pPr>
        <w:pStyle w:val="720"/>
        <w:pBdr/>
        <w:spacing/>
        <w:ind/>
        <w:rPr/>
      </w:pPr>
      <w:r>
        <w:rPr>
          <w:b/>
          <w:bCs/>
        </w:rPr>
        <w:t xml:space="preserve">Constatação</w:t>
      </w:r>
      <w:r>
        <w:t xml:space="preserve">: As equipes avaliadas não realizam acompanhamento dos familiares de usuários com transtorno mental e uso abusivo de álcool e drogas.</w:t>
      </w:r>
      <w:r/>
    </w:p>
    <w:p>
      <w:pPr>
        <w:pStyle w:val="720"/>
        <w:pBdr/>
        <w:spacing/>
        <w:ind/>
        <w:rPr/>
      </w:pPr>
      <w:r>
        <w:rPr>
          <w:b/>
          <w:bCs/>
        </w:rPr>
        <w:t xml:space="preserve">Recomendação</w:t>
      </w:r>
      <w:r>
        <w:t xml:space="preserve">: Realizar acompanhamentos dos familiares de usuários com transtornos mentais e uso a</w:t>
      </w:r>
      <w:r>
        <w:t xml:space="preserve">busivo de álcool e outras drogas, conforme a Portaria de Consolidação n. 2, de 28 de setembro de 2017, Anexo XXII (texto originário da antiga Portaria n. 2.436, de 21 de setembro de 2017, Art. 2º Capitulo I, Item 4.1, que propôe em seu Art. 2º Constituem-s</w:t>
      </w:r>
      <w:r>
        <w:t xml:space="preserve">e diretrizes para o funcionamento da Rede de Atenção Psicossocial: V - atenção humanizada e centrada nas necessidades das pessoas; VI - diversificação das estratégias de cuidado; VII - desenvolvimento de atividades no território, que favoreça a inclusão so</w:t>
      </w:r>
      <w:r>
        <w:t xml:space="preserve">cial com vistas à promoção de autonomia e ao exercício da cidadania; VIII - desenvolvimento de estratégias de Redução de Danos; IX - ênfase em serviços de base territorial e comunitária, com participação e controle social dos usuários e de seus familiares.</w:t>
      </w:r>
      <w:r/>
    </w:p>
    <w:p>
      <w:pPr>
        <w:pStyle w:val="720"/>
        <w:pBdr/>
        <w:spacing/>
        <w:ind/>
        <w:rPr/>
      </w:pPr>
      <w:r>
        <w:rPr>
          <w:b/>
          <w:bCs/>
        </w:rPr>
        <w:t xml:space="preserve">Análise Codificação</w:t>
      </w:r>
      <w:r>
        <w:t xml:space="preserve">: A recomendação propõe a realização de acompanhamentos dos familia</w:t>
      </w:r>
      <w:r>
        <w:t xml:space="preserve">res, o que visa corrigir diretamente a condição encontrada de falta de acompanhamento, sem abordar as causas subjacentes, como falta de capacitação ou recursos. Portanto, o foco está na condição, não na causa. Quanto aos efeitos duradouros, como o critério</w:t>
      </w:r>
      <w:r>
        <w:t xml:space="preserve"> </w:t>
      </w:r>
      <w:r>
        <w:t xml:space="preserve">‘Foco Causa’</w:t>
      </w:r>
      <w:r>
        <w:t xml:space="preserve"> </w:t>
      </w:r>
      <w:r>
        <w:t xml:space="preserve">não é atendido, não se aplica.</w:t>
      </w:r>
      <w:r/>
    </w:p>
    <w:p>
      <w:pPr>
        <w:pStyle w:val="722"/>
        <w:numPr>
          <w:ilvl w:val="0"/>
          <w:numId w:val="22"/>
        </w:numPr>
        <w:pBdr/>
        <w:spacing/>
        <w:ind/>
        <w:rPr/>
      </w:pPr>
      <w:r>
        <w:t xml:space="preserve">Foco Causa: Não</w:t>
      </w:r>
      <w:r/>
    </w:p>
    <w:p>
      <w:pPr>
        <w:pStyle w:val="722"/>
        <w:numPr>
          <w:ilvl w:val="0"/>
          <w:numId w:val="22"/>
        </w:numPr>
        <w:pBdr/>
        <w:spacing/>
        <w:ind/>
        <w:rPr/>
      </w:pPr>
      <w:r>
        <w:t xml:space="preserve">Efeitos Duradouros: Não se aplica</w:t>
      </w:r>
      <w:bookmarkEnd w:id="41"/>
      <w:bookmarkEnd w:id="42"/>
      <w:r/>
    </w:p>
    <w:sectPr>
      <w:footnotePr>
        <w:numRestart w:val="eachSect"/>
      </w:footnotePr>
      <w:endnotePr/>
      <w:type w:val="nextPage"/>
      <w:pgSz w:h="15840" w:orient="portrait" w:w="12240"/>
      <w:pgMar w:top="1417" w:right="1701" w:bottom="1417"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CD2DE"/>
    <w:lvl w:ilvl="0">
      <w:isLgl w:val="false"/>
      <w:lvlJc w:val="left"/>
      <w:lvlText w:val=" "/>
      <w:numFmt w:val="bullet"/>
      <w:pPr>
        <w:pBdr/>
        <w:tabs>
          <w:tab w:val="num" w:leader="none" w:pos="0"/>
        </w:tabs>
        <w:spacing/>
        <w:ind w:hanging="480" w:left="480"/>
      </w:pPr>
      <w:rPr/>
      <w:start w:val="0"/>
      <w:suff w:val="tab"/>
    </w:lvl>
    <w:lvl w:ilvl="1">
      <w:isLgl w:val="false"/>
      <w:lvlJc w:val="left"/>
      <w:lvlText w:val=" "/>
      <w:numFmt w:val="bullet"/>
      <w:pPr>
        <w:pBdr/>
        <w:tabs>
          <w:tab w:val="num" w:leader="none" w:pos="720"/>
        </w:tabs>
        <w:spacing/>
        <w:ind w:hanging="480" w:left="1200"/>
      </w:pPr>
      <w:rPr/>
      <w:start w:val="0"/>
      <w:suff w:val="tab"/>
    </w:lvl>
    <w:lvl w:ilvl="2">
      <w:isLgl w:val="false"/>
      <w:lvlJc w:val="left"/>
      <w:lvlText w:val=" "/>
      <w:numFmt w:val="bullet"/>
      <w:pPr>
        <w:pBdr/>
        <w:tabs>
          <w:tab w:val="num" w:leader="none" w:pos="1440"/>
        </w:tabs>
        <w:spacing/>
        <w:ind w:hanging="480" w:left="1920"/>
      </w:pPr>
      <w:rPr/>
      <w:start w:val="0"/>
      <w:suff w:val="tab"/>
    </w:lvl>
    <w:lvl w:ilvl="3">
      <w:isLgl w:val="false"/>
      <w:lvlJc w:val="left"/>
      <w:lvlText w:val=" "/>
      <w:numFmt w:val="bullet"/>
      <w:pPr>
        <w:pBdr/>
        <w:tabs>
          <w:tab w:val="num" w:leader="none" w:pos="2160"/>
        </w:tabs>
        <w:spacing/>
        <w:ind w:hanging="480" w:left="2640"/>
      </w:pPr>
      <w:rPr/>
      <w:start w:val="0"/>
      <w:suff w:val="tab"/>
    </w:lvl>
    <w:lvl w:ilvl="4">
      <w:isLgl w:val="false"/>
      <w:lvlJc w:val="left"/>
      <w:lvlText w:val=" "/>
      <w:numFmt w:val="bullet"/>
      <w:pPr>
        <w:pBdr/>
        <w:tabs>
          <w:tab w:val="num" w:leader="none" w:pos="2880"/>
        </w:tabs>
        <w:spacing/>
        <w:ind w:hanging="480" w:left="3360"/>
      </w:pPr>
      <w:rPr/>
      <w:start w:val="0"/>
      <w:suff w:val="tab"/>
    </w:lvl>
    <w:lvl w:ilvl="5">
      <w:isLgl w:val="false"/>
      <w:lvlJc w:val="left"/>
      <w:lvlText w:val=" "/>
      <w:numFmt w:val="bullet"/>
      <w:pPr>
        <w:pBdr/>
        <w:tabs>
          <w:tab w:val="num" w:leader="none" w:pos="3600"/>
        </w:tabs>
        <w:spacing/>
        <w:ind w:hanging="480" w:left="4080"/>
      </w:pPr>
      <w:rPr/>
      <w:start w:val="0"/>
      <w:suff w:val="tab"/>
    </w:lvl>
    <w:lvl w:ilvl="6">
      <w:isLgl w:val="false"/>
      <w:lvlJc w:val="left"/>
      <w:lvlText w:val=" "/>
      <w:numFmt w:val="bullet"/>
      <w:pPr>
        <w:pBdr/>
        <w:tabs>
          <w:tab w:val="num" w:leader="none" w:pos="4320"/>
        </w:tabs>
        <w:spacing/>
        <w:ind w:hanging="480" w:left="4800"/>
      </w:pPr>
      <w:rPr/>
      <w:start w:val="0"/>
      <w:suff w:val="tab"/>
    </w:lvl>
    <w:lvl w:ilvl="7">
      <w:isLgl w:val="false"/>
      <w:lvlJc w:val="left"/>
      <w:lvlText w:val=" "/>
      <w:numFmt w:val="bullet"/>
      <w:pPr>
        <w:pBdr/>
        <w:tabs>
          <w:tab w:val="num" w:leader="none" w:pos="5040"/>
        </w:tabs>
        <w:spacing/>
        <w:ind w:hanging="480" w:left="5520"/>
      </w:pPr>
      <w:rPr/>
      <w:start w:val="0"/>
      <w:suff w:val="tab"/>
    </w:lvl>
    <w:lvl w:ilvl="8">
      <w:isLgl w:val="false"/>
      <w:lvlJc w:val="left"/>
      <w:lvlText w:val=" "/>
      <w:numFmt w:val="bullet"/>
      <w:pPr>
        <w:pBdr/>
        <w:tabs>
          <w:tab w:val="num" w:leader="none" w:pos="5760"/>
        </w:tabs>
        <w:spacing/>
        <w:ind w:hanging="480" w:left="6240"/>
      </w:pPr>
      <w:rPr/>
      <w:start w:val="0"/>
      <w:suff w:val="tab"/>
    </w:lvl>
  </w:abstractNum>
  <w:abstractNum w:abstractNumId="1">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2">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 w:numId="2">
    <w:abstractNumId w:val="1"/>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pt-BR"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1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1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1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1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1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1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17"/>
    <w:link w:val="708"/>
    <w:uiPriority w:val="9"/>
    <w:pPr>
      <w:pBdr/>
      <w:spacing/>
      <w:ind/>
    </w:pPr>
    <w:rPr>
      <w:rFonts w:ascii="Arial" w:hAnsi="Arial" w:eastAsia="Arial" w:cs="Arial"/>
      <w:color w:val="0f4761" w:themeColor="accent1" w:themeShade="BF"/>
      <w:sz w:val="40"/>
      <w:szCs w:val="40"/>
    </w:rPr>
  </w:style>
  <w:style w:type="character" w:styleId="151">
    <w:name w:val="Heading 2 Char"/>
    <w:basedOn w:val="717"/>
    <w:link w:val="709"/>
    <w:uiPriority w:val="9"/>
    <w:pPr>
      <w:pBdr/>
      <w:spacing/>
      <w:ind/>
    </w:pPr>
    <w:rPr>
      <w:rFonts w:ascii="Arial" w:hAnsi="Arial" w:eastAsia="Arial" w:cs="Arial"/>
      <w:color w:val="0f4761" w:themeColor="accent1" w:themeShade="BF"/>
      <w:sz w:val="32"/>
      <w:szCs w:val="32"/>
    </w:rPr>
  </w:style>
  <w:style w:type="character" w:styleId="152">
    <w:name w:val="Heading 3 Char"/>
    <w:basedOn w:val="717"/>
    <w:link w:val="710"/>
    <w:uiPriority w:val="9"/>
    <w:pPr>
      <w:pBdr/>
      <w:spacing/>
      <w:ind/>
    </w:pPr>
    <w:rPr>
      <w:rFonts w:ascii="Arial" w:hAnsi="Arial" w:eastAsia="Arial" w:cs="Arial"/>
      <w:color w:val="0f4761" w:themeColor="accent1" w:themeShade="BF"/>
      <w:sz w:val="28"/>
      <w:szCs w:val="28"/>
    </w:rPr>
  </w:style>
  <w:style w:type="character" w:styleId="153">
    <w:name w:val="Heading 4 Char"/>
    <w:basedOn w:val="717"/>
    <w:link w:val="711"/>
    <w:uiPriority w:val="9"/>
    <w:pPr>
      <w:pBdr/>
      <w:spacing/>
      <w:ind/>
    </w:pPr>
    <w:rPr>
      <w:rFonts w:ascii="Arial" w:hAnsi="Arial" w:eastAsia="Arial" w:cs="Arial"/>
      <w:i/>
      <w:iCs/>
      <w:color w:val="0f4761" w:themeColor="accent1" w:themeShade="BF"/>
    </w:rPr>
  </w:style>
  <w:style w:type="character" w:styleId="154">
    <w:name w:val="Heading 5 Char"/>
    <w:basedOn w:val="717"/>
    <w:link w:val="712"/>
    <w:uiPriority w:val="9"/>
    <w:pPr>
      <w:pBdr/>
      <w:spacing/>
      <w:ind/>
    </w:pPr>
    <w:rPr>
      <w:rFonts w:ascii="Arial" w:hAnsi="Arial" w:eastAsia="Arial" w:cs="Arial"/>
      <w:color w:val="0f4761" w:themeColor="accent1" w:themeShade="BF"/>
    </w:rPr>
  </w:style>
  <w:style w:type="character" w:styleId="155">
    <w:name w:val="Heading 6 Char"/>
    <w:basedOn w:val="717"/>
    <w:link w:val="713"/>
    <w:uiPriority w:val="9"/>
    <w:pPr>
      <w:pBdr/>
      <w:spacing/>
      <w:ind/>
    </w:pPr>
    <w:rPr>
      <w:rFonts w:ascii="Arial" w:hAnsi="Arial" w:eastAsia="Arial" w:cs="Arial"/>
      <w:i/>
      <w:iCs/>
      <w:color w:val="595959" w:themeColor="text1" w:themeTint="A6"/>
    </w:rPr>
  </w:style>
  <w:style w:type="character" w:styleId="156">
    <w:name w:val="Heading 7 Char"/>
    <w:basedOn w:val="717"/>
    <w:link w:val="714"/>
    <w:uiPriority w:val="9"/>
    <w:pPr>
      <w:pBdr/>
      <w:spacing/>
      <w:ind/>
    </w:pPr>
    <w:rPr>
      <w:rFonts w:ascii="Arial" w:hAnsi="Arial" w:eastAsia="Arial" w:cs="Arial"/>
      <w:color w:val="595959" w:themeColor="text1" w:themeTint="A6"/>
    </w:rPr>
  </w:style>
  <w:style w:type="character" w:styleId="157">
    <w:name w:val="Heading 8 Char"/>
    <w:basedOn w:val="717"/>
    <w:link w:val="715"/>
    <w:uiPriority w:val="9"/>
    <w:pPr>
      <w:pBdr/>
      <w:spacing/>
      <w:ind/>
    </w:pPr>
    <w:rPr>
      <w:rFonts w:ascii="Arial" w:hAnsi="Arial" w:eastAsia="Arial" w:cs="Arial"/>
      <w:i/>
      <w:iCs/>
      <w:color w:val="272727" w:themeColor="text1" w:themeTint="D8"/>
    </w:rPr>
  </w:style>
  <w:style w:type="character" w:styleId="158">
    <w:name w:val="Heading 9 Char"/>
    <w:basedOn w:val="717"/>
    <w:link w:val="716"/>
    <w:uiPriority w:val="9"/>
    <w:pPr>
      <w:pBdr/>
      <w:spacing/>
      <w:ind/>
    </w:pPr>
    <w:rPr>
      <w:rFonts w:ascii="Arial" w:hAnsi="Arial" w:eastAsia="Arial" w:cs="Arial"/>
      <w:i/>
      <w:iCs/>
      <w:color w:val="272727" w:themeColor="text1" w:themeTint="D8"/>
    </w:rPr>
  </w:style>
  <w:style w:type="character" w:styleId="160">
    <w:name w:val="Title Char"/>
    <w:basedOn w:val="717"/>
    <w:link w:val="723"/>
    <w:uiPriority w:val="10"/>
    <w:pPr>
      <w:pBdr/>
      <w:spacing/>
      <w:ind/>
    </w:pPr>
    <w:rPr>
      <w:rFonts w:ascii="Arial" w:hAnsi="Arial" w:eastAsia="Arial" w:cs="Arial"/>
      <w:spacing w:val="-10"/>
      <w:sz w:val="56"/>
      <w:szCs w:val="56"/>
    </w:rPr>
  </w:style>
  <w:style w:type="character" w:styleId="162">
    <w:name w:val="Subtitle Char"/>
    <w:basedOn w:val="717"/>
    <w:link w:val="725"/>
    <w:uiPriority w:val="11"/>
    <w:pPr>
      <w:pBdr/>
      <w:spacing/>
      <w:ind/>
    </w:pPr>
    <w:rPr>
      <w:color w:val="595959" w:themeColor="text1" w:themeTint="A6"/>
      <w:spacing w:val="15"/>
      <w:sz w:val="28"/>
      <w:szCs w:val="28"/>
    </w:rPr>
  </w:style>
  <w:style w:type="paragraph" w:styleId="163">
    <w:name w:val="Quote"/>
    <w:basedOn w:val="707"/>
    <w:next w:val="707"/>
    <w:link w:val="164"/>
    <w:uiPriority w:val="29"/>
    <w:qFormat/>
    <w:pPr>
      <w:pBdr/>
      <w:spacing w:before="160"/>
      <w:ind/>
      <w:jc w:val="center"/>
    </w:pPr>
    <w:rPr>
      <w:i/>
      <w:iCs/>
      <w:color w:val="404040" w:themeColor="text1" w:themeTint="BF"/>
    </w:rPr>
  </w:style>
  <w:style w:type="character" w:styleId="164">
    <w:name w:val="Quote Char"/>
    <w:basedOn w:val="717"/>
    <w:link w:val="163"/>
    <w:uiPriority w:val="29"/>
    <w:pPr>
      <w:pBdr/>
      <w:spacing/>
      <w:ind/>
    </w:pPr>
    <w:rPr>
      <w:i/>
      <w:iCs/>
      <w:color w:val="404040" w:themeColor="text1" w:themeTint="BF"/>
    </w:rPr>
  </w:style>
  <w:style w:type="paragraph" w:styleId="165">
    <w:name w:val="List Paragraph"/>
    <w:basedOn w:val="707"/>
    <w:uiPriority w:val="34"/>
    <w:qFormat/>
    <w:pPr>
      <w:pBdr/>
      <w:spacing/>
      <w:ind w:left="720"/>
      <w:contextualSpacing w:val="true"/>
    </w:pPr>
  </w:style>
  <w:style w:type="character" w:styleId="166">
    <w:name w:val="Intense Emphasis"/>
    <w:basedOn w:val="717"/>
    <w:uiPriority w:val="21"/>
    <w:qFormat/>
    <w:pPr>
      <w:pBdr/>
      <w:spacing/>
      <w:ind/>
    </w:pPr>
    <w:rPr>
      <w:i/>
      <w:iCs/>
      <w:color w:val="0f4761" w:themeColor="accent1" w:themeShade="BF"/>
    </w:rPr>
  </w:style>
  <w:style w:type="paragraph" w:styleId="167">
    <w:name w:val="Intense Quote"/>
    <w:basedOn w:val="707"/>
    <w:next w:val="70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17"/>
    <w:link w:val="167"/>
    <w:uiPriority w:val="30"/>
    <w:pPr>
      <w:pBdr/>
      <w:spacing/>
      <w:ind/>
    </w:pPr>
    <w:rPr>
      <w:i/>
      <w:iCs/>
      <w:color w:val="0f4761" w:themeColor="accent1" w:themeShade="BF"/>
    </w:rPr>
  </w:style>
  <w:style w:type="character" w:styleId="169">
    <w:name w:val="Intense Reference"/>
    <w:basedOn w:val="717"/>
    <w:uiPriority w:val="32"/>
    <w:qFormat/>
    <w:pPr>
      <w:pBdr/>
      <w:spacing/>
      <w:ind/>
    </w:pPr>
    <w:rPr>
      <w:b/>
      <w:bCs/>
      <w:smallCaps/>
      <w:color w:val="0f4761" w:themeColor="accent1" w:themeShade="BF"/>
      <w:spacing w:val="5"/>
    </w:rPr>
  </w:style>
  <w:style w:type="paragraph" w:styleId="170">
    <w:name w:val="No Spacing"/>
    <w:basedOn w:val="707"/>
    <w:uiPriority w:val="1"/>
    <w:qFormat/>
    <w:pPr>
      <w:pBdr/>
      <w:spacing w:after="0" w:line="240" w:lineRule="auto"/>
      <w:ind/>
    </w:pPr>
  </w:style>
  <w:style w:type="character" w:styleId="171">
    <w:name w:val="Subtle Emphasis"/>
    <w:basedOn w:val="717"/>
    <w:uiPriority w:val="19"/>
    <w:qFormat/>
    <w:pPr>
      <w:pBdr/>
      <w:spacing/>
      <w:ind/>
    </w:pPr>
    <w:rPr>
      <w:i/>
      <w:iCs/>
      <w:color w:val="404040" w:themeColor="text1" w:themeTint="BF"/>
    </w:rPr>
  </w:style>
  <w:style w:type="character" w:styleId="172">
    <w:name w:val="Emphasis"/>
    <w:basedOn w:val="717"/>
    <w:uiPriority w:val="20"/>
    <w:qFormat/>
    <w:pPr>
      <w:pBdr/>
      <w:spacing/>
      <w:ind/>
    </w:pPr>
    <w:rPr>
      <w:i/>
      <w:iCs/>
    </w:rPr>
  </w:style>
  <w:style w:type="character" w:styleId="173">
    <w:name w:val="Strong"/>
    <w:basedOn w:val="717"/>
    <w:uiPriority w:val="22"/>
    <w:qFormat/>
    <w:pPr>
      <w:pBdr/>
      <w:spacing/>
      <w:ind/>
    </w:pPr>
    <w:rPr>
      <w:b/>
      <w:bCs/>
    </w:rPr>
  </w:style>
  <w:style w:type="character" w:styleId="174">
    <w:name w:val="Subtle Reference"/>
    <w:basedOn w:val="717"/>
    <w:uiPriority w:val="31"/>
    <w:qFormat/>
    <w:pPr>
      <w:pBdr/>
      <w:spacing/>
      <w:ind/>
    </w:pPr>
    <w:rPr>
      <w:smallCaps/>
      <w:color w:val="5a5a5a" w:themeColor="text1" w:themeTint="A5"/>
    </w:rPr>
  </w:style>
  <w:style w:type="character" w:styleId="175">
    <w:name w:val="Book Title"/>
    <w:basedOn w:val="717"/>
    <w:uiPriority w:val="33"/>
    <w:qFormat/>
    <w:pPr>
      <w:pBdr/>
      <w:spacing/>
      <w:ind/>
    </w:pPr>
    <w:rPr>
      <w:b/>
      <w:bCs/>
      <w:i/>
      <w:iCs/>
      <w:spacing w:val="5"/>
    </w:rPr>
  </w:style>
  <w:style w:type="paragraph" w:styleId="176">
    <w:name w:val="Header"/>
    <w:basedOn w:val="707"/>
    <w:link w:val="177"/>
    <w:uiPriority w:val="99"/>
    <w:unhideWhenUsed/>
    <w:pPr>
      <w:pBdr/>
      <w:tabs>
        <w:tab w:val="center" w:leader="none" w:pos="4844"/>
        <w:tab w:val="right" w:leader="none" w:pos="9689"/>
      </w:tabs>
      <w:spacing w:after="0" w:line="240" w:lineRule="auto"/>
      <w:ind/>
    </w:pPr>
  </w:style>
  <w:style w:type="character" w:styleId="177">
    <w:name w:val="Header Char"/>
    <w:basedOn w:val="717"/>
    <w:link w:val="176"/>
    <w:uiPriority w:val="99"/>
    <w:pPr>
      <w:pBdr/>
      <w:spacing/>
      <w:ind/>
    </w:pPr>
  </w:style>
  <w:style w:type="paragraph" w:styleId="178">
    <w:name w:val="Footer"/>
    <w:basedOn w:val="707"/>
    <w:link w:val="179"/>
    <w:uiPriority w:val="99"/>
    <w:unhideWhenUsed/>
    <w:pPr>
      <w:pBdr/>
      <w:tabs>
        <w:tab w:val="center" w:leader="none" w:pos="4844"/>
        <w:tab w:val="right" w:leader="none" w:pos="9689"/>
      </w:tabs>
      <w:spacing w:after="0" w:line="240" w:lineRule="auto"/>
      <w:ind/>
    </w:pPr>
  </w:style>
  <w:style w:type="character" w:styleId="179">
    <w:name w:val="Footer Char"/>
    <w:basedOn w:val="717"/>
    <w:link w:val="178"/>
    <w:uiPriority w:val="99"/>
    <w:pPr>
      <w:pBdr/>
      <w:spacing/>
      <w:ind/>
    </w:pPr>
  </w:style>
  <w:style w:type="character" w:styleId="182">
    <w:name w:val="Footnote Text Char"/>
    <w:basedOn w:val="717"/>
    <w:link w:val="742"/>
    <w:uiPriority w:val="99"/>
    <w:semiHidden/>
    <w:pPr>
      <w:pBdr/>
      <w:spacing/>
      <w:ind/>
    </w:pPr>
    <w:rPr>
      <w:sz w:val="20"/>
      <w:szCs w:val="20"/>
    </w:rPr>
  </w:style>
  <w:style w:type="paragraph" w:styleId="184">
    <w:name w:val="endnote text"/>
    <w:basedOn w:val="707"/>
    <w:link w:val="185"/>
    <w:uiPriority w:val="99"/>
    <w:semiHidden/>
    <w:unhideWhenUsed/>
    <w:pPr>
      <w:pBdr/>
      <w:spacing w:after="0" w:line="240" w:lineRule="auto"/>
      <w:ind/>
    </w:pPr>
    <w:rPr>
      <w:sz w:val="20"/>
      <w:szCs w:val="20"/>
    </w:rPr>
  </w:style>
  <w:style w:type="character" w:styleId="185">
    <w:name w:val="Endnote Text Char"/>
    <w:basedOn w:val="717"/>
    <w:link w:val="184"/>
    <w:uiPriority w:val="99"/>
    <w:semiHidden/>
    <w:pPr>
      <w:pBdr/>
      <w:spacing/>
      <w:ind/>
    </w:pPr>
    <w:rPr>
      <w:sz w:val="20"/>
      <w:szCs w:val="20"/>
    </w:rPr>
  </w:style>
  <w:style w:type="character" w:styleId="186">
    <w:name w:val="endnote reference"/>
    <w:basedOn w:val="717"/>
    <w:uiPriority w:val="99"/>
    <w:semiHidden/>
    <w:unhideWhenUsed/>
    <w:pPr>
      <w:pBdr/>
      <w:spacing/>
      <w:ind/>
    </w:pPr>
    <w:rPr>
      <w:vertAlign w:val="superscript"/>
    </w:rPr>
  </w:style>
  <w:style w:type="character" w:styleId="188">
    <w:name w:val="FollowedHyperlink"/>
    <w:basedOn w:val="717"/>
    <w:uiPriority w:val="99"/>
    <w:semiHidden/>
    <w:unhideWhenUsed/>
    <w:pPr>
      <w:pBdr/>
      <w:spacing/>
      <w:ind/>
    </w:pPr>
    <w:rPr>
      <w:color w:val="954f72" w:themeColor="followedHyperlink"/>
      <w:u w:val="single"/>
    </w:rPr>
  </w:style>
  <w:style w:type="paragraph" w:styleId="189">
    <w:name w:val="toc 1"/>
    <w:basedOn w:val="707"/>
    <w:next w:val="707"/>
    <w:uiPriority w:val="39"/>
    <w:unhideWhenUsed/>
    <w:pPr>
      <w:pBdr/>
      <w:spacing w:after="100"/>
      <w:ind/>
    </w:pPr>
  </w:style>
  <w:style w:type="paragraph" w:styleId="190">
    <w:name w:val="toc 2"/>
    <w:basedOn w:val="707"/>
    <w:next w:val="707"/>
    <w:uiPriority w:val="39"/>
    <w:unhideWhenUsed/>
    <w:pPr>
      <w:pBdr/>
      <w:spacing w:after="100"/>
      <w:ind w:left="220"/>
    </w:pPr>
  </w:style>
  <w:style w:type="paragraph" w:styleId="191">
    <w:name w:val="toc 3"/>
    <w:basedOn w:val="707"/>
    <w:next w:val="707"/>
    <w:uiPriority w:val="39"/>
    <w:unhideWhenUsed/>
    <w:pPr>
      <w:pBdr/>
      <w:spacing w:after="100"/>
      <w:ind w:left="440"/>
    </w:pPr>
  </w:style>
  <w:style w:type="paragraph" w:styleId="192">
    <w:name w:val="toc 4"/>
    <w:basedOn w:val="707"/>
    <w:next w:val="707"/>
    <w:uiPriority w:val="39"/>
    <w:unhideWhenUsed/>
    <w:pPr>
      <w:pBdr/>
      <w:spacing w:after="100"/>
      <w:ind w:left="660"/>
    </w:pPr>
  </w:style>
  <w:style w:type="paragraph" w:styleId="193">
    <w:name w:val="toc 5"/>
    <w:basedOn w:val="707"/>
    <w:next w:val="707"/>
    <w:uiPriority w:val="39"/>
    <w:unhideWhenUsed/>
    <w:pPr>
      <w:pBdr/>
      <w:spacing w:after="100"/>
      <w:ind w:left="880"/>
    </w:pPr>
  </w:style>
  <w:style w:type="paragraph" w:styleId="194">
    <w:name w:val="toc 6"/>
    <w:basedOn w:val="707"/>
    <w:next w:val="707"/>
    <w:uiPriority w:val="39"/>
    <w:unhideWhenUsed/>
    <w:pPr>
      <w:pBdr/>
      <w:spacing w:after="100"/>
      <w:ind w:left="1100"/>
    </w:pPr>
  </w:style>
  <w:style w:type="paragraph" w:styleId="195">
    <w:name w:val="toc 7"/>
    <w:basedOn w:val="707"/>
    <w:next w:val="707"/>
    <w:uiPriority w:val="39"/>
    <w:unhideWhenUsed/>
    <w:pPr>
      <w:pBdr/>
      <w:spacing w:after="100"/>
      <w:ind w:left="1320"/>
    </w:pPr>
  </w:style>
  <w:style w:type="paragraph" w:styleId="196">
    <w:name w:val="toc 8"/>
    <w:basedOn w:val="707"/>
    <w:next w:val="707"/>
    <w:uiPriority w:val="39"/>
    <w:unhideWhenUsed/>
    <w:pPr>
      <w:pBdr/>
      <w:spacing w:after="100"/>
      <w:ind w:left="1540"/>
    </w:pPr>
  </w:style>
  <w:style w:type="paragraph" w:styleId="197">
    <w:name w:val="toc 9"/>
    <w:basedOn w:val="707"/>
    <w:next w:val="707"/>
    <w:uiPriority w:val="39"/>
    <w:unhideWhenUsed/>
    <w:pPr>
      <w:pBdr/>
      <w:spacing w:after="100"/>
      <w:ind w:left="1760"/>
    </w:pPr>
  </w:style>
  <w:style w:type="character" w:styleId="198">
    <w:name w:val="Placeholder Text"/>
    <w:basedOn w:val="717"/>
    <w:uiPriority w:val="99"/>
    <w:semiHidden/>
    <w:pPr>
      <w:pBdr/>
      <w:spacing/>
      <w:ind/>
    </w:pPr>
    <w:rPr>
      <w:color w:val="666666"/>
    </w:rPr>
  </w:style>
  <w:style w:type="paragraph" w:styleId="209">
    <w:name w:val="table of figures"/>
    <w:basedOn w:val="707"/>
    <w:next w:val="707"/>
    <w:uiPriority w:val="99"/>
    <w:unhideWhenUsed/>
    <w:pPr>
      <w:pBdr/>
      <w:spacing w:after="0" w:afterAutospacing="0"/>
      <w:ind/>
    </w:pPr>
  </w:style>
  <w:style w:type="paragraph" w:styleId="707" w:default="1">
    <w:name w:val="Normal"/>
    <w:qFormat/>
    <w:pPr>
      <w:pBdr/>
      <w:spacing/>
      <w:ind/>
    </w:pPr>
  </w:style>
  <w:style w:type="paragraph" w:styleId="708">
    <w:name w:val="Heading 1"/>
    <w:basedOn w:val="707"/>
    <w:next w:val="720"/>
    <w:link w:val="732"/>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09">
    <w:name w:val="Heading 2"/>
    <w:basedOn w:val="707"/>
    <w:next w:val="720"/>
    <w:link w:val="733"/>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10">
    <w:name w:val="Heading 3"/>
    <w:basedOn w:val="707"/>
    <w:next w:val="720"/>
    <w:link w:val="734"/>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11">
    <w:name w:val="Heading 4"/>
    <w:basedOn w:val="707"/>
    <w:next w:val="720"/>
    <w:link w:val="735"/>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12">
    <w:name w:val="Heading 5"/>
    <w:basedOn w:val="707"/>
    <w:next w:val="720"/>
    <w:link w:val="736"/>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13">
    <w:name w:val="Heading 6"/>
    <w:basedOn w:val="707"/>
    <w:next w:val="720"/>
    <w:link w:val="737"/>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14">
    <w:name w:val="Heading 7"/>
    <w:basedOn w:val="707"/>
    <w:next w:val="720"/>
    <w:link w:val="738"/>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15">
    <w:name w:val="Heading 8"/>
    <w:basedOn w:val="707"/>
    <w:next w:val="720"/>
    <w:link w:val="739"/>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16">
    <w:name w:val="Heading 9"/>
    <w:basedOn w:val="707"/>
    <w:next w:val="720"/>
    <w:link w:val="740"/>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17" w:default="1">
    <w:name w:val="Default Paragraph Font"/>
    <w:uiPriority w:val="1"/>
    <w:semiHidden/>
    <w:unhideWhenUsed/>
    <w:pPr>
      <w:pBdr/>
      <w:spacing/>
      <w:ind/>
    </w:pPr>
  </w:style>
  <w:style w:type="table" w:styleId="71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9" w:default="1">
    <w:name w:val="No List"/>
    <w:uiPriority w:val="99"/>
    <w:semiHidden/>
    <w:unhideWhenUsed/>
    <w:pPr>
      <w:pBdr/>
      <w:spacing/>
      <w:ind/>
    </w:pPr>
  </w:style>
  <w:style w:type="paragraph" w:styleId="720">
    <w:name w:val="Body Text"/>
    <w:basedOn w:val="707"/>
    <w:qFormat/>
    <w:pPr>
      <w:pBdr/>
      <w:spacing w:after="180" w:before="180"/>
      <w:ind/>
    </w:pPr>
  </w:style>
  <w:style w:type="paragraph" w:styleId="721" w:customStyle="1">
    <w:name w:val="First Paragraph"/>
    <w:basedOn w:val="720"/>
    <w:next w:val="720"/>
    <w:qFormat/>
    <w:pPr>
      <w:pBdr/>
      <w:spacing/>
      <w:ind/>
    </w:pPr>
  </w:style>
  <w:style w:type="paragraph" w:styleId="722" w:customStyle="1">
    <w:name w:val="Compact"/>
    <w:basedOn w:val="720"/>
    <w:qFormat/>
    <w:pPr>
      <w:pBdr/>
      <w:spacing w:after="36" w:before="36"/>
      <w:ind/>
    </w:pPr>
    <w:rPr>
      <w:sz w:val="20"/>
    </w:rPr>
  </w:style>
  <w:style w:type="paragraph" w:styleId="723">
    <w:name w:val="Title"/>
    <w:basedOn w:val="707"/>
    <w:next w:val="720"/>
    <w:link w:val="724"/>
    <w:uiPriority w:val="10"/>
    <w:qFormat/>
    <w:pPr>
      <w:pBdr/>
      <w:spacing w:after="80"/>
      <w:ind/>
      <w:contextualSpacing w:val="true"/>
      <w:jc w:val="center"/>
    </w:pPr>
    <w:rPr>
      <w:rFonts w:asciiTheme="majorHAnsi" w:hAnsiTheme="majorHAnsi" w:eastAsiaTheme="majorEastAsia" w:cstheme="majorBidi"/>
      <w:sz w:val="56"/>
      <w:szCs w:val="56"/>
    </w:rPr>
  </w:style>
  <w:style w:type="character" w:styleId="724" w:customStyle="1">
    <w:name w:val="Título Char"/>
    <w:basedOn w:val="717"/>
    <w:link w:val="723"/>
    <w:uiPriority w:val="10"/>
    <w:pPr>
      <w:pBdr/>
      <w:spacing/>
      <w:ind/>
    </w:pPr>
    <w:rPr>
      <w:rFonts w:asciiTheme="majorHAnsi" w:hAnsiTheme="majorHAnsi" w:eastAsiaTheme="majorEastAsia" w:cstheme="majorBidi"/>
      <w:sz w:val="56"/>
      <w:szCs w:val="56"/>
    </w:rPr>
  </w:style>
  <w:style w:type="paragraph" w:styleId="725">
    <w:name w:val="Subtitle"/>
    <w:basedOn w:val="723"/>
    <w:next w:val="720"/>
    <w:link w:val="726"/>
    <w:uiPriority w:val="11"/>
    <w:qFormat/>
    <w:pPr>
      <w:numPr>
        <w:ilvl w:val="1"/>
      </w:numPr>
      <w:pBdr/>
      <w:spacing/>
      <w:ind/>
    </w:pPr>
    <w:rPr>
      <w:spacing w:val="15"/>
      <w:sz w:val="28"/>
      <w:szCs w:val="28"/>
    </w:rPr>
  </w:style>
  <w:style w:type="character" w:styleId="726" w:customStyle="1">
    <w:name w:val="Subtítulo Char"/>
    <w:basedOn w:val="717"/>
    <w:link w:val="725"/>
    <w:uiPriority w:val="11"/>
    <w:pPr>
      <w:pBdr/>
      <w:spacing/>
      <w:ind/>
    </w:pPr>
    <w:rPr>
      <w:rFonts w:eastAsiaTheme="majorEastAsia" w:cstheme="majorBidi"/>
      <w:color w:val="595959" w:themeColor="text1" w:themeTint="A6"/>
      <w:spacing w:val="15"/>
      <w:sz w:val="28"/>
      <w:szCs w:val="28"/>
    </w:rPr>
  </w:style>
  <w:style w:type="paragraph" w:styleId="727" w:customStyle="1">
    <w:name w:val="Author"/>
    <w:basedOn w:val="723"/>
    <w:next w:val="720"/>
    <w:qFormat/>
    <w:pPr>
      <w:keepNext w:val="true"/>
      <w:keepLines w:val="true"/>
      <w:pBdr/>
      <w:spacing/>
      <w:ind/>
    </w:pPr>
    <w:rPr>
      <w:sz w:val="24"/>
      <w:szCs w:val="24"/>
    </w:rPr>
  </w:style>
  <w:style w:type="paragraph" w:styleId="728">
    <w:name w:val="Date"/>
    <w:basedOn w:val="723"/>
    <w:next w:val="720"/>
    <w:qFormat/>
    <w:pPr>
      <w:keepNext w:val="true"/>
      <w:keepLines w:val="true"/>
      <w:pBdr/>
      <w:spacing/>
      <w:ind/>
    </w:pPr>
    <w:rPr>
      <w:sz w:val="24"/>
      <w:szCs w:val="24"/>
    </w:rPr>
  </w:style>
  <w:style w:type="paragraph" w:styleId="729" w:customStyle="1">
    <w:name w:val="Abstract Title"/>
    <w:basedOn w:val="707"/>
    <w:next w:val="730"/>
    <w:qFormat/>
    <w:pPr>
      <w:keepNext w:val="true"/>
      <w:keepLines w:val="true"/>
      <w:pBdr/>
      <w:spacing w:after="0" w:before="300"/>
      <w:ind/>
      <w:jc w:val="center"/>
    </w:pPr>
    <w:rPr>
      <w:b/>
      <w:sz w:val="20"/>
      <w:szCs w:val="20"/>
    </w:rPr>
  </w:style>
  <w:style w:type="paragraph" w:styleId="730" w:customStyle="1">
    <w:name w:val="Abstract"/>
    <w:basedOn w:val="707"/>
    <w:next w:val="720"/>
    <w:qFormat/>
    <w:pPr>
      <w:keepNext w:val="true"/>
      <w:keepLines w:val="true"/>
      <w:pBdr/>
      <w:spacing w:after="300" w:before="100"/>
      <w:ind/>
    </w:pPr>
    <w:rPr>
      <w:sz w:val="20"/>
      <w:szCs w:val="20"/>
    </w:rPr>
  </w:style>
  <w:style w:type="paragraph" w:styleId="731">
    <w:name w:val="Bibliography"/>
    <w:basedOn w:val="707"/>
    <w:qFormat/>
    <w:pPr>
      <w:pBdr/>
      <w:spacing/>
      <w:ind/>
    </w:pPr>
  </w:style>
  <w:style w:type="character" w:styleId="732" w:customStyle="1">
    <w:name w:val="Título 1 Char"/>
    <w:basedOn w:val="717"/>
    <w:link w:val="708"/>
    <w:uiPriority w:val="9"/>
    <w:pPr>
      <w:pBdr/>
      <w:spacing/>
      <w:ind/>
    </w:pPr>
    <w:rPr>
      <w:rFonts w:asciiTheme="majorHAnsi" w:hAnsiTheme="majorHAnsi" w:eastAsiaTheme="majorEastAsia" w:cstheme="majorBidi"/>
      <w:color w:val="0f4761" w:themeColor="accent1" w:themeShade="BF"/>
      <w:sz w:val="40"/>
      <w:szCs w:val="40"/>
    </w:rPr>
  </w:style>
  <w:style w:type="character" w:styleId="733" w:customStyle="1">
    <w:name w:val="Título 2 Char"/>
    <w:basedOn w:val="717"/>
    <w:link w:val="709"/>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34" w:customStyle="1">
    <w:name w:val="Título 3 Char"/>
    <w:basedOn w:val="717"/>
    <w:link w:val="710"/>
    <w:uiPriority w:val="9"/>
    <w:semiHidden/>
    <w:pPr>
      <w:pBdr/>
      <w:spacing/>
      <w:ind/>
    </w:pPr>
    <w:rPr>
      <w:rFonts w:eastAsiaTheme="majorEastAsia" w:cstheme="majorBidi"/>
      <w:color w:val="0f4761" w:themeColor="accent1" w:themeShade="BF"/>
      <w:sz w:val="28"/>
      <w:szCs w:val="28"/>
    </w:rPr>
  </w:style>
  <w:style w:type="character" w:styleId="735" w:customStyle="1">
    <w:name w:val="Título 4 Char"/>
    <w:basedOn w:val="717"/>
    <w:link w:val="711"/>
    <w:uiPriority w:val="9"/>
    <w:semiHidden/>
    <w:pPr>
      <w:pBdr/>
      <w:spacing/>
      <w:ind/>
    </w:pPr>
    <w:rPr>
      <w:rFonts w:eastAsiaTheme="majorEastAsia" w:cstheme="majorBidi"/>
      <w:i/>
      <w:iCs/>
      <w:color w:val="0f4761" w:themeColor="accent1" w:themeShade="BF"/>
    </w:rPr>
  </w:style>
  <w:style w:type="character" w:styleId="736" w:customStyle="1">
    <w:name w:val="Título 5 Char"/>
    <w:basedOn w:val="717"/>
    <w:link w:val="712"/>
    <w:uiPriority w:val="9"/>
    <w:semiHidden/>
    <w:pPr>
      <w:pBdr/>
      <w:spacing/>
      <w:ind/>
    </w:pPr>
    <w:rPr>
      <w:rFonts w:eastAsiaTheme="majorEastAsia" w:cstheme="majorBidi"/>
      <w:color w:val="0f4761" w:themeColor="accent1" w:themeShade="BF"/>
    </w:rPr>
  </w:style>
  <w:style w:type="character" w:styleId="737" w:customStyle="1">
    <w:name w:val="Título 6 Char"/>
    <w:basedOn w:val="717"/>
    <w:link w:val="713"/>
    <w:uiPriority w:val="9"/>
    <w:semiHidden/>
    <w:pPr>
      <w:pBdr/>
      <w:spacing/>
      <w:ind/>
    </w:pPr>
    <w:rPr>
      <w:rFonts w:eastAsiaTheme="majorEastAsia" w:cstheme="majorBidi"/>
      <w:i/>
      <w:iCs/>
      <w:color w:val="595959" w:themeColor="text1" w:themeTint="A6"/>
    </w:rPr>
  </w:style>
  <w:style w:type="character" w:styleId="738" w:customStyle="1">
    <w:name w:val="Título 7 Char"/>
    <w:basedOn w:val="717"/>
    <w:link w:val="714"/>
    <w:uiPriority w:val="9"/>
    <w:semiHidden/>
    <w:pPr>
      <w:pBdr/>
      <w:spacing/>
      <w:ind/>
    </w:pPr>
    <w:rPr>
      <w:rFonts w:eastAsiaTheme="majorEastAsia" w:cstheme="majorBidi"/>
      <w:color w:val="595959" w:themeColor="text1" w:themeTint="A6"/>
    </w:rPr>
  </w:style>
  <w:style w:type="character" w:styleId="739" w:customStyle="1">
    <w:name w:val="Título 8 Char"/>
    <w:basedOn w:val="717"/>
    <w:link w:val="715"/>
    <w:uiPriority w:val="9"/>
    <w:semiHidden/>
    <w:pPr>
      <w:pBdr/>
      <w:spacing/>
      <w:ind/>
    </w:pPr>
    <w:rPr>
      <w:rFonts w:eastAsiaTheme="majorEastAsia" w:cstheme="majorBidi"/>
      <w:i/>
      <w:iCs/>
      <w:color w:val="272727" w:themeColor="text1" w:themeTint="D8"/>
    </w:rPr>
  </w:style>
  <w:style w:type="character" w:styleId="740" w:customStyle="1">
    <w:name w:val="Título 9 Char"/>
    <w:basedOn w:val="717"/>
    <w:link w:val="716"/>
    <w:uiPriority w:val="9"/>
    <w:semiHidden/>
    <w:pPr>
      <w:pBdr/>
      <w:spacing/>
      <w:ind/>
    </w:pPr>
    <w:rPr>
      <w:rFonts w:eastAsiaTheme="majorEastAsia" w:cstheme="majorBidi"/>
      <w:color w:val="272727" w:themeColor="text1" w:themeTint="D8"/>
    </w:rPr>
  </w:style>
  <w:style w:type="paragraph" w:styleId="741">
    <w:name w:val="Block Text"/>
    <w:basedOn w:val="720"/>
    <w:next w:val="720"/>
    <w:uiPriority w:val="9"/>
    <w:unhideWhenUsed/>
    <w:qFormat/>
    <w:pPr>
      <w:pBdr/>
      <w:spacing w:after="100" w:before="100"/>
      <w:ind w:right="480" w:left="480"/>
    </w:pPr>
  </w:style>
  <w:style w:type="paragraph" w:styleId="742">
    <w:name w:val="footnote text"/>
    <w:basedOn w:val="707"/>
    <w:uiPriority w:val="9"/>
    <w:unhideWhenUsed/>
    <w:qFormat/>
    <w:pPr>
      <w:pBdr/>
      <w:spacing/>
      <w:ind/>
    </w:pPr>
  </w:style>
  <w:style w:type="paragraph" w:styleId="743" w:customStyle="1">
    <w:name w:val="Footnote Block Text"/>
    <w:basedOn w:val="742"/>
    <w:next w:val="742"/>
    <w:uiPriority w:val="9"/>
    <w:unhideWhenUsed/>
    <w:qFormat/>
    <w:pPr>
      <w:pBdr/>
      <w:spacing w:after="100" w:before="100"/>
      <w:ind w:right="480" w:left="480"/>
    </w:pPr>
  </w:style>
  <w:style w:type="table" w:styleId="744" w:customStyle="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rPr>
        <w:jc w:val="left"/>
      </w:trPr>
      <w:tcPr>
        <w:tcBorders>
          <w:bottom w:val="single" w:color="000000" w:sz="0"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45" w:customStyle="1">
    <w:name w:val="Definition Term"/>
    <w:basedOn w:val="707"/>
    <w:next w:val="746"/>
    <w:pPr>
      <w:keepNext w:val="true"/>
      <w:keepLines w:val="true"/>
      <w:pBdr/>
      <w:spacing w:after="0"/>
      <w:ind/>
    </w:pPr>
    <w:rPr>
      <w:b/>
    </w:rPr>
  </w:style>
  <w:style w:type="paragraph" w:styleId="746" w:customStyle="1">
    <w:name w:val="Definition"/>
    <w:basedOn w:val="707"/>
    <w:pPr>
      <w:pBdr/>
      <w:spacing/>
      <w:ind/>
    </w:pPr>
  </w:style>
  <w:style w:type="paragraph" w:styleId="747">
    <w:name w:val="Caption"/>
    <w:basedOn w:val="707"/>
    <w:link w:val="752"/>
    <w:pPr>
      <w:pBdr/>
      <w:spacing w:after="120"/>
      <w:ind/>
    </w:pPr>
    <w:rPr>
      <w:i/>
    </w:rPr>
  </w:style>
  <w:style w:type="paragraph" w:styleId="748" w:customStyle="1">
    <w:name w:val="Table Caption"/>
    <w:basedOn w:val="747"/>
    <w:pPr>
      <w:keepNext w:val="true"/>
      <w:pBdr/>
      <w:spacing/>
      <w:ind/>
    </w:pPr>
  </w:style>
  <w:style w:type="paragraph" w:styleId="749" w:customStyle="1">
    <w:name w:val="Image Caption"/>
    <w:basedOn w:val="747"/>
    <w:pPr>
      <w:pBdr/>
      <w:spacing/>
      <w:ind/>
    </w:pPr>
  </w:style>
  <w:style w:type="paragraph" w:styleId="750" w:customStyle="1">
    <w:name w:val="Figure"/>
    <w:basedOn w:val="707"/>
    <w:pPr>
      <w:pBdr/>
      <w:spacing/>
      <w:ind/>
    </w:pPr>
  </w:style>
  <w:style w:type="paragraph" w:styleId="751" w:customStyle="1">
    <w:name w:val="Captioned Figure"/>
    <w:basedOn w:val="750"/>
    <w:pPr>
      <w:keepNext w:val="true"/>
      <w:pBdr/>
      <w:spacing/>
      <w:ind/>
    </w:pPr>
  </w:style>
  <w:style w:type="character" w:styleId="752" w:customStyle="1">
    <w:name w:val="Legenda Char"/>
    <w:basedOn w:val="717"/>
    <w:link w:val="747"/>
    <w:pPr>
      <w:pBdr/>
      <w:spacing/>
      <w:ind/>
    </w:pPr>
  </w:style>
  <w:style w:type="character" w:styleId="753" w:customStyle="1">
    <w:name w:val="Verbatim Char"/>
    <w:basedOn w:val="752"/>
    <w:pPr>
      <w:pBdr/>
      <w:spacing/>
      <w:ind/>
    </w:pPr>
    <w:rPr>
      <w:rFonts w:ascii="Consolas" w:hAnsi="Consolas"/>
      <w:sz w:val="20"/>
    </w:rPr>
  </w:style>
  <w:style w:type="character" w:styleId="754" w:customStyle="1">
    <w:name w:val="Section Number"/>
    <w:basedOn w:val="752"/>
    <w:pPr>
      <w:pBdr/>
      <w:spacing/>
      <w:ind/>
    </w:pPr>
  </w:style>
  <w:style w:type="character" w:styleId="755">
    <w:name w:val="footnote reference"/>
    <w:basedOn w:val="752"/>
    <w:pPr>
      <w:pBdr/>
      <w:spacing/>
      <w:ind/>
    </w:pPr>
    <w:rPr>
      <w:vertAlign w:val="superscript"/>
    </w:rPr>
  </w:style>
  <w:style w:type="character" w:styleId="756">
    <w:name w:val="Hyperlink"/>
    <w:basedOn w:val="752"/>
    <w:pPr>
      <w:pBdr/>
      <w:spacing/>
      <w:ind/>
    </w:pPr>
    <w:rPr>
      <w:color w:val="156082" w:themeColor="accent1"/>
    </w:rPr>
  </w:style>
  <w:style w:type="paragraph" w:styleId="757">
    <w:name w:val="TOC Heading"/>
    <w:basedOn w:val="708"/>
    <w:next w:val="720"/>
    <w:uiPriority w:val="39"/>
    <w:unhideWhenUsed/>
    <w:qFormat/>
    <w:pPr>
      <w:pBdr/>
      <w:spacing w:before="240" w:line="259" w:lineRule="auto"/>
      <w:ind/>
      <w:outlineLvl w:val="9"/>
    </w:pPr>
  </w:style>
  <w:style w:type="paragraph" w:styleId="758" w:customStyle="1">
    <w:name w:val="Source Code"/>
    <w:basedOn w:val="707"/>
    <w:link w:val="753"/>
    <w:pPr>
      <w:pBdr/>
      <w:shd w:val="clear" w:color="auto" w:fill="f1f3f5"/>
      <w:spacing/>
      <w:ind/>
    </w:pPr>
  </w:style>
  <w:style w:type="character" w:styleId="759" w:customStyle="1">
    <w:name w:val="KeywordTok"/>
    <w:basedOn w:val="753"/>
    <w:pPr>
      <w:pBdr/>
      <w:spacing/>
      <w:ind/>
    </w:pPr>
    <w:rPr>
      <w:b/>
      <w:color w:val="003b4f"/>
      <w:shd w:val="clear" w:color="auto" w:fill="f1f3f5"/>
    </w:rPr>
  </w:style>
  <w:style w:type="character" w:styleId="760" w:customStyle="1">
    <w:name w:val="DataTypeTok"/>
    <w:basedOn w:val="753"/>
    <w:pPr>
      <w:pBdr/>
      <w:spacing/>
      <w:ind/>
    </w:pPr>
    <w:rPr>
      <w:color w:val="ad0000"/>
      <w:shd w:val="clear" w:color="auto" w:fill="f1f3f5"/>
    </w:rPr>
  </w:style>
  <w:style w:type="character" w:styleId="761" w:customStyle="1">
    <w:name w:val="DecValTok"/>
    <w:basedOn w:val="753"/>
    <w:pPr>
      <w:pBdr/>
      <w:spacing/>
      <w:ind/>
    </w:pPr>
    <w:rPr>
      <w:color w:val="ad0000"/>
      <w:shd w:val="clear" w:color="auto" w:fill="f1f3f5"/>
    </w:rPr>
  </w:style>
  <w:style w:type="character" w:styleId="762" w:customStyle="1">
    <w:name w:val="BaseNTok"/>
    <w:basedOn w:val="753"/>
    <w:pPr>
      <w:pBdr/>
      <w:spacing/>
      <w:ind/>
    </w:pPr>
    <w:rPr>
      <w:color w:val="ad0000"/>
      <w:shd w:val="clear" w:color="auto" w:fill="f1f3f5"/>
    </w:rPr>
  </w:style>
  <w:style w:type="character" w:styleId="763" w:customStyle="1">
    <w:name w:val="FloatTok"/>
    <w:basedOn w:val="753"/>
    <w:pPr>
      <w:pBdr/>
      <w:spacing/>
      <w:ind/>
    </w:pPr>
    <w:rPr>
      <w:color w:val="ad0000"/>
      <w:shd w:val="clear" w:color="auto" w:fill="f1f3f5"/>
    </w:rPr>
  </w:style>
  <w:style w:type="character" w:styleId="764" w:customStyle="1">
    <w:name w:val="ConstantTok"/>
    <w:basedOn w:val="753"/>
    <w:pPr>
      <w:pBdr/>
      <w:spacing/>
      <w:ind/>
    </w:pPr>
    <w:rPr>
      <w:color w:val="8f5902"/>
      <w:shd w:val="clear" w:color="auto" w:fill="f1f3f5"/>
    </w:rPr>
  </w:style>
  <w:style w:type="character" w:styleId="765" w:customStyle="1">
    <w:name w:val="CharTok"/>
    <w:basedOn w:val="753"/>
    <w:pPr>
      <w:pBdr/>
      <w:spacing/>
      <w:ind/>
    </w:pPr>
    <w:rPr>
      <w:color w:val="20794d"/>
      <w:shd w:val="clear" w:color="auto" w:fill="f1f3f5"/>
    </w:rPr>
  </w:style>
  <w:style w:type="character" w:styleId="766" w:customStyle="1">
    <w:name w:val="SpecialCharTok"/>
    <w:basedOn w:val="753"/>
    <w:pPr>
      <w:pBdr/>
      <w:spacing/>
      <w:ind/>
    </w:pPr>
    <w:rPr>
      <w:color w:val="5e5e5e"/>
      <w:shd w:val="clear" w:color="auto" w:fill="f1f3f5"/>
    </w:rPr>
  </w:style>
  <w:style w:type="character" w:styleId="767" w:customStyle="1">
    <w:name w:val="StringTok"/>
    <w:basedOn w:val="753"/>
    <w:pPr>
      <w:pBdr/>
      <w:spacing/>
      <w:ind/>
    </w:pPr>
    <w:rPr>
      <w:color w:val="20794d"/>
      <w:shd w:val="clear" w:color="auto" w:fill="f1f3f5"/>
    </w:rPr>
  </w:style>
  <w:style w:type="character" w:styleId="768" w:customStyle="1">
    <w:name w:val="VerbatimStringTok"/>
    <w:basedOn w:val="753"/>
    <w:pPr>
      <w:pBdr/>
      <w:spacing/>
      <w:ind/>
    </w:pPr>
    <w:rPr>
      <w:color w:val="20794d"/>
      <w:shd w:val="clear" w:color="auto" w:fill="f1f3f5"/>
    </w:rPr>
  </w:style>
  <w:style w:type="character" w:styleId="769" w:customStyle="1">
    <w:name w:val="SpecialStringTok"/>
    <w:basedOn w:val="753"/>
    <w:pPr>
      <w:pBdr/>
      <w:spacing/>
      <w:ind/>
    </w:pPr>
    <w:rPr>
      <w:color w:val="20794d"/>
      <w:shd w:val="clear" w:color="auto" w:fill="f1f3f5"/>
    </w:rPr>
  </w:style>
  <w:style w:type="character" w:styleId="770" w:customStyle="1">
    <w:name w:val="ImportTok"/>
    <w:basedOn w:val="753"/>
    <w:pPr>
      <w:pBdr/>
      <w:spacing/>
      <w:ind/>
    </w:pPr>
    <w:rPr>
      <w:color w:val="00769e"/>
      <w:shd w:val="clear" w:color="auto" w:fill="f1f3f5"/>
    </w:rPr>
  </w:style>
  <w:style w:type="character" w:styleId="771" w:customStyle="1">
    <w:name w:val="CommentTok"/>
    <w:basedOn w:val="753"/>
    <w:pPr>
      <w:pBdr/>
      <w:spacing/>
      <w:ind/>
    </w:pPr>
    <w:rPr>
      <w:color w:val="5e5e5e"/>
      <w:shd w:val="clear" w:color="auto" w:fill="f1f3f5"/>
    </w:rPr>
  </w:style>
  <w:style w:type="character" w:styleId="772" w:customStyle="1">
    <w:name w:val="DocumentationTok"/>
    <w:basedOn w:val="753"/>
    <w:pPr>
      <w:pBdr/>
      <w:spacing/>
      <w:ind/>
    </w:pPr>
    <w:rPr>
      <w:i/>
      <w:color w:val="5e5e5e"/>
      <w:shd w:val="clear" w:color="auto" w:fill="f1f3f5"/>
    </w:rPr>
  </w:style>
  <w:style w:type="character" w:styleId="773" w:customStyle="1">
    <w:name w:val="AnnotationTok"/>
    <w:basedOn w:val="753"/>
    <w:pPr>
      <w:pBdr/>
      <w:spacing/>
      <w:ind/>
    </w:pPr>
    <w:rPr>
      <w:color w:val="5e5e5e"/>
      <w:shd w:val="clear" w:color="auto" w:fill="f1f3f5"/>
    </w:rPr>
  </w:style>
  <w:style w:type="character" w:styleId="774" w:customStyle="1">
    <w:name w:val="CommentVarTok"/>
    <w:basedOn w:val="753"/>
    <w:pPr>
      <w:pBdr/>
      <w:spacing/>
      <w:ind/>
    </w:pPr>
    <w:rPr>
      <w:i/>
      <w:color w:val="5e5e5e"/>
      <w:shd w:val="clear" w:color="auto" w:fill="f1f3f5"/>
    </w:rPr>
  </w:style>
  <w:style w:type="character" w:styleId="775" w:customStyle="1">
    <w:name w:val="OtherTok"/>
    <w:basedOn w:val="753"/>
    <w:pPr>
      <w:pBdr/>
      <w:spacing/>
      <w:ind/>
    </w:pPr>
    <w:rPr>
      <w:color w:val="003b4f"/>
      <w:shd w:val="clear" w:color="auto" w:fill="f1f3f5"/>
    </w:rPr>
  </w:style>
  <w:style w:type="character" w:styleId="776" w:customStyle="1">
    <w:name w:val="FunctionTok"/>
    <w:basedOn w:val="753"/>
    <w:pPr>
      <w:pBdr/>
      <w:spacing/>
      <w:ind/>
    </w:pPr>
    <w:rPr>
      <w:color w:val="4758ab"/>
      <w:shd w:val="clear" w:color="auto" w:fill="f1f3f5"/>
    </w:rPr>
  </w:style>
  <w:style w:type="character" w:styleId="777" w:customStyle="1">
    <w:name w:val="VariableTok"/>
    <w:basedOn w:val="753"/>
    <w:pPr>
      <w:pBdr/>
      <w:spacing/>
      <w:ind/>
    </w:pPr>
    <w:rPr>
      <w:color w:val="111111"/>
      <w:shd w:val="clear" w:color="auto" w:fill="f1f3f5"/>
    </w:rPr>
  </w:style>
  <w:style w:type="character" w:styleId="778" w:customStyle="1">
    <w:name w:val="ControlFlowTok"/>
    <w:basedOn w:val="753"/>
    <w:pPr>
      <w:pBdr/>
      <w:spacing/>
      <w:ind/>
    </w:pPr>
    <w:rPr>
      <w:b/>
      <w:color w:val="003b4f"/>
      <w:shd w:val="clear" w:color="auto" w:fill="f1f3f5"/>
    </w:rPr>
  </w:style>
  <w:style w:type="character" w:styleId="779" w:customStyle="1">
    <w:name w:val="OperatorTok"/>
    <w:basedOn w:val="753"/>
    <w:pPr>
      <w:pBdr/>
      <w:spacing/>
      <w:ind/>
    </w:pPr>
    <w:rPr>
      <w:color w:val="5e5e5e"/>
      <w:shd w:val="clear" w:color="auto" w:fill="f1f3f5"/>
    </w:rPr>
  </w:style>
  <w:style w:type="character" w:styleId="780" w:customStyle="1">
    <w:name w:val="BuiltInTok"/>
    <w:basedOn w:val="753"/>
    <w:pPr>
      <w:pBdr/>
      <w:spacing/>
      <w:ind/>
    </w:pPr>
    <w:rPr>
      <w:color w:val="003b4f"/>
      <w:shd w:val="clear" w:color="auto" w:fill="f1f3f5"/>
    </w:rPr>
  </w:style>
  <w:style w:type="character" w:styleId="781" w:customStyle="1">
    <w:name w:val="ExtensionTok"/>
    <w:basedOn w:val="753"/>
    <w:pPr>
      <w:pBdr/>
      <w:spacing/>
      <w:ind/>
    </w:pPr>
    <w:rPr>
      <w:color w:val="003b4f"/>
      <w:shd w:val="clear" w:color="auto" w:fill="f1f3f5"/>
    </w:rPr>
  </w:style>
  <w:style w:type="character" w:styleId="782" w:customStyle="1">
    <w:name w:val="PreprocessorTok"/>
    <w:basedOn w:val="753"/>
    <w:pPr>
      <w:pBdr/>
      <w:spacing/>
      <w:ind/>
    </w:pPr>
    <w:rPr>
      <w:color w:val="ad0000"/>
      <w:shd w:val="clear" w:color="auto" w:fill="f1f3f5"/>
    </w:rPr>
  </w:style>
  <w:style w:type="character" w:styleId="783" w:customStyle="1">
    <w:name w:val="AttributeTok"/>
    <w:basedOn w:val="753"/>
    <w:pPr>
      <w:pBdr/>
      <w:spacing/>
      <w:ind/>
    </w:pPr>
    <w:rPr>
      <w:color w:val="657422"/>
      <w:shd w:val="clear" w:color="auto" w:fill="f1f3f5"/>
    </w:rPr>
  </w:style>
  <w:style w:type="character" w:styleId="784" w:customStyle="1">
    <w:name w:val="RegionMarkerTok"/>
    <w:basedOn w:val="753"/>
    <w:pPr>
      <w:pBdr/>
      <w:spacing/>
      <w:ind/>
    </w:pPr>
    <w:rPr>
      <w:color w:val="003b4f"/>
      <w:shd w:val="clear" w:color="auto" w:fill="f1f3f5"/>
    </w:rPr>
  </w:style>
  <w:style w:type="character" w:styleId="785" w:customStyle="1">
    <w:name w:val="InformationTok"/>
    <w:basedOn w:val="753"/>
    <w:pPr>
      <w:pBdr/>
      <w:spacing/>
      <w:ind/>
    </w:pPr>
    <w:rPr>
      <w:color w:val="5e5e5e"/>
      <w:shd w:val="clear" w:color="auto" w:fill="f1f3f5"/>
    </w:rPr>
  </w:style>
  <w:style w:type="character" w:styleId="786" w:customStyle="1">
    <w:name w:val="WarningTok"/>
    <w:basedOn w:val="753"/>
    <w:pPr>
      <w:pBdr/>
      <w:spacing/>
      <w:ind/>
    </w:pPr>
    <w:rPr>
      <w:i/>
      <w:color w:val="5e5e5e"/>
      <w:shd w:val="clear" w:color="auto" w:fill="f1f3f5"/>
    </w:rPr>
  </w:style>
  <w:style w:type="character" w:styleId="787" w:customStyle="1">
    <w:name w:val="AlertTok"/>
    <w:basedOn w:val="753"/>
    <w:pPr>
      <w:pBdr/>
      <w:spacing/>
      <w:ind/>
    </w:pPr>
    <w:rPr>
      <w:color w:val="ad0000"/>
      <w:shd w:val="clear" w:color="auto" w:fill="f1f3f5"/>
    </w:rPr>
  </w:style>
  <w:style w:type="character" w:styleId="788" w:customStyle="1">
    <w:name w:val="ErrorTok"/>
    <w:basedOn w:val="753"/>
    <w:pPr>
      <w:pBdr/>
      <w:spacing/>
      <w:ind/>
    </w:pPr>
    <w:rPr>
      <w:color w:val="ad0000"/>
      <w:shd w:val="clear" w:color="auto" w:fill="f1f3f5"/>
    </w:rPr>
  </w:style>
  <w:style w:type="character" w:styleId="789" w:customStyle="1">
    <w:name w:val="NormalTok"/>
    <w:basedOn w:val="753"/>
    <w:pPr>
      <w:pBdr/>
      <w:spacing/>
      <w:ind/>
    </w:pPr>
    <w:rPr>
      <w:color w:val="003b4f"/>
      <w:shd w:val="clear" w:color="auto" w:fill="f1f3f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 Resultados. Documento Temporário</dc:title>
  <dc:creator>Fabiano A. Lima</dc:creator>
  <cp:keywords/>
  <dc:language>pt-BR</dc:language>
  <cp:revision>1</cp:revision>
  <dcterms:created xsi:type="dcterms:W3CDTF">2025-10-13T18:44:37Z</dcterms:created>
  <dcterms:modified xsi:type="dcterms:W3CDTF">2026-07-31T01:32:31Z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toc-title">
    <vt:lpwstr>Índice</vt:lpwstr>
  </property>
</Properties>
</file>