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8"/>
        <w:pBdr/>
        <w:spacing/>
        <w:ind/>
        <w:rPr/>
      </w:pPr>
      <w:r>
        <w:t xml:space="preserve">Análise de Resultados. Documento Temporário</w:t>
      </w:r>
      <w:r/>
    </w:p>
    <w:p>
      <w:pPr>
        <w:pStyle w:val="723"/>
        <w:pBdr/>
        <w:spacing/>
        <w:ind/>
        <w:rPr/>
      </w:pPr>
      <w:r/>
      <w:bookmarkStart w:id="20" w:name="prompt"/>
      <w:r>
        <w:t xml:space="preserve">Prompt</w:t>
      </w:r>
      <w:r/>
    </w:p>
    <w:p>
      <w:pPr>
        <w:pStyle w:val="773"/>
        <w:pBdr/>
        <w:spacing/>
        <w:ind/>
        <w:rPr/>
      </w:pPr>
      <w:r>
        <w:rPr>
          <w:rStyle w:val="768"/>
        </w:rPr>
        <w:t xml:space="preserve">O usuário é um pesquisador que está desenvolvendo uma pesquisa sobre o potencial do Departamento Nacional </w:t>
      </w:r>
      <w:r>
        <w:rPr>
          <w:rStyle w:val="768"/>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768"/>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768"/>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768"/>
        </w:rPr>
        <w:t xml:space="preserve">Segundo a tipologia difundida pelo Institute of Internal Auditors (IIA) as recomendações que têm foco na causa (cause-based) são aquelas que propõem ações nec</w:t>
      </w:r>
      <w:r>
        <w:rPr>
          <w:rStyle w:val="768"/>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768"/>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768"/>
        </w:rPr>
        <w:t xml:space="preserve">O objetivo do trabalho consiste em identificar as recomendações exaradas pelo DENASUS que possuam foco na causa.</w:t>
      </w:r>
      <w:r>
        <w:br/>
      </w:r>
      <w:r>
        <w:br/>
      </w:r>
      <w:r>
        <w:rPr>
          <w:rStyle w:val="768"/>
        </w:rPr>
        <w:t xml:space="preserve">Para realizar essa identificação, o usuário pesquisador irá fornecer uma breve </w:t>
      </w:r>
      <w:r>
        <w:rPr>
          <w:rStyle w:val="768"/>
        </w:rPr>
        <w:t xml:space="preserve">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768"/>
        </w:rPr>
        <w:t xml:space="preserve">- Critério "Foco Causa": Há alguma ação proposta na recomendação que trate da causa do problema que gerou a condição encontrada? Responda somente "Sim" ou "Não. </w:t>
      </w:r>
      <w:r>
        <w:br/>
      </w:r>
      <w:r>
        <w:rPr>
          <w:rStyle w:val="768"/>
        </w:rPr>
        <w:t xml:space="preserve">- Critério "Efeitos Duradouros": Os efeitos pretendidos pela ação sugeri</w:t>
      </w:r>
      <w:r>
        <w:rPr>
          <w:rStyle w:val="768"/>
        </w:rPr>
        <w:t xml:space="preserve">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768"/>
        </w:rPr>
        <w:t xml:space="preserve">A análise para avaliar cada critério deverá constar no campo "Análise" da resposta, que será sucedido pelos campos referentes aos critérios delineados acima.</w:t>
      </w:r>
      <w:r>
        <w:br/>
      </w:r>
      <w:r>
        <w:br/>
      </w:r>
      <w:r>
        <w:rPr>
          <w:rStyle w:val="768"/>
        </w:rPr>
        <w:t xml:space="preserve">Caso a recomendação não contenha uma recomendação de fato, responda "Não se aplica" para os dois critérios.</w:t>
      </w:r>
      <w:r>
        <w:br/>
      </w:r>
      <w:r>
        <w:br/>
      </w:r>
      <w:r>
        <w:rPr>
          <w:rStyle w:val="768"/>
        </w:rPr>
        <w:t xml:space="preserve">Formate sua resposta no format Json com a seguinte estrutura:</w:t>
      </w:r>
      <w:r>
        <w:br/>
      </w:r>
      <w:r>
        <w:br/>
      </w:r>
      <w:r>
        <w:rPr>
          <w:rStyle w:val="768"/>
        </w:rPr>
        <w:t xml:space="preserve">EXAMPLE JSON OUTPUT:</w:t>
      </w:r>
      <w:r>
        <w:br/>
      </w:r>
      <w:r>
        <w:br/>
      </w:r>
      <w:r>
        <w:rPr>
          <w:rStyle w:val="768"/>
        </w:rPr>
        <w:t xml:space="preserve">{</w:t>
      </w:r>
      <w:r>
        <w:br/>
      </w:r>
      <w:r>
        <w:rPr>
          <w:rStyle w:val="768"/>
        </w:rPr>
        <w:t xml:space="preserve">   "Análise": "Em relação ao foco, a recomendação... Ja em relação aos efeitos pretendidos pela recomendação...",</w:t>
      </w:r>
      <w:r>
        <w:br/>
      </w:r>
      <w:r>
        <w:rPr>
          <w:rStyle w:val="768"/>
        </w:rPr>
        <w:t xml:space="preserve">   "Foco Causa": "Sim",</w:t>
      </w:r>
      <w:r>
        <w:br/>
      </w:r>
      <w:r>
        <w:rPr>
          <w:rStyle w:val="768"/>
        </w:rPr>
        <w:t xml:space="preserve">   "Efeitos Duradouros": "Sim"</w:t>
      </w:r>
      <w:r>
        <w:br/>
      </w:r>
      <w:r>
        <w:rPr>
          <w:rStyle w:val="768"/>
        </w:rPr>
        <w:t xml:space="preserve">}</w:t>
      </w:r>
      <w:bookmarkEnd w:id="20"/>
      <w:r/>
    </w:p>
    <w:p>
      <w:pPr>
        <w:pStyle w:val="723"/>
        <w:pBdr/>
        <w:spacing/>
        <w:ind/>
        <w:rPr/>
      </w:pPr>
      <w:r/>
      <w:bookmarkStart w:id="21" w:name="resultados"/>
      <w:r>
        <w:t xml:space="preserve">Resultados</w:t>
      </w:r>
      <w:r/>
    </w:p>
    <w:tbl>
      <w:tblPr>
        <w:tblStyle w:val="759"/>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737"/>
              <w:pBdr/>
              <w:spacing/>
              <w:ind/>
              <w:jc w:val="left"/>
              <w:rPr/>
            </w:pPr>
            <w:r>
              <w:t xml:space="preserve">Foco Causa</w:t>
            </w:r>
            <w:r/>
          </w:p>
        </w:tc>
        <w:tc>
          <w:tcPr>
            <w:tcBorders/>
          </w:tcPr>
          <w:p>
            <w:pPr>
              <w:pStyle w:val="737"/>
              <w:pBdr/>
              <w:spacing/>
              <w:ind/>
              <w:jc w:val="left"/>
              <w:rPr/>
            </w:pPr>
            <w:r>
              <w:t xml:space="preserve">Efeitos Duradouros</w:t>
            </w:r>
            <w:r/>
          </w:p>
        </w:tc>
        <w:tc>
          <w:tcPr>
            <w:tcBorders/>
          </w:tcPr>
          <w:p>
            <w:pPr>
              <w:pStyle w:val="737"/>
              <w:pBdr/>
              <w:spacing/>
              <w:ind/>
              <w:jc w:val="right"/>
              <w:rPr/>
            </w:pPr>
            <w:r>
              <w:t xml:space="preserve">Total</w:t>
            </w:r>
            <w:r/>
          </w:p>
        </w:tc>
        <w:tc>
          <w:tcPr>
            <w:tcBorders/>
          </w:tcPr>
          <w:p>
            <w:pPr>
              <w:pStyle w:val="737"/>
              <w:pBdr/>
              <w:spacing/>
              <w:ind/>
              <w:jc w:val="right"/>
              <w:rPr/>
            </w:pPr>
            <w:r>
              <w:t xml:space="preserve">%</w:t>
            </w:r>
            <w:r/>
          </w:p>
        </w:tc>
      </w:tr>
      <w:tr>
        <w:trPr/>
        <w:tc>
          <w:tcPr>
            <w:tcBorders/>
          </w:tcPr>
          <w:p>
            <w:pPr>
              <w:pStyle w:val="737"/>
              <w:pBdr/>
              <w:spacing/>
              <w:ind/>
              <w:jc w:val="left"/>
              <w:rPr/>
            </w:pPr>
            <w:r>
              <w:t xml:space="preserve">Sim</w:t>
            </w:r>
            <w:r/>
          </w:p>
        </w:tc>
        <w:tc>
          <w:tcPr>
            <w:tcBorders/>
          </w:tcPr>
          <w:p>
            <w:pPr>
              <w:pStyle w:val="737"/>
              <w:pBdr/>
              <w:spacing/>
              <w:ind/>
              <w:jc w:val="left"/>
              <w:rPr/>
            </w:pPr>
            <w:r>
              <w:t xml:space="preserve">Sim</w:t>
            </w:r>
            <w:r/>
          </w:p>
        </w:tc>
        <w:tc>
          <w:tcPr>
            <w:tcBorders/>
          </w:tcPr>
          <w:p>
            <w:pPr>
              <w:pStyle w:val="737"/>
              <w:pBdr/>
              <w:spacing/>
              <w:ind/>
              <w:jc w:val="right"/>
              <w:rPr/>
            </w:pPr>
            <w:r>
              <w:t xml:space="preserve">2.667</w:t>
            </w:r>
            <w:r/>
          </w:p>
        </w:tc>
        <w:tc>
          <w:tcPr>
            <w:tcBorders/>
          </w:tcPr>
          <w:p>
            <w:pPr>
              <w:pStyle w:val="737"/>
              <w:pBdr/>
              <w:spacing/>
              <w:ind/>
              <w:jc w:val="right"/>
              <w:rPr/>
            </w:pPr>
            <w:r>
              <w:t xml:space="preserve">62,37</w:t>
            </w:r>
            <w:r/>
          </w:p>
        </w:tc>
      </w:tr>
      <w:tr>
        <w:trPr/>
        <w:tc>
          <w:tcPr>
            <w:tcBorders/>
          </w:tcPr>
          <w:p>
            <w:pPr>
              <w:pStyle w:val="737"/>
              <w:pBdr/>
              <w:spacing/>
              <w:ind/>
              <w:jc w:val="left"/>
              <w:rPr/>
            </w:pPr>
            <w:r>
              <w:t xml:space="preserve">Não</w:t>
            </w:r>
            <w:r/>
          </w:p>
        </w:tc>
        <w:tc>
          <w:tcPr>
            <w:tcBorders/>
          </w:tcPr>
          <w:p>
            <w:pPr>
              <w:pStyle w:val="737"/>
              <w:pBdr/>
              <w:spacing/>
              <w:ind/>
              <w:jc w:val="left"/>
              <w:rPr/>
            </w:pPr>
            <w:r>
              <w:t xml:space="preserve">Não se aplica</w:t>
            </w:r>
            <w:r/>
          </w:p>
        </w:tc>
        <w:tc>
          <w:tcPr>
            <w:tcBorders/>
          </w:tcPr>
          <w:p>
            <w:pPr>
              <w:pStyle w:val="737"/>
              <w:pBdr/>
              <w:spacing/>
              <w:ind/>
              <w:jc w:val="right"/>
              <w:rPr/>
            </w:pPr>
            <w:r>
              <w:t xml:space="preserve">1.592</w:t>
            </w:r>
            <w:r/>
          </w:p>
        </w:tc>
        <w:tc>
          <w:tcPr>
            <w:tcBorders/>
          </w:tcPr>
          <w:p>
            <w:pPr>
              <w:pStyle w:val="737"/>
              <w:pBdr/>
              <w:spacing/>
              <w:ind/>
              <w:jc w:val="right"/>
              <w:rPr/>
            </w:pPr>
            <w:r>
              <w:t xml:space="preserve">37,23</w:t>
            </w:r>
            <w:r/>
          </w:p>
        </w:tc>
      </w:tr>
      <w:tr>
        <w:trPr/>
        <w:tc>
          <w:tcPr>
            <w:tcBorders/>
          </w:tcPr>
          <w:p>
            <w:pPr>
              <w:pStyle w:val="737"/>
              <w:pBdr/>
              <w:spacing/>
              <w:ind/>
              <w:jc w:val="left"/>
              <w:rPr/>
            </w:pPr>
            <w:r>
              <w:t xml:space="preserve">Sim</w:t>
            </w:r>
            <w:r/>
          </w:p>
        </w:tc>
        <w:tc>
          <w:tcPr>
            <w:tcBorders/>
          </w:tcPr>
          <w:p>
            <w:pPr>
              <w:pStyle w:val="737"/>
              <w:pBdr/>
              <w:spacing/>
              <w:ind/>
              <w:jc w:val="left"/>
              <w:rPr/>
            </w:pPr>
            <w:r>
              <w:t xml:space="preserve">Não</w:t>
            </w:r>
            <w:r/>
          </w:p>
        </w:tc>
        <w:tc>
          <w:tcPr>
            <w:tcBorders/>
          </w:tcPr>
          <w:p>
            <w:pPr>
              <w:pStyle w:val="737"/>
              <w:pBdr/>
              <w:spacing/>
              <w:ind/>
              <w:jc w:val="right"/>
              <w:rPr/>
            </w:pPr>
            <w:r>
              <w:t xml:space="preserve">12</w:t>
            </w:r>
            <w:r/>
          </w:p>
        </w:tc>
        <w:tc>
          <w:tcPr>
            <w:tcBorders/>
          </w:tcPr>
          <w:p>
            <w:pPr>
              <w:pStyle w:val="737"/>
              <w:pBdr/>
              <w:spacing/>
              <w:ind/>
              <w:jc w:val="right"/>
              <w:rPr/>
            </w:pPr>
            <w:r>
              <w:t xml:space="preserve">0,28</w:t>
            </w:r>
            <w:r/>
          </w:p>
        </w:tc>
      </w:tr>
      <w:tr>
        <w:trPr/>
        <w:tc>
          <w:tcPr>
            <w:tcBorders/>
          </w:tcPr>
          <w:p>
            <w:pPr>
              <w:pStyle w:val="737"/>
              <w:pBdr/>
              <w:spacing/>
              <w:ind/>
              <w:jc w:val="left"/>
              <w:rPr/>
            </w:pPr>
            <w:r>
              <w:t xml:space="preserve">Não se aplica</w:t>
            </w:r>
            <w:r/>
          </w:p>
        </w:tc>
        <w:tc>
          <w:tcPr>
            <w:tcBorders/>
          </w:tcPr>
          <w:p>
            <w:pPr>
              <w:pStyle w:val="737"/>
              <w:pBdr/>
              <w:spacing/>
              <w:ind/>
              <w:jc w:val="left"/>
              <w:rPr/>
            </w:pPr>
            <w:r>
              <w:t xml:space="preserve">Não se aplica</w:t>
            </w:r>
            <w:r/>
          </w:p>
        </w:tc>
        <w:tc>
          <w:tcPr>
            <w:tcBorders/>
          </w:tcPr>
          <w:p>
            <w:pPr>
              <w:pStyle w:val="737"/>
              <w:pBdr/>
              <w:spacing/>
              <w:ind/>
              <w:jc w:val="right"/>
              <w:rPr/>
            </w:pPr>
            <w:r>
              <w:t xml:space="preserve">5</w:t>
            </w:r>
            <w:r/>
          </w:p>
        </w:tc>
        <w:tc>
          <w:tcPr>
            <w:tcBorders/>
          </w:tcPr>
          <w:p>
            <w:pPr>
              <w:pStyle w:val="737"/>
              <w:pBdr/>
              <w:spacing/>
              <w:ind/>
              <w:jc w:val="right"/>
              <w:rPr/>
            </w:pPr>
            <w:r>
              <w:t xml:space="preserve">0,12</w:t>
            </w:r>
            <w:bookmarkEnd w:id="21"/>
            <w:r/>
          </w:p>
        </w:tc>
      </w:tr>
    </w:tbl>
    <w:p>
      <w:pPr>
        <w:pStyle w:val="723"/>
        <w:pBdr/>
        <w:spacing/>
        <w:ind/>
        <w:rPr/>
      </w:pPr>
      <w:r/>
      <w:bookmarkStart w:id="22" w:name="listagem"/>
      <w:r>
        <w:t xml:space="preserve">Listagem</w:t>
      </w:r>
      <w:bookmarkEnd w:id="22"/>
      <w:r/>
    </w:p>
    <w:p>
      <w:pPr>
        <w:pStyle w:val="723"/>
        <w:pBdr/>
        <w:spacing/>
        <w:ind/>
        <w:rPr/>
      </w:pPr>
      <w:r/>
      <w:bookmarkStart w:id="33" w:name="X1f4fd7bff03ab238d812e547bcb8630d5b432df"/>
      <w:r>
        <w:t xml:space="preserve">Foco causa: Não. Efeitos duradouros: Não se aplica</w:t>
      </w:r>
      <w:r/>
    </w:p>
    <w:p>
      <w:pPr>
        <w:pStyle w:val="724"/>
        <w:pBdr/>
        <w:spacing/>
        <w:ind/>
        <w:rPr/>
      </w:pPr>
      <w:r/>
      <w:bookmarkStart w:id="23" w:name="auditoria-18722-constatação-nº-696549-1"/>
      <w:r>
        <w:t xml:space="preserve">Auditoria 18722, Constatação Nº 696549 (#1)</w:t>
      </w:r>
      <w:r/>
    </w:p>
    <w:p>
      <w:pPr>
        <w:pStyle w:val="736"/>
        <w:pBdr/>
        <w:spacing/>
        <w:ind/>
        <w:rPr/>
      </w:pPr>
      <w:r>
        <w:rPr>
          <w:b/>
          <w:bCs/>
        </w:rPr>
        <w:t xml:space="preserve">Finalidade</w:t>
      </w:r>
      <w:r>
        <w:t xml:space="preserve">: Verificar a regularidade na aplicação dos recursos e execução das ações de saúde das UBS e CBAF</w:t>
      </w:r>
      <w:r/>
    </w:p>
    <w:p>
      <w:pPr>
        <w:pStyle w:val="735"/>
        <w:pBdr/>
        <w:spacing/>
        <w:ind/>
        <w:rPr/>
      </w:pPr>
      <w:r>
        <w:rPr>
          <w:b/>
          <w:bCs/>
        </w:rPr>
        <w:t xml:space="preserve">Constatação</w:t>
      </w:r>
      <w:r>
        <w:t xml:space="preserve">: Omissão no dever de prestar contas das despesas pagas com re</w:t>
      </w:r>
      <w:r>
        <w:t xml:space="preserve">cursos financeiros repassados fundo a fundo, competências julho, agosto e dezembro de 2019 relativo as ações do Componente Básico da Assistência Farmacêutica, no valor de R$ 58.850,14 (cinquenta e oito mil, oitocentos e cinquenta reais e catorze centavos).</w:t>
      </w:r>
      <w:r/>
    </w:p>
    <w:p>
      <w:pPr>
        <w:pStyle w:val="735"/>
        <w:pBdr/>
        <w:spacing/>
        <w:ind/>
        <w:rPr/>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w:t>
      </w:r>
      <w:r>
        <w:t xml:space="preserve"> de forma irregular, ao Fundo Nacional de Saúde, no valor de R$ 58.850,14 (cinquenta e oito mil, oitocentos e cinquenta reais e catorze centavos), atualizado monetariamente e com os acréscimos legais adotados por esse ente federado, conforme indicativo na </w:t>
      </w:r>
      <w:r>
        <w:t xml:space="preserve">Planilha de Proposição de Devolução, tendo em vista que cumpre ao gestor responsável prestar contas dos recursos públicos e de demonstrar a sua boa e regular aplicação, conforme §§ 1º e 2º do art. 63 da Lei nº 4.320, de 17/03/1964; Parágrafo Único do art. </w:t>
      </w:r>
      <w:r>
        <w:t xml:space="preserve">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“a”</w:t>
      </w:r>
      <w:r>
        <w:t xml:space="preserve">), Decreto-lei nº 200/1967 de 25/02/1967 (art. 93), </w:t>
      </w:r>
      <w:r>
        <w:t xml:space="preserve">Decreto-lei nº 201/1967 de 27/02/1967 (art. 1º), Lei 8.429/1992 de 02/06/1992 (art. 11, inc. VI); 2 - Adotar medidas legais quanto a perda, extravio ou outra irregularidade de que resulte danos ao Erário pelos gestores anteriores, sob pena de corresponsabi</w:t>
      </w:r>
      <w:r>
        <w:t xml:space="preserve">lidade pela não prestação de contas e por não tomar imediatas providências para assegurar o respectivo ressarcimento e instaurar a tomada de contas, conforme previsto no Art. 84 do Decreto-Lei 200/1967 de 25/02/1967 e ACÓRDÃO Nº 2377/2020 - TCU - Plenário.</w:t>
      </w:r>
      <w:r/>
    </w:p>
    <w:p>
      <w:pPr>
        <w:pStyle w:val="735"/>
        <w:pBdr/>
        <w:spacing/>
        <w:ind/>
        <w:rPr/>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w:t>
      </w:r>
      <w:r>
        <w:t xml:space="preserve">adas a tratar a causa subjacente, como melhorias em processos de controle ou capacitação para prevenir futuras omissões. Portanto, não atende ao critério de foco na causa. Como o foco na causa não é atendido, o critério de efeitos duradouros não se aplica.</w:t>
      </w:r>
      <w:r/>
    </w:p>
    <w:p>
      <w:pPr>
        <w:pStyle w:val="737"/>
        <w:numPr>
          <w:ilvl w:val="0"/>
          <w:numId w:val="3"/>
        </w:numPr>
        <w:pBdr/>
        <w:spacing/>
        <w:ind/>
        <w:rPr/>
      </w:pPr>
      <w:r>
        <w:t xml:space="preserve">Foco Causa: Não</w:t>
      </w:r>
      <w:r/>
    </w:p>
    <w:p>
      <w:pPr>
        <w:pStyle w:val="737"/>
        <w:numPr>
          <w:ilvl w:val="0"/>
          <w:numId w:val="3"/>
        </w:numPr>
        <w:pBdr/>
        <w:spacing/>
        <w:ind/>
        <w:rPr/>
      </w:pPr>
      <w:r>
        <w:t xml:space="preserve">Efeitos Duradouros: Não se aplica</w:t>
      </w:r>
      <w:bookmarkEnd w:id="23"/>
      <w:r/>
    </w:p>
    <w:p>
      <w:pPr>
        <w:pStyle w:val="724"/>
        <w:pBdr/>
        <w:spacing/>
        <w:ind/>
        <w:rPr/>
      </w:pPr>
      <w:r/>
      <w:bookmarkStart w:id="24" w:name="auditoria-18892-constatação-nº-667107-1"/>
      <w:r>
        <w:t xml:space="preserve">Auditoria 18892, Constatação Nº 667107 (#1)</w:t>
      </w:r>
      <w:r/>
    </w:p>
    <w:p>
      <w:pPr>
        <w:pStyle w:val="736"/>
        <w:pBdr/>
        <w:spacing/>
        <w:ind/>
        <w:rPr/>
      </w:pPr>
      <w:r>
        <w:rPr>
          <w:b/>
          <w:bCs/>
        </w:rPr>
        <w:t xml:space="preserve">Finalidade</w:t>
      </w:r>
      <w:r>
        <w:t xml:space="preserve">: Avaliar a aplic. de recursos e prestação de serviços na Atenção Básica e Assist. Farm. Básica.</w:t>
      </w:r>
      <w:r/>
    </w:p>
    <w:p>
      <w:pPr>
        <w:pStyle w:val="735"/>
        <w:pBdr/>
        <w:spacing/>
        <w:ind/>
        <w:rPr/>
      </w:pPr>
      <w:r>
        <w:rPr>
          <w:b/>
          <w:bCs/>
        </w:rPr>
        <w:t xml:space="preserve">Constatação</w:t>
      </w:r>
      <w:r>
        <w:t xml:space="preserve">: Falta de medicamentos básicos nos estabelecimentos de saúde inspecionados e no almoxarifado compromete a integralidade assistencial em saúde destinada aos pacientes.</w:t>
      </w:r>
      <w:r/>
    </w:p>
    <w:p>
      <w:pPr>
        <w:pStyle w:val="735"/>
        <w:pBdr/>
        <w:spacing/>
        <w:ind/>
        <w:rPr/>
      </w:pPr>
      <w:r>
        <w:rPr>
          <w:b/>
          <w:bCs/>
        </w:rPr>
        <w:t xml:space="preserve">Recomendação</w:t>
      </w:r>
      <w:r>
        <w:t xml:space="preserve">: Garantir o fornecimento contínuo e tempestivo dos medicamentos do componente básico da Assistência Farmacêutica aos pacientes atendidos pela rede de saúde contrib</w:t>
      </w:r>
      <w:r>
        <w:t xml:space="preserve">uindo para integralidade do cuidado objetivando cumprir com o Artigo 19-M, Capítulo VIII - Da Assistência Terapêutica e da Incorporação de Tecnologia em Saúde, da Lei Federal nº 8.080, de 19/09/1990, Redação dada pela Lei Federal nº 12.401/2011, alíneas `a</w:t>
      </w:r>
      <w:r>
        <w:rPr>
          <w:rStyle w:val="768"/>
        </w:rPr>
        <w:t xml:space="preserve">,</w:t>
      </w:r>
      <w:r>
        <w:t xml:space="preserve">i``, Anexo 1, do Anexo XXVII - subitem 5.4 (Gestor municipal) e artigo 38 Capítulo II, Título III, Portaria de Consolidação GM/MS nº 2, de 28/09/2017.</w:t>
      </w:r>
      <w:r/>
    </w:p>
    <w:p>
      <w:pPr>
        <w:pStyle w:val="735"/>
        <w:pBdr/>
        <w:spacing/>
        <w:ind/>
        <w:rPr/>
      </w:pPr>
      <w:r>
        <w:rPr>
          <w:b/>
          <w:bCs/>
        </w:rPr>
        <w:t xml:space="preserve">Análise Codificação</w:t>
      </w:r>
      <w:r>
        <w:t xml:space="preserve">: Em relação ao foco, a recomendação propõe</w:t>
      </w:r>
      <w:r>
        <w:t xml:space="preserve"> </w:t>
      </w:r>
      <w:r>
        <w:t xml:space="preserve">‘garantir o fornecimento contínuo e tempestivo dos medicamentos’</w:t>
      </w:r>
      <w:r>
        <w:t xml:space="preserve">, o que visa tratar diretamente a condição encontrada</w:t>
      </w:r>
      <w:r>
        <w:t xml:space="preserve"> (falta de medicamentos), mas não identifica ou aborda explicitamente as causas subjacentes dessa falta (como problemas de gestão de estoque, falhas na aquisição ou distribuição). Portanto, a recomendação é focada na condição, não na causa.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737"/>
        <w:numPr>
          <w:ilvl w:val="0"/>
          <w:numId w:val="4"/>
        </w:numPr>
        <w:pBdr/>
        <w:spacing/>
        <w:ind/>
        <w:rPr/>
      </w:pPr>
      <w:r>
        <w:t xml:space="preserve">Foco Causa: Não</w:t>
      </w:r>
      <w:r/>
    </w:p>
    <w:p>
      <w:pPr>
        <w:pStyle w:val="737"/>
        <w:numPr>
          <w:ilvl w:val="0"/>
          <w:numId w:val="4"/>
        </w:numPr>
        <w:pBdr/>
        <w:spacing/>
        <w:ind/>
        <w:rPr/>
      </w:pPr>
      <w:r>
        <w:t xml:space="preserve">Efeitos Duradouros: Não se aplica</w:t>
      </w:r>
      <w:bookmarkEnd w:id="24"/>
      <w:r/>
    </w:p>
    <w:p>
      <w:pPr>
        <w:pStyle w:val="724"/>
        <w:pBdr/>
        <w:spacing/>
        <w:ind/>
        <w:rPr/>
      </w:pPr>
      <w:r/>
      <w:bookmarkStart w:id="25" w:name="auditoria-19304-constatação-nº-655321-1"/>
      <w:r>
        <w:t xml:space="preserve">Auditoria 19304, Constatação Nº 655321 (#1)</w:t>
      </w:r>
      <w:r/>
    </w:p>
    <w:p>
      <w:pPr>
        <w:pStyle w:val="736"/>
        <w:pBdr/>
        <w:spacing/>
        <w:ind/>
        <w:rPr/>
      </w:pPr>
      <w:r>
        <w:rPr>
          <w:b/>
          <w:bCs/>
        </w:rPr>
        <w:t xml:space="preserve">Finalidade</w:t>
      </w:r>
      <w:r>
        <w:t xml:space="preserve">: Verificar a regular utilização de DMIs em cirurgias de coluna vertebral pelos prestadores do SUS.</w:t>
      </w:r>
      <w:r/>
    </w:p>
    <w:p>
      <w:pPr>
        <w:pStyle w:val="735"/>
        <w:pBdr/>
        <w:spacing/>
        <w:ind/>
        <w:rPr/>
      </w:pPr>
      <w:r>
        <w:rPr>
          <w:b/>
          <w:bCs/>
        </w:rPr>
        <w:t xml:space="preserve">Constatação</w:t>
      </w:r>
      <w:r>
        <w:t xml:space="preserve">: Os números das Notas Fiscais dos DMIs utilizados pela unidade, e que foram anexadas aos prontuários médicos, coincidem com os dados informados nos Espelhos das Autorizações de Internação Hospitalar (AIH), com exceção de 02 prontuários.</w:t>
      </w:r>
      <w:r/>
    </w:p>
    <w:p>
      <w:pPr>
        <w:pStyle w:val="735"/>
        <w:pBdr/>
        <w:spacing/>
        <w:ind/>
        <w:rPr/>
      </w:pPr>
      <w:r>
        <w:rPr>
          <w:b/>
          <w:bCs/>
        </w:rPr>
        <w:t xml:space="preserve">Recomendação</w:t>
      </w:r>
      <w:r>
        <w:t xml:space="preserve">: Cumprir o item 23.1 do Manual Técnico Operacional do Sistema de Informação Hospitalar (versão 2017), aprovado p</w:t>
      </w:r>
      <w:r>
        <w:t xml:space="preserve">ela Portaria MS/GM nº 396/2000, que dispõe que a cópia da Nota fiscal das OPM deve ser anexada ao prontuário do paciente e no SIH deve ser informado o CNPJ do Fornecedor do material e o número da Nota Fiscal em uma tela específica obrigatória destes dados.</w:t>
      </w:r>
      <w:r/>
    </w:p>
    <w:p>
      <w:pPr>
        <w:pStyle w:val="735"/>
        <w:pBdr/>
        <w:spacing/>
        <w:ind/>
        <w:rPr/>
      </w:pPr>
      <w:r>
        <w:rPr>
          <w:b/>
          <w:bCs/>
        </w:rPr>
        <w:t xml:space="preserve">Análise Codificação</w:t>
      </w:r>
      <w:r>
        <w:t xml:space="preserve">: A recomendação se limita a reforçar o cumprimento de procedimentos operacionais existente</w:t>
      </w:r>
      <w:r>
        <w:t xml:space="preserve">s para documentação de materiais, sem propor ações que abordem as causas subjacentes às falhas de registro identificadas (como falta de treinamento, sistemas inadequados ou processos deficientes). Portanto, não há foco na causa do problema. Como o critério</w:t>
      </w:r>
      <w:r>
        <w:t xml:space="preserve"> </w:t>
      </w:r>
      <w:r>
        <w:t xml:space="preserve">‘Foco Causa’</w:t>
      </w:r>
      <w:r>
        <w:t xml:space="preserve"> </w:t>
      </w:r>
      <w:r>
        <w:t xml:space="preserve">não é atendido, a avaliação de</w:t>
      </w:r>
      <w:r>
        <w:t xml:space="preserve"> </w:t>
      </w:r>
      <w:r>
        <w:t xml:space="preserve">‘Efeitos Duradouros’</w:t>
      </w:r>
      <w:r>
        <w:t xml:space="preserve"> </w:t>
      </w:r>
      <w:r>
        <w:t xml:space="preserve">não se aplica.</w:t>
      </w:r>
      <w:r/>
    </w:p>
    <w:p>
      <w:pPr>
        <w:pStyle w:val="737"/>
        <w:numPr>
          <w:ilvl w:val="0"/>
          <w:numId w:val="5"/>
        </w:numPr>
        <w:pBdr/>
        <w:spacing/>
        <w:ind/>
        <w:rPr/>
      </w:pPr>
      <w:r>
        <w:t xml:space="preserve">Foco Causa: Não</w:t>
      </w:r>
      <w:r/>
    </w:p>
    <w:p>
      <w:pPr>
        <w:pStyle w:val="737"/>
        <w:numPr>
          <w:ilvl w:val="0"/>
          <w:numId w:val="5"/>
        </w:numPr>
        <w:pBdr/>
        <w:spacing/>
        <w:ind/>
        <w:rPr/>
      </w:pPr>
      <w:r>
        <w:t xml:space="preserve">Efeitos Duradouros: Não se aplica</w:t>
      </w:r>
      <w:bookmarkEnd w:id="25"/>
      <w:r/>
    </w:p>
    <w:p>
      <w:pPr>
        <w:pStyle w:val="724"/>
        <w:pBdr/>
        <w:spacing/>
        <w:ind/>
        <w:rPr/>
      </w:pPr>
      <w:r/>
      <w:bookmarkStart w:id="26" w:name="auditoria-19462-constatação-nº-671394-1"/>
      <w:r>
        <w:t xml:space="preserve">Auditoria 19462, Constatação Nº 671394 (#1)</w:t>
      </w:r>
      <w:r/>
    </w:p>
    <w:p>
      <w:pPr>
        <w:pStyle w:val="736"/>
        <w:pBdr/>
        <w:spacing/>
        <w:ind/>
        <w:rPr/>
      </w:pPr>
      <w:r>
        <w:rPr>
          <w:b/>
          <w:bCs/>
        </w:rPr>
        <w:t xml:space="preserve">Finalidade</w:t>
      </w:r>
      <w:r>
        <w:t xml:space="preserve">: Avaliar acuidade das informações prestada, Munic. de Capixaba, ref. PROGRAMA PREVINE . A.P.S</w:t>
      </w:r>
      <w:r/>
    </w:p>
    <w:p>
      <w:pPr>
        <w:pStyle w:val="735"/>
        <w:pBdr/>
        <w:spacing/>
        <w:ind/>
        <w:rPr/>
      </w:pPr>
      <w:r>
        <w:rPr>
          <w:b/>
          <w:bCs/>
        </w:rPr>
        <w:t xml:space="preserve">Constatação</w:t>
      </w:r>
      <w:r>
        <w:t xml:space="preserve">: Os dados referentes à cobertura vacinal do indicador 5, apresentados no SISAB, não são equivalentes aos registrados no painel de Campanha de Vacinação contra Poliomielite, assim como os registros manuais de controle apresentados divergem do SISAB.</w:t>
      </w:r>
      <w:r/>
    </w:p>
    <w:p>
      <w:pPr>
        <w:pStyle w:val="735"/>
        <w:pBdr/>
        <w:spacing/>
        <w:ind/>
        <w:rPr/>
      </w:pPr>
      <w:r>
        <w:rPr>
          <w:b/>
          <w:bCs/>
        </w:rPr>
        <w:t xml:space="preserve">Recomendação</w:t>
      </w:r>
      <w:r>
        <w:t xml:space="preserve">: Adotar medidas a fim de melhorar a qualidade das informações prestadas em </w:t>
      </w:r>
      <w:r>
        <w:t xml:space="preserve">conformidade com o item 2.2.2.1 - Registro das Informações do Manual Instrutivo do Previne Brasil, 1ª ed., p. 37, 2021, concomitante com a PRC nº 02/2017, Anexo I do Anexo XXII, incisos X e XV, item 4, sobre Atribuições dos profissionais da Atenção Básica.</w:t>
      </w:r>
      <w:r/>
    </w:p>
    <w:p>
      <w:pPr>
        <w:pStyle w:val="735"/>
        <w:pBdr/>
        <w:spacing/>
        <w:ind/>
        <w:rPr/>
      </w:pPr>
      <w:r>
        <w:rPr>
          <w:b/>
          <w:bCs/>
        </w:rPr>
        <w:t xml:space="preserve">Análise Codificação</w:t>
      </w:r>
      <w:r>
        <w:t xml:space="preserve">: A recomendação sugere a adoção de medidas pa</w:t>
      </w:r>
      <w:r>
        <w:t xml:space="preserve">ra melhorar a qualidade das informações prestadas, com base em normas específicas do Previne Brasil e PRC nº 02/2017. No entanto, não propõe ações claras para tratar a causa raiz da divergência nos dados (ex: falhas no processo de registro, capacitação de </w:t>
      </w:r>
      <w:r>
        <w:t xml:space="preserve">profissionais, integração de sistemas). Em vez disso, foca em conformidade normativa sem especificar como resolver a causa subjacente. Portanto, não há ação proposta que trate diretamente da causa do problema. Quanto aos efeitos duradouros, como o critério</w:t>
      </w:r>
      <w:r>
        <w:t xml:space="preserve"> </w:t>
      </w:r>
      <w:r>
        <w:t xml:space="preserve">‘Foco Causa’</w:t>
      </w:r>
      <w:r>
        <w:t xml:space="preserve"> </w:t>
      </w:r>
      <w:r>
        <w:t xml:space="preserve">não é atendido, não se aplica.</w:t>
      </w:r>
      <w:r/>
    </w:p>
    <w:p>
      <w:pPr>
        <w:pStyle w:val="737"/>
        <w:numPr>
          <w:ilvl w:val="0"/>
          <w:numId w:val="6"/>
        </w:numPr>
        <w:pBdr/>
        <w:spacing/>
        <w:ind/>
        <w:rPr/>
      </w:pPr>
      <w:r>
        <w:t xml:space="preserve">Foco Causa: Não</w:t>
      </w:r>
      <w:r/>
    </w:p>
    <w:p>
      <w:pPr>
        <w:pStyle w:val="737"/>
        <w:numPr>
          <w:ilvl w:val="0"/>
          <w:numId w:val="6"/>
        </w:numPr>
        <w:pBdr/>
        <w:spacing/>
        <w:ind/>
        <w:rPr/>
      </w:pPr>
      <w:r>
        <w:t xml:space="preserve">Efeitos Duradouros: Não se aplica</w:t>
      </w:r>
      <w:bookmarkEnd w:id="26"/>
      <w:r/>
    </w:p>
    <w:p>
      <w:pPr>
        <w:pStyle w:val="724"/>
        <w:pBdr/>
        <w:spacing/>
        <w:ind/>
        <w:rPr/>
      </w:pPr>
      <w:r/>
      <w:bookmarkStart w:id="27" w:name="auditoria-19562-constatação-nº-672256-1"/>
      <w:r>
        <w:t xml:space="preserve">Auditoria 19562, Constatação Nº 672256 (#1)</w:t>
      </w:r>
      <w:r/>
    </w:p>
    <w:p>
      <w:pPr>
        <w:pStyle w:val="736"/>
        <w:pBdr/>
        <w:spacing/>
        <w:ind/>
        <w:rPr/>
      </w:pPr>
      <w:r>
        <w:rPr>
          <w:b/>
          <w:bCs/>
        </w:rPr>
        <w:t xml:space="preserve">Finalidade</w:t>
      </w:r>
      <w:r>
        <w:t xml:space="preserve">: Realização de auditoria para avaliar a acuidade das informações prestadas pelos municípios indicados</w:t>
      </w:r>
      <w:r/>
    </w:p>
    <w:p>
      <w:pPr>
        <w:pStyle w:val="735"/>
        <w:pBdr/>
        <w:spacing/>
        <w:ind/>
        <w:rPr/>
      </w:pPr>
      <w:r>
        <w:rPr>
          <w:b/>
          <w:bCs/>
        </w:rPr>
        <w:t xml:space="preserve">Constatação</w:t>
      </w:r>
      <w:r>
        <w:t xml:space="preserve">: As equipes de Saúde da Família (eSF) e as equipes de Atenção Primária (eAP) existentes no território não atendem ao critério da composição mínima.</w:t>
      </w:r>
      <w:r/>
    </w:p>
    <w:p>
      <w:pPr>
        <w:pStyle w:val="735"/>
        <w:pBdr/>
        <w:spacing/>
        <w:ind/>
        <w:rPr/>
      </w:pPr>
      <w:r>
        <w:rPr>
          <w:b/>
          <w:bCs/>
        </w:rPr>
        <w:t xml:space="preserve">Recomendação</w:t>
      </w:r>
      <w:r>
        <w:t xml:space="preserve">: Devolver os valores relativos às equipes incompletas por</w:t>
      </w:r>
      <w:r>
        <w:t xml:space="preserve"> mais de 90 dias, no exercício de 2022; e enviar, sempre que solicitado pela equipe de auditoria, as informações e documentos necessários ao acompanhamento do Programa Previne Brasil, conforme orienta o artigo 11 do Decreto 1.651 de 28 de setembro de 1995.</w:t>
      </w:r>
      <w:r/>
    </w:p>
    <w:p>
      <w:pPr>
        <w:pStyle w:val="735"/>
        <w:pBdr/>
        <w:spacing/>
        <w:ind/>
        <w:rPr/>
      </w:pPr>
      <w:r>
        <w:rPr>
          <w:b/>
          <w:bCs/>
        </w:rPr>
        <w:t xml:space="preserve">Análise Codificação</w:t>
      </w:r>
      <w:r>
        <w:t xml:space="preserve">: Em relação ao foco, a recomendação propõe duas ações distintas: a devolução de valores relativos a equipes incompletas e o envio de informações/documentos quando solicitado. A primeira ação (devolução de valores) é uma medida correti</w:t>
      </w:r>
      <w:r>
        <w:t xml:space="preserve">va que trata diretamente da condição financeira decorrente da constatação, sem abordar as causas subjacentes da incompletude das equipes (como dificuldades de contratação, retenção de profissionais ou gestão de recursos humanos). A segunda ação (envio de i</w:t>
      </w:r>
      <w:r>
        <w:t xml:space="preserve">nformações) é uma medida de transparência e cumprimento normativo, mas também não aborda a causa raiz do problema. Portanto, nenhuma das ações trata da causa do problema que gerou a condição encontrada. Já em relação aos efeitos duradouros, como o critério</w:t>
      </w:r>
      <w:r>
        <w:t xml:space="preserve"> </w:t>
      </w:r>
      <w:r>
        <w:t xml:space="preserve">‘Foco Causa’</w:t>
      </w:r>
      <w:r>
        <w:t xml:space="preserve"> </w:t>
      </w:r>
      <w:r>
        <w:t xml:space="preserve">não foi atendido, esta análise não se aplica.</w:t>
      </w:r>
      <w:r/>
    </w:p>
    <w:p>
      <w:pPr>
        <w:pStyle w:val="737"/>
        <w:numPr>
          <w:ilvl w:val="0"/>
          <w:numId w:val="7"/>
        </w:numPr>
        <w:pBdr/>
        <w:spacing/>
        <w:ind/>
        <w:rPr/>
      </w:pPr>
      <w:r>
        <w:t xml:space="preserve">Foco Causa: Não</w:t>
      </w:r>
      <w:r/>
    </w:p>
    <w:p>
      <w:pPr>
        <w:pStyle w:val="737"/>
        <w:numPr>
          <w:ilvl w:val="0"/>
          <w:numId w:val="7"/>
        </w:numPr>
        <w:pBdr/>
        <w:spacing/>
        <w:ind/>
        <w:rPr/>
      </w:pPr>
      <w:r>
        <w:t xml:space="preserve">Efeitos Duradouros: Não se aplica</w:t>
      </w:r>
      <w:bookmarkEnd w:id="27"/>
      <w:r/>
    </w:p>
    <w:p>
      <w:pPr>
        <w:pStyle w:val="724"/>
        <w:pBdr/>
        <w:spacing/>
        <w:ind/>
        <w:rPr/>
      </w:pPr>
      <w:r/>
      <w:bookmarkStart w:id="28" w:name="auditoria-19565-constatação-nº-677653-1"/>
      <w:r>
        <w:t xml:space="preserve">Auditoria 19565, Constatação Nº 677653 (#1)</w:t>
      </w:r>
      <w:r/>
    </w:p>
    <w:p>
      <w:pPr>
        <w:pStyle w:val="736"/>
        <w:pBdr/>
        <w:spacing/>
        <w:ind/>
        <w:rPr/>
      </w:pPr>
      <w:r>
        <w:rPr>
          <w:b/>
          <w:bCs/>
        </w:rPr>
        <w:t xml:space="preserve">Finalidade</w:t>
      </w:r>
      <w:r>
        <w:t xml:space="preserve">: Verificar a gestão e o funcionamento do serviço de Atendimento Móvel de Urgência (SAMU 192).</w:t>
      </w:r>
      <w:r/>
    </w:p>
    <w:p>
      <w:pPr>
        <w:pStyle w:val="735"/>
        <w:pBdr/>
        <w:spacing/>
        <w:ind/>
        <w:rPr/>
      </w:pPr>
      <w:r>
        <w:rPr>
          <w:b/>
          <w:bCs/>
        </w:rPr>
        <w:t xml:space="preserve">Constatação</w:t>
      </w:r>
      <w:r>
        <w:t xml:space="preserve">: A gestão do SAMU Teresina não realiza o monitoramento completo dos indicadores recomendados pelo Ministério da Saúde para avaliação do seu desempenho, incluindo o tempo mínimo de resposta, quantidade de orientações médicas e pacientes referenciados.</w:t>
      </w:r>
      <w:r/>
    </w:p>
    <w:p>
      <w:pPr>
        <w:pStyle w:val="735"/>
        <w:pBdr/>
        <w:spacing/>
        <w:ind/>
        <w:rPr/>
      </w:pPr>
      <w:r>
        <w:rPr>
          <w:b/>
          <w:bCs/>
        </w:rPr>
        <w:t xml:space="preserve">Recomendação</w:t>
      </w:r>
      <w:r>
        <w:t xml:space="preserve">: Recomenda-se que </w:t>
      </w:r>
      <w:r>
        <w:t xml:space="preserve">o SAMU Teresina revise e atualize seus relatórios de indicadores para incluir todos os indicadores recomendados pelo Ministério da Saúde para uma avaliação abrangente do desempenho. Isso deve incluir, mas não se limitar a, tempo mínimo de resposta, quantit</w:t>
      </w:r>
      <w:r>
        <w:t xml:space="preserve">ativo de orientações médicas e pacientes referenciados, em conformidade com os incisos I, IV e IX do Parágrafo Único do Art. 40, Seção I, Capítulo I, Título II, Livro II, Anexo III da PRC nº 3 de 28/09/17, que especifica os indicadores a serem monitorados.</w:t>
      </w:r>
      <w:r/>
    </w:p>
    <w:p>
      <w:pPr>
        <w:pStyle w:val="735"/>
        <w:pBdr/>
        <w:spacing/>
        <w:ind/>
        <w:rPr/>
      </w:pPr>
      <w:r>
        <w:rPr>
          <w:b/>
          <w:bCs/>
        </w:rPr>
        <w:t xml:space="preserve">Análise Codificação</w:t>
      </w:r>
      <w:r>
        <w:t xml:space="preserve">: Em relação ao foco, a recomendação propõe que o SAMU Teresina revise e atualize seus relatórios para incluir todos os indicadores recomendados, o que visa corrigir a falta de monitorame</w:t>
      </w:r>
      <w:r>
        <w:t xml:space="preserve">nto completo, mas não aborda as causas subjacentes que levam à omissão desses indicadores (como falta de recursos, treinamento ou processos). Portanto, a ação proposta é focada na condição (falta de inclusão dos indicadores) e não na causa. Como o critério</w:t>
      </w:r>
      <w:r>
        <w:t xml:space="preserve"> </w:t>
      </w:r>
      <w:r>
        <w:t xml:space="preserve">‘Foco Causa’</w:t>
      </w:r>
      <w:r>
        <w:t xml:space="preserve"> </w:t>
      </w:r>
      <w:r>
        <w:t xml:space="preserve">não é atendido, a análise de</w:t>
      </w:r>
      <w:r>
        <w:t xml:space="preserve"> </w:t>
      </w:r>
      <w:r>
        <w:t xml:space="preserve">‘Efeitos Duradouros’</w:t>
      </w:r>
      <w:r>
        <w:t xml:space="preserve"> </w:t>
      </w:r>
      <w:r>
        <w:t xml:space="preserve">não se aplica.</w:t>
      </w:r>
      <w:r/>
    </w:p>
    <w:p>
      <w:pPr>
        <w:pStyle w:val="737"/>
        <w:numPr>
          <w:ilvl w:val="0"/>
          <w:numId w:val="8"/>
        </w:numPr>
        <w:pBdr/>
        <w:spacing/>
        <w:ind/>
        <w:rPr/>
      </w:pPr>
      <w:r>
        <w:t xml:space="preserve">Foco Causa: Não</w:t>
      </w:r>
      <w:r/>
    </w:p>
    <w:p>
      <w:pPr>
        <w:pStyle w:val="737"/>
        <w:numPr>
          <w:ilvl w:val="0"/>
          <w:numId w:val="8"/>
        </w:numPr>
        <w:pBdr/>
        <w:spacing/>
        <w:ind/>
        <w:rPr/>
      </w:pPr>
      <w:r>
        <w:t xml:space="preserve">Efeitos Duradouros: Não se aplica</w:t>
      </w:r>
      <w:bookmarkEnd w:id="28"/>
      <w:r/>
    </w:p>
    <w:p>
      <w:pPr>
        <w:pStyle w:val="724"/>
        <w:pBdr/>
        <w:spacing/>
        <w:ind/>
        <w:rPr/>
      </w:pPr>
      <w:r/>
      <w:bookmarkStart w:id="29" w:name="auditoria-19700-constatação-nº-689143-1"/>
      <w:r>
        <w:t xml:space="preserve">Auditoria 19700, Constatação Nº 689143 (#1)</w:t>
      </w:r>
      <w:r/>
    </w:p>
    <w:p>
      <w:pPr>
        <w:pStyle w:val="736"/>
        <w:pBdr/>
        <w:spacing/>
        <w:ind/>
        <w:rPr/>
      </w:pPr>
      <w:r>
        <w:rPr>
          <w:b/>
          <w:bCs/>
        </w:rPr>
        <w:t xml:space="preserve">Finalidade</w:t>
      </w:r>
      <w:r>
        <w:t xml:space="preserve">: Verificar a implementação do PNCH quanto a efetiva prest. de serviços de at. integral à hanseníase</w:t>
      </w:r>
      <w:r/>
    </w:p>
    <w:p>
      <w:pPr>
        <w:pStyle w:val="735"/>
        <w:pBdr/>
        <w:spacing/>
        <w:ind/>
        <w:rPr/>
      </w:pPr>
      <w:r>
        <w:rPr>
          <w:b/>
          <w:bCs/>
        </w:rPr>
        <w:t xml:space="preserve">Constatação</w:t>
      </w:r>
      <w:r>
        <w:t xml:space="preserve">: A Semus de São Luís não comprovou o cumprimento dos prazos e fluxos quanto ao envio das fichas de notificação no Sinan.</w:t>
      </w:r>
      <w:r/>
    </w:p>
    <w:p>
      <w:pPr>
        <w:pStyle w:val="735"/>
        <w:pBdr/>
        <w:spacing/>
        <w:ind/>
        <w:rPr/>
      </w:pPr>
      <w:r>
        <w:rPr>
          <w:b/>
          <w:bCs/>
        </w:rPr>
        <w:t xml:space="preserve">Recomendação</w:t>
      </w:r>
      <w:r>
        <w:t xml:space="preserve">: À Secretaria de Vigilância em Saúde e Ambiente (SVSA/MS) para conhecimento da presente constatação e adoção dos procedimentos a seu cargo,</w:t>
      </w:r>
      <w:r>
        <w:t xml:space="preserve"> conforme estabelecido no Inciso XI, do Art. 38, do Decreto n.º 11.798, de 28/11/2023, objetivando a organização e execução de atividades relativas à prevenção e ao controle de doenças, agravos e eventos de saúde pública relacionadas à vigilância em saúde.</w:t>
      </w:r>
      <w:r/>
    </w:p>
    <w:p>
      <w:pPr>
        <w:pStyle w:val="735"/>
        <w:pBdr/>
        <w:spacing/>
        <w:ind/>
        <w:rPr/>
      </w:pPr>
      <w:r>
        <w:rPr>
          <w:b/>
          <w:bCs/>
        </w:rPr>
        <w:t xml:space="preserve">Análise Codificação</w:t>
      </w:r>
      <w:r>
        <w:t xml:space="preserve">: A recomendação não propõe ações específicas para tratar a causa do problema identificado (não cumprimento dos prazos e fluxos de envio das fichas de notificação). Ela </w:t>
      </w:r>
      <w:r>
        <w:t xml:space="preserve">apenas solicita que a SVSA/MS tome conhecimento da constatação e atue conforme suas atribuições legais genéricas, sem indicar medidas concretas para resolver a causa raiz do não cumprimento dos prazos. Portanto, não há ação focada na causa.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737"/>
        <w:numPr>
          <w:ilvl w:val="0"/>
          <w:numId w:val="9"/>
        </w:numPr>
        <w:pBdr/>
        <w:spacing/>
        <w:ind/>
        <w:rPr/>
      </w:pPr>
      <w:r>
        <w:t xml:space="preserve">Foco Causa: Não</w:t>
      </w:r>
      <w:r/>
    </w:p>
    <w:p>
      <w:pPr>
        <w:pStyle w:val="737"/>
        <w:numPr>
          <w:ilvl w:val="0"/>
          <w:numId w:val="9"/>
        </w:numPr>
        <w:pBdr/>
        <w:spacing/>
        <w:ind/>
        <w:rPr/>
      </w:pPr>
      <w:r>
        <w:t xml:space="preserve">Efeitos Duradouros: Não se aplica</w:t>
      </w:r>
      <w:bookmarkEnd w:id="29"/>
      <w:r/>
    </w:p>
    <w:p>
      <w:pPr>
        <w:pStyle w:val="724"/>
        <w:pBdr/>
        <w:spacing/>
        <w:ind/>
        <w:rPr/>
      </w:pPr>
      <w:r/>
      <w:bookmarkStart w:id="30" w:name="auditoria-19710-constatação-nº-696290-1"/>
      <w:r>
        <w:t xml:space="preserve">Auditoria 19710, Constatação Nº 696290 (#1)</w:t>
      </w:r>
      <w:r/>
    </w:p>
    <w:p>
      <w:pPr>
        <w:pStyle w:val="736"/>
        <w:pBdr/>
        <w:spacing/>
        <w:ind/>
        <w:rPr/>
      </w:pPr>
      <w:r>
        <w:rPr>
          <w:b/>
          <w:bCs/>
        </w:rPr>
        <w:t xml:space="preserve">Finalidade</w:t>
      </w:r>
      <w:r>
        <w:t xml:space="preserve">: Verificar a regularidade da produção inserida nos sistemas do SUS.</w:t>
      </w:r>
      <w:r/>
    </w:p>
    <w:p>
      <w:pPr>
        <w:pStyle w:val="735"/>
        <w:pBdr/>
        <w:spacing/>
        <w:ind/>
        <w:rPr/>
      </w:pPr>
      <w:r>
        <w:rPr>
          <w:b/>
          <w:bCs/>
        </w:rPr>
        <w:t xml:space="preserve">Constatação</w:t>
      </w:r>
      <w:r>
        <w:t xml:space="preserve">: Falhas na emissão e guarda dos prontuários dos pacientes atendidos pelo serviço de oftalmologia no HMCB.</w:t>
      </w:r>
      <w:r/>
    </w:p>
    <w:p>
      <w:pPr>
        <w:pStyle w:val="735"/>
        <w:pBdr/>
        <w:spacing/>
        <w:ind/>
        <w:rPr/>
      </w:pPr>
      <w:r>
        <w:rPr>
          <w:b/>
          <w:bCs/>
        </w:rPr>
        <w:t xml:space="preserve">Recomendação</w:t>
      </w:r>
      <w:r>
        <w:t xml:space="preserve">: Determinar à empresa contratada a regularização da emissão d</w:t>
      </w:r>
      <w:r>
        <w:t xml:space="preserve">os prontuários dos pacientes atendidos pelo serviço de oftalmologia do HMCB, assegurando que sejam únicos para cada paciente, assinados pelo médico responsável e contenham todas as informações necessárias para possibilitar a análise integrada e a rastreabi</w:t>
      </w:r>
      <w:r>
        <w:t xml:space="preserve">lidade dos dados, em atendimento ao disposto no subitem 3.1 do Anexo I da Portaria MS/SAS nº 288/2008, que trata do Registro das Informações do Paciente. Determinar à empresa contratada a regularização da guarda dos prontuários no Serviço de Arquivo Médico</w:t>
      </w:r>
      <w:r>
        <w:t xml:space="preserve"> do hospital, organizados conforme os padrões estabelecidos pelo Conselho Federal de Medicina (CFM). Essa medida visa garantir a privacidade, segurança e acessibilidade das informações dos pacientes, em conformidade com os artigos 2º, 3º e 5º da Resolução </w:t>
      </w:r>
      <w:r>
        <w:t xml:space="preserve">CFM nº 1.821/2007, os §§ 1º e 2º do artigo 87 da Resolução CFM nº 2.217/2018 (Código de Ética Médica), que regulamentam a guarda de prontuários médicos, bem como com o subitem 3.1 do Anexo I da Portaria MS/SAS nº 288/2008, referente ao Registro das Informa</w:t>
      </w:r>
      <w:r>
        <w:t xml:space="preserve">ções do Paciente. Determinar à empresa contratada a utilização de certificação digital válida para os prontuários eletrônicos, atendendo aos padrões de segurança e validade jurídica estabelecidos pela Infraestrutura de Chaves Públicas Brasileira (ICP- Bras</w:t>
      </w:r>
      <w:r>
        <w:t xml:space="preserve">il) ou por outro sistema legalmente reconhecido. Essa exigência está em conformidade com o § 2º do artigo 2º da Lei nº 13.787/2018, que regulamenta a digitalização de prontuários, garantindo a integridade, autenticidade e confidencialidade das informações.</w:t>
      </w:r>
      <w:r/>
    </w:p>
    <w:p>
      <w:pPr>
        <w:pStyle w:val="735"/>
        <w:pBdr/>
        <w:spacing/>
        <w:ind/>
        <w:rPr/>
      </w:pPr>
      <w:r>
        <w:rPr>
          <w:b/>
          <w:bCs/>
        </w:rPr>
        <w:t xml:space="preserve">Análise Codificação</w:t>
      </w:r>
      <w:r>
        <w:t xml:space="preserve">: Em relação ao foco, a recomendação propõe ações para regularizar a emissão, guarda e certificação digital dos prontuários, mas não identifica ou trata explicit</w:t>
      </w:r>
      <w:r>
        <w:t xml:space="preserve">amente as causas subjacentes que levaram às falhas (como falta de treinamento, recursos inadequados ou processos deficientes). As medidas são direcionadas a corrigir a condição atual. Já em relação aos efeitos pretendidos pela recomendação, como o critério</w:t>
      </w:r>
      <w:r>
        <w:t xml:space="preserve"> </w:t>
      </w:r>
      <w:r>
        <w:t xml:space="preserve">‘Foco Causa’</w:t>
      </w:r>
      <w:r>
        <w:t xml:space="preserve"> </w:t>
      </w:r>
      <w:r>
        <w:t xml:space="preserve">não foi atendido, esta análise não se aplica.</w:t>
      </w:r>
      <w:r/>
    </w:p>
    <w:p>
      <w:pPr>
        <w:pStyle w:val="737"/>
        <w:numPr>
          <w:ilvl w:val="0"/>
          <w:numId w:val="10"/>
        </w:numPr>
        <w:pBdr/>
        <w:spacing/>
        <w:ind/>
        <w:rPr/>
      </w:pPr>
      <w:r>
        <w:t xml:space="preserve">Foco Causa: Não</w:t>
      </w:r>
      <w:r/>
    </w:p>
    <w:p>
      <w:pPr>
        <w:pStyle w:val="737"/>
        <w:numPr>
          <w:ilvl w:val="0"/>
          <w:numId w:val="10"/>
        </w:numPr>
        <w:pBdr/>
        <w:spacing/>
        <w:ind/>
        <w:rPr/>
      </w:pPr>
      <w:r>
        <w:t xml:space="preserve">Efeitos Duradouros: Não se aplica</w:t>
      </w:r>
      <w:bookmarkEnd w:id="30"/>
      <w:r/>
    </w:p>
    <w:p>
      <w:pPr>
        <w:pStyle w:val="724"/>
        <w:pBdr/>
        <w:spacing/>
        <w:ind/>
        <w:rPr/>
      </w:pPr>
      <w:r/>
      <w:bookmarkStart w:id="31" w:name="auditoria-19763-constatação-nº-693044-1"/>
      <w:r>
        <w:t xml:space="preserve">Auditoria 19763, Constatação Nº 693044 (#1)</w:t>
      </w:r>
      <w:r/>
    </w:p>
    <w:p>
      <w:pPr>
        <w:pStyle w:val="736"/>
        <w:pBdr/>
        <w:spacing/>
        <w:ind/>
        <w:rPr/>
      </w:pPr>
      <w:r>
        <w:rPr>
          <w:b/>
          <w:bCs/>
        </w:rPr>
        <w:t xml:space="preserve">Finalidade</w:t>
      </w:r>
      <w:r>
        <w:t xml:space="preserve">: Verificar se as Centrais Municipais de Rede de Frios (CMRFs) possuem controles internos</w:t>
      </w:r>
      <w:r/>
    </w:p>
    <w:p>
      <w:pPr>
        <w:pStyle w:val="735"/>
        <w:pBdr/>
        <w:spacing/>
        <w:ind/>
        <w:rPr/>
      </w:pPr>
      <w:r>
        <w:rPr>
          <w:b/>
          <w:bCs/>
        </w:rPr>
        <w:t xml:space="preserve">Constatação</w:t>
      </w:r>
      <w:r>
        <w:t xml:space="preserve">: A CMRF possui Plano de Contingência para lidar com emergências que possam afetar a Cadeia de Frio, no entanto o plano não é de amplo conhecimento e de fácil acesso a toda equipe.</w:t>
      </w:r>
      <w:r/>
    </w:p>
    <w:p>
      <w:pPr>
        <w:pStyle w:val="735"/>
        <w:pBdr/>
        <w:spacing/>
        <w:ind/>
        <w:rPr/>
      </w:pPr>
      <w:r>
        <w:rPr>
          <w:b/>
          <w:bCs/>
        </w:rPr>
        <w:t xml:space="preserve">Recomendação</w:t>
      </w:r>
      <w:r>
        <w:t xml:space="preserve">: Em atendimento ao art. 80 da RDC ANVISA nº 430/2020 e ao item 7.3 do Manual do PNI (2017), recomenda-se: - Organizar ad</w:t>
      </w:r>
      <w:r>
        <w:t xml:space="preserve">equadamente as pastas no drive. - Afixar o Plano de Contingência em um local estratégico e de fácil visualização dentro da CMRF. - Implementar treinamentos periódicos sobre o Plano de Contingência. As recomendações têm como objetivo, além de atender às exi</w:t>
      </w:r>
      <w:r>
        <w:t xml:space="preserve">gências regulatórias, assegurar que toda a equipe tenha fácil acesso e conhecimento sobre o plano, garantindo que as informações essenciais estejam sempre disponíveis. O treinamento da equipe visa minimizar riscos e garantir a proteção dos imunobiológicos.</w:t>
      </w:r>
      <w:r/>
    </w:p>
    <w:p>
      <w:pPr>
        <w:pStyle w:val="735"/>
        <w:pBdr/>
        <w:spacing/>
        <w:ind/>
        <w:rPr/>
      </w:pPr>
      <w:r>
        <w:rPr>
          <w:b/>
          <w:bCs/>
        </w:rPr>
        <w:t xml:space="preserve">Análise Codificação</w:t>
      </w:r>
      <w:r>
        <w:t xml:space="preserve">: Em relação ao foco, a recomendação propõe ações como organizar pastas no drive, afixar o plano em local estratégico e implementar treinamentos periódicos, que visam melhorar o acesso e conhecimento do Plano de Contingência, mas não abordam dire</w:t>
      </w:r>
      <w:r>
        <w:t xml:space="preserve">tamente a causa raiz do problema (como por que o plano não é de amplo conhecimento ou de fácil acesso inicialmente). Essas ações são mais focadas em corrigir a condição atual de falta de acesso e conhecimento. Quanto aos efeitos duradouros, como o critério</w:t>
      </w:r>
      <w:r>
        <w:t xml:space="preserve"> </w:t>
      </w:r>
      <w:r>
        <w:t xml:space="preserve">‘Foco Causa’</w:t>
      </w:r>
      <w:r>
        <w:t xml:space="preserve"> </w:t>
      </w:r>
      <w:r>
        <w:t xml:space="preserve">não foi atendido, esta análise não se aplica.</w:t>
      </w:r>
      <w:r/>
    </w:p>
    <w:p>
      <w:pPr>
        <w:pStyle w:val="737"/>
        <w:numPr>
          <w:ilvl w:val="0"/>
          <w:numId w:val="11"/>
        </w:numPr>
        <w:pBdr/>
        <w:spacing/>
        <w:ind/>
        <w:rPr/>
      </w:pPr>
      <w:r>
        <w:t xml:space="preserve">Foco Causa: Não</w:t>
      </w:r>
      <w:r/>
    </w:p>
    <w:p>
      <w:pPr>
        <w:pStyle w:val="737"/>
        <w:numPr>
          <w:ilvl w:val="0"/>
          <w:numId w:val="11"/>
        </w:numPr>
        <w:pBdr/>
        <w:spacing/>
        <w:ind/>
        <w:rPr/>
      </w:pPr>
      <w:r>
        <w:t xml:space="preserve">Efeitos Duradouros: Não se aplica</w:t>
      </w:r>
      <w:bookmarkEnd w:id="31"/>
      <w:r/>
    </w:p>
    <w:p>
      <w:pPr>
        <w:pStyle w:val="724"/>
        <w:pBdr/>
        <w:spacing/>
        <w:ind/>
        <w:rPr/>
      </w:pPr>
      <w:r/>
      <w:bookmarkStart w:id="32" w:name="auditoria-19820-constatação-nº-695432-1"/>
      <w:r>
        <w:t xml:space="preserve">Auditoria 19820, Constatação Nº 695432 (#1)</w:t>
      </w:r>
      <w:r/>
    </w:p>
    <w:p>
      <w:pPr>
        <w:pStyle w:val="736"/>
        <w:pBdr/>
        <w:spacing/>
        <w:ind/>
        <w:rPr/>
      </w:pPr>
      <w:r>
        <w:rPr>
          <w:b/>
          <w:bCs/>
        </w:rPr>
        <w:t xml:space="preserve">Finalidade</w:t>
      </w:r>
      <w:r>
        <w:t xml:space="preserve">: Auditoria PNSMAD - 2024</w:t>
      </w:r>
      <w:r/>
    </w:p>
    <w:p>
      <w:pPr>
        <w:pStyle w:val="735"/>
        <w:pBdr/>
        <w:spacing/>
        <w:ind/>
        <w:rPr/>
      </w:pPr>
      <w:r>
        <w:rPr>
          <w:b/>
          <w:bCs/>
        </w:rPr>
        <w:t xml:space="preserve">Constatação</w:t>
      </w:r>
      <w:r>
        <w:t xml:space="preserve">: A Gestão da SMS de Maceió não comprovou o alinhamento das ações de saúde mental álcool e outras drogas, na Atenção Primária, ao Plano de Ação Municipal e Regional da Atenção Psicossocial.</w:t>
      </w:r>
      <w:r/>
    </w:p>
    <w:p>
      <w:pPr>
        <w:pStyle w:val="735"/>
        <w:pBdr/>
        <w:spacing/>
        <w:ind/>
        <w:rPr/>
      </w:pPr>
      <w:r>
        <w:rPr>
          <w:b/>
          <w:bCs/>
        </w:rPr>
        <w:t xml:space="preserve">Recomendação</w:t>
      </w:r>
      <w:r>
        <w:t xml:space="preserve">: Realizar o al</w:t>
      </w:r>
      <w:r>
        <w:t xml:space="preserve">inhamento das ações de saúde mental álcool e outras drogas, na Atenção Primária, ao Plano de Ação Municipal e Regional da Atenção Psicossocial conforme estabelece a Portaria de Consolidação n.° 3, de 28 de setembro de 2017, Título IV, Art. 14, inciso I, c.</w:t>
      </w:r>
      <w:r/>
    </w:p>
    <w:p>
      <w:pPr>
        <w:pStyle w:val="735"/>
        <w:pBdr/>
        <w:spacing/>
        <w:ind/>
        <w:rPr/>
      </w:pPr>
      <w:r>
        <w:rPr>
          <w:b/>
          <w:bCs/>
        </w:rPr>
        <w:t xml:space="preserve">Análise Codificação</w:t>
      </w:r>
      <w:r>
        <w:t xml:space="preserve">: Em relação ao foco, a recomendação propõe o alinhamento das ações de saúde mental ao plano de ação municipal e regional, o que visa corrigir a falta de conformidade identificada, mas não aborda explicitamente as causas subjacent</w:t>
      </w:r>
      <w:r>
        <w:t xml:space="preserve">es que levaram a essa falta de alinhamento, como possíveis deficiências em processos de planejamento, capacitação ou monitoramento. Portanto, a recomendação é focada na condição atual de desalinhamento. Já em relação aos efeitos duradouros, como o critério</w:t>
      </w:r>
      <w:r>
        <w:t xml:space="preserve"> </w:t>
      </w:r>
      <w:r>
        <w:t xml:space="preserve">‘Foco Causa’</w:t>
      </w:r>
      <w:r>
        <w:t xml:space="preserve"> </w:t>
      </w:r>
      <w:r>
        <w:t xml:space="preserve">não foi atendido, essa análise não se aplica.</w:t>
      </w:r>
      <w:r/>
    </w:p>
    <w:p>
      <w:pPr>
        <w:pStyle w:val="737"/>
        <w:numPr>
          <w:ilvl w:val="0"/>
          <w:numId w:val="12"/>
        </w:numPr>
        <w:pBdr/>
        <w:spacing/>
        <w:ind/>
        <w:rPr/>
      </w:pPr>
      <w:r>
        <w:t xml:space="preserve">Foco Causa: Não</w:t>
      </w:r>
      <w:r/>
    </w:p>
    <w:p>
      <w:pPr>
        <w:pStyle w:val="737"/>
        <w:numPr>
          <w:ilvl w:val="0"/>
          <w:numId w:val="12"/>
        </w:numPr>
        <w:pBdr/>
        <w:spacing/>
        <w:ind/>
        <w:rPr/>
      </w:pPr>
      <w:r>
        <w:t xml:space="preserve">Efeitos Duradouros: Não se aplica</w:t>
      </w:r>
      <w:bookmarkEnd w:id="32"/>
      <w:bookmarkEnd w:id="33"/>
      <w:r/>
    </w:p>
    <w:p>
      <w:pPr>
        <w:pStyle w:val="723"/>
        <w:pBdr/>
        <w:spacing/>
        <w:ind/>
        <w:rPr/>
      </w:pPr>
      <w:r/>
      <w:bookmarkStart w:id="39" w:name="X16442b968a1e558aeaab64d1f7161c97abcf7bd"/>
      <w:r>
        <w:t xml:space="preserve">Foco causa: Não se aplica. Efeitos duradouros: Não se aplica</w:t>
      </w:r>
      <w:r/>
    </w:p>
    <w:p>
      <w:pPr>
        <w:pStyle w:val="724"/>
        <w:pBdr/>
        <w:spacing/>
        <w:ind/>
        <w:rPr/>
      </w:pPr>
      <w:r/>
      <w:bookmarkStart w:id="34" w:name="auditoria-19496-constatação-nº-670139-2"/>
      <w:r>
        <w:t xml:space="preserve">Auditoria 19496, Constatação Nº 670139 (#2)</w:t>
      </w:r>
      <w:r/>
    </w:p>
    <w:p>
      <w:pPr>
        <w:pStyle w:val="736"/>
        <w:pBdr/>
        <w:spacing/>
        <w:ind/>
        <w:rPr/>
      </w:pPr>
      <w:r>
        <w:rPr>
          <w:b/>
          <w:bCs/>
        </w:rPr>
        <w:t xml:space="preserve">Finalidade</w:t>
      </w:r>
      <w:r>
        <w:t xml:space="preserve">: Verificar a regularidade da execução do Programa Farmácia Popular do Brasil/PFPB</w:t>
      </w:r>
      <w:r/>
    </w:p>
    <w:p>
      <w:pPr>
        <w:pStyle w:val="735"/>
        <w:pBdr/>
        <w:spacing/>
        <w:ind/>
        <w:rPr/>
      </w:pPr>
      <w:r>
        <w:rPr>
          <w:b/>
          <w:bCs/>
        </w:rPr>
        <w:t xml:space="preserve">Constatação</w:t>
      </w:r>
      <w:r>
        <w:t xml:space="preserve">: Irregularidades nos cupons e receitas médicas disponibilizadas pela empresa.</w:t>
      </w:r>
      <w:r/>
    </w:p>
    <w:p>
      <w:pPr>
        <w:pStyle w:val="735"/>
        <w:pBdr/>
        <w:spacing/>
        <w:ind/>
        <w:rPr/>
      </w:pPr>
      <w:r>
        <w:rPr>
          <w:b/>
          <w:bCs/>
        </w:rPr>
        <w:t xml:space="preserve">Recomendação</w:t>
      </w:r>
      <w:r>
        <w:t xml:space="preserve">: Ao Departamento de Assistência Farmacêut</w:t>
      </w:r>
      <w:r>
        <w:t xml:space="preserve">ica e Insumos Estratégicos - DAF/SECTICS/MS para conhecimento da presente constatação, conforme estabelecem os artigos 12 e 34 do Decreto nº 11.358, de 01/01/2023, combinado com o Inciso VIII do art. 2º do Decreto nº 3.964, de 10/10/2001, visando à elisão </w:t>
      </w:r>
      <w:r>
        <w:t xml:space="preserve">do dano e/ou impropriedade ocorrida com recursos de origem federal, indicado Anexo VII - Proposição de Devolução - Relatório Final, do presente relatório, com os devidos acréscimos legais, observados os princípios norteadores dos processos administrativos.</w:t>
      </w:r>
      <w:r/>
    </w:p>
    <w:p>
      <w:pPr>
        <w:pStyle w:val="735"/>
        <w:pBdr/>
        <w:spacing/>
        <w:ind/>
        <w:rPr/>
      </w:pPr>
      <w:r>
        <w:rPr>
          <w:b/>
          <w:bCs/>
        </w:rPr>
        <w:t xml:space="preserve">Análise Codificação</w:t>
      </w:r>
      <w:r>
        <w:t xml:space="preserve">: A recomendação consiste apenas em encaminhar a constatação para conhecimento do Depar</w:t>
      </w:r>
      <w:r>
        <w:t xml:space="preserve">tamento de Assistência Farmacêutica e Insumos Estratégicos, sem propor ações específicas para tratar a causa das irregularidades nos cupons e receitas médicas. Não há menção a medidas corretivas, preventivas ou de melhoria que abordem a origem do problema.</w:t>
      </w:r>
      <w:r/>
    </w:p>
    <w:p>
      <w:pPr>
        <w:pStyle w:val="737"/>
        <w:numPr>
          <w:ilvl w:val="0"/>
          <w:numId w:val="13"/>
        </w:numPr>
        <w:pBdr/>
        <w:spacing/>
        <w:ind/>
        <w:rPr/>
      </w:pPr>
      <w:r>
        <w:t xml:space="preserve">Foco Causa: Não se aplica</w:t>
      </w:r>
      <w:r/>
    </w:p>
    <w:p>
      <w:pPr>
        <w:pStyle w:val="737"/>
        <w:numPr>
          <w:ilvl w:val="0"/>
          <w:numId w:val="13"/>
        </w:numPr>
        <w:pBdr/>
        <w:spacing/>
        <w:ind/>
        <w:rPr/>
      </w:pPr>
      <w:r>
        <w:t xml:space="preserve">Efeitos Duradouros: Não se aplica</w:t>
      </w:r>
      <w:bookmarkEnd w:id="34"/>
      <w:r/>
    </w:p>
    <w:p>
      <w:pPr>
        <w:pStyle w:val="724"/>
        <w:pBdr/>
        <w:spacing/>
        <w:ind/>
        <w:rPr/>
      </w:pPr>
      <w:r/>
      <w:bookmarkStart w:id="35" w:name="auditoria-19590-constatação-nº-684816-1"/>
      <w:r>
        <w:t xml:space="preserve">Auditoria 19590, Constatação Nº 684816 (#1)</w:t>
      </w:r>
      <w:r/>
    </w:p>
    <w:p>
      <w:pPr>
        <w:pStyle w:val="736"/>
        <w:pBdr/>
        <w:spacing/>
        <w:ind/>
        <w:rPr/>
      </w:pPr>
      <w:r>
        <w:rPr>
          <w:b/>
          <w:bCs/>
        </w:rPr>
        <w:t xml:space="preserve">Finalidade</w:t>
      </w:r>
      <w:r>
        <w:t xml:space="preserve">: Verificar a implementação da Pol. Nac. ao Portador de Doença Ren. Crônica, nos estágios 4 e 5 em TRS</w:t>
      </w:r>
      <w:r/>
    </w:p>
    <w:p>
      <w:pPr>
        <w:pStyle w:val="735"/>
        <w:pBdr/>
        <w:spacing/>
        <w:ind/>
        <w:rPr/>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r/>
    </w:p>
    <w:p>
      <w:pPr>
        <w:pStyle w:val="735"/>
        <w:pBdr/>
        <w:spacing/>
        <w:ind/>
        <w:rPr/>
      </w:pPr>
      <w:r>
        <w:rPr>
          <w:b/>
          <w:bCs/>
        </w:rPr>
        <w:t xml:space="preserve">Recomendação</w:t>
      </w:r>
      <w:r>
        <w:t xml:space="preserve">: Recomendação descrita na Constatação n.° 684813.</w:t>
      </w:r>
      <w:r/>
    </w:p>
    <w:p>
      <w:pPr>
        <w:pStyle w:val="735"/>
        <w:pBdr/>
        <w:spacing/>
        <w:ind/>
        <w:rPr/>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r/>
    </w:p>
    <w:p>
      <w:pPr>
        <w:pStyle w:val="737"/>
        <w:numPr>
          <w:ilvl w:val="0"/>
          <w:numId w:val="14"/>
        </w:numPr>
        <w:pBdr/>
        <w:spacing/>
        <w:ind/>
        <w:rPr/>
      </w:pPr>
      <w:r>
        <w:t xml:space="preserve">Foco Causa: Não se aplica</w:t>
      </w:r>
      <w:r/>
    </w:p>
    <w:p>
      <w:pPr>
        <w:pStyle w:val="737"/>
        <w:numPr>
          <w:ilvl w:val="0"/>
          <w:numId w:val="14"/>
        </w:numPr>
        <w:pBdr/>
        <w:spacing/>
        <w:ind/>
        <w:rPr/>
      </w:pPr>
      <w:r>
        <w:t xml:space="preserve">Efeitos Duradouros: Não se aplica</w:t>
      </w:r>
      <w:bookmarkEnd w:id="35"/>
      <w:r/>
    </w:p>
    <w:p>
      <w:pPr>
        <w:pStyle w:val="724"/>
        <w:pBdr/>
        <w:spacing/>
        <w:ind/>
        <w:rPr/>
      </w:pPr>
      <w:r/>
      <w:bookmarkStart w:id="36" w:name="auditoria-19590-constatação-nº-687133-1"/>
      <w:r>
        <w:t xml:space="preserve">Auditoria 19590, Constatação Nº 687133 (#1)</w:t>
      </w:r>
      <w:r/>
    </w:p>
    <w:p>
      <w:pPr>
        <w:pStyle w:val="736"/>
        <w:pBdr/>
        <w:spacing/>
        <w:ind/>
        <w:rPr/>
      </w:pPr>
      <w:r>
        <w:rPr>
          <w:b/>
          <w:bCs/>
        </w:rPr>
        <w:t xml:space="preserve">Finalidade</w:t>
      </w:r>
      <w:r>
        <w:t xml:space="preserve">: Verificar a implementação da Pol. Nac. ao Portador de Doença Ren. Crônica, nos estágios 4 e 5 em TRS</w:t>
      </w:r>
      <w:r/>
    </w:p>
    <w:p>
      <w:pPr>
        <w:pStyle w:val="735"/>
        <w:pBdr/>
        <w:spacing/>
        <w:ind/>
        <w:rPr/>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r/>
    </w:p>
    <w:p>
      <w:pPr>
        <w:pStyle w:val="735"/>
        <w:pBdr/>
        <w:spacing/>
        <w:ind/>
        <w:rPr/>
      </w:pPr>
      <w:r>
        <w:rPr>
          <w:b/>
          <w:bCs/>
        </w:rPr>
        <w:t xml:space="preserve">Recomendação</w:t>
      </w:r>
      <w:r>
        <w:t xml:space="preserve">: Recomendação descrita na Constatação n.° 684803.</w:t>
      </w:r>
      <w:r/>
    </w:p>
    <w:p>
      <w:pPr>
        <w:pStyle w:val="735"/>
        <w:pBdr/>
        <w:spacing/>
        <w:ind/>
        <w:rPr/>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r/>
    </w:p>
    <w:p>
      <w:pPr>
        <w:pStyle w:val="737"/>
        <w:numPr>
          <w:ilvl w:val="0"/>
          <w:numId w:val="15"/>
        </w:numPr>
        <w:pBdr/>
        <w:spacing/>
        <w:ind/>
        <w:rPr/>
      </w:pPr>
      <w:r>
        <w:t xml:space="preserve">Foco Causa: Não se aplica</w:t>
      </w:r>
      <w:r/>
    </w:p>
    <w:p>
      <w:pPr>
        <w:pStyle w:val="737"/>
        <w:numPr>
          <w:ilvl w:val="0"/>
          <w:numId w:val="15"/>
        </w:numPr>
        <w:pBdr/>
        <w:spacing/>
        <w:ind/>
        <w:rPr/>
      </w:pPr>
      <w:r>
        <w:t xml:space="preserve">Efeitos Duradouros: Não se aplica</w:t>
      </w:r>
      <w:bookmarkEnd w:id="36"/>
      <w:r/>
    </w:p>
    <w:p>
      <w:pPr>
        <w:pStyle w:val="724"/>
        <w:pBdr/>
        <w:spacing/>
        <w:ind/>
        <w:rPr/>
      </w:pPr>
      <w:r/>
      <w:bookmarkStart w:id="37" w:name="auditoria-19591-constatação-nº-682488-1"/>
      <w:r>
        <w:t xml:space="preserve">Auditoria 19591, Constatação Nº 682488 (#1)</w:t>
      </w:r>
      <w:r/>
    </w:p>
    <w:p>
      <w:pPr>
        <w:pStyle w:val="736"/>
        <w:pBdr/>
        <w:spacing/>
        <w:ind/>
        <w:rPr/>
      </w:pPr>
      <w:r>
        <w:rPr>
          <w:b/>
          <w:bCs/>
        </w:rPr>
        <w:t xml:space="preserve">Finalidade</w:t>
      </w:r>
      <w:r>
        <w:t xml:space="preserve">: Verificar a implementação da Política Nac. de Atenção ao Portador de Doença Renal. Estágios 4 e 5</w:t>
      </w:r>
      <w:r/>
    </w:p>
    <w:p>
      <w:pPr>
        <w:pStyle w:val="735"/>
        <w:pBdr/>
        <w:spacing/>
        <w:ind/>
        <w:rPr/>
      </w:pPr>
      <w:r>
        <w:rPr>
          <w:b/>
          <w:bCs/>
        </w:rPr>
        <w:t xml:space="preserve">Constatação</w:t>
      </w:r>
      <w:r>
        <w:t xml:space="preserve">: A gestão estadual não cumpre adequadamente as </w:t>
      </w:r>
      <w:r>
        <w:t xml:space="preserve">responsabilidades previstas na Assistência Farmacêutica Especializada ao portador de Doença Renal Crônica (DRC), com foco no estágio 5-D, no que se refere a programação, aquisição e disponibilização de medicamentos. (Continuação da constatação n.º 677630).</w:t>
      </w:r>
      <w:r/>
    </w:p>
    <w:p>
      <w:pPr>
        <w:pStyle w:val="735"/>
        <w:pBdr/>
        <w:spacing/>
        <w:ind/>
        <w:rPr/>
      </w:pPr>
      <w:r>
        <w:rPr>
          <w:b/>
          <w:bCs/>
        </w:rPr>
        <w:t xml:space="preserve">Recomendação</w:t>
      </w:r>
      <w:r>
        <w:t xml:space="preserve">: Recomendação descrita na Constatação n.° 677630.</w:t>
      </w:r>
      <w:r/>
    </w:p>
    <w:p>
      <w:pPr>
        <w:pStyle w:val="735"/>
        <w:pBdr/>
        <w:spacing/>
        <w:ind/>
        <w:rPr/>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r/>
    </w:p>
    <w:p>
      <w:pPr>
        <w:pStyle w:val="737"/>
        <w:numPr>
          <w:ilvl w:val="0"/>
          <w:numId w:val="16"/>
        </w:numPr>
        <w:pBdr/>
        <w:spacing/>
        <w:ind/>
        <w:rPr/>
      </w:pPr>
      <w:r>
        <w:t xml:space="preserve">Foco Causa: Não se aplica</w:t>
      </w:r>
      <w:r/>
    </w:p>
    <w:p>
      <w:pPr>
        <w:pStyle w:val="737"/>
        <w:numPr>
          <w:ilvl w:val="0"/>
          <w:numId w:val="16"/>
        </w:numPr>
        <w:pBdr/>
        <w:spacing/>
        <w:ind/>
        <w:rPr/>
      </w:pPr>
      <w:r>
        <w:t xml:space="preserve">Efeitos Duradouros: Não se aplica</w:t>
      </w:r>
      <w:bookmarkEnd w:id="37"/>
      <w:r/>
    </w:p>
    <w:p>
      <w:pPr>
        <w:pStyle w:val="724"/>
        <w:pBdr/>
        <w:spacing/>
        <w:ind/>
        <w:rPr/>
      </w:pPr>
      <w:r/>
      <w:bookmarkStart w:id="38" w:name="auditoria-19886-constatação-nº-702258-1"/>
      <w:r>
        <w:t xml:space="preserve">Auditoria 19886, Constatação Nº 702258 (#1)</w:t>
      </w:r>
      <w:r/>
    </w:p>
    <w:p>
      <w:pPr>
        <w:pStyle w:val="736"/>
        <w:pBdr/>
        <w:spacing/>
        <w:ind/>
        <w:rPr/>
      </w:pPr>
      <w:r>
        <w:rPr>
          <w:b/>
          <w:bCs/>
        </w:rPr>
        <w:t xml:space="preserve">Finalidade</w:t>
      </w:r>
      <w:r>
        <w:t xml:space="preserve">: Verificar a regularidade do tratamento em oncologia do EAS vinculado ao SUS</w:t>
      </w:r>
      <w:r/>
    </w:p>
    <w:p>
      <w:pPr>
        <w:pStyle w:val="735"/>
        <w:pBdr/>
        <w:spacing/>
        <w:ind/>
        <w:rPr/>
      </w:pPr>
      <w:r>
        <w:rPr>
          <w:b/>
          <w:bCs/>
        </w:rPr>
        <w:t xml:space="preserve">Constatação</w:t>
      </w:r>
      <w:r>
        <w:t xml:space="preserve">: De acordo com a amostra </w:t>
      </w:r>
      <w:r>
        <w:t xml:space="preserve">analisada, 41 (quarenta e uma) APACs com códigos 03.04.05 (quimioterapia adjuvante - profilática) não possuem a AIH de cirurgia oncológica e as que possuem ultrapassam o período 60 dias para o início da quimioterapia, estando em desacordo com a legislação.</w:t>
      </w:r>
      <w:r/>
    </w:p>
    <w:p>
      <w:pPr>
        <w:pStyle w:val="735"/>
        <w:pBdr/>
        <w:spacing/>
        <w:ind/>
        <w:rPr/>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w:t>
      </w:r>
      <w:r>
        <w:t xml:space="preserve">imo, entre 30 a 60 dias do pós-operatório, e tem por finalidade aumentar o intervalo livre de doença e a sobrevida global dos doentes. É de longa duração (de 6 a 12 meses para quimioterapia não hormonal e 60 meses para a hormonioterapia do câncer de mama).</w:t>
      </w:r>
      <w:r/>
    </w:p>
    <w:p>
      <w:pPr>
        <w:pStyle w:val="735"/>
        <w:pBdr/>
        <w:spacing/>
        <w:ind/>
        <w:rPr/>
      </w:pPr>
      <w:r>
        <w:rPr>
          <w:b/>
          <w:bCs/>
        </w:rPr>
        <w:t xml:space="preserve">Análise Codificação</w:t>
      </w:r>
      <w:r>
        <w:t xml:space="preserve">: A recomendação consiste apenas em citar o que está p</w:t>
      </w:r>
      <w:r>
        <w:t xml:space="preserve">reconizado no manual técnico, sem propor ações específicas para tratar a causa da condição encontrada (APACs sem AIH de cirurgia oncológica ou que ultrapassam o período de 60 dias). Não há uma recomendação de fato que indique medidas a serem implementadas.</w:t>
      </w:r>
      <w:r/>
    </w:p>
    <w:p>
      <w:pPr>
        <w:pStyle w:val="737"/>
        <w:numPr>
          <w:ilvl w:val="0"/>
          <w:numId w:val="17"/>
        </w:numPr>
        <w:pBdr/>
        <w:spacing/>
        <w:ind/>
        <w:rPr/>
      </w:pPr>
      <w:r>
        <w:t xml:space="preserve">Foco Causa: Não se aplica</w:t>
      </w:r>
      <w:r/>
    </w:p>
    <w:p>
      <w:pPr>
        <w:pStyle w:val="737"/>
        <w:numPr>
          <w:ilvl w:val="0"/>
          <w:numId w:val="17"/>
        </w:numPr>
        <w:pBdr/>
        <w:spacing/>
        <w:ind/>
        <w:rPr/>
      </w:pPr>
      <w:r>
        <w:t xml:space="preserve">Efeitos Duradouros: Não se aplica</w:t>
      </w:r>
      <w:bookmarkEnd w:id="38"/>
      <w:bookmarkEnd w:id="39"/>
      <w:r/>
    </w:p>
    <w:p>
      <w:pPr>
        <w:pStyle w:val="723"/>
        <w:pBdr/>
        <w:spacing/>
        <w:ind/>
        <w:rPr/>
      </w:pPr>
      <w:r/>
      <w:bookmarkStart w:id="50" w:name="foco-causa-sim.-efeitos-duradouros-não"/>
      <w:r>
        <w:t xml:space="preserve">Foco causa: Sim. Efeitos duradouros: Não</w:t>
      </w:r>
      <w:r/>
    </w:p>
    <w:p>
      <w:pPr>
        <w:pStyle w:val="724"/>
        <w:pBdr/>
        <w:spacing/>
        <w:ind/>
        <w:rPr/>
      </w:pPr>
      <w:r/>
      <w:bookmarkStart w:id="40" w:name="auditoria-19461-constatação-nº-666982-3"/>
      <w:r>
        <w:t xml:space="preserve">Auditoria 19461, Constatação Nº 666982 (#3)</w:t>
      </w:r>
      <w:r/>
    </w:p>
    <w:p>
      <w:pPr>
        <w:pStyle w:val="736"/>
        <w:pBdr/>
        <w:spacing/>
        <w:ind/>
        <w:rPr/>
      </w:pPr>
      <w:r>
        <w:rPr>
          <w:b/>
          <w:bCs/>
        </w:rPr>
        <w:t xml:space="preserve">Finalidade</w:t>
      </w:r>
      <w:r>
        <w:t xml:space="preserve">: verificar a regularidade no faturamento das APACs nos procedimentos de quimioterapia do HSVP</w:t>
      </w:r>
      <w:r/>
    </w:p>
    <w:p>
      <w:pPr>
        <w:pStyle w:val="735"/>
        <w:pBdr/>
        <w:spacing/>
        <w:ind/>
        <w:rPr/>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r/>
    </w:p>
    <w:p>
      <w:pPr>
        <w:pStyle w:val="735"/>
        <w:pBdr/>
        <w:spacing/>
        <w:ind/>
        <w:rPr/>
      </w:pPr>
      <w:r>
        <w:rPr>
          <w:b/>
          <w:bCs/>
        </w:rPr>
        <w:t xml:space="preserve">Recomendação</w:t>
      </w:r>
      <w:r>
        <w:t xml:space="preserve">: Assegurar que a Comissão de Revisão de Prontuário do HSVP cumpra conforme suas competências com o disposto nas alíneas</w:t>
      </w:r>
      <w:r>
        <w:t xml:space="preserve"> </w:t>
      </w:r>
      <w:r>
        <w:t xml:space="preserve">“a”</w:t>
      </w:r>
      <w:r>
        <w:t xml:space="preserve">,</w:t>
      </w:r>
      <w:r>
        <w:t xml:space="preserve"> </w:t>
      </w:r>
      <w:r>
        <w:t xml:space="preserve">“b”</w:t>
      </w:r>
      <w:r>
        <w:t xml:space="preserve">, do art. 5º, da Resolução CFM nº 1638, de 10/07/2002.</w:t>
      </w:r>
      <w:r/>
    </w:p>
    <w:p>
      <w:pPr>
        <w:pStyle w:val="735"/>
        <w:pBdr/>
        <w:spacing/>
        <w:ind/>
        <w:rPr/>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w:t>
      </w:r>
      <w:r>
        <w:t xml:space="preserve">rdando a causa do problema relacionada ao não cumprimento de normas. No entanto, os efeitos pretendidos dependem da adesão contínua à resolução e podem ser afetados por mudanças nos atores envolvidos, como membros da comissão, tornando-os menos duradouros.</w:t>
      </w:r>
      <w:r/>
    </w:p>
    <w:p>
      <w:pPr>
        <w:pStyle w:val="737"/>
        <w:numPr>
          <w:ilvl w:val="0"/>
          <w:numId w:val="18"/>
        </w:numPr>
        <w:pBdr/>
        <w:spacing/>
        <w:ind/>
        <w:rPr/>
      </w:pPr>
      <w:r>
        <w:t xml:space="preserve">Foco Causa: Sim</w:t>
      </w:r>
      <w:r/>
    </w:p>
    <w:p>
      <w:pPr>
        <w:pStyle w:val="737"/>
        <w:numPr>
          <w:ilvl w:val="0"/>
          <w:numId w:val="18"/>
        </w:numPr>
        <w:pBdr/>
        <w:spacing/>
        <w:ind/>
        <w:rPr/>
      </w:pPr>
      <w:r>
        <w:t xml:space="preserve">Efeitos Duradouros: Não</w:t>
      </w:r>
      <w:bookmarkEnd w:id="40"/>
      <w:r/>
    </w:p>
    <w:p>
      <w:pPr>
        <w:pStyle w:val="724"/>
        <w:pBdr/>
        <w:spacing/>
        <w:ind/>
        <w:rPr/>
      </w:pPr>
      <w:r/>
      <w:bookmarkStart w:id="41" w:name="auditoria-19462-constatação-nº-671393-1"/>
      <w:r>
        <w:t xml:space="preserve">Auditoria 19462, Constatação Nº 671393 (#1)</w:t>
      </w:r>
      <w:r/>
    </w:p>
    <w:p>
      <w:pPr>
        <w:pStyle w:val="736"/>
        <w:pBdr/>
        <w:spacing/>
        <w:ind/>
        <w:rPr/>
      </w:pPr>
      <w:r>
        <w:rPr>
          <w:b/>
          <w:bCs/>
        </w:rPr>
        <w:t xml:space="preserve">Finalidade</w:t>
      </w:r>
      <w:r>
        <w:t xml:space="preserve">: Avaliar acuidade das informações prestada, Munic. de Capixaba, ref. PROGRAMA PREVINE . A.P.S</w:t>
      </w:r>
      <w:r/>
    </w:p>
    <w:p>
      <w:pPr>
        <w:pStyle w:val="735"/>
        <w:pBdr/>
        <w:spacing/>
        <w:ind/>
        <w:rPr/>
      </w:pPr>
      <w:r>
        <w:rPr>
          <w:b/>
          <w:bCs/>
        </w:rPr>
        <w:t xml:space="preserve">Constatação</w:t>
      </w:r>
      <w:r>
        <w:t xml:space="preserve">: O município não realiza o p</w:t>
      </w:r>
      <w:r>
        <w:t xml:space="preserve">reenchimento adequado dos prontuários físicos, os quais deveriam seguir o padrão de acordo com as orientações do guia de qualificação CDS (Coleta de Dados Simplificada), como meio de suporte para os dados consolidados no SISAB, por indicador de desempenho.</w:t>
      </w:r>
      <w:r/>
    </w:p>
    <w:p>
      <w:pPr>
        <w:pStyle w:val="735"/>
        <w:pBdr/>
        <w:spacing/>
        <w:ind/>
        <w:rPr/>
      </w:pPr>
      <w:r>
        <w:rPr>
          <w:b/>
          <w:bCs/>
        </w:rPr>
        <w:t xml:space="preserve">Recomendação</w:t>
      </w:r>
      <w:r>
        <w:t xml:space="preserve">: Utilizar, </w:t>
      </w:r>
      <w:r>
        <w:t xml:space="preserve">de forma efetiva, para fins de qualificação dos registros das informações relacionadas aos indicadores pactuados, os instrumentos orientativos disponibilizados pelo Ministério da Saúde no SISAB referentes aos Guias de Qualificação dos Indicadores, em atend</w:t>
      </w:r>
      <w:r>
        <w:t xml:space="preserve">imento ao contido no Manual Instrutivo do Previne Brasil, item 2.2.2.1 - Registro das informações, 1ª ed., p. 37, 2021, concomitante com a PRC nº 02/2017, Anexo I do Anexo XXII, incisos X e XV, item 4, sobre Atribuições dos profissionais da Atenção Básica.</w:t>
      </w:r>
      <w:r/>
    </w:p>
    <w:p>
      <w:pPr>
        <w:pStyle w:val="735"/>
        <w:pBdr/>
        <w:spacing/>
        <w:ind/>
        <w:rPr/>
      </w:pPr>
      <w:r>
        <w:rPr>
          <w:b/>
          <w:bCs/>
        </w:rPr>
        <w:t xml:space="preserve">Análise Codificação</w:t>
      </w:r>
      <w:r>
        <w:t xml:space="preserve">: A recomendação sugere a utilização de instrumentos orientativos para qualificar os registros, o que aborda a causa do problema, que é a falta </w:t>
      </w:r>
      <w:r>
        <w:t xml:space="preserve">de adesão às diretrizes estabelecidas. No entanto, não propõe ações específicas para garantir que os efeitos perdurem independentemente de mudanças nos atores envolvidos, como a implementação de sistemas de monitoramento contínuo ou treinamentos regulares.</w:t>
      </w:r>
      <w:r/>
    </w:p>
    <w:p>
      <w:pPr>
        <w:pStyle w:val="737"/>
        <w:numPr>
          <w:ilvl w:val="0"/>
          <w:numId w:val="19"/>
        </w:numPr>
        <w:pBdr/>
        <w:spacing/>
        <w:ind/>
        <w:rPr/>
      </w:pPr>
      <w:r>
        <w:t xml:space="preserve">Foco Causa: Sim</w:t>
      </w:r>
      <w:r/>
    </w:p>
    <w:p>
      <w:pPr>
        <w:pStyle w:val="737"/>
        <w:numPr>
          <w:ilvl w:val="0"/>
          <w:numId w:val="19"/>
        </w:numPr>
        <w:pBdr/>
        <w:spacing/>
        <w:ind/>
        <w:rPr/>
      </w:pPr>
      <w:r>
        <w:t xml:space="preserve">Efeitos Duradouros: Não</w:t>
      </w:r>
      <w:bookmarkEnd w:id="41"/>
      <w:r/>
    </w:p>
    <w:p>
      <w:pPr>
        <w:pStyle w:val="724"/>
        <w:pBdr/>
        <w:spacing/>
        <w:ind/>
        <w:rPr/>
      </w:pPr>
      <w:r/>
      <w:bookmarkStart w:id="42" w:name="auditoria-19538-constatação-nº-675868-1"/>
      <w:r>
        <w:t xml:space="preserve">Auditoria 19538, Constatação Nº 675868 (#1)</w:t>
      </w:r>
      <w:r/>
    </w:p>
    <w:p>
      <w:pPr>
        <w:pStyle w:val="736"/>
        <w:pBdr/>
        <w:spacing/>
        <w:ind/>
        <w:rPr/>
      </w:pPr>
      <w:r>
        <w:rPr>
          <w:b/>
          <w:bCs/>
        </w:rPr>
        <w:t xml:space="preserve">Finalidade</w:t>
      </w:r>
      <w:r>
        <w:t xml:space="preserve">: Avaliar a gestão da SMS quanto aos indicadores de desempenho do programa Previne Brasil.</w:t>
      </w:r>
      <w:r/>
    </w:p>
    <w:p>
      <w:pPr>
        <w:pStyle w:val="735"/>
        <w:pBdr/>
        <w:spacing/>
        <w:ind/>
        <w:rPr/>
      </w:pPr>
      <w:r>
        <w:rPr>
          <w:b/>
          <w:bCs/>
        </w:rPr>
        <w:t xml:space="preserve">Constatação</w:t>
      </w:r>
      <w:r>
        <w:t xml:space="preserve">: A população adscrita por equipe não atende o recomendado na PNAB.</w:t>
      </w:r>
      <w:r/>
    </w:p>
    <w:p>
      <w:pPr>
        <w:pStyle w:val="735"/>
        <w:pBdr/>
        <w:spacing/>
        <w:ind/>
        <w:rPr/>
      </w:pPr>
      <w:r>
        <w:rPr>
          <w:b/>
          <w:bCs/>
        </w:rPr>
        <w:t xml:space="preserve">Recomendação</w:t>
      </w:r>
      <w:r>
        <w:t xml:space="preserve">: 1 - Organizar as equipes da Atenção Básica para garantir o atendimento da população adscrita do município oferecido pel</w:t>
      </w:r>
      <w:r>
        <w:t xml:space="preserve">as equipes de saúde da família para que venham ter estrutura e cobertura mínimas, conforme preconizado no Capítulo I das Disposições Gerais da Atenção Básica à Saúde, 2 - Cumprir o que esta disposto no anexo único da Portaria GM/MS nº 2.979, de 12/11/2019.</w:t>
      </w:r>
      <w:r/>
    </w:p>
    <w:p>
      <w:pPr>
        <w:pStyle w:val="735"/>
        <w:pBdr/>
        <w:spacing/>
        <w:ind/>
        <w:rPr/>
      </w:pPr>
      <w:r>
        <w:rPr>
          <w:b/>
          <w:bCs/>
        </w:rPr>
        <w:t xml:space="preserve">Análise Codificação</w:t>
      </w:r>
      <w:r>
        <w:t xml:space="preserve">: A recomendação propõe a organização das equipes para garantir o atendimento da população adscrita conforme normas, o que indica uma ação para tratar a causa subjacent</w:t>
      </w:r>
      <w:r>
        <w:t xml:space="preserve">e da não conformidade, como realocação ou ajuste estrutural. No entanto, não especifica se os efeitos pretendidos, como a estrutura e cobertura adequadas, seriam mantidos independentemente de mudanças nos atores envolvidos, tornando incerta a durabilidade.</w:t>
      </w:r>
      <w:r/>
    </w:p>
    <w:p>
      <w:pPr>
        <w:pStyle w:val="737"/>
        <w:numPr>
          <w:ilvl w:val="0"/>
          <w:numId w:val="20"/>
        </w:numPr>
        <w:pBdr/>
        <w:spacing/>
        <w:ind/>
        <w:rPr/>
      </w:pPr>
      <w:r>
        <w:t xml:space="preserve">Foco Causa: Sim</w:t>
      </w:r>
      <w:r/>
    </w:p>
    <w:p>
      <w:pPr>
        <w:pStyle w:val="737"/>
        <w:numPr>
          <w:ilvl w:val="0"/>
          <w:numId w:val="20"/>
        </w:numPr>
        <w:pBdr/>
        <w:spacing/>
        <w:ind/>
        <w:rPr/>
      </w:pPr>
      <w:r>
        <w:t xml:space="preserve">Efeitos Duradouros: Não</w:t>
      </w:r>
      <w:bookmarkEnd w:id="42"/>
      <w:r/>
    </w:p>
    <w:p>
      <w:pPr>
        <w:pStyle w:val="724"/>
        <w:pBdr/>
        <w:spacing/>
        <w:ind/>
        <w:rPr/>
      </w:pPr>
      <w:r/>
      <w:bookmarkStart w:id="43" w:name="auditoria-19566-constatação-nº-682438-1"/>
      <w:r>
        <w:t xml:space="preserve">Auditoria 19566, Constatação Nº 682438 (#1)</w:t>
      </w:r>
      <w:r/>
    </w:p>
    <w:p>
      <w:pPr>
        <w:pStyle w:val="736"/>
        <w:pBdr/>
        <w:spacing/>
        <w:ind/>
        <w:rPr/>
      </w:pPr>
      <w:r>
        <w:rPr>
          <w:b/>
          <w:bCs/>
        </w:rPr>
        <w:t xml:space="preserve">Finalidade</w:t>
      </w:r>
      <w:r>
        <w:t xml:space="preserve">: Verificar a implementação da Política Nacional de Atenção ao Portador de Doença Renal</w:t>
      </w:r>
      <w:r/>
    </w:p>
    <w:p>
      <w:pPr>
        <w:pStyle w:val="735"/>
        <w:pBdr/>
        <w:spacing/>
        <w:ind/>
        <w:rPr/>
      </w:pPr>
      <w:r>
        <w:rPr>
          <w:b/>
          <w:bCs/>
        </w:rPr>
        <w:t xml:space="preserve">Constatação</w:t>
      </w:r>
      <w:r>
        <w:t xml:space="preserve">: Não foi possível comprovar que os pacientes em tratamento na Clinefro, tiveram acesso a realização de exames de imagem em tempo oportuno.</w:t>
      </w:r>
      <w:r/>
    </w:p>
    <w:p>
      <w:pPr>
        <w:pStyle w:val="735"/>
        <w:pBdr/>
        <w:spacing/>
        <w:ind/>
        <w:rPr/>
      </w:pPr>
      <w:r>
        <w:rPr>
          <w:b/>
          <w:bCs/>
        </w:rPr>
        <w:t xml:space="preserve">Recomendação</w:t>
      </w:r>
      <w:r>
        <w:t xml:space="preserve">: Desenvolver mecanismos de gestão, controle, monitoramento e de avaliação das ações destinadas à organização e à</w:t>
      </w:r>
      <w:r>
        <w:t xml:space="preserve"> implementação das políticas estruturantes para o fortalecimento e a qualificação da atenção especializada à saúde, bem como prestar cooperação técnica na implantação e na implementação de normas pelas equipes das Secretarias de Saúde, de instrumentos e de</w:t>
      </w:r>
      <w:r>
        <w:t xml:space="preserve"> métodos da atenção especializada à saúde que fortaleçam a gestão e a regulação assistencial do SUS, na forma do disposto nos incisos V e VI do art. 26 do Decreto 11.798, de 28 de novembro de 2023, que aprovou a estrutura regimental do Ministério da Saúde.</w:t>
      </w:r>
      <w:r/>
    </w:p>
    <w:p>
      <w:pPr>
        <w:pStyle w:val="735"/>
        <w:pBdr/>
        <w:spacing/>
        <w:ind/>
        <w:rPr/>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w:t>
      </w:r>
      <w:r>
        <w:t xml:space="preserve"> deficiências na gestão e regulação. No entanto, os efeitos pretendidos dependem de ações contínuas e podem não ser duradouros se houver mudanças nos atores envolvidos, pois a implementação e manutenção desses mecanismos exigem comprometimento consistente.</w:t>
      </w:r>
      <w:r/>
    </w:p>
    <w:p>
      <w:pPr>
        <w:pStyle w:val="737"/>
        <w:numPr>
          <w:ilvl w:val="0"/>
          <w:numId w:val="21"/>
        </w:numPr>
        <w:pBdr/>
        <w:spacing/>
        <w:ind/>
        <w:rPr/>
      </w:pPr>
      <w:r>
        <w:t xml:space="preserve">Foco Causa: Sim</w:t>
      </w:r>
      <w:r/>
    </w:p>
    <w:p>
      <w:pPr>
        <w:pStyle w:val="737"/>
        <w:numPr>
          <w:ilvl w:val="0"/>
          <w:numId w:val="21"/>
        </w:numPr>
        <w:pBdr/>
        <w:spacing/>
        <w:ind/>
        <w:rPr/>
      </w:pPr>
      <w:r>
        <w:t xml:space="preserve">Efeitos Duradouros: Não</w:t>
      </w:r>
      <w:bookmarkEnd w:id="43"/>
      <w:r/>
    </w:p>
    <w:p>
      <w:pPr>
        <w:pStyle w:val="724"/>
        <w:pBdr/>
        <w:spacing/>
        <w:ind/>
        <w:rPr/>
      </w:pPr>
      <w:r/>
      <w:bookmarkStart w:id="44" w:name="auditoria-19611-constatação-nº-674396-1"/>
      <w:r>
        <w:t xml:space="preserve">Auditoria 19611, Constatação Nº 674396 (#1)</w:t>
      </w:r>
      <w:r/>
    </w:p>
    <w:p>
      <w:pPr>
        <w:pStyle w:val="736"/>
        <w:pBdr/>
        <w:spacing/>
        <w:ind/>
        <w:rPr/>
      </w:pPr>
      <w:r>
        <w:rPr>
          <w:b/>
          <w:bCs/>
        </w:rPr>
        <w:t xml:space="preserve">Finalidade</w:t>
      </w:r>
      <w:r>
        <w:t xml:space="preserve">: Avaliar a execução dos convênios firmados com organizações sociais no âmbito da Saúde Indígena</w:t>
      </w:r>
      <w:r/>
    </w:p>
    <w:p>
      <w:pPr>
        <w:pStyle w:val="735"/>
        <w:pBdr/>
        <w:spacing/>
        <w:ind/>
        <w:rPr/>
      </w:pPr>
      <w:r>
        <w:rPr>
          <w:b/>
          <w:bCs/>
        </w:rPr>
        <w:t xml:space="preserve">Constatação</w:t>
      </w:r>
      <w:r>
        <w:t xml:space="preserve">: Contratação e pagamento de serviços referentes à Sistema Integrado de Gestão, sem que restasse comprovada a necessidade da contratação e a efetiva prestação dos serviços.</w:t>
      </w:r>
      <w:r/>
    </w:p>
    <w:p>
      <w:pPr>
        <w:pStyle w:val="735"/>
        <w:pBdr/>
        <w:spacing/>
        <w:ind/>
        <w:rPr/>
      </w:pPr>
      <w:r>
        <w:rPr>
          <w:b/>
          <w:bCs/>
        </w:rPr>
        <w:t xml:space="preserve">Recomendação</w:t>
      </w:r>
      <w:r>
        <w:t xml:space="preserve">: Orientar os fiscais técnicos do convênio e/ou gestor do concedente, que atuam no processo de execução, a</w:t>
      </w:r>
      <w:r>
        <w:t xml:space="preserve"> realizar a conferência da documentação comprobatória do processo de contratação por meio de dispensa, inexigibilidade e cotação de preços pela convenente inserida no sistema, em conformidade ao previsto no art. 45, da Portaria Interministerial MP/MF/CGU n</w:t>
      </w:r>
      <w:r>
        <w:t xml:space="preserve">º 424/2016; art. 12 da Portaria de Consolidação Sesai/MS nº 1/2020; §2º do art. 54, art. 56 e art. 77 da Portaria MP/MF/CGU nº 424/2016, no sentido de evitar desobediência aos normativos e cometimento de irregularidades nos atos praticados pela convenente.</w:t>
      </w:r>
      <w:r/>
    </w:p>
    <w:p>
      <w:pPr>
        <w:pStyle w:val="735"/>
        <w:pBdr/>
        <w:spacing/>
        <w:ind/>
        <w:rPr/>
      </w:pPr>
      <w:r>
        <w:rPr>
          <w:b/>
          <w:bCs/>
        </w:rPr>
        <w:t xml:space="preserve">Análise Codificação</w:t>
      </w:r>
      <w:r>
        <w:t xml:space="preserve">: A recomendação propõe orientar fiscais e gestores a conferir documentação comprobatória para evit</w:t>
      </w:r>
      <w:r>
        <w:t xml:space="preserve">ar desobediência a normativos e irregularidades, focando na causa do problema, que é a falta de verificação adequada. No entanto, os efeitos pretendidos dependem da ação contínua desses atores específicos e podem não persistir se houver mudanças na equipe.</w:t>
      </w:r>
      <w:r/>
    </w:p>
    <w:p>
      <w:pPr>
        <w:pStyle w:val="737"/>
        <w:numPr>
          <w:ilvl w:val="0"/>
          <w:numId w:val="22"/>
        </w:numPr>
        <w:pBdr/>
        <w:spacing/>
        <w:ind/>
        <w:rPr/>
      </w:pPr>
      <w:r>
        <w:t xml:space="preserve">Foco Causa: Sim</w:t>
      </w:r>
      <w:r/>
    </w:p>
    <w:p>
      <w:pPr>
        <w:pStyle w:val="737"/>
        <w:numPr>
          <w:ilvl w:val="0"/>
          <w:numId w:val="22"/>
        </w:numPr>
        <w:pBdr/>
        <w:spacing/>
        <w:ind/>
        <w:rPr/>
      </w:pPr>
      <w:r>
        <w:t xml:space="preserve">Efeitos Duradouros: Não</w:t>
      </w:r>
      <w:bookmarkEnd w:id="44"/>
      <w:r/>
    </w:p>
    <w:p>
      <w:pPr>
        <w:pStyle w:val="724"/>
        <w:pBdr/>
        <w:spacing/>
        <w:ind/>
        <w:rPr/>
      </w:pPr>
      <w:r/>
      <w:bookmarkStart w:id="45" w:name="auditoria-19612-constatação-nº-674784-1"/>
      <w:r>
        <w:t xml:space="preserve">Auditoria 19612, Constatação Nº 674784 (#1)</w:t>
      </w:r>
      <w:r/>
    </w:p>
    <w:p>
      <w:pPr>
        <w:pStyle w:val="736"/>
        <w:pBdr/>
        <w:spacing/>
        <w:ind/>
        <w:rPr/>
      </w:pPr>
      <w:r>
        <w:rPr>
          <w:b/>
          <w:bCs/>
        </w:rPr>
        <w:t xml:space="preserve">Finalidade</w:t>
      </w:r>
      <w:r>
        <w:t xml:space="preserve">: Avaliar a execução dos convênios firmados com organizações sociais no âmbito da Saúde Indígena</w:t>
      </w:r>
      <w:r/>
    </w:p>
    <w:p>
      <w:pPr>
        <w:pStyle w:val="735"/>
        <w:pBdr/>
        <w:spacing/>
        <w:ind/>
        <w:rPr/>
      </w:pPr>
      <w:r>
        <w:rPr>
          <w:b/>
          <w:bCs/>
        </w:rPr>
        <w:t xml:space="preserve">Constatação</w:t>
      </w:r>
      <w:r>
        <w:t xml:space="preserve">: Empresas participantes de processo licitatório possuem o mesmo Sócio Administrador.</w:t>
      </w:r>
      <w:r/>
    </w:p>
    <w:p>
      <w:pPr>
        <w:pStyle w:val="735"/>
        <w:pBdr/>
        <w:spacing/>
        <w:ind/>
        <w:rPr/>
      </w:pPr>
      <w:r>
        <w:rPr>
          <w:b/>
          <w:bCs/>
        </w:rPr>
        <w:t xml:space="preserve">Recomendação</w:t>
      </w:r>
      <w:r>
        <w:t xml:space="preserve">: Avaliar a necessidade de encaminhamento de r</w:t>
      </w:r>
      <w:r>
        <w:t xml:space="preserve">epresentação ao Ministério Público Federal e ao Tribunal de Contas da União para julgamento da conduta de montagem de processo de cotação de preço posterior a celebração do contrato, nos termos do Art. 58 da Portaria Interministerial MP/MF/CGU nº 424/2016.</w:t>
      </w:r>
      <w:r/>
    </w:p>
    <w:p>
      <w:pPr>
        <w:pStyle w:val="735"/>
        <w:pBdr/>
        <w:spacing/>
        <w:ind/>
        <w:rPr/>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w:t>
      </w:r>
      <w:r>
        <w:t xml:space="preserve">ausa subjacente do problema, como práticas irregulares na licitação. No entanto, os efeitos pretendidos dependem de ações externas e podem não ser duradouros se os atores mudarem, pois não há menção a mudanças estruturais internas que perpetuem a correção.</w:t>
      </w:r>
      <w:r/>
    </w:p>
    <w:p>
      <w:pPr>
        <w:pStyle w:val="737"/>
        <w:numPr>
          <w:ilvl w:val="0"/>
          <w:numId w:val="23"/>
        </w:numPr>
        <w:pBdr/>
        <w:spacing/>
        <w:ind/>
        <w:rPr/>
      </w:pPr>
      <w:r>
        <w:t xml:space="preserve">Foco Causa: Sim</w:t>
      </w:r>
      <w:r/>
    </w:p>
    <w:p>
      <w:pPr>
        <w:pStyle w:val="737"/>
        <w:numPr>
          <w:ilvl w:val="0"/>
          <w:numId w:val="23"/>
        </w:numPr>
        <w:pBdr/>
        <w:spacing/>
        <w:ind/>
        <w:rPr/>
      </w:pPr>
      <w:r>
        <w:t xml:space="preserve">Efeitos Duradouros: Não</w:t>
      </w:r>
      <w:bookmarkEnd w:id="45"/>
      <w:r/>
    </w:p>
    <w:p>
      <w:pPr>
        <w:pStyle w:val="724"/>
        <w:pBdr/>
        <w:spacing/>
        <w:ind/>
        <w:rPr/>
      </w:pPr>
      <w:r/>
      <w:bookmarkStart w:id="46" w:name="auditoria-19614-constatação-nº-676589-2"/>
      <w:r>
        <w:t xml:space="preserve">Auditoria 19614, Constatação Nº 676589 (#2)</w:t>
      </w:r>
      <w:r/>
    </w:p>
    <w:p>
      <w:pPr>
        <w:pStyle w:val="736"/>
        <w:pBdr/>
        <w:spacing/>
        <w:ind/>
        <w:rPr/>
      </w:pPr>
      <w:r>
        <w:rPr>
          <w:b/>
          <w:bCs/>
        </w:rPr>
        <w:t xml:space="preserve">Finalidade</w:t>
      </w:r>
      <w:r>
        <w:t xml:space="preserve">: Avaliar a execução dos convênios firmados com organizações sociais no âmbito da Saúde Indígena</w:t>
      </w:r>
      <w:r/>
    </w:p>
    <w:p>
      <w:pPr>
        <w:pStyle w:val="735"/>
        <w:pBdr/>
        <w:spacing/>
        <w:ind/>
        <w:rPr/>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r/>
    </w:p>
    <w:p>
      <w:pPr>
        <w:pStyle w:val="735"/>
        <w:pBdr/>
        <w:spacing/>
        <w:ind/>
        <w:rPr/>
      </w:pPr>
      <w:r>
        <w:rPr>
          <w:b/>
          <w:bCs/>
        </w:rPr>
        <w:t xml:space="preserve">Recomendação</w:t>
      </w:r>
      <w:r>
        <w:t xml:space="preserve">: Orientar os fiscais técnicos do convênio e/ou gestor do concedente, que atuam no processo de execução, a realizar a conferência da documentação comprobatória do p</w:t>
      </w:r>
      <w:r>
        <w:t xml:space="preserve">rocesso de contratação por meio de dispensa, inexigibilidade e cotação de preços pela convenente inserida no sistema com o objetivo de evitar conflitos de intersse, em conformidade ao previsto no art. 45, da Portaria Interministerial MP/MF/CGU nº 424/2016.</w:t>
      </w:r>
      <w:r/>
    </w:p>
    <w:p>
      <w:pPr>
        <w:pStyle w:val="735"/>
        <w:pBdr/>
        <w:spacing/>
        <w:ind/>
        <w:rPr/>
      </w:pPr>
      <w:r>
        <w:rPr>
          <w:b/>
          <w:bCs/>
        </w:rPr>
        <w:t xml:space="preserve">Análise Codificação</w:t>
      </w:r>
      <w:r>
        <w:t xml:space="preserve">: A recomendação propõe a orientação para conferência documental em processos de contratação, visando prevenir conflitos de interesses, o que aborda a c</w:t>
      </w:r>
      <w:r>
        <w:t xml:space="preserve">ausa subjacente de falta de controle e verificação. No entanto, os efeitos pretendidos dependem da continuidade das ações dos fiscais e gestores, podendo variar com mudanças de pessoal, não garantindo efeitos duradouros independentes dos atores envolvidos.</w:t>
      </w:r>
      <w:r/>
    </w:p>
    <w:p>
      <w:pPr>
        <w:pStyle w:val="737"/>
        <w:numPr>
          <w:ilvl w:val="0"/>
          <w:numId w:val="24"/>
        </w:numPr>
        <w:pBdr/>
        <w:spacing/>
        <w:ind/>
        <w:rPr/>
      </w:pPr>
      <w:r>
        <w:t xml:space="preserve">Foco Causa: Sim</w:t>
      </w:r>
      <w:r/>
    </w:p>
    <w:p>
      <w:pPr>
        <w:pStyle w:val="737"/>
        <w:numPr>
          <w:ilvl w:val="0"/>
          <w:numId w:val="24"/>
        </w:numPr>
        <w:pBdr/>
        <w:spacing/>
        <w:ind/>
        <w:rPr/>
      </w:pPr>
      <w:r>
        <w:t xml:space="preserve">Efeitos Duradouros: Não</w:t>
      </w:r>
      <w:bookmarkEnd w:id="46"/>
      <w:r/>
    </w:p>
    <w:p>
      <w:pPr>
        <w:pStyle w:val="724"/>
        <w:pBdr/>
        <w:spacing/>
        <w:ind/>
        <w:rPr/>
      </w:pPr>
      <w:r/>
      <w:bookmarkStart w:id="47" w:name="auditoria-19627-constatação-nº-685177-2"/>
      <w:r>
        <w:t xml:space="preserve">Auditoria 19627, Constatação Nº 685177 (#2)</w:t>
      </w:r>
      <w:r/>
    </w:p>
    <w:p>
      <w:pPr>
        <w:pStyle w:val="736"/>
        <w:pBdr/>
        <w:spacing/>
        <w:ind/>
        <w:rPr/>
      </w:pPr>
      <w:r>
        <w:rPr>
          <w:b/>
          <w:bCs/>
        </w:rPr>
        <w:t xml:space="preserve">Finalidade</w:t>
      </w:r>
      <w:r>
        <w:t xml:space="preserve">: Avaliar a execução dos convênios firmados com organizações sociais no âmbito da Saúde Indígena.</w:t>
      </w:r>
      <w:r/>
    </w:p>
    <w:p>
      <w:pPr>
        <w:pStyle w:val="735"/>
        <w:pBdr/>
        <w:spacing/>
        <w:ind/>
        <w:rPr/>
      </w:pPr>
      <w:r>
        <w:rPr>
          <w:b/>
          <w:bCs/>
        </w:rPr>
        <w:t xml:space="preserve">Constatação</w:t>
      </w:r>
      <w:r>
        <w:t xml:space="preserve">: Ausência de resultados nos relatórios trimestrais de monitoramento do Eixo Controle Social no Transferegov.</w:t>
      </w:r>
      <w:r/>
    </w:p>
    <w:p>
      <w:pPr>
        <w:pStyle w:val="735"/>
        <w:pBdr/>
        <w:spacing/>
        <w:ind/>
        <w:rPr/>
      </w:pPr>
      <w:r>
        <w:rPr>
          <w:b/>
          <w:bCs/>
        </w:rPr>
        <w:t xml:space="preserve">Recomendação</w:t>
      </w:r>
      <w:r>
        <w:t xml:space="preserve">: À Sesai: Determinar à CGPO que apoie, oriente e s</w:t>
      </w:r>
      <w:r>
        <w:t xml:space="preserve">upervisione os fiscais de acompanhamento, nos processos monitoramento, bem como na inserção de dados junto ao Transferegov, atendendo à Portaria de Consolidação Sesai/MS nº 1/2020, especificamente o inciso I, do art. 10; e os incisos II, IV e V do art. 12.</w:t>
      </w:r>
      <w:r/>
    </w:p>
    <w:p>
      <w:pPr>
        <w:pStyle w:val="735"/>
        <w:pBdr/>
        <w:spacing/>
        <w:ind/>
        <w:rPr/>
      </w:pPr>
      <w:r>
        <w:rPr>
          <w:b/>
          <w:bCs/>
        </w:rPr>
        <w:t xml:space="preserve">Análise Codificação</w:t>
      </w:r>
      <w:r>
        <w:t xml:space="preserve">: A recomendação propõe ações de apoio, orientação e sup</w:t>
      </w:r>
      <w:r>
        <w:t xml:space="preserve">ervisão aos fiscais de acompanhamento para garantir a inserção adequada de dados no Transferegov, o que visa tratar a causa do problema (falta de capacitação ou suporte adequado) que levou à ausência de resultados nos relatórios. Em relação aos efeitos dur</w:t>
      </w:r>
      <w:r>
        <w:t xml:space="preserve">adouros, as ações de orientação e supervisão podem estabelecer processos contínuos, mas dependem da atuação dos fiscais e da CGPO, podendo ser afetados por mudanças de pessoal, o que limita a permanência dos efeitos sem mudanças estruturais mais profundas.</w:t>
      </w:r>
      <w:r/>
    </w:p>
    <w:p>
      <w:pPr>
        <w:pStyle w:val="737"/>
        <w:numPr>
          <w:ilvl w:val="0"/>
          <w:numId w:val="25"/>
        </w:numPr>
        <w:pBdr/>
        <w:spacing/>
        <w:ind/>
        <w:rPr/>
      </w:pPr>
      <w:r>
        <w:t xml:space="preserve">Foco Causa: Sim</w:t>
      </w:r>
      <w:r/>
    </w:p>
    <w:p>
      <w:pPr>
        <w:pStyle w:val="737"/>
        <w:numPr>
          <w:ilvl w:val="0"/>
          <w:numId w:val="25"/>
        </w:numPr>
        <w:pBdr/>
        <w:spacing/>
        <w:ind/>
        <w:rPr/>
      </w:pPr>
      <w:r>
        <w:t xml:space="preserve">Efeitos Duradouros: Não</w:t>
      </w:r>
      <w:bookmarkEnd w:id="47"/>
      <w:r/>
    </w:p>
    <w:p>
      <w:pPr>
        <w:pStyle w:val="724"/>
        <w:pBdr/>
        <w:spacing/>
        <w:ind/>
        <w:rPr/>
      </w:pPr>
      <w:r/>
      <w:bookmarkStart w:id="48" w:name="auditoria-19790-constatação-nº-694458-1"/>
      <w:r>
        <w:t xml:space="preserve">Auditoria 19790, Constatação Nº 694458 (#1)</w:t>
      </w:r>
      <w:r/>
    </w:p>
    <w:p>
      <w:pPr>
        <w:pStyle w:val="736"/>
        <w:pBdr/>
        <w:spacing/>
        <w:ind/>
        <w:rPr/>
      </w:pPr>
      <w:r>
        <w:rPr>
          <w:b/>
          <w:bCs/>
        </w:rPr>
        <w:t xml:space="preserve">Finalidade</w:t>
      </w:r>
      <w:r>
        <w:t xml:space="preserve">: Avaliar se a Atenção Primária exerce as atribuições de coordenadora da Rede de At. Psicossocial-RAPS</w:t>
      </w:r>
      <w:r/>
    </w:p>
    <w:p>
      <w:pPr>
        <w:pStyle w:val="735"/>
        <w:pBdr/>
        <w:spacing/>
        <w:ind/>
        <w:rPr/>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r/>
    </w:p>
    <w:p>
      <w:pPr>
        <w:pStyle w:val="735"/>
        <w:pBdr/>
        <w:spacing/>
        <w:ind/>
        <w:rPr/>
      </w:pPr>
      <w:r>
        <w:rPr>
          <w:b/>
          <w:bCs/>
        </w:rPr>
        <w:t xml:space="preserve">Recomendação</w:t>
      </w:r>
      <w:r>
        <w:t xml:space="preserve">: Realizar e desenvolver atividades individuais e em grupo voltadas para o combate a estigmas e preconceitos relacionados a pess</w:t>
      </w:r>
      <w:r>
        <w:t xml:space="preserve">oas com problemas de saúde mental como forma de garantir a inclusão social e o combate à discriminação, observando o que estipula o Inciso III, Art. 2°, do Anexo V - Rede de Atenção Psicossocial (RAPS), da Portaria de Consolidação GM/MS n.° 3 de 28/9/2017.</w:t>
      </w:r>
      <w:r/>
    </w:p>
    <w:p>
      <w:pPr>
        <w:pStyle w:val="735"/>
        <w:pBdr/>
        <w:spacing/>
        <w:ind/>
        <w:rPr/>
      </w:pPr>
      <w:r>
        <w:rPr>
          <w:b/>
          <w:bCs/>
        </w:rPr>
        <w:t xml:space="preserve">Análise Codificação</w:t>
      </w:r>
      <w:r>
        <w:t xml:space="preserve">: </w:t>
      </w:r>
      <w:r>
        <w:t xml:space="preserve">Em relação ao foco, a recomendação propõe a realização de atividades específicas (individuais e em grupo) para combater estigmas e preconceitos, o que representa uma ação direta para tratar a causa do problema identificado (falta de desenvolvimento dessas </w:t>
      </w:r>
      <w:r>
        <w:t xml:space="preserve">atividades). No entanto, a recomendação não estabelece mecanismos permanentes ou mudanças estruturais que garantam a continuidade das atividades independentemente dos atores envolvidos, focando mais na execução imediata do que em criar sistemas duradouros.</w:t>
      </w:r>
      <w:r/>
    </w:p>
    <w:p>
      <w:pPr>
        <w:pStyle w:val="737"/>
        <w:numPr>
          <w:ilvl w:val="0"/>
          <w:numId w:val="26"/>
        </w:numPr>
        <w:pBdr/>
        <w:spacing/>
        <w:ind/>
        <w:rPr/>
      </w:pPr>
      <w:r>
        <w:t xml:space="preserve">Foco Causa: Sim</w:t>
      </w:r>
      <w:r/>
    </w:p>
    <w:p>
      <w:pPr>
        <w:pStyle w:val="737"/>
        <w:numPr>
          <w:ilvl w:val="0"/>
          <w:numId w:val="26"/>
        </w:numPr>
        <w:pBdr/>
        <w:spacing/>
        <w:ind/>
        <w:rPr/>
      </w:pPr>
      <w:r>
        <w:t xml:space="preserve">Efeitos Duradouros: Não</w:t>
      </w:r>
      <w:bookmarkEnd w:id="48"/>
      <w:r/>
    </w:p>
    <w:p>
      <w:pPr>
        <w:pStyle w:val="724"/>
        <w:pBdr/>
        <w:spacing/>
        <w:ind/>
        <w:rPr/>
      </w:pPr>
      <w:r/>
      <w:bookmarkStart w:id="49" w:name="auditoria-19892-constatação-nº-704024-1"/>
      <w:r>
        <w:t xml:space="preserve">Auditoria 19892, Constatação Nº 704024 (#1)</w:t>
      </w:r>
      <w:r/>
    </w:p>
    <w:p>
      <w:pPr>
        <w:pStyle w:val="736"/>
        <w:pBdr/>
        <w:spacing/>
        <w:ind/>
        <w:rPr/>
      </w:pPr>
      <w:r>
        <w:rPr>
          <w:b/>
          <w:bCs/>
        </w:rPr>
        <w:t xml:space="preserve">Finalidade</w:t>
      </w:r>
      <w:r>
        <w:t xml:space="preserve">: Realizar auditoria de oncologia, SIA e SIH, na Santa Casa de Misericórdia de Patos de Minas/MG</w:t>
      </w:r>
      <w:r/>
    </w:p>
    <w:p>
      <w:pPr>
        <w:pStyle w:val="735"/>
        <w:pBdr/>
        <w:spacing/>
        <w:ind/>
        <w:rPr/>
      </w:pPr>
      <w:r>
        <w:rPr>
          <w:b/>
          <w:bCs/>
        </w:rPr>
        <w:t xml:space="preserve">Constatação</w:t>
      </w:r>
      <w:r>
        <w:t xml:space="preserve">: A Santa Casa de Misericórdia de Patos de Minas/MG iniciou o tratamento clínico em oncológia (quimioterapia ou radioterapia) antes da autorização formal da APAC pelo Gestor.</w:t>
      </w:r>
      <w:r/>
    </w:p>
    <w:p>
      <w:pPr>
        <w:pStyle w:val="735"/>
        <w:pBdr/>
        <w:spacing/>
        <w:ind/>
        <w:rPr/>
      </w:pPr>
      <w:r>
        <w:rPr>
          <w:b/>
          <w:bCs/>
        </w:rPr>
        <w:t xml:space="preserve">Recomendação</w:t>
      </w:r>
      <w:r>
        <w:t xml:space="preserve">: Cumprir as determinações do Manual de Bases Técnicas</w:t>
      </w:r>
      <w:r>
        <w:t xml:space="preserve"> da Oncologia SIA/SUS (30ª edição, 2022), o qual versa que nos procedimentos que exigem autorização prévia, o profissional responsável pelo usuário emite o Laudo para Solicitação/Autorização de Procedimentos Ambulatoriais conhecido genericamente como APAC.</w:t>
      </w:r>
      <w:r/>
    </w:p>
    <w:p>
      <w:pPr>
        <w:pStyle w:val="735"/>
        <w:pBdr/>
        <w:spacing/>
        <w:ind/>
        <w:rPr/>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w:t>
      </w:r>
      <w:r>
        <w:t xml:space="preserve">ade com as regras estabelecidas. No entanto, os efeitos pretendidos dependem da adesão contínua ao manual por parte dos profissionais, e mudanças na equipe ou interpretações poderiam afetar a sustentabilidade, tornando os efeitos não totalmente duradouros.</w:t>
      </w:r>
      <w:r/>
    </w:p>
    <w:p>
      <w:pPr>
        <w:pStyle w:val="737"/>
        <w:numPr>
          <w:ilvl w:val="0"/>
          <w:numId w:val="27"/>
        </w:numPr>
        <w:pBdr/>
        <w:spacing/>
        <w:ind/>
        <w:rPr/>
      </w:pPr>
      <w:r>
        <w:t xml:space="preserve">Foco Causa: Sim</w:t>
      </w:r>
      <w:r/>
    </w:p>
    <w:p>
      <w:pPr>
        <w:pStyle w:val="737"/>
        <w:numPr>
          <w:ilvl w:val="0"/>
          <w:numId w:val="27"/>
        </w:numPr>
        <w:pBdr/>
        <w:spacing/>
        <w:ind/>
        <w:rPr/>
      </w:pPr>
      <w:r>
        <w:t xml:space="preserve">Efeitos Duradouros: Não</w:t>
      </w:r>
      <w:bookmarkEnd w:id="49"/>
      <w:bookmarkEnd w:id="50"/>
      <w:r/>
    </w:p>
    <w:p>
      <w:pPr>
        <w:pStyle w:val="723"/>
        <w:pBdr/>
        <w:spacing/>
        <w:ind/>
        <w:rPr/>
      </w:pPr>
      <w:r/>
      <w:bookmarkStart w:id="61" w:name="foco-causa-sim.-efeitos-duradouros-sim"/>
      <w:r>
        <w:t xml:space="preserve">Foco causa: Sim. Efeitos duradouros: Sim</w:t>
      </w:r>
      <w:r/>
    </w:p>
    <w:p>
      <w:pPr>
        <w:pStyle w:val="724"/>
        <w:pBdr/>
        <w:spacing/>
        <w:ind/>
        <w:rPr/>
      </w:pPr>
      <w:r/>
      <w:bookmarkStart w:id="51" w:name="auditoria-19480-constatação-nº-672898-1"/>
      <w:r>
        <w:t xml:space="preserve">Auditoria 19480, Constatação Nº 672898 (#1)</w:t>
      </w:r>
      <w:r/>
    </w:p>
    <w:p>
      <w:pPr>
        <w:pStyle w:val="736"/>
        <w:pBdr/>
        <w:spacing/>
        <w:ind/>
        <w:rPr/>
      </w:pPr>
      <w:r>
        <w:rPr>
          <w:b/>
          <w:bCs/>
        </w:rPr>
        <w:t xml:space="preserve">Finalidade</w:t>
      </w:r>
      <w:r>
        <w:t xml:space="preserve">: Verificar a gestão e o funcionamento do serviço de Atendimento Móvel de Urgência (SAMU 192).</w:t>
      </w:r>
      <w:r/>
    </w:p>
    <w:p>
      <w:pPr>
        <w:pStyle w:val="735"/>
        <w:pBdr/>
        <w:spacing/>
        <w:ind/>
        <w:rPr/>
      </w:pPr>
      <w:r>
        <w:rPr>
          <w:b/>
          <w:bCs/>
        </w:rPr>
        <w:t xml:space="preserve">Constatação</w:t>
      </w:r>
      <w:r>
        <w:t xml:space="preserve">: O processo decisório adotado pelo SAMU 192 de Manaus não contempla a perspectiva de resposta a catástrofes, desastres e atendimento adequado e tempestivo a múltiplas vítimas (AMV).</w:t>
      </w:r>
      <w:r/>
    </w:p>
    <w:p>
      <w:pPr>
        <w:pStyle w:val="735"/>
        <w:pBdr/>
        <w:spacing/>
        <w:ind/>
        <w:rPr/>
      </w:pPr>
      <w:r>
        <w:rPr>
          <w:b/>
          <w:bCs/>
        </w:rPr>
        <w:t xml:space="preserve">Recomendação</w:t>
      </w:r>
      <w:r>
        <w:t xml:space="preserve">: A SEMSA Manaus, deverá elaborar o Plano de Contingência de Catástrofes da cidade de Manaus, com dados atualizados e devidas formalizaçõ</w:t>
      </w:r>
      <w:r>
        <w:t xml:space="preserve">es, incluindo datas, assinaturas dos responsáveis tanto no Plano como nos Termos de compromisso das instituições parceiras, conforme previsto no inciso XII, do Item Atribuições da Regulação Médica das Urgências e alínea h, do item Operacionalização das Cen</w:t>
      </w:r>
      <w:r>
        <w:t xml:space="preserve">trais SAMU - 192, Anexo 4, da Portaria de Consolidação nº 3, de 28/09/2017, que discorrem sobre a participação da Regulação Médica na formulação dos Planos de Saúde, de Atenção Integral às Urgências e de Atenção a Eventos com Múltiplas Vítimas e Desastres.</w:t>
      </w:r>
      <w:r/>
    </w:p>
    <w:p>
      <w:pPr>
        <w:pStyle w:val="735"/>
        <w:pBdr/>
        <w:spacing/>
        <w:ind/>
        <w:rPr/>
      </w:pPr>
      <w:r>
        <w:rPr>
          <w:b/>
          <w:bCs/>
        </w:rPr>
        <w:t xml:space="preserve">Análise Codificação</w:t>
      </w:r>
      <w:r>
        <w:t xml:space="preserve">: Em relação ao foco, a recomendação propõe a elaboração de um Plano de Contingência de Catástrofes, que visa tratar a causa do problema identificado (processo decisório inadequado para catástrofes e múltiplas vítimas), estabelecendo diretrizes perman</w:t>
      </w:r>
      <w:r>
        <w:t xml:space="preserve">entes e preventivas. Já em relação aos efeitos pretendidos, a implementação do plano cria uma estrutura formal e documentada que permanece válida independentemente de mudanças nos atores envolvidos, garantindo continuidade nas respostas a eventos críticos.</w:t>
      </w:r>
      <w:r/>
    </w:p>
    <w:p>
      <w:pPr>
        <w:pStyle w:val="737"/>
        <w:numPr>
          <w:ilvl w:val="0"/>
          <w:numId w:val="28"/>
        </w:numPr>
        <w:pBdr/>
        <w:spacing/>
        <w:ind/>
        <w:rPr/>
      </w:pPr>
      <w:r>
        <w:t xml:space="preserve">Foco Causa: Sim</w:t>
      </w:r>
      <w:r/>
    </w:p>
    <w:p>
      <w:pPr>
        <w:pStyle w:val="737"/>
        <w:numPr>
          <w:ilvl w:val="0"/>
          <w:numId w:val="28"/>
        </w:numPr>
        <w:pBdr/>
        <w:spacing/>
        <w:ind/>
        <w:rPr/>
      </w:pPr>
      <w:r>
        <w:t xml:space="preserve">Efeitos Duradouros: Sim</w:t>
      </w:r>
      <w:bookmarkEnd w:id="51"/>
      <w:r/>
    </w:p>
    <w:p>
      <w:pPr>
        <w:pStyle w:val="724"/>
        <w:pBdr/>
        <w:spacing/>
        <w:ind/>
        <w:rPr/>
      </w:pPr>
      <w:r/>
      <w:bookmarkStart w:id="52" w:name="auditoria-19488-constatação-nº-673863-2"/>
      <w:r>
        <w:t xml:space="preserve">Auditoria 19488, Constatação Nº 673863 (#2)</w:t>
      </w:r>
      <w:r/>
    </w:p>
    <w:p>
      <w:pPr>
        <w:pStyle w:val="736"/>
        <w:pBdr/>
        <w:spacing/>
        <w:ind/>
        <w:rPr/>
      </w:pPr>
      <w:r>
        <w:rPr>
          <w:b/>
          <w:bCs/>
        </w:rPr>
        <w:t xml:space="preserve">Finalidade</w:t>
      </w:r>
      <w:r>
        <w:t xml:space="preserve">: Verificar a gestão e o funcionamento do serviço de Atendimento Móvel de Urgência (SAMU 192).</w:t>
      </w:r>
      <w:r/>
    </w:p>
    <w:p>
      <w:pPr>
        <w:pStyle w:val="735"/>
        <w:pBdr/>
        <w:spacing/>
        <w:ind/>
        <w:rPr/>
      </w:pPr>
      <w:r>
        <w:rPr>
          <w:b/>
          <w:bCs/>
        </w:rPr>
        <w:t xml:space="preserve">Constatação</w:t>
      </w:r>
      <w:r>
        <w:t xml:space="preserve">: O la</w:t>
      </w:r>
      <w:r>
        <w:t xml:space="preserve">yout e o padrão visual da Central de Regulação das Urgências (CRU) e da Base Descentralizada do SAMU192 de Cajazeiras/PB não atendem totalmente aos critérios legais, que visam à identificação do Serviço e à segurança dos profissionais, usuários e cidadãos.</w:t>
      </w:r>
      <w:r/>
    </w:p>
    <w:p>
      <w:pPr>
        <w:pStyle w:val="735"/>
        <w:pBdr/>
        <w:spacing/>
        <w:ind/>
        <w:rPr/>
      </w:pPr>
      <w:r>
        <w:rPr>
          <w:b/>
          <w:bCs/>
        </w:rPr>
        <w:t xml:space="preserve">Recomendação</w:t>
      </w:r>
      <w:r>
        <w:t xml:space="preserve">: Renovar a Pintura e a Identificação Visual da CRU de Cajazeiras/PB; Instalar Pla</w:t>
      </w:r>
      <w:r>
        <w:t xml:space="preserve">cas de Identificação respeitando o padrão visual estabelecido para o SAMU 192, garantindo uniformidade e fácil reconhecimento. Implementar sinalização semafórica de alerta próxima aos acessos das Unidades Móveis, conforme estabelecido pelos critérios legai</w:t>
      </w:r>
      <w:r>
        <w:t xml:space="preserve">s. Estabelecer um plano de manutenção regular para garantir que o prédio e suas instalações permaneçam em boas condições e de acordo com os padrões estabelecidos. Isso inclui pintura, sinalização, iluminação, e outros aspectos relevantes da infraestrutura.</w:t>
      </w:r>
      <w:r/>
    </w:p>
    <w:p>
      <w:pPr>
        <w:pStyle w:val="735"/>
        <w:pBdr/>
        <w:spacing/>
        <w:ind/>
        <w:rPr/>
      </w:pPr>
      <w:r>
        <w:rPr>
          <w:b/>
          <w:bCs/>
        </w:rPr>
        <w:t xml:space="preserve">Análise Codificação</w:t>
      </w:r>
      <w:r>
        <w:t xml:space="preserve">: Em relação ao foco, a recomendação propõe ações diretas para corrigir as condições encontradas (renovação da pintura, instalação de placas, sinalização semafórica), que são medidas corretivas imediatas. No entanto, a ação de</w:t>
      </w:r>
      <w:r>
        <w:t xml:space="preserve"> </w:t>
      </w:r>
      <w:r>
        <w:t xml:space="preserve">‘Estabelecer um plano de manutenção regular’</w:t>
      </w:r>
      <w:r>
        <w:t xml:space="preserve"> </w:t>
      </w:r>
      <w:r>
        <w:t xml:space="preserve">aborda a causa subjacente da falta de manutenção contínua, visando prevenir a reocorrê</w:t>
      </w:r>
      <w:r>
        <w:t xml:space="preserve">ncia do problema. Já em relação aos efeitos pretendidos pela recomendação para tratar a causa, o plano de manutenção regular cria um processo sistemático que deve persistir independentemente de mudanças nos atores envolvidos, garantindo efeitos duradouros.</w:t>
      </w:r>
      <w:r/>
    </w:p>
    <w:p>
      <w:pPr>
        <w:pStyle w:val="737"/>
        <w:numPr>
          <w:ilvl w:val="0"/>
          <w:numId w:val="29"/>
        </w:numPr>
        <w:pBdr/>
        <w:spacing/>
        <w:ind/>
        <w:rPr/>
      </w:pPr>
      <w:r>
        <w:t xml:space="preserve">Foco Causa: Sim</w:t>
      </w:r>
      <w:r/>
    </w:p>
    <w:p>
      <w:pPr>
        <w:pStyle w:val="737"/>
        <w:numPr>
          <w:ilvl w:val="0"/>
          <w:numId w:val="29"/>
        </w:numPr>
        <w:pBdr/>
        <w:spacing/>
        <w:ind/>
        <w:rPr/>
      </w:pPr>
      <w:r>
        <w:t xml:space="preserve">Efeitos Duradouros: Sim</w:t>
      </w:r>
      <w:bookmarkEnd w:id="52"/>
      <w:r/>
    </w:p>
    <w:p>
      <w:pPr>
        <w:pStyle w:val="724"/>
        <w:pBdr/>
        <w:spacing/>
        <w:ind/>
        <w:rPr/>
      </w:pPr>
      <w:r/>
      <w:bookmarkStart w:id="53" w:name="auditoria-19554-constatação-nº-673910-1"/>
      <w:r>
        <w:t xml:space="preserve">Auditoria 19554, Constatação Nº 673910 (#1)</w:t>
      </w:r>
      <w:r/>
    </w:p>
    <w:p>
      <w:pPr>
        <w:pStyle w:val="736"/>
        <w:pBdr/>
        <w:spacing/>
        <w:ind/>
        <w:rPr/>
      </w:pPr>
      <w:r>
        <w:rPr>
          <w:b/>
          <w:bCs/>
        </w:rPr>
        <w:t xml:space="preserve">Finalidade</w:t>
      </w:r>
      <w:r>
        <w:t xml:space="preserve">: Avaliar a atuação dos municípios através dos indicadores por desempenho do Programa Previne Brasil</w:t>
      </w:r>
      <w:r/>
    </w:p>
    <w:p>
      <w:pPr>
        <w:pStyle w:val="735"/>
        <w:pBdr/>
        <w:spacing/>
        <w:ind/>
        <w:rPr/>
      </w:pPr>
      <w:r>
        <w:rPr>
          <w:b/>
          <w:bCs/>
        </w:rPr>
        <w:t xml:space="preserve">Constatação</w:t>
      </w:r>
      <w:r>
        <w:t xml:space="preserve">: Na listagem de prontuários disponibilizada pela AudSUS existem 134 usuários do SUS cadastrados no CadSUS com mais de 1 Cartão Nacional de Saúde.</w:t>
      </w:r>
      <w:r/>
    </w:p>
    <w:p>
      <w:pPr>
        <w:pStyle w:val="735"/>
        <w:pBdr/>
        <w:spacing/>
        <w:ind/>
        <w:rPr/>
      </w:pPr>
      <w:r>
        <w:rPr>
          <w:b/>
          <w:bCs/>
        </w:rPr>
        <w:t xml:space="preserve">Recomendação</w:t>
      </w:r>
      <w:r>
        <w:t xml:space="preserve">: Adotar providências para o correto cadastramento e atualização dos dados cadastrais de sua população conforme responsabilidade estabelecida no art. 268 da PRC GM/MS n.º 1/2017, alterado pela PRT GM/MS n.º 2.236, de 20/9/2021.</w:t>
      </w:r>
      <w:r/>
    </w:p>
    <w:p>
      <w:pPr>
        <w:pStyle w:val="735"/>
        <w:pBdr/>
        <w:spacing/>
        <w:ind/>
        <w:rPr/>
      </w:pPr>
      <w:r>
        <w:rPr>
          <w:b/>
          <w:bCs/>
        </w:rPr>
        <w:t xml:space="preserve">Análise Codificação</w:t>
      </w:r>
      <w:r>
        <w:t xml:space="preserve">: Em relação ao foco, a recomendação pro</w:t>
      </w:r>
      <w:r>
        <w:t xml:space="preserve">põe a adoção de providências para o correto cadastramento e atualização dos dados cadastrais, o que visa tratar a causa do problema (cadastramento inadequado que permite múltiplos cartões) e não apenas remover os cartões extras existentes. Já em relação ao</w:t>
      </w:r>
      <w:r>
        <w:t xml:space="preserve">s efeitos pretendidos pela recomendação, a implementação de processos corretos de cadastramento e atualização tende a criar uma estrutura permanente que permanece efetiva mesmo com mudanças nos atores envolvidos, pois estabelece procedimentos padronizados.</w:t>
      </w:r>
      <w:r/>
    </w:p>
    <w:p>
      <w:pPr>
        <w:pStyle w:val="737"/>
        <w:numPr>
          <w:ilvl w:val="0"/>
          <w:numId w:val="30"/>
        </w:numPr>
        <w:pBdr/>
        <w:spacing/>
        <w:ind/>
        <w:rPr/>
      </w:pPr>
      <w:r>
        <w:t xml:space="preserve">Foco Causa: Sim</w:t>
      </w:r>
      <w:r/>
    </w:p>
    <w:p>
      <w:pPr>
        <w:pStyle w:val="737"/>
        <w:numPr>
          <w:ilvl w:val="0"/>
          <w:numId w:val="30"/>
        </w:numPr>
        <w:pBdr/>
        <w:spacing/>
        <w:ind/>
        <w:rPr/>
      </w:pPr>
      <w:r>
        <w:t xml:space="preserve">Efeitos Duradouros: Sim</w:t>
      </w:r>
      <w:bookmarkEnd w:id="53"/>
      <w:r/>
    </w:p>
    <w:p>
      <w:pPr>
        <w:pStyle w:val="724"/>
        <w:pBdr/>
        <w:spacing/>
        <w:ind/>
        <w:rPr/>
      </w:pPr>
      <w:r/>
      <w:bookmarkStart w:id="54" w:name="auditoria-19590-constatação-nº-684796-1"/>
      <w:r>
        <w:t xml:space="preserve">Auditoria 19590, Constatação Nº 684796 (#1)</w:t>
      </w:r>
      <w:r/>
    </w:p>
    <w:p>
      <w:pPr>
        <w:pStyle w:val="736"/>
        <w:pBdr/>
        <w:spacing/>
        <w:ind/>
        <w:rPr/>
      </w:pPr>
      <w:r>
        <w:rPr>
          <w:b/>
          <w:bCs/>
        </w:rPr>
        <w:t xml:space="preserve">Finalidade</w:t>
      </w:r>
      <w:r>
        <w:t xml:space="preserve">: Verificar a implementação da Pol. Nac. ao Portador de Doença Ren. Crônica, nos estágios 4 e 5 em TRS</w:t>
      </w:r>
      <w:r/>
    </w:p>
    <w:p>
      <w:pPr>
        <w:pStyle w:val="735"/>
        <w:pBdr/>
        <w:spacing/>
        <w:ind/>
        <w:rPr/>
      </w:pPr>
      <w:r>
        <w:rPr>
          <w:b/>
          <w:bCs/>
        </w:rPr>
        <w:t xml:space="preserve">Constatação</w:t>
      </w:r>
      <w:r>
        <w:t xml:space="preserve">: A Unidade de Assistência de Alta Complexidade em Nefrologia do Sistema de Assistência Social e de Saúde (SAS) não contempla a equipe mínima estabelecida pela legislação.</w:t>
      </w:r>
      <w:r/>
    </w:p>
    <w:p>
      <w:pPr>
        <w:pStyle w:val="735"/>
        <w:pBdr/>
        <w:spacing/>
        <w:ind/>
        <w:rPr/>
      </w:pPr>
      <w:r>
        <w:rPr>
          <w:b/>
          <w:bCs/>
        </w:rPr>
        <w:t xml:space="preserve">Recomendação</w:t>
      </w:r>
      <w:r>
        <w:t xml:space="preserve">: Realizar as adequações da composição da equipe mínima do serviço de hemo</w:t>
      </w:r>
      <w:r>
        <w:t xml:space="preserve">diálise quanto à inclusão de: - um enfermeiro com título de especialista em nefrologia; - um profissional de assistência social para o quadro funcional do serviço de hemodiálise; - manter atualizada as certidões dos responsáveis técnicos (médico e enfermei</w:t>
      </w:r>
      <w:r>
        <w:t xml:space="preserve">ro) pelo serviço de hemodiálise. As adequações propostas são necessárias em razão do determinado nos incisos I, II e III, art. 78 e incisos I, II e V, art. 80, Seção V, Capítulo III do Anexo IV da Portaria de Consolidação GM/MS n.° 3/2017. Além disso, visa</w:t>
      </w:r>
      <w:r>
        <w:t xml:space="preserve">m manter as habilitações conforme previsto no inciso I, art. 89, Seção VII, Capítulo III do Anexo IV da Portaria de Consolidação GM/MS n.° 3/2017 que normatiza sobre a manutenção da habilitação dos estabelecimentos de saúde de atenção especializada em DRC.</w:t>
      </w:r>
      <w:r/>
    </w:p>
    <w:p>
      <w:pPr>
        <w:pStyle w:val="735"/>
        <w:pBdr/>
        <w:spacing/>
        <w:ind/>
        <w:rPr/>
      </w:pPr>
      <w:r>
        <w:rPr>
          <w:b/>
          <w:bCs/>
        </w:rPr>
        <w:t xml:space="preserve">Análise Codificação</w:t>
      </w:r>
      <w:r>
        <w:t xml:space="preserve">: Em relação ao foco, a recomendação propõe ações para adequar a composição da equipe mínima do serviço de hemodiálise, incluindo a inclusão de profissionais específicos e a manutenção de certid</w:t>
      </w:r>
      <w:r>
        <w:t xml:space="preserve">ões atualizadas. Essas ações visam corrigir a causa subjacente da não conformidade com a legislação, que é a estrutura inadequada da equipe, caracterizando um foco na causa. Já em relação aos efeitos pretendidos pela recomendação, as adequações propostas, </w:t>
      </w:r>
      <w:r>
        <w:t xml:space="preserve">como a inclusão permanente de um enfermeiro especialista e um assistente social, e a manutenção contínua das certidões, estabelecem mudanças estruturais que devem persistir independentemente de mudanças nos atores envolvidos, promovendo efeitos duradouros.</w:t>
      </w:r>
      <w:r/>
    </w:p>
    <w:p>
      <w:pPr>
        <w:pStyle w:val="737"/>
        <w:numPr>
          <w:ilvl w:val="0"/>
          <w:numId w:val="31"/>
        </w:numPr>
        <w:pBdr/>
        <w:spacing/>
        <w:ind/>
        <w:rPr/>
      </w:pPr>
      <w:r>
        <w:t xml:space="preserve">Foco Causa: Sim</w:t>
      </w:r>
      <w:r/>
    </w:p>
    <w:p>
      <w:pPr>
        <w:pStyle w:val="737"/>
        <w:numPr>
          <w:ilvl w:val="0"/>
          <w:numId w:val="31"/>
        </w:numPr>
        <w:pBdr/>
        <w:spacing/>
        <w:ind/>
        <w:rPr/>
      </w:pPr>
      <w:r>
        <w:t xml:space="preserve">Efeitos Duradouros: Sim</w:t>
      </w:r>
      <w:bookmarkEnd w:id="54"/>
      <w:r/>
    </w:p>
    <w:p>
      <w:pPr>
        <w:pStyle w:val="724"/>
        <w:pBdr/>
        <w:spacing/>
        <w:ind/>
        <w:rPr/>
      </w:pPr>
      <w:r/>
      <w:bookmarkStart w:id="55" w:name="auditoria-19613-constatação-nº-677739-1"/>
      <w:r>
        <w:t xml:space="preserve">Auditoria 19613, Constatação Nº 677739 (#1)</w:t>
      </w:r>
      <w:r/>
    </w:p>
    <w:p>
      <w:pPr>
        <w:pStyle w:val="736"/>
        <w:pBdr/>
        <w:spacing/>
        <w:ind/>
        <w:rPr/>
      </w:pPr>
      <w:r>
        <w:rPr>
          <w:b/>
          <w:bCs/>
        </w:rPr>
        <w:t xml:space="preserve">Finalidade</w:t>
      </w:r>
      <w:r>
        <w:t xml:space="preserve">: Avaliar a execução dos convênios firmados com organizações sociais no âmbito da Saúde Indígena</w:t>
      </w:r>
      <w:r/>
    </w:p>
    <w:p>
      <w:pPr>
        <w:pStyle w:val="735"/>
        <w:pBdr/>
        <w:spacing/>
        <w:ind/>
        <w:rPr/>
      </w:pPr>
      <w:r>
        <w:rPr>
          <w:b/>
          <w:bCs/>
        </w:rPr>
        <w:t xml:space="preserve">Constatação</w:t>
      </w:r>
      <w:r>
        <w:t xml:space="preserve">: Impropriedades relacionadas aos documentos de suporte e relatórios mensais de acompanhamento dos Eixos de Saneamento Ambiental e Edificações de Saúde Indígena.</w:t>
      </w:r>
      <w:r/>
    </w:p>
    <w:p>
      <w:pPr>
        <w:pStyle w:val="735"/>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pPr>
        <w:pStyle w:val="735"/>
        <w:pBdr/>
        <w:spacing/>
        <w:ind/>
        <w:rPr/>
      </w:pPr>
      <w:r>
        <w:rPr>
          <w:b/>
          <w:bCs/>
        </w:rPr>
        <w:t xml:space="preserve">Análise Codificação</w:t>
      </w:r>
      <w:r>
        <w:t xml:space="preserve">: Em relação ao foco, a</w:t>
      </w:r>
      <w:r>
        <w:t xml:space="preserve"> recomendação propõe a conferência da documentação no sistema Transferegov para evitar a manutenção de informações incorretas, o que visa tratar a causa do problema (informações incorretas persistindo no sistema) ao implementar um processo de verificação c</w:t>
      </w:r>
      <w:r>
        <w:t xml:space="preserve">ontínua. Já em relação aos efeitos pretendidos pela recomendação, a ação de conferência documental estabelece um procedimento que pode ser mantido independentemente de mudanças nos atores envolvidos, pois se baseia em uma rotina sistemática de verificação.</w:t>
      </w:r>
      <w:r/>
    </w:p>
    <w:p>
      <w:pPr>
        <w:pStyle w:val="737"/>
        <w:numPr>
          <w:ilvl w:val="0"/>
          <w:numId w:val="32"/>
        </w:numPr>
        <w:pBdr/>
        <w:spacing/>
        <w:ind/>
        <w:rPr/>
      </w:pPr>
      <w:r>
        <w:t xml:space="preserve">Foco Causa: Sim</w:t>
      </w:r>
      <w:r/>
    </w:p>
    <w:p>
      <w:pPr>
        <w:pStyle w:val="737"/>
        <w:numPr>
          <w:ilvl w:val="0"/>
          <w:numId w:val="32"/>
        </w:numPr>
        <w:pBdr/>
        <w:spacing/>
        <w:ind/>
        <w:rPr/>
      </w:pPr>
      <w:r>
        <w:t xml:space="preserve">Efeitos Duradouros: Sim</w:t>
      </w:r>
      <w:bookmarkEnd w:id="55"/>
      <w:r/>
    </w:p>
    <w:p>
      <w:pPr>
        <w:pStyle w:val="724"/>
        <w:pBdr/>
        <w:spacing/>
        <w:ind/>
        <w:rPr/>
      </w:pPr>
      <w:r/>
      <w:bookmarkStart w:id="56" w:name="auditoria-19686-constatação-nº-689425-1"/>
      <w:r>
        <w:t xml:space="preserve">Auditoria 19686, Constatação Nº 689425 (#1)</w:t>
      </w:r>
      <w:r/>
    </w:p>
    <w:p>
      <w:pPr>
        <w:pStyle w:val="736"/>
        <w:pBdr/>
        <w:spacing/>
        <w:ind/>
        <w:rPr/>
      </w:pPr>
      <w:r>
        <w:rPr>
          <w:b/>
          <w:bCs/>
        </w:rPr>
        <w:t xml:space="preserve">Finalidade</w:t>
      </w:r>
      <w:r>
        <w:t xml:space="preserve">: Verificar a regularidade no Sistema de Regulação em Saúde de Alagoas.</w:t>
      </w:r>
      <w:r/>
    </w:p>
    <w:p>
      <w:pPr>
        <w:pStyle w:val="735"/>
        <w:pBdr/>
        <w:spacing/>
        <w:ind/>
        <w:rPr/>
      </w:pPr>
      <w:r>
        <w:rPr>
          <w:b/>
          <w:bCs/>
        </w:rPr>
        <w:t xml:space="preserve">Constatação</w:t>
      </w:r>
      <w:r>
        <w:t xml:space="preserve">: A gestão da Secretaria de Estado da Saúde de Alagoas (SESAU/AL) não realizou, formalmente, a contratualizaçã</w:t>
      </w:r>
      <w:r>
        <w:t xml:space="preserve">o com as Unidades de Saúde (Hospitais: Veredas, Médico Cirúrgico, Carvalho Beltrão, Universitário e Chama e Santas Casas de Misericórdia: Maceió, Penedo e São Miguel dos Campos), dos serviços de internações em leitos SUS dos pacientes regulados pela SESAU.</w:t>
      </w:r>
      <w:r/>
    </w:p>
    <w:p>
      <w:pPr>
        <w:pStyle w:val="735"/>
        <w:pBdr/>
        <w:spacing/>
        <w:ind/>
        <w:rPr/>
      </w:pPr>
      <w:r>
        <w:rPr>
          <w:b/>
          <w:bCs/>
        </w:rPr>
        <w:t xml:space="preserve">Recomendação</w:t>
      </w:r>
      <w:r>
        <w:t xml:space="preserve">: A Gestão da SESAU/AL deve realizar a compatibilização das informaçõ</w:t>
      </w:r>
      <w:r>
        <w:t xml:space="preserve">es prestadas nos relatórios produzidos pelas áreas técnicas da SESAU com os dados de registros no CNES, de forma a evitar equívocos nas informações gerenciais prestadas aos órgãos de controle (DENASUS, MPF, DPU, MPE); realizar a reavaliação de todos os pre</w:t>
      </w:r>
      <w:r>
        <w:t xml:space="preserve">stadores privados de saúde que, concomitantemente, prestam serviços aos SUS nas esferas estadual e municipais; compartilhar informações gerenciais com os demais Entes para evitar contratações dos mesmos leitos SUS nas diferentes esferas de gestão; realizar</w:t>
      </w:r>
      <w:r>
        <w:t xml:space="preserve"> as contratações da Rede Complementar da Saúde (Hospitais e Clínicas Privadas) e manter atualizados os Contratos e Planos Operativos e respectivas publicações oficiais; e definir, nos respectivos instrumentos de contratação os objetivos, metas, recursos or</w:t>
      </w:r>
      <w:r>
        <w:t xml:space="preserve">çamentários, fonte de recursos, indicadores de avaliação e monitoramento. Gerenciar os leitos SUS contratados na rede privada para a sua efetiva disponibilização aos usuários. Cumprir o inciso III do art. 4º da Portaria de Consolidação nº 2, de 28/09/2017.</w:t>
      </w:r>
      <w:r/>
    </w:p>
    <w:p>
      <w:pPr>
        <w:pStyle w:val="735"/>
        <w:pBdr/>
        <w:spacing/>
        <w:ind/>
        <w:rPr/>
      </w:pPr>
      <w:r>
        <w:rPr>
          <w:b/>
          <w:bCs/>
        </w:rPr>
        <w:t xml:space="preserve">Análise Codificação</w:t>
      </w:r>
      <w:r>
        <w:t xml:space="preserve">: Em relação ao foco, a recomendação inclui ações que tratam da causa do problema, como a compatibilização de informações entre relatórios técnicos e CNES para evitar equívocos gerenciais, a reavaliação de prestadores que atuam em múlti</w:t>
      </w:r>
      <w:r>
        <w:t xml:space="preserve">plas esferas, o compartilhamento de informações para evitar duplicidade de contratações, e a definição clara de objetivos e metas nos instrumentos contratuais, visando prevenir a ausência de contratualização formal. Já em relação aos efeitos duradouros, as</w:t>
      </w:r>
      <w:r>
        <w:t xml:space="preserve"> ações propostas, como a padronização de processos de compatibilização de dados, compartilhamento sistemático de informações e definição de parâmetros contratuais, tendem a permanecer mesmo com mudanças de atores, pois institucionalizam práticas de gestão.</w:t>
      </w:r>
      <w:r/>
    </w:p>
    <w:p>
      <w:pPr>
        <w:pStyle w:val="737"/>
        <w:numPr>
          <w:ilvl w:val="0"/>
          <w:numId w:val="33"/>
        </w:numPr>
        <w:pBdr/>
        <w:spacing/>
        <w:ind/>
        <w:rPr/>
      </w:pPr>
      <w:r>
        <w:t xml:space="preserve">Foco Causa: Sim</w:t>
      </w:r>
      <w:r/>
    </w:p>
    <w:p>
      <w:pPr>
        <w:pStyle w:val="737"/>
        <w:numPr>
          <w:ilvl w:val="0"/>
          <w:numId w:val="33"/>
        </w:numPr>
        <w:pBdr/>
        <w:spacing/>
        <w:ind/>
        <w:rPr/>
      </w:pPr>
      <w:r>
        <w:t xml:space="preserve">Efeitos Duradouros: Sim</w:t>
      </w:r>
      <w:bookmarkEnd w:id="56"/>
      <w:r/>
    </w:p>
    <w:p>
      <w:pPr>
        <w:pStyle w:val="724"/>
        <w:pBdr/>
        <w:spacing/>
        <w:ind/>
        <w:rPr/>
      </w:pPr>
      <w:r/>
      <w:bookmarkStart w:id="57" w:name="auditoria-19688-constatação-nº-688913-4"/>
      <w:r>
        <w:t xml:space="preserve">Auditoria 19688, Constatação Nº 688913 (#4)</w:t>
      </w:r>
      <w:r/>
    </w:p>
    <w:p>
      <w:pPr>
        <w:pStyle w:val="736"/>
        <w:pBdr/>
        <w:spacing/>
        <w:ind/>
        <w:rPr/>
      </w:pPr>
      <w:r>
        <w:rPr>
          <w:b/>
          <w:bCs/>
        </w:rPr>
        <w:t xml:space="preserve">Finalidade</w:t>
      </w:r>
      <w:r>
        <w:t xml:space="preserve">: verificar a regularidade da produção inserida no Sistema de Informações Ambulatoriais (SIASUS)</w:t>
      </w:r>
      <w:r/>
    </w:p>
    <w:p>
      <w:pPr>
        <w:pStyle w:val="735"/>
        <w:pBdr/>
        <w:spacing/>
        <w:ind/>
        <w:rPr/>
      </w:pPr>
      <w:r>
        <w:rPr>
          <w:b/>
          <w:bCs/>
        </w:rPr>
        <w:t xml:space="preserve">Constatação</w:t>
      </w:r>
      <w:r>
        <w:t xml:space="preserve">: A SEMSA/BV não comprovou a efetiva realização da produção inserida e aprovada no SIA/SUS quanto aos procedimentos Ultrassonografia Obstétrica - 0205020143</w:t>
      </w:r>
      <w:r>
        <w:t xml:space="preserve">; Radiografia de Tórax - PA e PERFIL - 0204030153; Tomografia Computadorizada do Crânio - 0206010079; Gasometria PH PCO2 PO2 BICARBONATO AS2 (EXCESSO OU DEFICIT BASE) - 0202010732; Tomografia Computadorizada de Abdômen Superior - 0206030010 no ano de 2021.</w:t>
      </w:r>
      <w:r/>
    </w:p>
    <w:p>
      <w:pPr>
        <w:pStyle w:val="735"/>
        <w:pBdr/>
        <w:spacing/>
        <w:ind/>
        <w:rPr/>
      </w:pPr>
      <w:r>
        <w:rPr>
          <w:b/>
          <w:bCs/>
        </w:rPr>
        <w:t xml:space="preserve">Recomendação</w:t>
      </w:r>
      <w:r>
        <w:t xml:space="preserve">: Capacitar os servidores responsáveis pelo Serviço de Controle, Avaliação e Monitoramento das ações e serviços de saúde nos instrumentos criados para melhor desempenho das atividades propostas nos referidos instrumentos.</w:t>
      </w:r>
      <w:r/>
    </w:p>
    <w:p>
      <w:pPr>
        <w:pStyle w:val="735"/>
        <w:pBdr/>
        <w:spacing/>
        <w:ind/>
        <w:rPr/>
      </w:pPr>
      <w:r>
        <w:rPr>
          <w:b/>
          <w:bCs/>
        </w:rPr>
        <w:t xml:space="preserve">Análise Codificação</w:t>
      </w:r>
      <w:r>
        <w:t xml:space="preserve">: A recomendação propõe capacitar servidores para melhorar o desempenho nas atividades de controle, avaliação e monitoramento, o que aborda a causa do problema (falta de capacitação adequada) que gerou a condição </w:t>
      </w:r>
      <w:r>
        <w:t xml:space="preserve">de não comprovação da produção. Quanto aos efeitos duradouros, a capacitação visa estabelecer competências que permanecem mesmo com mudanças de atores, pois o conhecimento transferido pode ser mantido e aplicado independentemente de quem exerça as funções.</w:t>
      </w:r>
      <w:r/>
    </w:p>
    <w:p>
      <w:pPr>
        <w:pStyle w:val="737"/>
        <w:numPr>
          <w:ilvl w:val="0"/>
          <w:numId w:val="34"/>
        </w:numPr>
        <w:pBdr/>
        <w:spacing/>
        <w:ind/>
        <w:rPr/>
      </w:pPr>
      <w:r>
        <w:t xml:space="preserve">Foco Causa: Sim</w:t>
      </w:r>
      <w:r/>
    </w:p>
    <w:p>
      <w:pPr>
        <w:pStyle w:val="737"/>
        <w:numPr>
          <w:ilvl w:val="0"/>
          <w:numId w:val="34"/>
        </w:numPr>
        <w:pBdr/>
        <w:spacing/>
        <w:ind/>
        <w:rPr/>
      </w:pPr>
      <w:r>
        <w:t xml:space="preserve">Efeitos Duradouros: Sim</w:t>
      </w:r>
      <w:bookmarkEnd w:id="57"/>
      <w:r/>
    </w:p>
    <w:p>
      <w:pPr>
        <w:pStyle w:val="724"/>
        <w:pBdr/>
        <w:spacing/>
        <w:ind/>
        <w:rPr/>
      </w:pPr>
      <w:r/>
      <w:bookmarkStart w:id="58" w:name="auditoria-19745-constatação-nº-694782-1"/>
      <w:r>
        <w:t xml:space="preserve">Auditoria 19745, Constatação Nº 694782 (#1)</w:t>
      </w:r>
      <w:r/>
    </w:p>
    <w:p>
      <w:pPr>
        <w:pStyle w:val="736"/>
        <w:pBdr/>
        <w:spacing/>
        <w:ind/>
        <w:rPr/>
      </w:pPr>
      <w:r>
        <w:rPr>
          <w:b/>
          <w:bCs/>
        </w:rPr>
        <w:t xml:space="preserve">Finalidade</w:t>
      </w:r>
      <w:r>
        <w:t xml:space="preserve">: Verificar se a CMRF possui controles internos capazes de assegurar adequadamente a Cadeia de Frios</w:t>
      </w:r>
      <w:r/>
    </w:p>
    <w:p>
      <w:pPr>
        <w:pStyle w:val="735"/>
        <w:pBdr/>
        <w:spacing/>
        <w:ind/>
        <w:rPr/>
      </w:pPr>
      <w:r>
        <w:rPr>
          <w:b/>
          <w:bCs/>
        </w:rPr>
        <w:t xml:space="preserve">Constatação</w:t>
      </w:r>
      <w:r>
        <w:t xml:space="preserve">: O transporte dos imunobiológicos enviados pela Instância Estadual e distribuídos pela Central Municipalde Rede de Frio-CMRF para as Salas de Vacinação não é realizado, integralmente, de acordo com as orientações preconizadas pelo PNI.</w:t>
      </w:r>
      <w:r/>
    </w:p>
    <w:p>
      <w:pPr>
        <w:pStyle w:val="735"/>
        <w:pBdr/>
        <w:spacing/>
        <w:ind/>
        <w:rPr/>
      </w:pPr>
      <w:r>
        <w:rPr>
          <w:b/>
          <w:bCs/>
        </w:rPr>
        <w:t xml:space="preserve">Recomendação</w:t>
      </w:r>
      <w:r>
        <w:t xml:space="preserve">: Desenvolver e implementar ações de controle para serem realizadas no transporte dos imunobiológicos, de forma a evidenciar as atividades a serem realizadas antes, durante e após o transporte, definindo os responsáveis pelas etapas, para cumprimen</w:t>
      </w:r>
      <w:r>
        <w:t xml:space="preserve">to do Subitem 4.6, Item 4, pág. 27 a 31 do Manual de Rede Frio do PNI, 2017; e os Arts. 83, 84 e 85, Seção IX, da Resolução de Diretoria Colegiada - RDC Nº 430, de 08 de outubro de 2020; e o o Art. 61, Título XII, da Lei nº 6.360, de 23 de setembro de 1976</w:t>
      </w:r>
      <w:r/>
    </w:p>
    <w:p>
      <w:pPr>
        <w:pStyle w:val="735"/>
        <w:pBdr/>
        <w:spacing/>
        <w:ind/>
        <w:rPr/>
      </w:pPr>
      <w:r>
        <w:rPr>
          <w:b/>
          <w:bCs/>
        </w:rPr>
        <w:t xml:space="preserve">Análise Codificação</w:t>
      </w:r>
      <w:r>
        <w:t xml:space="preserve">: Em relação ao foco, a recomendação propõe o desenvolvimento e implementação de ações de controle para o tr</w:t>
      </w:r>
      <w:r>
        <w:t xml:space="preserve">ansporte de imunobiológicos, incluindo a definição de responsabilidades e etapas, o que visa abordar a causa subjacente da falta de conformidade, como a ausência de procedimentos estruturados, em vez de apenas corrigir a condição imediata. Já em relação ao</w:t>
      </w:r>
      <w:r>
        <w:t xml:space="preserve">s efeitos pretendidos pela recomendação, as ações sugeridas, como a criação de controles e definição de responsáveis, são projetadas para serem duradouras e permanecerem efetivas mesmo com mudanças nos atores envolvidos, pois estabelecem processos formais.</w:t>
      </w:r>
      <w:r/>
    </w:p>
    <w:p>
      <w:pPr>
        <w:pStyle w:val="737"/>
        <w:numPr>
          <w:ilvl w:val="0"/>
          <w:numId w:val="35"/>
        </w:numPr>
        <w:pBdr/>
        <w:spacing/>
        <w:ind/>
        <w:rPr/>
      </w:pPr>
      <w:r>
        <w:t xml:space="preserve">Foco Causa: Sim</w:t>
      </w:r>
      <w:r/>
    </w:p>
    <w:p>
      <w:pPr>
        <w:pStyle w:val="737"/>
        <w:numPr>
          <w:ilvl w:val="0"/>
          <w:numId w:val="35"/>
        </w:numPr>
        <w:pBdr/>
        <w:spacing/>
        <w:ind/>
        <w:rPr/>
      </w:pPr>
      <w:r>
        <w:t xml:space="preserve">Efeitos Duradouros: Sim</w:t>
      </w:r>
      <w:bookmarkEnd w:id="58"/>
      <w:r/>
    </w:p>
    <w:p>
      <w:pPr>
        <w:pStyle w:val="724"/>
        <w:pBdr/>
        <w:spacing/>
        <w:ind/>
        <w:rPr/>
      </w:pPr>
      <w:r/>
      <w:bookmarkStart w:id="59" w:name="auditoria-19809-constatação-nº-694570-1"/>
      <w:r>
        <w:t xml:space="preserve">Auditoria 19809, Constatação Nº 694570 (#1)</w:t>
      </w:r>
      <w:r/>
    </w:p>
    <w:p>
      <w:pPr>
        <w:pStyle w:val="736"/>
        <w:pBdr/>
        <w:spacing/>
        <w:ind/>
        <w:rPr/>
      </w:pPr>
      <w:r>
        <w:rPr>
          <w:b/>
          <w:bCs/>
        </w:rPr>
        <w:t xml:space="preserve">Finalidade</w:t>
      </w:r>
      <w:r>
        <w:t xml:space="preserve">: Verificar se a Atenção Primária à Saúde está exercendo as atribuições de coordenadora da RAPS</w:t>
      </w:r>
      <w:r/>
    </w:p>
    <w:p>
      <w:pPr>
        <w:pStyle w:val="735"/>
        <w:pBdr/>
        <w:spacing/>
        <w:ind/>
        <w:rPr/>
      </w:pPr>
      <w:r>
        <w:rPr>
          <w:b/>
          <w:bCs/>
        </w:rPr>
        <w:t xml:space="preserve">Constatação</w:t>
      </w:r>
      <w:r>
        <w:t xml:space="preserve">: As UBSs visitadas não realizam a continuidade do atendimento nem ações de redução de danos a grupos específicos de pacientes.</w:t>
      </w:r>
      <w:r/>
    </w:p>
    <w:p>
      <w:pPr>
        <w:pStyle w:val="735"/>
        <w:pBdr/>
        <w:spacing/>
        <w:ind/>
        <w:rPr/>
      </w:pPr>
      <w:r>
        <w:rPr>
          <w:b/>
          <w:bCs/>
        </w:rPr>
        <w:t xml:space="preserve">Recomendação</w:t>
      </w:r>
      <w:r>
        <w:t xml:space="preserve">: Estabelecer nos processos de trabalho das UBSs ações que efetivem a continuidade do cuidado, promovendo um atendimento de maneira coordenada e sem interrupções, em especial a grupos específico</w:t>
      </w:r>
      <w:r>
        <w:t xml:space="preserve">s de pacientes mais vulneráveis (crianças, adolescentes, jovens, pessoas em situação de rua e populações indígenas), em atendimento ao estabelecido nos itens I, II, III e IV, Art. 4º, Título I, Anexo V da Portaria de Consolidação GM/MS nº 3, de 28/09/2017.</w:t>
      </w:r>
      <w:r/>
    </w:p>
    <w:p>
      <w:pPr>
        <w:pStyle w:val="735"/>
        <w:pBdr/>
        <w:spacing/>
        <w:ind/>
        <w:rPr/>
      </w:pPr>
      <w:r>
        <w:rPr>
          <w:b/>
          <w:bCs/>
        </w:rPr>
        <w:t xml:space="preserve">Análise Codificação</w:t>
      </w:r>
      <w:r>
        <w:t xml:space="preserve">: Em relação ao foco, a recomendação propõe estabelecer ações nos processos de trabalho das UBSs para efetivar a continuidade do cuidado, o que visa abordar a causa subjacente da falta de continuidade e redução de danos, em v</w:t>
      </w:r>
      <w:r>
        <w:t xml:space="preserve">ez de apenas corrigir casos específicos. Já em relação aos efeitos pretendidos pela recomendação, as mudanças nos processos de trabalho são institucionais e devem persistir independentemente de mudanças nos atores envolvidos, promovendo efeitos duradouros.</w:t>
      </w:r>
      <w:r/>
    </w:p>
    <w:p>
      <w:pPr>
        <w:pStyle w:val="737"/>
        <w:numPr>
          <w:ilvl w:val="0"/>
          <w:numId w:val="36"/>
        </w:numPr>
        <w:pBdr/>
        <w:spacing/>
        <w:ind/>
        <w:rPr/>
      </w:pPr>
      <w:r>
        <w:t xml:space="preserve">Foco Causa: Sim</w:t>
      </w:r>
      <w:r/>
    </w:p>
    <w:p>
      <w:pPr>
        <w:pStyle w:val="737"/>
        <w:numPr>
          <w:ilvl w:val="0"/>
          <w:numId w:val="36"/>
        </w:numPr>
        <w:pBdr/>
        <w:spacing/>
        <w:ind/>
        <w:rPr/>
      </w:pPr>
      <w:r>
        <w:t xml:space="preserve">Efeitos Duradouros: Sim</w:t>
      </w:r>
      <w:bookmarkEnd w:id="59"/>
      <w:r/>
    </w:p>
    <w:p>
      <w:pPr>
        <w:pStyle w:val="724"/>
        <w:pBdr/>
        <w:spacing/>
        <w:ind/>
        <w:rPr/>
      </w:pPr>
      <w:r/>
      <w:bookmarkStart w:id="60" w:name="auditoria-19855-constatação-nº-701779-1"/>
      <w:r>
        <w:t xml:space="preserve">Auditoria 19855, Constatação Nº 701779 (#1)</w:t>
      </w:r>
      <w:r/>
    </w:p>
    <w:p>
      <w:pPr>
        <w:pStyle w:val="736"/>
        <w:pBdr/>
        <w:spacing/>
        <w:ind/>
        <w:rPr/>
      </w:pPr>
      <w:r>
        <w:rPr>
          <w:b/>
          <w:bCs/>
        </w:rPr>
        <w:t xml:space="preserve">Finalidade</w:t>
      </w:r>
      <w:r>
        <w:t xml:space="preserve">: Verificar a gestão e o gerenciamento dos Centros de Referência em Saúde do Trabalhador - CERESTs</w:t>
      </w:r>
      <w:r/>
    </w:p>
    <w:p>
      <w:pPr>
        <w:pStyle w:val="735"/>
        <w:pBdr/>
        <w:spacing/>
        <w:ind/>
        <w:rPr/>
      </w:pPr>
      <w:r>
        <w:rPr>
          <w:b/>
          <w:bCs/>
        </w:rPr>
        <w:t xml:space="preserve">Constatação</w:t>
      </w:r>
      <w:r>
        <w:t xml:space="preserve">: As ações e demandas específicas relacionadas a saúde do trabalhador informadas pelo CEREST Regional Maricá/RJ, referente aos anos de 2023 e 2024, não foram preconizadas no Plano Municipal de Saúde (PMS) 2022 - 2025.</w:t>
      </w:r>
      <w:r/>
    </w:p>
    <w:p>
      <w:pPr>
        <w:pStyle w:val="735"/>
        <w:pBdr/>
        <w:spacing/>
        <w:ind/>
        <w:rPr/>
      </w:pPr>
      <w:r>
        <w:rPr>
          <w:b/>
          <w:bCs/>
        </w:rPr>
        <w:t xml:space="preserve">Recomendação</w:t>
      </w:r>
      <w:r>
        <w:t xml:space="preserve">: Assegurar que todas as áreas de saúde compreendidas na PNSTT (promoção, vigilância e atenção básica) estejam inseridas no </w:t>
      </w:r>
      <w:r>
        <w:t xml:space="preserve">Plano Municipal de Saúde (PMS) e nas Programações Anuais de Saúde (PAS), acompanhadas das suas respectivas ações, metas e indicadores, atendendo o Inciso I, Paragráfo Único, Art 19, Capítulo II, Anexo X, da Portaria de Consolidação GM/MS n°3, de 28/9/2017.</w:t>
      </w:r>
      <w:r/>
    </w:p>
    <w:p>
      <w:pPr>
        <w:pStyle w:val="735"/>
        <w:pBdr/>
        <w:spacing/>
        <w:ind/>
        <w:rPr/>
      </w:pPr>
      <w:r>
        <w:rPr>
          <w:b/>
          <w:bCs/>
        </w:rPr>
        <w:t xml:space="preserve">Análise Codificação</w:t>
      </w:r>
      <w:r>
        <w:t xml:space="preserve">: Em relação ao foco, a recomendação propõe a inserção das áreas de saúde do trabalhador (promoção, vigilância e atenção básica) no Plano Municipal de Saúde e nas Programações Anuais de Saúde, com ações, metas e indic</w:t>
      </w:r>
      <w:r>
        <w:t xml:space="preserve">adores específicos, o que visa tratar a causa do problema - a ausência de previsão formal dessas ações nos instrumentos de planejamento. Isso representa uma ação estrutural para evitar que a condição (ausência de previsão) volte a ocorrer. Já em relação ao</w:t>
      </w:r>
      <w:r>
        <w:t xml:space="preserve">s efeitos pretendidos, a recomendação estabelece um processo formal de planejamento que deve permanecer independentemente de mudanças nos gestores ou equipes envolvidas, criando uma estrutura duradoura para a incorporação das ações de saúde do trabalhador.</w:t>
      </w:r>
      <w:r/>
    </w:p>
    <w:p>
      <w:pPr>
        <w:pStyle w:val="737"/>
        <w:numPr>
          <w:ilvl w:val="0"/>
          <w:numId w:val="37"/>
        </w:numPr>
        <w:pBdr/>
        <w:spacing/>
        <w:ind/>
        <w:rPr/>
      </w:pPr>
      <w:r>
        <w:t xml:space="preserve">Foco Causa: Sim</w:t>
      </w:r>
      <w:r/>
    </w:p>
    <w:p>
      <w:pPr>
        <w:pStyle w:val="737"/>
        <w:numPr>
          <w:ilvl w:val="0"/>
          <w:numId w:val="37"/>
        </w:numPr>
        <w:pBdr/>
        <w:spacing/>
        <w:ind/>
        <w:rPr/>
      </w:pPr>
      <w:r>
        <w:t xml:space="preserve">Efeitos Duradouros: Sim</w:t>
      </w:r>
      <w:bookmarkEnd w:id="60"/>
      <w:bookmarkEnd w:id="61"/>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32"/>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732"/>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732"/>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732"/>
    <w:link w:val="726"/>
    <w:uiPriority w:val="9"/>
    <w:pPr>
      <w:pBdr/>
      <w:spacing/>
      <w:ind/>
    </w:pPr>
    <w:rPr>
      <w:rFonts w:ascii="Arial" w:hAnsi="Arial" w:eastAsia="Arial" w:cs="Arial"/>
      <w:i/>
      <w:iCs/>
      <w:color w:val="0f4761" w:themeColor="accent1" w:themeShade="BF"/>
    </w:rPr>
  </w:style>
  <w:style w:type="character" w:styleId="154">
    <w:name w:val="Heading 5 Char"/>
    <w:basedOn w:val="732"/>
    <w:link w:val="727"/>
    <w:uiPriority w:val="9"/>
    <w:pPr>
      <w:pBdr/>
      <w:spacing/>
      <w:ind/>
    </w:pPr>
    <w:rPr>
      <w:rFonts w:ascii="Arial" w:hAnsi="Arial" w:eastAsia="Arial" w:cs="Arial"/>
      <w:color w:val="0f4761" w:themeColor="accent1" w:themeShade="BF"/>
    </w:rPr>
  </w:style>
  <w:style w:type="character" w:styleId="155">
    <w:name w:val="Heading 6 Char"/>
    <w:basedOn w:val="732"/>
    <w:link w:val="728"/>
    <w:uiPriority w:val="9"/>
    <w:pPr>
      <w:pBdr/>
      <w:spacing/>
      <w:ind/>
    </w:pPr>
    <w:rPr>
      <w:rFonts w:ascii="Arial" w:hAnsi="Arial" w:eastAsia="Arial" w:cs="Arial"/>
      <w:i/>
      <w:iCs/>
      <w:color w:val="595959" w:themeColor="text1" w:themeTint="A6"/>
    </w:rPr>
  </w:style>
  <w:style w:type="character" w:styleId="156">
    <w:name w:val="Heading 7 Char"/>
    <w:basedOn w:val="732"/>
    <w:link w:val="729"/>
    <w:uiPriority w:val="9"/>
    <w:pPr>
      <w:pBdr/>
      <w:spacing/>
      <w:ind/>
    </w:pPr>
    <w:rPr>
      <w:rFonts w:ascii="Arial" w:hAnsi="Arial" w:eastAsia="Arial" w:cs="Arial"/>
      <w:color w:val="595959" w:themeColor="text1" w:themeTint="A6"/>
    </w:rPr>
  </w:style>
  <w:style w:type="character" w:styleId="157">
    <w:name w:val="Heading 8 Char"/>
    <w:basedOn w:val="732"/>
    <w:link w:val="730"/>
    <w:uiPriority w:val="9"/>
    <w:pPr>
      <w:pBdr/>
      <w:spacing/>
      <w:ind/>
    </w:pPr>
    <w:rPr>
      <w:rFonts w:ascii="Arial" w:hAnsi="Arial" w:eastAsia="Arial" w:cs="Arial"/>
      <w:i/>
      <w:iCs/>
      <w:color w:val="272727" w:themeColor="text1" w:themeTint="D8"/>
    </w:rPr>
  </w:style>
  <w:style w:type="character" w:styleId="158">
    <w:name w:val="Heading 9 Char"/>
    <w:basedOn w:val="732"/>
    <w:link w:val="731"/>
    <w:uiPriority w:val="9"/>
    <w:pPr>
      <w:pBdr/>
      <w:spacing/>
      <w:ind/>
    </w:pPr>
    <w:rPr>
      <w:rFonts w:ascii="Arial" w:hAnsi="Arial" w:eastAsia="Arial" w:cs="Arial"/>
      <w:i/>
      <w:iCs/>
      <w:color w:val="272727" w:themeColor="text1" w:themeTint="D8"/>
    </w:rPr>
  </w:style>
  <w:style w:type="character" w:styleId="160">
    <w:name w:val="Title Char"/>
    <w:basedOn w:val="732"/>
    <w:link w:val="738"/>
    <w:uiPriority w:val="10"/>
    <w:pPr>
      <w:pBdr/>
      <w:spacing/>
      <w:ind/>
    </w:pPr>
    <w:rPr>
      <w:rFonts w:ascii="Arial" w:hAnsi="Arial" w:eastAsia="Arial" w:cs="Arial"/>
      <w:spacing w:val="-10"/>
      <w:sz w:val="56"/>
      <w:szCs w:val="56"/>
    </w:rPr>
  </w:style>
  <w:style w:type="character" w:styleId="162">
    <w:name w:val="Subtitle Char"/>
    <w:basedOn w:val="732"/>
    <w:link w:val="740"/>
    <w:uiPriority w:val="11"/>
    <w:pPr>
      <w:pBdr/>
      <w:spacing/>
      <w:ind/>
    </w:pPr>
    <w:rPr>
      <w:color w:val="595959" w:themeColor="text1" w:themeTint="A6"/>
      <w:spacing w:val="15"/>
      <w:sz w:val="28"/>
      <w:szCs w:val="28"/>
    </w:rPr>
  </w:style>
  <w:style w:type="paragraph" w:styleId="163">
    <w:name w:val="Quote"/>
    <w:basedOn w:val="722"/>
    <w:next w:val="722"/>
    <w:link w:val="164"/>
    <w:uiPriority w:val="29"/>
    <w:qFormat/>
    <w:pPr>
      <w:pBdr/>
      <w:spacing w:before="160"/>
      <w:ind/>
      <w:jc w:val="center"/>
    </w:pPr>
    <w:rPr>
      <w:i/>
      <w:iCs/>
      <w:color w:val="404040" w:themeColor="text1" w:themeTint="BF"/>
    </w:rPr>
  </w:style>
  <w:style w:type="character" w:styleId="164">
    <w:name w:val="Quote Char"/>
    <w:basedOn w:val="732"/>
    <w:link w:val="163"/>
    <w:uiPriority w:val="29"/>
    <w:pPr>
      <w:pBdr/>
      <w:spacing/>
      <w:ind/>
    </w:pPr>
    <w:rPr>
      <w:i/>
      <w:iCs/>
      <w:color w:val="404040" w:themeColor="text1" w:themeTint="BF"/>
    </w:rPr>
  </w:style>
  <w:style w:type="paragraph" w:styleId="165">
    <w:name w:val="List Paragraph"/>
    <w:basedOn w:val="722"/>
    <w:uiPriority w:val="34"/>
    <w:qFormat/>
    <w:pPr>
      <w:pBdr/>
      <w:spacing/>
      <w:ind w:left="720"/>
      <w:contextualSpacing w:val="true"/>
    </w:pPr>
  </w:style>
  <w:style w:type="character" w:styleId="166">
    <w:name w:val="Intense Emphasis"/>
    <w:basedOn w:val="732"/>
    <w:uiPriority w:val="21"/>
    <w:qFormat/>
    <w:pPr>
      <w:pBdr/>
      <w:spacing/>
      <w:ind/>
    </w:pPr>
    <w:rPr>
      <w:i/>
      <w:iCs/>
      <w:color w:val="0f4761" w:themeColor="accent1" w:themeShade="BF"/>
    </w:rPr>
  </w:style>
  <w:style w:type="paragraph" w:styleId="167">
    <w:name w:val="Intense Quote"/>
    <w:basedOn w:val="722"/>
    <w:next w:val="72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2"/>
    <w:link w:val="167"/>
    <w:uiPriority w:val="30"/>
    <w:pPr>
      <w:pBdr/>
      <w:spacing/>
      <w:ind/>
    </w:pPr>
    <w:rPr>
      <w:i/>
      <w:iCs/>
      <w:color w:val="0f4761" w:themeColor="accent1" w:themeShade="BF"/>
    </w:rPr>
  </w:style>
  <w:style w:type="character" w:styleId="169">
    <w:name w:val="Intense Reference"/>
    <w:basedOn w:val="732"/>
    <w:uiPriority w:val="32"/>
    <w:qFormat/>
    <w:pPr>
      <w:pBdr/>
      <w:spacing/>
      <w:ind/>
    </w:pPr>
    <w:rPr>
      <w:b/>
      <w:bCs/>
      <w:smallCaps/>
      <w:color w:val="0f4761" w:themeColor="accent1" w:themeShade="BF"/>
      <w:spacing w:val="5"/>
    </w:rPr>
  </w:style>
  <w:style w:type="paragraph" w:styleId="170">
    <w:name w:val="No Spacing"/>
    <w:basedOn w:val="722"/>
    <w:uiPriority w:val="1"/>
    <w:qFormat/>
    <w:pPr>
      <w:pBdr/>
      <w:spacing w:after="0" w:line="240" w:lineRule="auto"/>
      <w:ind/>
    </w:pPr>
  </w:style>
  <w:style w:type="character" w:styleId="171">
    <w:name w:val="Subtle Emphasis"/>
    <w:basedOn w:val="732"/>
    <w:uiPriority w:val="19"/>
    <w:qFormat/>
    <w:pPr>
      <w:pBdr/>
      <w:spacing/>
      <w:ind/>
    </w:pPr>
    <w:rPr>
      <w:i/>
      <w:iCs/>
      <w:color w:val="404040" w:themeColor="text1" w:themeTint="BF"/>
    </w:rPr>
  </w:style>
  <w:style w:type="character" w:styleId="172">
    <w:name w:val="Emphasis"/>
    <w:basedOn w:val="732"/>
    <w:uiPriority w:val="20"/>
    <w:qFormat/>
    <w:pPr>
      <w:pBdr/>
      <w:spacing/>
      <w:ind/>
    </w:pPr>
    <w:rPr>
      <w:i/>
      <w:iCs/>
    </w:rPr>
  </w:style>
  <w:style w:type="character" w:styleId="173">
    <w:name w:val="Strong"/>
    <w:basedOn w:val="732"/>
    <w:uiPriority w:val="22"/>
    <w:qFormat/>
    <w:pPr>
      <w:pBdr/>
      <w:spacing/>
      <w:ind/>
    </w:pPr>
    <w:rPr>
      <w:b/>
      <w:bCs/>
    </w:rPr>
  </w:style>
  <w:style w:type="character" w:styleId="174">
    <w:name w:val="Subtle Reference"/>
    <w:basedOn w:val="732"/>
    <w:uiPriority w:val="31"/>
    <w:qFormat/>
    <w:pPr>
      <w:pBdr/>
      <w:spacing/>
      <w:ind/>
    </w:pPr>
    <w:rPr>
      <w:smallCaps/>
      <w:color w:val="5a5a5a" w:themeColor="text1" w:themeTint="A5"/>
    </w:rPr>
  </w:style>
  <w:style w:type="character" w:styleId="175">
    <w:name w:val="Book Title"/>
    <w:basedOn w:val="732"/>
    <w:uiPriority w:val="33"/>
    <w:qFormat/>
    <w:pPr>
      <w:pBdr/>
      <w:spacing/>
      <w:ind/>
    </w:pPr>
    <w:rPr>
      <w:b/>
      <w:bCs/>
      <w:i/>
      <w:iCs/>
      <w:spacing w:val="5"/>
    </w:rPr>
  </w:style>
  <w:style w:type="paragraph" w:styleId="176">
    <w:name w:val="Header"/>
    <w:basedOn w:val="722"/>
    <w:link w:val="177"/>
    <w:uiPriority w:val="99"/>
    <w:unhideWhenUsed/>
    <w:pPr>
      <w:pBdr/>
      <w:tabs>
        <w:tab w:val="center" w:leader="none" w:pos="4844"/>
        <w:tab w:val="right" w:leader="none" w:pos="9689"/>
      </w:tabs>
      <w:spacing w:after="0" w:line="240" w:lineRule="auto"/>
      <w:ind/>
    </w:pPr>
  </w:style>
  <w:style w:type="character" w:styleId="177">
    <w:name w:val="Header Char"/>
    <w:basedOn w:val="732"/>
    <w:link w:val="176"/>
    <w:uiPriority w:val="99"/>
    <w:pPr>
      <w:pBdr/>
      <w:spacing/>
      <w:ind/>
    </w:pPr>
  </w:style>
  <w:style w:type="paragraph" w:styleId="178">
    <w:name w:val="Footer"/>
    <w:basedOn w:val="722"/>
    <w:link w:val="179"/>
    <w:uiPriority w:val="99"/>
    <w:unhideWhenUsed/>
    <w:pPr>
      <w:pBdr/>
      <w:tabs>
        <w:tab w:val="center" w:leader="none" w:pos="4844"/>
        <w:tab w:val="right" w:leader="none" w:pos="9689"/>
      </w:tabs>
      <w:spacing w:after="0" w:line="240" w:lineRule="auto"/>
      <w:ind/>
    </w:pPr>
  </w:style>
  <w:style w:type="character" w:styleId="179">
    <w:name w:val="Footer Char"/>
    <w:basedOn w:val="732"/>
    <w:link w:val="178"/>
    <w:uiPriority w:val="99"/>
    <w:pPr>
      <w:pBdr/>
      <w:spacing/>
      <w:ind/>
    </w:pPr>
  </w:style>
  <w:style w:type="character" w:styleId="182">
    <w:name w:val="Footnote Text Char"/>
    <w:basedOn w:val="732"/>
    <w:link w:val="757"/>
    <w:uiPriority w:val="99"/>
    <w:semiHidden/>
    <w:pPr>
      <w:pBdr/>
      <w:spacing/>
      <w:ind/>
    </w:pPr>
    <w:rPr>
      <w:sz w:val="20"/>
      <w:szCs w:val="20"/>
    </w:rPr>
  </w:style>
  <w:style w:type="paragraph" w:styleId="184">
    <w:name w:val="endnote text"/>
    <w:basedOn w:val="722"/>
    <w:link w:val="185"/>
    <w:uiPriority w:val="99"/>
    <w:semiHidden/>
    <w:unhideWhenUsed/>
    <w:pPr>
      <w:pBdr/>
      <w:spacing w:after="0" w:line="240" w:lineRule="auto"/>
      <w:ind/>
    </w:pPr>
    <w:rPr>
      <w:sz w:val="20"/>
      <w:szCs w:val="20"/>
    </w:rPr>
  </w:style>
  <w:style w:type="character" w:styleId="185">
    <w:name w:val="Endnote Text Char"/>
    <w:basedOn w:val="732"/>
    <w:link w:val="184"/>
    <w:uiPriority w:val="99"/>
    <w:semiHidden/>
    <w:pPr>
      <w:pBdr/>
      <w:spacing/>
      <w:ind/>
    </w:pPr>
    <w:rPr>
      <w:sz w:val="20"/>
      <w:szCs w:val="20"/>
    </w:rPr>
  </w:style>
  <w:style w:type="character" w:styleId="186">
    <w:name w:val="endnote reference"/>
    <w:basedOn w:val="732"/>
    <w:uiPriority w:val="99"/>
    <w:semiHidden/>
    <w:unhideWhenUsed/>
    <w:pPr>
      <w:pBdr/>
      <w:spacing/>
      <w:ind/>
    </w:pPr>
    <w:rPr>
      <w:vertAlign w:val="superscript"/>
    </w:rPr>
  </w:style>
  <w:style w:type="character" w:styleId="188">
    <w:name w:val="FollowedHyperlink"/>
    <w:basedOn w:val="732"/>
    <w:uiPriority w:val="99"/>
    <w:semiHidden/>
    <w:unhideWhenUsed/>
    <w:pPr>
      <w:pBdr/>
      <w:spacing/>
      <w:ind/>
    </w:pPr>
    <w:rPr>
      <w:color w:val="954f72" w:themeColor="followedHyperlink"/>
      <w:u w:val="single"/>
    </w:rPr>
  </w:style>
  <w:style w:type="paragraph" w:styleId="189">
    <w:name w:val="toc 1"/>
    <w:basedOn w:val="722"/>
    <w:next w:val="722"/>
    <w:uiPriority w:val="39"/>
    <w:unhideWhenUsed/>
    <w:pPr>
      <w:pBdr/>
      <w:spacing w:after="100"/>
      <w:ind/>
    </w:pPr>
  </w:style>
  <w:style w:type="paragraph" w:styleId="190">
    <w:name w:val="toc 2"/>
    <w:basedOn w:val="722"/>
    <w:next w:val="722"/>
    <w:uiPriority w:val="39"/>
    <w:unhideWhenUsed/>
    <w:pPr>
      <w:pBdr/>
      <w:spacing w:after="100"/>
      <w:ind w:left="220"/>
    </w:pPr>
  </w:style>
  <w:style w:type="paragraph" w:styleId="191">
    <w:name w:val="toc 3"/>
    <w:basedOn w:val="722"/>
    <w:next w:val="722"/>
    <w:uiPriority w:val="39"/>
    <w:unhideWhenUsed/>
    <w:pPr>
      <w:pBdr/>
      <w:spacing w:after="100"/>
      <w:ind w:left="440"/>
    </w:pPr>
  </w:style>
  <w:style w:type="paragraph" w:styleId="192">
    <w:name w:val="toc 4"/>
    <w:basedOn w:val="722"/>
    <w:next w:val="722"/>
    <w:uiPriority w:val="39"/>
    <w:unhideWhenUsed/>
    <w:pPr>
      <w:pBdr/>
      <w:spacing w:after="100"/>
      <w:ind w:left="660"/>
    </w:pPr>
  </w:style>
  <w:style w:type="paragraph" w:styleId="193">
    <w:name w:val="toc 5"/>
    <w:basedOn w:val="722"/>
    <w:next w:val="722"/>
    <w:uiPriority w:val="39"/>
    <w:unhideWhenUsed/>
    <w:pPr>
      <w:pBdr/>
      <w:spacing w:after="100"/>
      <w:ind w:left="880"/>
    </w:pPr>
  </w:style>
  <w:style w:type="paragraph" w:styleId="194">
    <w:name w:val="toc 6"/>
    <w:basedOn w:val="722"/>
    <w:next w:val="722"/>
    <w:uiPriority w:val="39"/>
    <w:unhideWhenUsed/>
    <w:pPr>
      <w:pBdr/>
      <w:spacing w:after="100"/>
      <w:ind w:left="1100"/>
    </w:pPr>
  </w:style>
  <w:style w:type="paragraph" w:styleId="195">
    <w:name w:val="toc 7"/>
    <w:basedOn w:val="722"/>
    <w:next w:val="722"/>
    <w:uiPriority w:val="39"/>
    <w:unhideWhenUsed/>
    <w:pPr>
      <w:pBdr/>
      <w:spacing w:after="100"/>
      <w:ind w:left="1320"/>
    </w:pPr>
  </w:style>
  <w:style w:type="paragraph" w:styleId="196">
    <w:name w:val="toc 8"/>
    <w:basedOn w:val="722"/>
    <w:next w:val="722"/>
    <w:uiPriority w:val="39"/>
    <w:unhideWhenUsed/>
    <w:pPr>
      <w:pBdr/>
      <w:spacing w:after="100"/>
      <w:ind w:left="1540"/>
    </w:pPr>
  </w:style>
  <w:style w:type="paragraph" w:styleId="197">
    <w:name w:val="toc 9"/>
    <w:basedOn w:val="722"/>
    <w:next w:val="722"/>
    <w:uiPriority w:val="39"/>
    <w:unhideWhenUsed/>
    <w:pPr>
      <w:pBdr/>
      <w:spacing w:after="100"/>
      <w:ind w:left="1760"/>
    </w:pPr>
  </w:style>
  <w:style w:type="character" w:styleId="198">
    <w:name w:val="Placeholder Text"/>
    <w:basedOn w:val="732"/>
    <w:uiPriority w:val="99"/>
    <w:semiHidden/>
    <w:pPr>
      <w:pBdr/>
      <w:spacing/>
      <w:ind/>
    </w:pPr>
    <w:rPr>
      <w:color w:val="666666"/>
    </w:rPr>
  </w:style>
  <w:style w:type="paragraph" w:styleId="209">
    <w:name w:val="table of figures"/>
    <w:basedOn w:val="722"/>
    <w:next w:val="722"/>
    <w:uiPriority w:val="99"/>
    <w:unhideWhenUsed/>
    <w:pPr>
      <w:pBdr/>
      <w:spacing w:after="0" w:afterAutospacing="0"/>
      <w:ind/>
    </w:pPr>
  </w:style>
  <w:style w:type="paragraph" w:styleId="722" w:default="1">
    <w:name w:val="Normal"/>
    <w:qFormat/>
    <w:pPr>
      <w:pBdr/>
      <w:spacing/>
      <w:ind/>
    </w:pPr>
  </w:style>
  <w:style w:type="paragraph" w:styleId="723">
    <w:name w:val="Heading 1"/>
    <w:basedOn w:val="722"/>
    <w:next w:val="735"/>
    <w:link w:val="74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4">
    <w:name w:val="Heading 2"/>
    <w:basedOn w:val="722"/>
    <w:next w:val="735"/>
    <w:link w:val="748"/>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25">
    <w:name w:val="Heading 3"/>
    <w:basedOn w:val="722"/>
    <w:next w:val="735"/>
    <w:link w:val="74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26">
    <w:name w:val="Heading 4"/>
    <w:basedOn w:val="722"/>
    <w:next w:val="735"/>
    <w:link w:val="75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7">
    <w:name w:val="Heading 5"/>
    <w:basedOn w:val="722"/>
    <w:next w:val="735"/>
    <w:link w:val="75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8">
    <w:name w:val="Heading 6"/>
    <w:basedOn w:val="722"/>
    <w:next w:val="735"/>
    <w:link w:val="75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9">
    <w:name w:val="Heading 7"/>
    <w:basedOn w:val="722"/>
    <w:next w:val="735"/>
    <w:link w:val="75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0">
    <w:name w:val="Heading 8"/>
    <w:basedOn w:val="722"/>
    <w:next w:val="735"/>
    <w:link w:val="75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1">
    <w:name w:val="Heading 9"/>
    <w:basedOn w:val="722"/>
    <w:next w:val="735"/>
    <w:link w:val="75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2" w:default="1">
    <w:name w:val="Default Paragraph Font"/>
    <w:uiPriority w:val="1"/>
    <w:semiHidden/>
    <w:unhideWhenUsed/>
    <w:pPr>
      <w:pBdr/>
      <w:spacing/>
      <w:ind/>
    </w:pPr>
  </w:style>
  <w:style w:type="table" w:styleId="7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paragraph" w:styleId="735">
    <w:name w:val="Body Text"/>
    <w:basedOn w:val="722"/>
    <w:qFormat/>
    <w:pPr>
      <w:pBdr/>
      <w:spacing w:after="180" w:before="180"/>
      <w:ind/>
    </w:pPr>
  </w:style>
  <w:style w:type="paragraph" w:styleId="736" w:customStyle="1">
    <w:name w:val="First Paragraph"/>
    <w:basedOn w:val="735"/>
    <w:next w:val="735"/>
    <w:qFormat/>
    <w:pPr>
      <w:pBdr/>
      <w:spacing/>
      <w:ind/>
    </w:pPr>
  </w:style>
  <w:style w:type="paragraph" w:styleId="737" w:customStyle="1">
    <w:name w:val="Compact"/>
    <w:basedOn w:val="735"/>
    <w:qFormat/>
    <w:pPr>
      <w:pBdr/>
      <w:spacing w:after="36" w:before="36"/>
      <w:ind/>
    </w:pPr>
    <w:rPr>
      <w:sz w:val="20"/>
    </w:rPr>
  </w:style>
  <w:style w:type="paragraph" w:styleId="738">
    <w:name w:val="Title"/>
    <w:basedOn w:val="722"/>
    <w:next w:val="735"/>
    <w:link w:val="739"/>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739" w:customStyle="1">
    <w:name w:val="Título Char"/>
    <w:basedOn w:val="732"/>
    <w:link w:val="738"/>
    <w:uiPriority w:val="10"/>
    <w:pPr>
      <w:pBdr/>
      <w:spacing/>
      <w:ind/>
    </w:pPr>
    <w:rPr>
      <w:rFonts w:asciiTheme="majorHAnsi" w:hAnsiTheme="majorHAnsi" w:eastAsiaTheme="majorEastAsia" w:cstheme="majorBidi"/>
      <w:sz w:val="56"/>
      <w:szCs w:val="56"/>
    </w:rPr>
  </w:style>
  <w:style w:type="paragraph" w:styleId="740">
    <w:name w:val="Subtitle"/>
    <w:basedOn w:val="738"/>
    <w:next w:val="735"/>
    <w:link w:val="741"/>
    <w:uiPriority w:val="11"/>
    <w:qFormat/>
    <w:pPr>
      <w:numPr>
        <w:ilvl w:val="1"/>
      </w:numPr>
      <w:pBdr/>
      <w:spacing/>
      <w:ind/>
    </w:pPr>
    <w:rPr>
      <w:spacing w:val="15"/>
      <w:sz w:val="28"/>
      <w:szCs w:val="28"/>
    </w:rPr>
  </w:style>
  <w:style w:type="character" w:styleId="741" w:customStyle="1">
    <w:name w:val="Subtítulo Char"/>
    <w:basedOn w:val="732"/>
    <w:link w:val="740"/>
    <w:uiPriority w:val="11"/>
    <w:pPr>
      <w:pBdr/>
      <w:spacing/>
      <w:ind/>
    </w:pPr>
    <w:rPr>
      <w:rFonts w:eastAsiaTheme="majorEastAsia" w:cstheme="majorBidi"/>
      <w:color w:val="595959" w:themeColor="text1" w:themeTint="A6"/>
      <w:spacing w:val="15"/>
      <w:sz w:val="28"/>
      <w:szCs w:val="28"/>
    </w:rPr>
  </w:style>
  <w:style w:type="paragraph" w:styleId="742" w:customStyle="1">
    <w:name w:val="Author"/>
    <w:basedOn w:val="738"/>
    <w:next w:val="735"/>
    <w:qFormat/>
    <w:pPr>
      <w:keepNext w:val="true"/>
      <w:keepLines w:val="true"/>
      <w:pBdr/>
      <w:spacing/>
      <w:ind/>
    </w:pPr>
    <w:rPr>
      <w:sz w:val="24"/>
      <w:szCs w:val="24"/>
    </w:rPr>
  </w:style>
  <w:style w:type="paragraph" w:styleId="743">
    <w:name w:val="Date"/>
    <w:basedOn w:val="738"/>
    <w:next w:val="735"/>
    <w:qFormat/>
    <w:pPr>
      <w:keepNext w:val="true"/>
      <w:keepLines w:val="true"/>
      <w:pBdr/>
      <w:spacing/>
      <w:ind/>
    </w:pPr>
    <w:rPr>
      <w:sz w:val="24"/>
      <w:szCs w:val="24"/>
    </w:rPr>
  </w:style>
  <w:style w:type="paragraph" w:styleId="744" w:customStyle="1">
    <w:name w:val="Abstract Title"/>
    <w:basedOn w:val="722"/>
    <w:next w:val="745"/>
    <w:qFormat/>
    <w:pPr>
      <w:keepNext w:val="true"/>
      <w:keepLines w:val="true"/>
      <w:pBdr/>
      <w:spacing w:after="0" w:before="300"/>
      <w:ind/>
      <w:jc w:val="center"/>
    </w:pPr>
    <w:rPr>
      <w:b/>
      <w:sz w:val="20"/>
      <w:szCs w:val="20"/>
    </w:rPr>
  </w:style>
  <w:style w:type="paragraph" w:styleId="745" w:customStyle="1">
    <w:name w:val="Abstract"/>
    <w:basedOn w:val="722"/>
    <w:next w:val="735"/>
    <w:qFormat/>
    <w:pPr>
      <w:keepNext w:val="true"/>
      <w:keepLines w:val="true"/>
      <w:pBdr/>
      <w:spacing w:after="300" w:before="100"/>
      <w:ind/>
    </w:pPr>
    <w:rPr>
      <w:sz w:val="20"/>
      <w:szCs w:val="20"/>
    </w:rPr>
  </w:style>
  <w:style w:type="paragraph" w:styleId="746">
    <w:name w:val="Bibliography"/>
    <w:basedOn w:val="722"/>
    <w:qFormat/>
    <w:pPr>
      <w:pBdr/>
      <w:spacing/>
      <w:ind/>
    </w:pPr>
  </w:style>
  <w:style w:type="character" w:styleId="747" w:customStyle="1">
    <w:name w:val="Título 1 Char"/>
    <w:basedOn w:val="732"/>
    <w:link w:val="723"/>
    <w:uiPriority w:val="9"/>
    <w:pPr>
      <w:pBdr/>
      <w:spacing/>
      <w:ind/>
    </w:pPr>
    <w:rPr>
      <w:rFonts w:asciiTheme="majorHAnsi" w:hAnsiTheme="majorHAnsi" w:eastAsiaTheme="majorEastAsia" w:cstheme="majorBidi"/>
      <w:color w:val="0f4761" w:themeColor="accent1" w:themeShade="BF"/>
      <w:sz w:val="40"/>
      <w:szCs w:val="40"/>
    </w:rPr>
  </w:style>
  <w:style w:type="character" w:styleId="748" w:customStyle="1">
    <w:name w:val="Título 2 Char"/>
    <w:basedOn w:val="732"/>
    <w:link w:val="72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49" w:customStyle="1">
    <w:name w:val="Título 3 Char"/>
    <w:basedOn w:val="732"/>
    <w:link w:val="725"/>
    <w:uiPriority w:val="9"/>
    <w:semiHidden/>
    <w:pPr>
      <w:pBdr/>
      <w:spacing/>
      <w:ind/>
    </w:pPr>
    <w:rPr>
      <w:rFonts w:eastAsiaTheme="majorEastAsia" w:cstheme="majorBidi"/>
      <w:color w:val="0f4761" w:themeColor="accent1" w:themeShade="BF"/>
      <w:sz w:val="28"/>
      <w:szCs w:val="28"/>
    </w:rPr>
  </w:style>
  <w:style w:type="character" w:styleId="750" w:customStyle="1">
    <w:name w:val="Título 4 Char"/>
    <w:basedOn w:val="732"/>
    <w:link w:val="726"/>
    <w:uiPriority w:val="9"/>
    <w:semiHidden/>
    <w:pPr>
      <w:pBdr/>
      <w:spacing/>
      <w:ind/>
    </w:pPr>
    <w:rPr>
      <w:rFonts w:eastAsiaTheme="majorEastAsia" w:cstheme="majorBidi"/>
      <w:i/>
      <w:iCs/>
      <w:color w:val="0f4761" w:themeColor="accent1" w:themeShade="BF"/>
    </w:rPr>
  </w:style>
  <w:style w:type="character" w:styleId="751" w:customStyle="1">
    <w:name w:val="Título 5 Char"/>
    <w:basedOn w:val="732"/>
    <w:link w:val="727"/>
    <w:uiPriority w:val="9"/>
    <w:semiHidden/>
    <w:pPr>
      <w:pBdr/>
      <w:spacing/>
      <w:ind/>
    </w:pPr>
    <w:rPr>
      <w:rFonts w:eastAsiaTheme="majorEastAsia" w:cstheme="majorBidi"/>
      <w:color w:val="0f4761" w:themeColor="accent1" w:themeShade="BF"/>
    </w:rPr>
  </w:style>
  <w:style w:type="character" w:styleId="752" w:customStyle="1">
    <w:name w:val="Título 6 Char"/>
    <w:basedOn w:val="732"/>
    <w:link w:val="728"/>
    <w:uiPriority w:val="9"/>
    <w:semiHidden/>
    <w:pPr>
      <w:pBdr/>
      <w:spacing/>
      <w:ind/>
    </w:pPr>
    <w:rPr>
      <w:rFonts w:eastAsiaTheme="majorEastAsia" w:cstheme="majorBidi"/>
      <w:i/>
      <w:iCs/>
      <w:color w:val="595959" w:themeColor="text1" w:themeTint="A6"/>
    </w:rPr>
  </w:style>
  <w:style w:type="character" w:styleId="753" w:customStyle="1">
    <w:name w:val="Título 7 Char"/>
    <w:basedOn w:val="732"/>
    <w:link w:val="729"/>
    <w:uiPriority w:val="9"/>
    <w:semiHidden/>
    <w:pPr>
      <w:pBdr/>
      <w:spacing/>
      <w:ind/>
    </w:pPr>
    <w:rPr>
      <w:rFonts w:eastAsiaTheme="majorEastAsia" w:cstheme="majorBidi"/>
      <w:color w:val="595959" w:themeColor="text1" w:themeTint="A6"/>
    </w:rPr>
  </w:style>
  <w:style w:type="character" w:styleId="754" w:customStyle="1">
    <w:name w:val="Título 8 Char"/>
    <w:basedOn w:val="732"/>
    <w:link w:val="730"/>
    <w:uiPriority w:val="9"/>
    <w:semiHidden/>
    <w:pPr>
      <w:pBdr/>
      <w:spacing/>
      <w:ind/>
    </w:pPr>
    <w:rPr>
      <w:rFonts w:eastAsiaTheme="majorEastAsia" w:cstheme="majorBidi"/>
      <w:i/>
      <w:iCs/>
      <w:color w:val="272727" w:themeColor="text1" w:themeTint="D8"/>
    </w:rPr>
  </w:style>
  <w:style w:type="character" w:styleId="755" w:customStyle="1">
    <w:name w:val="Título 9 Char"/>
    <w:basedOn w:val="732"/>
    <w:link w:val="731"/>
    <w:uiPriority w:val="9"/>
    <w:semiHidden/>
    <w:pPr>
      <w:pBdr/>
      <w:spacing/>
      <w:ind/>
    </w:pPr>
    <w:rPr>
      <w:rFonts w:eastAsiaTheme="majorEastAsia" w:cstheme="majorBidi"/>
      <w:color w:val="272727" w:themeColor="text1" w:themeTint="D8"/>
    </w:rPr>
  </w:style>
  <w:style w:type="paragraph" w:styleId="756">
    <w:name w:val="Block Text"/>
    <w:basedOn w:val="735"/>
    <w:next w:val="735"/>
    <w:uiPriority w:val="9"/>
    <w:unhideWhenUsed/>
    <w:qFormat/>
    <w:pPr>
      <w:pBdr/>
      <w:spacing w:after="100" w:before="100"/>
      <w:ind w:right="480" w:left="480"/>
    </w:pPr>
  </w:style>
  <w:style w:type="paragraph" w:styleId="757">
    <w:name w:val="footnote text"/>
    <w:basedOn w:val="722"/>
    <w:uiPriority w:val="9"/>
    <w:unhideWhenUsed/>
    <w:qFormat/>
    <w:pPr>
      <w:pBdr/>
      <w:spacing/>
      <w:ind/>
    </w:pPr>
  </w:style>
  <w:style w:type="paragraph" w:styleId="758" w:customStyle="1">
    <w:name w:val="Footnote Block Text"/>
    <w:basedOn w:val="757"/>
    <w:next w:val="757"/>
    <w:uiPriority w:val="9"/>
    <w:unhideWhenUsed/>
    <w:qFormat/>
    <w:pPr>
      <w:pBdr/>
      <w:spacing w:after="100" w:before="100"/>
      <w:ind w:right="480" w:left="480"/>
    </w:pPr>
  </w:style>
  <w:style w:type="table" w:styleId="759"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0" w:customStyle="1">
    <w:name w:val="Definition Term"/>
    <w:basedOn w:val="722"/>
    <w:next w:val="761"/>
    <w:pPr>
      <w:keepNext w:val="true"/>
      <w:keepLines w:val="true"/>
      <w:pBdr/>
      <w:spacing w:after="0"/>
      <w:ind/>
    </w:pPr>
    <w:rPr>
      <w:b/>
    </w:rPr>
  </w:style>
  <w:style w:type="paragraph" w:styleId="761" w:customStyle="1">
    <w:name w:val="Definition"/>
    <w:basedOn w:val="722"/>
    <w:pPr>
      <w:pBdr/>
      <w:spacing/>
      <w:ind/>
    </w:pPr>
  </w:style>
  <w:style w:type="paragraph" w:styleId="762">
    <w:name w:val="Caption"/>
    <w:basedOn w:val="722"/>
    <w:link w:val="767"/>
    <w:pPr>
      <w:pBdr/>
      <w:spacing w:after="120"/>
      <w:ind/>
    </w:pPr>
    <w:rPr>
      <w:i/>
    </w:rPr>
  </w:style>
  <w:style w:type="paragraph" w:styleId="763" w:customStyle="1">
    <w:name w:val="Table Caption"/>
    <w:basedOn w:val="762"/>
    <w:pPr>
      <w:keepNext w:val="true"/>
      <w:pBdr/>
      <w:spacing/>
      <w:ind/>
    </w:pPr>
  </w:style>
  <w:style w:type="paragraph" w:styleId="764" w:customStyle="1">
    <w:name w:val="Image Caption"/>
    <w:basedOn w:val="762"/>
    <w:pPr>
      <w:pBdr/>
      <w:spacing/>
      <w:ind/>
    </w:pPr>
  </w:style>
  <w:style w:type="paragraph" w:styleId="765" w:customStyle="1">
    <w:name w:val="Figure"/>
    <w:basedOn w:val="722"/>
    <w:pPr>
      <w:pBdr/>
      <w:spacing/>
      <w:ind/>
    </w:pPr>
  </w:style>
  <w:style w:type="paragraph" w:styleId="766" w:customStyle="1">
    <w:name w:val="Captioned Figure"/>
    <w:basedOn w:val="765"/>
    <w:pPr>
      <w:keepNext w:val="true"/>
      <w:pBdr/>
      <w:spacing/>
      <w:ind/>
    </w:pPr>
  </w:style>
  <w:style w:type="character" w:styleId="767" w:customStyle="1">
    <w:name w:val="Legenda Char"/>
    <w:basedOn w:val="732"/>
    <w:link w:val="762"/>
    <w:pPr>
      <w:pBdr/>
      <w:spacing/>
      <w:ind/>
    </w:pPr>
  </w:style>
  <w:style w:type="character" w:styleId="768" w:customStyle="1">
    <w:name w:val="Verbatim Char"/>
    <w:basedOn w:val="767"/>
    <w:pPr>
      <w:pBdr/>
      <w:spacing/>
      <w:ind/>
    </w:pPr>
    <w:rPr>
      <w:rFonts w:ascii="Consolas" w:hAnsi="Consolas"/>
      <w:sz w:val="20"/>
    </w:rPr>
  </w:style>
  <w:style w:type="character" w:styleId="769" w:customStyle="1">
    <w:name w:val="Section Number"/>
    <w:basedOn w:val="767"/>
    <w:pPr>
      <w:pBdr/>
      <w:spacing/>
      <w:ind/>
    </w:pPr>
  </w:style>
  <w:style w:type="character" w:styleId="770">
    <w:name w:val="footnote reference"/>
    <w:basedOn w:val="767"/>
    <w:pPr>
      <w:pBdr/>
      <w:spacing/>
      <w:ind/>
    </w:pPr>
    <w:rPr>
      <w:vertAlign w:val="superscript"/>
    </w:rPr>
  </w:style>
  <w:style w:type="character" w:styleId="771">
    <w:name w:val="Hyperlink"/>
    <w:basedOn w:val="767"/>
    <w:pPr>
      <w:pBdr/>
      <w:spacing/>
      <w:ind/>
    </w:pPr>
    <w:rPr>
      <w:color w:val="156082" w:themeColor="accent1"/>
    </w:rPr>
  </w:style>
  <w:style w:type="paragraph" w:styleId="772">
    <w:name w:val="TOC Heading"/>
    <w:basedOn w:val="723"/>
    <w:next w:val="735"/>
    <w:uiPriority w:val="39"/>
    <w:unhideWhenUsed/>
    <w:qFormat/>
    <w:pPr>
      <w:pBdr/>
      <w:spacing w:before="240" w:line="259" w:lineRule="auto"/>
      <w:ind/>
      <w:outlineLvl w:val="9"/>
    </w:pPr>
  </w:style>
  <w:style w:type="paragraph" w:styleId="773" w:customStyle="1">
    <w:name w:val="Source Code"/>
    <w:basedOn w:val="722"/>
    <w:link w:val="768"/>
    <w:pPr>
      <w:pBdr/>
      <w:shd w:val="clear" w:color="auto" w:fill="f1f3f5"/>
      <w:spacing/>
      <w:ind/>
    </w:pPr>
  </w:style>
  <w:style w:type="character" w:styleId="774" w:customStyle="1">
    <w:name w:val="KeywordTok"/>
    <w:basedOn w:val="768"/>
    <w:pPr>
      <w:pBdr/>
      <w:spacing/>
      <w:ind/>
    </w:pPr>
    <w:rPr>
      <w:b/>
      <w:color w:val="003b4f"/>
      <w:shd w:val="clear" w:color="auto" w:fill="f1f3f5"/>
    </w:rPr>
  </w:style>
  <w:style w:type="character" w:styleId="775" w:customStyle="1">
    <w:name w:val="DataTypeTok"/>
    <w:basedOn w:val="768"/>
    <w:pPr>
      <w:pBdr/>
      <w:spacing/>
      <w:ind/>
    </w:pPr>
    <w:rPr>
      <w:color w:val="ad0000"/>
      <w:shd w:val="clear" w:color="auto" w:fill="f1f3f5"/>
    </w:rPr>
  </w:style>
  <w:style w:type="character" w:styleId="776" w:customStyle="1">
    <w:name w:val="DecValTok"/>
    <w:basedOn w:val="768"/>
    <w:pPr>
      <w:pBdr/>
      <w:spacing/>
      <w:ind/>
    </w:pPr>
    <w:rPr>
      <w:color w:val="ad0000"/>
      <w:shd w:val="clear" w:color="auto" w:fill="f1f3f5"/>
    </w:rPr>
  </w:style>
  <w:style w:type="character" w:styleId="777" w:customStyle="1">
    <w:name w:val="BaseNTok"/>
    <w:basedOn w:val="768"/>
    <w:pPr>
      <w:pBdr/>
      <w:spacing/>
      <w:ind/>
    </w:pPr>
    <w:rPr>
      <w:color w:val="ad0000"/>
      <w:shd w:val="clear" w:color="auto" w:fill="f1f3f5"/>
    </w:rPr>
  </w:style>
  <w:style w:type="character" w:styleId="778" w:customStyle="1">
    <w:name w:val="FloatTok"/>
    <w:basedOn w:val="768"/>
    <w:pPr>
      <w:pBdr/>
      <w:spacing/>
      <w:ind/>
    </w:pPr>
    <w:rPr>
      <w:color w:val="ad0000"/>
      <w:shd w:val="clear" w:color="auto" w:fill="f1f3f5"/>
    </w:rPr>
  </w:style>
  <w:style w:type="character" w:styleId="779" w:customStyle="1">
    <w:name w:val="ConstantTok"/>
    <w:basedOn w:val="768"/>
    <w:pPr>
      <w:pBdr/>
      <w:spacing/>
      <w:ind/>
    </w:pPr>
    <w:rPr>
      <w:color w:val="8f5902"/>
      <w:shd w:val="clear" w:color="auto" w:fill="f1f3f5"/>
    </w:rPr>
  </w:style>
  <w:style w:type="character" w:styleId="780" w:customStyle="1">
    <w:name w:val="CharTok"/>
    <w:basedOn w:val="768"/>
    <w:pPr>
      <w:pBdr/>
      <w:spacing/>
      <w:ind/>
    </w:pPr>
    <w:rPr>
      <w:color w:val="20794d"/>
      <w:shd w:val="clear" w:color="auto" w:fill="f1f3f5"/>
    </w:rPr>
  </w:style>
  <w:style w:type="character" w:styleId="781" w:customStyle="1">
    <w:name w:val="SpecialCharTok"/>
    <w:basedOn w:val="768"/>
    <w:pPr>
      <w:pBdr/>
      <w:spacing/>
      <w:ind/>
    </w:pPr>
    <w:rPr>
      <w:color w:val="5e5e5e"/>
      <w:shd w:val="clear" w:color="auto" w:fill="f1f3f5"/>
    </w:rPr>
  </w:style>
  <w:style w:type="character" w:styleId="782" w:customStyle="1">
    <w:name w:val="StringTok"/>
    <w:basedOn w:val="768"/>
    <w:pPr>
      <w:pBdr/>
      <w:spacing/>
      <w:ind/>
    </w:pPr>
    <w:rPr>
      <w:color w:val="20794d"/>
      <w:shd w:val="clear" w:color="auto" w:fill="f1f3f5"/>
    </w:rPr>
  </w:style>
  <w:style w:type="character" w:styleId="783" w:customStyle="1">
    <w:name w:val="VerbatimStringTok"/>
    <w:basedOn w:val="768"/>
    <w:pPr>
      <w:pBdr/>
      <w:spacing/>
      <w:ind/>
    </w:pPr>
    <w:rPr>
      <w:color w:val="20794d"/>
      <w:shd w:val="clear" w:color="auto" w:fill="f1f3f5"/>
    </w:rPr>
  </w:style>
  <w:style w:type="character" w:styleId="784" w:customStyle="1">
    <w:name w:val="SpecialStringTok"/>
    <w:basedOn w:val="768"/>
    <w:pPr>
      <w:pBdr/>
      <w:spacing/>
      <w:ind/>
    </w:pPr>
    <w:rPr>
      <w:color w:val="20794d"/>
      <w:shd w:val="clear" w:color="auto" w:fill="f1f3f5"/>
    </w:rPr>
  </w:style>
  <w:style w:type="character" w:styleId="785" w:customStyle="1">
    <w:name w:val="ImportTok"/>
    <w:basedOn w:val="768"/>
    <w:pPr>
      <w:pBdr/>
      <w:spacing/>
      <w:ind/>
    </w:pPr>
    <w:rPr>
      <w:color w:val="00769e"/>
      <w:shd w:val="clear" w:color="auto" w:fill="f1f3f5"/>
    </w:rPr>
  </w:style>
  <w:style w:type="character" w:styleId="786" w:customStyle="1">
    <w:name w:val="CommentTok"/>
    <w:basedOn w:val="768"/>
    <w:pPr>
      <w:pBdr/>
      <w:spacing/>
      <w:ind/>
    </w:pPr>
    <w:rPr>
      <w:color w:val="5e5e5e"/>
      <w:shd w:val="clear" w:color="auto" w:fill="f1f3f5"/>
    </w:rPr>
  </w:style>
  <w:style w:type="character" w:styleId="787" w:customStyle="1">
    <w:name w:val="DocumentationTok"/>
    <w:basedOn w:val="768"/>
    <w:pPr>
      <w:pBdr/>
      <w:spacing/>
      <w:ind/>
    </w:pPr>
    <w:rPr>
      <w:i/>
      <w:color w:val="5e5e5e"/>
      <w:shd w:val="clear" w:color="auto" w:fill="f1f3f5"/>
    </w:rPr>
  </w:style>
  <w:style w:type="character" w:styleId="788" w:customStyle="1">
    <w:name w:val="AnnotationTok"/>
    <w:basedOn w:val="768"/>
    <w:pPr>
      <w:pBdr/>
      <w:spacing/>
      <w:ind/>
    </w:pPr>
    <w:rPr>
      <w:color w:val="5e5e5e"/>
      <w:shd w:val="clear" w:color="auto" w:fill="f1f3f5"/>
    </w:rPr>
  </w:style>
  <w:style w:type="character" w:styleId="789" w:customStyle="1">
    <w:name w:val="CommentVarTok"/>
    <w:basedOn w:val="768"/>
    <w:pPr>
      <w:pBdr/>
      <w:spacing/>
      <w:ind/>
    </w:pPr>
    <w:rPr>
      <w:i/>
      <w:color w:val="5e5e5e"/>
      <w:shd w:val="clear" w:color="auto" w:fill="f1f3f5"/>
    </w:rPr>
  </w:style>
  <w:style w:type="character" w:styleId="790" w:customStyle="1">
    <w:name w:val="OtherTok"/>
    <w:basedOn w:val="768"/>
    <w:pPr>
      <w:pBdr/>
      <w:spacing/>
      <w:ind/>
    </w:pPr>
    <w:rPr>
      <w:color w:val="003b4f"/>
      <w:shd w:val="clear" w:color="auto" w:fill="f1f3f5"/>
    </w:rPr>
  </w:style>
  <w:style w:type="character" w:styleId="791" w:customStyle="1">
    <w:name w:val="FunctionTok"/>
    <w:basedOn w:val="768"/>
    <w:pPr>
      <w:pBdr/>
      <w:spacing/>
      <w:ind/>
    </w:pPr>
    <w:rPr>
      <w:color w:val="4758ab"/>
      <w:shd w:val="clear" w:color="auto" w:fill="f1f3f5"/>
    </w:rPr>
  </w:style>
  <w:style w:type="character" w:styleId="792" w:customStyle="1">
    <w:name w:val="VariableTok"/>
    <w:basedOn w:val="768"/>
    <w:pPr>
      <w:pBdr/>
      <w:spacing/>
      <w:ind/>
    </w:pPr>
    <w:rPr>
      <w:color w:val="111111"/>
      <w:shd w:val="clear" w:color="auto" w:fill="f1f3f5"/>
    </w:rPr>
  </w:style>
  <w:style w:type="character" w:styleId="793" w:customStyle="1">
    <w:name w:val="ControlFlowTok"/>
    <w:basedOn w:val="768"/>
    <w:pPr>
      <w:pBdr/>
      <w:spacing/>
      <w:ind/>
    </w:pPr>
    <w:rPr>
      <w:b/>
      <w:color w:val="003b4f"/>
      <w:shd w:val="clear" w:color="auto" w:fill="f1f3f5"/>
    </w:rPr>
  </w:style>
  <w:style w:type="character" w:styleId="794" w:customStyle="1">
    <w:name w:val="OperatorTok"/>
    <w:basedOn w:val="768"/>
    <w:pPr>
      <w:pBdr/>
      <w:spacing/>
      <w:ind/>
    </w:pPr>
    <w:rPr>
      <w:color w:val="5e5e5e"/>
      <w:shd w:val="clear" w:color="auto" w:fill="f1f3f5"/>
    </w:rPr>
  </w:style>
  <w:style w:type="character" w:styleId="795" w:customStyle="1">
    <w:name w:val="BuiltInTok"/>
    <w:basedOn w:val="768"/>
    <w:pPr>
      <w:pBdr/>
      <w:spacing/>
      <w:ind/>
    </w:pPr>
    <w:rPr>
      <w:color w:val="003b4f"/>
      <w:shd w:val="clear" w:color="auto" w:fill="f1f3f5"/>
    </w:rPr>
  </w:style>
  <w:style w:type="character" w:styleId="796" w:customStyle="1">
    <w:name w:val="ExtensionTok"/>
    <w:basedOn w:val="768"/>
    <w:pPr>
      <w:pBdr/>
      <w:spacing/>
      <w:ind/>
    </w:pPr>
    <w:rPr>
      <w:color w:val="003b4f"/>
      <w:shd w:val="clear" w:color="auto" w:fill="f1f3f5"/>
    </w:rPr>
  </w:style>
  <w:style w:type="character" w:styleId="797" w:customStyle="1">
    <w:name w:val="PreprocessorTok"/>
    <w:basedOn w:val="768"/>
    <w:pPr>
      <w:pBdr/>
      <w:spacing/>
      <w:ind/>
    </w:pPr>
    <w:rPr>
      <w:color w:val="ad0000"/>
      <w:shd w:val="clear" w:color="auto" w:fill="f1f3f5"/>
    </w:rPr>
  </w:style>
  <w:style w:type="character" w:styleId="798" w:customStyle="1">
    <w:name w:val="AttributeTok"/>
    <w:basedOn w:val="768"/>
    <w:pPr>
      <w:pBdr/>
      <w:spacing/>
      <w:ind/>
    </w:pPr>
    <w:rPr>
      <w:color w:val="657422"/>
      <w:shd w:val="clear" w:color="auto" w:fill="f1f3f5"/>
    </w:rPr>
  </w:style>
  <w:style w:type="character" w:styleId="799" w:customStyle="1">
    <w:name w:val="RegionMarkerTok"/>
    <w:basedOn w:val="768"/>
    <w:pPr>
      <w:pBdr/>
      <w:spacing/>
      <w:ind/>
    </w:pPr>
    <w:rPr>
      <w:color w:val="003b4f"/>
      <w:shd w:val="clear" w:color="auto" w:fill="f1f3f5"/>
    </w:rPr>
  </w:style>
  <w:style w:type="character" w:styleId="800" w:customStyle="1">
    <w:name w:val="InformationTok"/>
    <w:basedOn w:val="768"/>
    <w:pPr>
      <w:pBdr/>
      <w:spacing/>
      <w:ind/>
    </w:pPr>
    <w:rPr>
      <w:color w:val="5e5e5e"/>
      <w:shd w:val="clear" w:color="auto" w:fill="f1f3f5"/>
    </w:rPr>
  </w:style>
  <w:style w:type="character" w:styleId="801" w:customStyle="1">
    <w:name w:val="WarningTok"/>
    <w:basedOn w:val="768"/>
    <w:pPr>
      <w:pBdr/>
      <w:spacing/>
      <w:ind/>
    </w:pPr>
    <w:rPr>
      <w:i/>
      <w:color w:val="5e5e5e"/>
      <w:shd w:val="clear" w:color="auto" w:fill="f1f3f5"/>
    </w:rPr>
  </w:style>
  <w:style w:type="character" w:styleId="802" w:customStyle="1">
    <w:name w:val="AlertTok"/>
    <w:basedOn w:val="768"/>
    <w:pPr>
      <w:pBdr/>
      <w:spacing/>
      <w:ind/>
    </w:pPr>
    <w:rPr>
      <w:color w:val="ad0000"/>
      <w:shd w:val="clear" w:color="auto" w:fill="f1f3f5"/>
    </w:rPr>
  </w:style>
  <w:style w:type="character" w:styleId="803" w:customStyle="1">
    <w:name w:val="ErrorTok"/>
    <w:basedOn w:val="768"/>
    <w:pPr>
      <w:pBdr/>
      <w:spacing/>
      <w:ind/>
    </w:pPr>
    <w:rPr>
      <w:color w:val="ad0000"/>
      <w:shd w:val="clear" w:color="auto" w:fill="f1f3f5"/>
    </w:rPr>
  </w:style>
  <w:style w:type="character" w:styleId="804" w:customStyle="1">
    <w:name w:val="NormalTok"/>
    <w:basedOn w:val="768"/>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dc:language>pt-BR</dc:language>
  <cp:revision>1</cp:revision>
  <dcterms:created xsi:type="dcterms:W3CDTF">2025-10-14T12:15:12Z</dcterms:created>
  <dcterms:modified xsi:type="dcterms:W3CDTF">2026-07-31T01:32:43Z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