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29"/>
        <w:pBdr/>
        <w:spacing/>
        <w:ind/>
        <w:rPr/>
      </w:pPr>
      <w:r>
        <w:t xml:space="preserve">Análise de Resultados. Documento Temporário</w:t>
      </w:r>
      <w:r/>
    </w:p>
    <w:p>
      <w:pPr>
        <w:pStyle w:val="914"/>
        <w:pBdr/>
        <w:spacing/>
        <w:ind/>
        <w:rPr/>
      </w:pPr>
      <w:r/>
      <w:bookmarkStart w:id="20" w:name="prompt-de-codificação"/>
      <w:r>
        <w:t xml:space="preserve">Prompt de Codificação</w:t>
      </w:r>
      <w:r/>
    </w:p>
    <w:p>
      <w:pPr>
        <w:pStyle w:val="964"/>
        <w:pBdr/>
        <w:spacing/>
        <w:ind/>
        <w:rPr/>
      </w:pPr>
      <w:r>
        <w:rPr>
          <w:rStyle w:val="959"/>
        </w:rPr>
        <w:t xml:space="preserve">O usuário é um pesquisador que está desenvolvendo uma pesquisa sobre o potencial do Departamento Nacional </w:t>
      </w:r>
      <w:r>
        <w:rPr>
          <w:rStyle w:val="959"/>
        </w:rPr>
        <w:t xml:space="preserve">de Auditoria do Sistema Único de Saúde (DENASUS) de atuar como uma organização capaz de gerar transformações no âmbito do SUS, através da execução de auditorias que proponham recomendações potencialmente capazes de influenciar mudanças no sistema de saúde.</w:t>
      </w:r>
      <w:r>
        <w:br/>
      </w:r>
      <w:r>
        <w:br/>
      </w:r>
      <w:r>
        <w:rPr>
          <w:rStyle w:val="959"/>
        </w:rPr>
        <w:t xml:space="preserve">Os resultados das auditorias realizadas pelo DENASUS são materializados em relatórios, os quais apontam constatações (também chamadas de achados de auditoria) que expõem condições observadas que não atendem aos critérios requeridos definidos pela equipe de</w:t>
      </w:r>
      <w:r>
        <w:rPr>
          <w:rStyle w:val="959"/>
        </w:rPr>
        <w:t xml:space="preserve"> auditoria. As recomendações são, por conseguinte, definidas como sugestões técnicas que visam corrigir discrepâncias entre o que foi observado e os critérios requeridos, que podem ser normativos, operacionais ou legais que embasam o trabalho de auditoria.</w:t>
      </w:r>
      <w:r>
        <w:br/>
      </w:r>
      <w:r>
        <w:br/>
      </w:r>
      <w:r>
        <w:rPr>
          <w:rStyle w:val="959"/>
        </w:rPr>
        <w:t xml:space="preserve">Segundo a tipologia difundida pelo Institute of Internal Auditors (IIA) as recomendações que têm foco na causa (cause-based) são aquelas que propõem ações nec</w:t>
      </w:r>
      <w:r>
        <w:rPr>
          <w:rStyle w:val="959"/>
        </w:rPr>
        <w:t xml:space="preserve">essárias para evitar que a condição ou a observação volte a ocorrer. Normalmente envolvem soluções de longo prazo e podem demandar mais tempo para a sua implementação (exemplo: criação e implementação de uma política de revisão de acessos). Já recomendaçõe</w:t>
      </w:r>
      <w:r>
        <w:rPr>
          <w:rStyle w:val="959"/>
        </w:rPr>
        <w:t xml:space="preserve">s que consistem em medidas cuja finalidade é corrigir a condição encontrada, fornecem uma solução temporária para corrigir a condição atual (exemplo: remoção de acessos indevidos) e são consideradas, portanto, como tendo foco na condição (condition-based).</w:t>
      </w:r>
      <w:r>
        <w:br/>
      </w:r>
      <w:r>
        <w:br/>
      </w:r>
      <w:r>
        <w:rPr>
          <w:rStyle w:val="959"/>
        </w:rPr>
        <w:t xml:space="preserve">O objetivo do trabalho consiste em identificar as recomendações exaradas pelo DENASUS que possuam foco na causa.</w:t>
      </w:r>
      <w:r>
        <w:br/>
      </w:r>
      <w:r>
        <w:br/>
      </w:r>
      <w:r>
        <w:rPr>
          <w:rStyle w:val="959"/>
        </w:rPr>
        <w:t xml:space="preserve">Para realizar essa identificação, o usuário pesquisador irá fornecer uma breve </w:t>
      </w:r>
      <w:r>
        <w:rPr>
          <w:rStyle w:val="959"/>
        </w:rPr>
        <w:t xml:space="preserve">descrição da finalidade do trabalho de auditoria realizado, a constatação que expressa a condição encontrada que motivou a emissão da recomendação e a própria recomendação. Sua função consistirá em avaliar a recomendação em relação aos seguintes critérios:</w:t>
      </w:r>
      <w:r>
        <w:br/>
      </w:r>
      <w:r>
        <w:br/>
      </w:r>
      <w:r>
        <w:rPr>
          <w:rStyle w:val="959"/>
        </w:rPr>
        <w:t xml:space="preserve">- Critério "Foco Causa": Há alguma ação proposta na recomendação que trate da causa do problema que gerou a condição encontrada? Responda somente "Sim" ou "Não. </w:t>
      </w:r>
      <w:r>
        <w:br/>
      </w:r>
      <w:r>
        <w:rPr>
          <w:rStyle w:val="959"/>
        </w:rPr>
        <w:t xml:space="preserve">- Critério "Efeitos Duradouros": Os efeitos pretendidos pela ação sugeri</w:t>
      </w:r>
      <w:r>
        <w:rPr>
          <w:rStyle w:val="959"/>
        </w:rPr>
        <w:t xml:space="preserve">da para tratar a causa da condição permanecem mesmo se os atores envolvidos eventualmente mudarem? A avaliação deste critério deve se dar somente quando o critério "Foco Causa" for "Sim". Se a resposta para "Foco Causa" for "Não", responda "Não se aplica".</w:t>
      </w:r>
      <w:r>
        <w:br/>
      </w:r>
      <w:r>
        <w:br/>
      </w:r>
      <w:r>
        <w:rPr>
          <w:rStyle w:val="959"/>
        </w:rPr>
        <w:t xml:space="preserve">A análise para avaliar cada critério deverá constar no campo "Análise" da resposta, que será sucedido pelos campos referentes aos critérios delineados acima.</w:t>
      </w:r>
      <w:r>
        <w:br/>
      </w:r>
      <w:r>
        <w:br/>
      </w:r>
      <w:r>
        <w:rPr>
          <w:rStyle w:val="959"/>
        </w:rPr>
        <w:t xml:space="preserve">Caso a recomendação não contenha uma recomendação de fato, responda "Não se aplica" para os dois critérios.</w:t>
      </w:r>
      <w:r>
        <w:br/>
      </w:r>
      <w:r>
        <w:br/>
      </w:r>
      <w:r>
        <w:rPr>
          <w:rStyle w:val="959"/>
        </w:rPr>
        <w:t xml:space="preserve">Formate sua resposta no format Json com a seguinte estrutura:</w:t>
      </w:r>
      <w:r>
        <w:br/>
      </w:r>
      <w:r>
        <w:br/>
      </w:r>
      <w:r>
        <w:rPr>
          <w:rStyle w:val="959"/>
        </w:rPr>
        <w:t xml:space="preserve">EXAMPLE JSON OUTPUT:</w:t>
      </w:r>
      <w:r>
        <w:br/>
      </w:r>
      <w:r>
        <w:br/>
      </w:r>
      <w:r>
        <w:rPr>
          <w:rStyle w:val="959"/>
        </w:rPr>
        <w:t xml:space="preserve">{</w:t>
      </w:r>
      <w:r>
        <w:br/>
      </w:r>
      <w:r>
        <w:rPr>
          <w:rStyle w:val="959"/>
        </w:rPr>
        <w:t xml:space="preserve">   "Análise": "Em relação ao foco, a recomendação... Ja em relação aos efeitos pretendidos pela recomendação...",</w:t>
      </w:r>
      <w:r>
        <w:br/>
      </w:r>
      <w:r>
        <w:rPr>
          <w:rStyle w:val="959"/>
        </w:rPr>
        <w:t xml:space="preserve">   "Foco Causa": "Sim",</w:t>
      </w:r>
      <w:r>
        <w:br/>
      </w:r>
      <w:r>
        <w:rPr>
          <w:rStyle w:val="959"/>
        </w:rPr>
        <w:t xml:space="preserve">   "Efeitos Duradouros": "Sim"</w:t>
      </w:r>
      <w:r>
        <w:br/>
      </w:r>
      <w:r>
        <w:rPr>
          <w:rStyle w:val="959"/>
        </w:rPr>
        <w:t xml:space="preserve">}</w:t>
      </w:r>
      <w:bookmarkEnd w:id="20"/>
      <w:r/>
    </w:p>
    <w:p>
      <w:pPr>
        <w:pStyle w:val="914"/>
        <w:pBdr/>
        <w:spacing/>
        <w:ind/>
        <w:rPr/>
      </w:pPr>
      <w:r/>
      <w:bookmarkStart w:id="21" w:name="prompt-de-análise-crítica"/>
      <w:r>
        <w:t xml:space="preserve">Prompt de Análise Crítica</w:t>
      </w:r>
      <w:r/>
    </w:p>
    <w:p>
      <w:pPr>
        <w:pStyle w:val="964"/>
        <w:pBdr/>
        <w:spacing/>
        <w:ind/>
        <w:rPr/>
      </w:pPr>
      <w:r>
        <w:rPr>
          <w:rStyle w:val="959"/>
        </w:rPr>
        <w:t xml:space="preserve">O usuário é um pesquisador que está desenvolvendo uma pesquisa sobre o potencial do Departamento Nacional d</w:t>
      </w:r>
      <w:r>
        <w:rPr>
          <w:rStyle w:val="959"/>
        </w:rPr>
        <w:t xml:space="preserve">e Auditoria do Sistema Único de Saúde (DENASUS) de atuar como uma organização capaz de gerar transformações no âmbito do SUS, através da execução de auditorias que proponham recomendações potencialmente capazes de influenciar mudanças no sistema de saúde. </w:t>
      </w:r>
      <w:r>
        <w:br/>
      </w:r>
      <w:r>
        <w:br/>
      </w:r>
      <w:r>
        <w:rPr>
          <w:rStyle w:val="959"/>
        </w:rPr>
        <w:t xml:space="preserve">Os resultados das auditorias realizadas pelo DENASUS são materializados em relatórios, os quais apontam constatações (também chamadas de achados de auditoria) que expõem condições observadas que não atendem aos critérios definidos pela equipe de audit</w:t>
      </w:r>
      <w:r>
        <w:rPr>
          <w:rStyle w:val="959"/>
        </w:rPr>
        <w:t xml:space="preserve">oria. As recomendações são, por conseguinte, definidas como sugestões técnicas que visam corrigir discrepâncias entre o que foi observado e os critérios requeridos, que podem ser normativos, operacionais ou legais, aptos a embasar o trabalho de auditoria. </w:t>
      </w:r>
      <w:r>
        <w:br/>
      </w:r>
      <w:r>
        <w:br/>
      </w:r>
      <w:r>
        <w:rPr>
          <w:rStyle w:val="959"/>
        </w:rPr>
        <w:t xml:space="preserve">Segundo a tipologia difundida pelo Institute of Internal Auditors (IIA), as recomendações que têm foco na causa (cause-based) são aquelas que propõem ações necessárias para evitar que a condição ou a</w:t>
      </w:r>
      <w:r>
        <w:rPr>
          <w:rStyle w:val="959"/>
        </w:rPr>
        <w:t xml:space="preserve"> observação detectada volte a ocorrer. Normalmente envolvem soluções de longo prazo e podem demandar mais tempo para a sua implementação (exemplo: criação e implementação de uma política de revisão de acessos). Já as recomendações que traduzem medidas cuja</w:t>
      </w:r>
      <w:r>
        <w:rPr>
          <w:rStyle w:val="959"/>
        </w:rPr>
        <w:t xml:space="preserve"> finalidade consiste em corrigir a condição encontrada em sede de auditoria, fornecem uma solução temporária para ajustar a condição atual (exemplo: remoção de acessos indevidos) e são consideradas, portanto, como tendo foco na condição (condition-based). </w:t>
      </w:r>
      <w:r>
        <w:br/>
      </w:r>
      <w:r>
        <w:br/>
      </w:r>
      <w:r>
        <w:rPr>
          <w:rStyle w:val="959"/>
        </w:rPr>
        <w:t xml:space="preserve">O usuário pesquisador, com vistas a realizar a análise do conteúdo automatizada das recomendações de auditoria produzida</w:t>
      </w:r>
      <w:r>
        <w:rPr>
          <w:rStyle w:val="959"/>
        </w:rPr>
        <w:t xml:space="preserve">s pelo DENASUS, forneceu a um modelo de LLM uma breve descrição da finalidade do trabalho de auditoria realizado, a constatação, a respectiva recomendação e solicitou, em seguida, ao modelo, que avaliasse a recomendação em relação aos seguintes critérios: </w:t>
      </w:r>
      <w:r>
        <w:br/>
      </w:r>
      <w:r>
        <w:br/>
      </w:r>
      <w:r>
        <w:rPr>
          <w:rStyle w:val="959"/>
        </w:rPr>
        <w:t xml:space="preserve">- Critério "Foco Causa": Há alguma ação proposta na recomendação que trate da causa do problema que gerou a condição encontrada? Responda somente "Sim" ou "Não.  </w:t>
      </w:r>
      <w:r>
        <w:br/>
      </w:r>
      <w:r>
        <w:rPr>
          <w:rStyle w:val="959"/>
        </w:rPr>
        <w:t xml:space="preserve">- Critério "Efeitos Duradouros": Os efeitos pretendidos pela ação sugerida para tratar a causa da condiçã</w:t>
      </w:r>
      <w:r>
        <w:rPr>
          <w:rStyle w:val="959"/>
        </w:rPr>
        <w:t xml:space="preserve">o detectada permanecem mesmo se os atores envolvidos eventualmente mudarem ou forem substituídos? A avaliação deste critério deve se dar somente quando o critério "Foco Causa" for "Sim". Se a resposta para "Foco Causa" for "Não", responda "Não se aplica". </w:t>
      </w:r>
      <w:r>
        <w:br/>
      </w:r>
      <w:r>
        <w:br/>
      </w:r>
      <w:r>
        <w:rPr>
          <w:rStyle w:val="959"/>
        </w:rPr>
        <w:t xml:space="preserve">Agora, o usuário pesquisador pretende que seja feita uma análise crítica da classificação realizada. </w:t>
      </w:r>
      <w:r>
        <w:br/>
      </w:r>
      <w:r>
        <w:br/>
      </w:r>
      <w:r>
        <w:rPr>
          <w:rStyle w:val="959"/>
        </w:rPr>
        <w:t xml:space="preserve">Para tanto, ele irá fornecer, novamente, a finalidade do trabalho de auditoria realizado, a constatação, a respectiva recomendação e, adicionalmente, a análise realizada pelo modelo, juntamente com os resultados para os dois critérios acima definidos. </w:t>
      </w:r>
      <w:r>
        <w:br/>
      </w:r>
      <w:r>
        <w:br/>
      </w:r>
      <w:r>
        <w:rPr>
          <w:rStyle w:val="959"/>
        </w:rPr>
        <w:t xml:space="preserve">Sua função será realizar uma análise crítica da classificação para cada critério e emitir um juízo, que poderá ser materializado nos seguintes sentidos: "Concordo" ou "Discordo". </w:t>
      </w:r>
      <w:r>
        <w:br/>
      </w:r>
      <w:r>
        <w:br/>
      </w:r>
      <w:r>
        <w:rPr>
          <w:rStyle w:val="959"/>
        </w:rPr>
        <w:t xml:space="preserve">Formate sua resposta no formato Json com a seguinte estrutura:</w:t>
      </w:r>
      <w:r>
        <w:br/>
      </w:r>
      <w:r>
        <w:br/>
      </w:r>
      <w:r>
        <w:rPr>
          <w:rStyle w:val="959"/>
        </w:rPr>
        <w:t xml:space="preserve">EXAMPLE JSON OUTPUT:</w:t>
      </w:r>
      <w:r>
        <w:br/>
      </w:r>
      <w:r>
        <w:br/>
      </w:r>
      <w:r>
        <w:rPr>
          <w:rStyle w:val="959"/>
        </w:rPr>
        <w:t xml:space="preserve">{</w:t>
      </w:r>
      <w:r>
        <w:br/>
      </w:r>
      <w:r>
        <w:rPr>
          <w:rStyle w:val="959"/>
        </w:rPr>
        <w:t xml:space="preserve">   "Análise Crítica": "Em relação ao critério...",</w:t>
      </w:r>
      <w:r>
        <w:br/>
      </w:r>
      <w:r>
        <w:rPr>
          <w:rStyle w:val="959"/>
        </w:rPr>
        <w:t xml:space="preserve">   "Análise Foco Causa": "Concordo",</w:t>
      </w:r>
      <w:r>
        <w:br/>
      </w:r>
      <w:r>
        <w:rPr>
          <w:rStyle w:val="959"/>
        </w:rPr>
        <w:t xml:space="preserve">   "Análise Efeitos Duradouros": "Discordo"</w:t>
      </w:r>
      <w:r>
        <w:br/>
      </w:r>
      <w:r>
        <w:rPr>
          <w:rStyle w:val="959"/>
        </w:rPr>
        <w:t xml:space="preserve">}</w:t>
      </w:r>
      <w:bookmarkEnd w:id="21"/>
      <w:r/>
    </w:p>
    <w:p>
      <w:pPr>
        <w:pStyle w:val="914"/>
        <w:pBdr/>
        <w:spacing/>
        <w:ind/>
        <w:rPr/>
      </w:pPr>
      <w:r/>
      <w:bookmarkStart w:id="26" w:name="resultados"/>
      <w:r>
        <w:t xml:space="preserve">Resultados</w:t>
      </w:r>
      <w:r/>
    </w:p>
    <w:p>
      <w:pPr>
        <w:pStyle w:val="915"/>
        <w:pBdr/>
        <w:spacing/>
        <w:ind/>
        <w:rPr/>
      </w:pPr>
      <w:r/>
      <w:bookmarkStart w:id="22" w:name="codificação"/>
      <w:r>
        <w:t xml:space="preserve">Codificação</w:t>
      </w:r>
      <w:r/>
    </w:p>
    <w:tbl>
      <w:tblPr>
        <w:tblStyle w:val="950"/>
        <w:tblW w:w="0" w:type="auto"/>
        <w:tblBorders/>
        <w:tblLook w:val="0020" w:firstRow="1" w:lastRow="0" w:firstColumn="0" w:lastColumn="0" w:noHBand="0" w:noVBand="0"/>
      </w:tblPr>
      <w:tblGrid>
        <w:gridCol w:w="2640"/>
        <w:gridCol w:w="2640"/>
        <w:gridCol w:w="2640"/>
      </w:tblGrid>
      <w:tr>
        <w:trPr>
          <w:tblHeader/>
        </w:trPr>
        <w:tc>
          <w:tcPr>
            <w:tcBorders/>
          </w:tcPr>
          <w:p>
            <w:pPr>
              <w:pStyle w:val="928"/>
              <w:pBdr/>
              <w:spacing/>
              <w:ind/>
              <w:jc w:val="left"/>
              <w:rPr/>
            </w:pPr>
            <w:r>
              <w:t xml:space="preserve">Foco Causa</w:t>
            </w:r>
            <w:r/>
          </w:p>
        </w:tc>
        <w:tc>
          <w:tcPr>
            <w:tcBorders/>
          </w:tcPr>
          <w:p>
            <w:pPr>
              <w:pStyle w:val="928"/>
              <w:pBdr/>
              <w:spacing/>
              <w:ind/>
              <w:jc w:val="right"/>
              <w:rPr/>
            </w:pPr>
            <w:r>
              <w:t xml:space="preserve">Total</w:t>
            </w:r>
            <w:r/>
          </w:p>
        </w:tc>
        <w:tc>
          <w:tcPr>
            <w:tcBorders/>
          </w:tcPr>
          <w:p>
            <w:pPr>
              <w:pStyle w:val="928"/>
              <w:pBdr/>
              <w:spacing/>
              <w:ind/>
              <w:jc w:val="right"/>
              <w:rPr/>
            </w:pPr>
            <w:r>
              <w:t xml:space="preserve">%</w:t>
            </w:r>
            <w:r/>
          </w:p>
        </w:tc>
      </w:tr>
      <w:tr>
        <w:trPr/>
        <w:tc>
          <w:tcPr>
            <w:tcBorders/>
          </w:tcPr>
          <w:p>
            <w:pPr>
              <w:pStyle w:val="928"/>
              <w:pBdr/>
              <w:spacing/>
              <w:ind/>
              <w:jc w:val="left"/>
              <w:rPr/>
            </w:pPr>
            <w:r>
              <w:t xml:space="preserve">Sim</w:t>
            </w:r>
            <w:r/>
          </w:p>
        </w:tc>
        <w:tc>
          <w:tcPr>
            <w:tcBorders/>
          </w:tcPr>
          <w:p>
            <w:pPr>
              <w:pStyle w:val="928"/>
              <w:pBdr/>
              <w:spacing/>
              <w:ind/>
              <w:jc w:val="right"/>
              <w:rPr/>
            </w:pPr>
            <w:r>
              <w:t xml:space="preserve">2.671</w:t>
            </w:r>
            <w:r/>
          </w:p>
        </w:tc>
        <w:tc>
          <w:tcPr>
            <w:tcBorders/>
          </w:tcPr>
          <w:p>
            <w:pPr>
              <w:pStyle w:val="928"/>
              <w:pBdr/>
              <w:spacing/>
              <w:ind/>
              <w:jc w:val="right"/>
              <w:rPr/>
            </w:pPr>
            <w:r>
              <w:t xml:space="preserve">62</w:t>
            </w:r>
            <w:r/>
          </w:p>
        </w:tc>
      </w:tr>
      <w:tr>
        <w:trPr/>
        <w:tc>
          <w:tcPr>
            <w:tcBorders/>
          </w:tcPr>
          <w:p>
            <w:pPr>
              <w:pStyle w:val="928"/>
              <w:pBdr/>
              <w:spacing/>
              <w:ind/>
              <w:jc w:val="left"/>
              <w:rPr/>
            </w:pPr>
            <w:r>
              <w:t xml:space="preserve">Não</w:t>
            </w:r>
            <w:r/>
          </w:p>
        </w:tc>
        <w:tc>
          <w:tcPr>
            <w:tcBorders/>
          </w:tcPr>
          <w:p>
            <w:pPr>
              <w:pStyle w:val="928"/>
              <w:pBdr/>
              <w:spacing/>
              <w:ind/>
              <w:jc w:val="right"/>
              <w:rPr/>
            </w:pPr>
            <w:r>
              <w:t xml:space="preserve">1.618</w:t>
            </w:r>
            <w:r/>
          </w:p>
        </w:tc>
        <w:tc>
          <w:tcPr>
            <w:tcBorders/>
          </w:tcPr>
          <w:p>
            <w:pPr>
              <w:pStyle w:val="928"/>
              <w:pBdr/>
              <w:spacing/>
              <w:ind/>
              <w:jc w:val="right"/>
              <w:rPr/>
            </w:pPr>
            <w:r>
              <w:t xml:space="preserve">38</w:t>
            </w:r>
            <w:bookmarkEnd w:id="22"/>
            <w:r/>
          </w:p>
        </w:tc>
      </w:tr>
    </w:tbl>
    <w:p>
      <w:pPr>
        <w:pStyle w:val="915"/>
        <w:pBdr/>
        <w:spacing/>
        <w:ind/>
        <w:rPr/>
      </w:pPr>
      <w:r/>
      <w:bookmarkStart w:id="23" w:name="X5c9d362b51f23aa984b6f9af3d7d5da2a3b3a73"/>
      <w:r>
        <w:t xml:space="preserve">Análise Crítica - Análise da Convergência</w:t>
      </w:r>
      <w:r/>
    </w:p>
    <w:tbl>
      <w:tblPr>
        <w:jc w:val="center"/>
        <w:tblW w:w="0" w:type="auto"/>
        <w:tblCellMar>
          <w:left w:w="60" w:type="dxa"/>
          <w:top w:w="0" w:type="dxa"/>
          <w:right w:w="60" w:type="dxa"/>
          <w:bottom w:w="0" w:type="dxa"/>
        </w:tblCellMar>
        <w:tblBorders/>
        <w:tblLook w:val="0000" w:firstRow="0" w:lastRow="0" w:firstColumn="0" w:lastColumn="0" w:noHBand="0" w:noVBand="0"/>
      </w:tblPr>
      <w:tblGrid>
        <w:gridCol w:w="1134"/>
        <w:gridCol w:w="1134"/>
        <w:gridCol w:w="1134"/>
        <w:gridCol w:w="1134"/>
      </w:tblGrid>
      <w:tr>
        <w:trPr>
          <w:cantSplit/>
          <w:tblHeader/>
        </w:trPr>
        <w:tc>
          <w:tcPr>
            <w:tcBorders>
              <w:top w:val="single" w:color="d3d3d3" w:sz="16" w:space="0"/>
              <w:left w:val="single" w:color="d3d3d3" w:sz="4" w:space="0"/>
              <w:bottom w:val="single" w:color="d3d3d3" w:sz="16"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16" w:space="0"/>
              <w:left w:val="single" w:color="d3d3d3" w:sz="4" w:space="0"/>
              <w:bottom w:val="single" w:color="d3d3d3" w:sz="16" w:space="0"/>
            </w:tcBorders>
          </w:tcPr>
          <w:p>
            <w:pPr>
              <w:keepNext w:val="true"/>
              <w:pBdr/>
              <w:spacing w:after="60" w:before="0"/>
              <w:ind/>
              <w:jc w:val="left"/>
              <w:rPr/>
            </w:pPr>
            <w:r>
              <w:rPr>
                <w:rFonts w:ascii="Calibri" w:hAnsi="Calibri"/>
                <w:sz w:val="20"/>
              </w:rPr>
              <w:t xml:space="preserve">Análise Crítica</w:t>
            </w:r>
            <w:r/>
          </w:p>
        </w:tc>
        <w:tc>
          <w:tcPr>
            <w:tcBorders>
              <w:top w:val="single" w:color="d3d3d3" w:sz="16" w:space="0"/>
              <w:bottom w:val="single" w:color="d3d3d3" w:sz="16" w:space="0"/>
            </w:tcBorders>
          </w:tcPr>
          <w:p>
            <w:pPr>
              <w:keepNext w:val="true"/>
              <w:pBdr/>
              <w:spacing w:after="60" w:before="0"/>
              <w:ind/>
              <w:jc w:val="right"/>
              <w:rPr/>
            </w:pPr>
            <w:r>
              <w:rPr>
                <w:rFonts w:ascii="Calibri" w:hAnsi="Calibri"/>
                <w:sz w:val="20"/>
              </w:rPr>
              <w:t xml:space="preserve">Total</w:t>
            </w:r>
            <w:r/>
          </w:p>
        </w:tc>
        <w:tc>
          <w:tcPr>
            <w:tcBorders>
              <w:top w:val="single" w:color="d3d3d3" w:sz="16" w:space="0"/>
              <w:bottom w:val="single" w:color="d3d3d3" w:sz="16" w:space="0"/>
              <w:right w:val="single" w:color="d3d3d3" w:sz="4" w:space="0"/>
            </w:tcBorders>
          </w:tcPr>
          <w:p>
            <w:pPr>
              <w:keepNext w:val="true"/>
              <w:pBdr/>
              <w:spacing w:after="60" w:before="0"/>
              <w:ind/>
              <w:jc w:val="right"/>
              <w:rPr/>
            </w:pPr>
            <w:r>
              <w:rPr>
                <w:rFonts w:ascii="Calibri" w:hAnsi="Calibri"/>
                <w:sz w:val="20"/>
              </w:rPr>
              <w:t xml:space="preserve">%</w:t>
            </w:r>
            <w:r/>
          </w:p>
        </w:tc>
      </w:tr>
      <w:tr>
        <w:trPr>
          <w:cantSplit/>
        </w:trPr>
        <w:tc>
          <w:tcPr>
            <w:gridSpan w:val="4"/>
            <w:tcBorders>
              <w:top w:val="single" w:color="d3d3d3" w:sz="16" w:space="0"/>
              <w:left w:val="single" w:color="d3d3d3" w:sz="4" w:space="0"/>
              <w:bottom w:val="single" w:color="d3d3d3" w:sz="16" w:space="0"/>
              <w:right w:val="single" w:color="d3d3d3" w:sz="4" w:space="0"/>
            </w:tcBorders>
            <w:tcMar>
              <w:top w:w="25" w:type="dxa"/>
            </w:tcMar>
          </w:tcPr>
          <w:p>
            <w:pPr>
              <w:keepNext w:val="true"/>
              <w:pBdr/>
              <w:spacing w:after="60" w:before="0"/>
              <w:ind/>
              <w:rPr/>
            </w:pPr>
            <w:r>
              <w:rPr>
                <w:rFonts w:ascii="Calibri" w:hAnsi="Calibri"/>
                <w:sz w:val="20"/>
              </w:rPr>
              <w:t xml:space="preserve">Recomendação com foco causa (têm ação com foco causa e efeitos duradouros)</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Convergente</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2.001</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74,92%</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Divergente</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670</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25,08%</w:t>
            </w:r>
            <w:r/>
          </w:p>
        </w:tc>
      </w:tr>
      <w:tr>
        <w:trPr>
          <w:cantSplit/>
        </w:trPr>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Total</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2.671</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r/>
          </w:p>
        </w:tc>
      </w:tr>
      <w:tr>
        <w:trPr>
          <w:cantSplit/>
        </w:trPr>
        <w:tc>
          <w:tcPr>
            <w:gridSpan w:val="4"/>
            <w:tcBorders>
              <w:top w:val="single" w:color="d3d3d3" w:sz="16" w:space="0"/>
              <w:left w:val="single" w:color="d3d3d3" w:sz="4" w:space="0"/>
              <w:bottom w:val="single" w:color="d3d3d3" w:sz="16" w:space="0"/>
              <w:right w:val="single" w:color="d3d3d3" w:sz="4" w:space="0"/>
            </w:tcBorders>
            <w:tcMar>
              <w:top w:w="25" w:type="dxa"/>
            </w:tcMar>
          </w:tcPr>
          <w:p>
            <w:pPr>
              <w:keepNext w:val="true"/>
              <w:pBdr/>
              <w:spacing w:after="60" w:before="0"/>
              <w:ind/>
              <w:rPr/>
            </w:pPr>
            <w:r>
              <w:rPr>
                <w:rFonts w:ascii="Calibri" w:hAnsi="Calibri"/>
                <w:sz w:val="20"/>
              </w:rPr>
              <w:t xml:space="preserve">Recomendações sem foco na causa</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Convergente</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1.491</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92,15%</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Divergente</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127</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7,85%</w:t>
            </w:r>
            <w:r/>
          </w:p>
        </w:tc>
      </w:tr>
      <w:tr>
        <w:trPr>
          <w:cantSplit/>
        </w:trPr>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Total</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1.618</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bookmarkEnd w:id="23"/>
            <w:r/>
          </w:p>
        </w:tc>
      </w:tr>
    </w:tbl>
    <w:p>
      <w:pPr>
        <w:pStyle w:val="915"/>
        <w:pBdr/>
        <w:spacing/>
        <w:ind/>
        <w:rPr/>
      </w:pPr>
      <w:r/>
      <w:bookmarkStart w:id="24" w:name="análise-crítica---detalhamento"/>
      <w:r>
        <w:t xml:space="preserve">Análise Crítica - Detalhamento</w:t>
      </w:r>
      <w:r/>
    </w:p>
    <w:tbl>
      <w:tblPr>
        <w:jc w:val="center"/>
        <w:tblW w:w="0" w:type="auto"/>
        <w:tblCellMar>
          <w:left w:w="60" w:type="dxa"/>
          <w:top w:w="0" w:type="dxa"/>
          <w:right w:w="60" w:type="dxa"/>
          <w:bottom w:w="0" w:type="dxa"/>
        </w:tblCellMar>
        <w:tblBorders/>
        <w:tblLook w:val="0000" w:firstRow="0" w:lastRow="0" w:firstColumn="0" w:lastColumn="0" w:noHBand="0" w:noVBand="0"/>
      </w:tblPr>
      <w:tblGrid>
        <w:gridCol w:w="1134"/>
        <w:gridCol w:w="1134"/>
        <w:gridCol w:w="1134"/>
        <w:gridCol w:w="1134"/>
        <w:gridCol w:w="1134"/>
        <w:gridCol w:w="1134"/>
        <w:gridCol w:w="1134"/>
      </w:tblGrid>
      <w:tr>
        <w:trPr>
          <w:cantSplit/>
          <w:tblHeader/>
        </w:trPr>
        <w:tc>
          <w:tcPr>
            <w:tcBorders>
              <w:top w:val="single" w:color="d3d3d3" w:sz="16" w:space="0"/>
              <w:left w:val="single" w:color="d3d3d3" w:sz="4" w:space="0"/>
              <w:bottom w:val="single" w:color="d3d3d3" w:sz="16"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16" w:space="0"/>
              <w:left w:val="single" w:color="d3d3d3" w:sz="4" w:space="0"/>
              <w:bottom w:val="single" w:color="d3d3d3" w:sz="16" w:space="0"/>
            </w:tcBorders>
          </w:tcPr>
          <w:p>
            <w:pPr>
              <w:keepNext w:val="true"/>
              <w:pBdr/>
              <w:spacing w:after="60" w:before="0"/>
              <w:ind/>
              <w:jc w:val="left"/>
              <w:rPr/>
            </w:pPr>
            <w:r>
              <w:rPr>
                <w:rFonts w:ascii="Calibri" w:hAnsi="Calibri"/>
                <w:sz w:val="20"/>
              </w:rPr>
              <w:t xml:space="preserve">Ação Foco Causa</w:t>
            </w:r>
            <w:r/>
          </w:p>
        </w:tc>
        <w:tc>
          <w:tcPr>
            <w:tcBorders>
              <w:top w:val="single" w:color="d3d3d3" w:sz="16" w:space="0"/>
              <w:bottom w:val="single" w:color="d3d3d3" w:sz="16" w:space="0"/>
            </w:tcBorders>
          </w:tcPr>
          <w:p>
            <w:pPr>
              <w:keepNext w:val="true"/>
              <w:pBdr/>
              <w:spacing w:after="60" w:before="0"/>
              <w:ind/>
              <w:jc w:val="left"/>
              <w:rPr/>
            </w:pPr>
            <w:r>
              <w:rPr>
                <w:rFonts w:ascii="Calibri" w:hAnsi="Calibri"/>
                <w:sz w:val="20"/>
              </w:rPr>
              <w:t xml:space="preserve">Análise Foco Causa</w:t>
            </w:r>
            <w:r/>
          </w:p>
        </w:tc>
        <w:tc>
          <w:tcPr>
            <w:tcBorders>
              <w:top w:val="single" w:color="d3d3d3" w:sz="16" w:space="0"/>
              <w:bottom w:val="single" w:color="d3d3d3" w:sz="16" w:space="0"/>
            </w:tcBorders>
          </w:tcPr>
          <w:p>
            <w:pPr>
              <w:keepNext w:val="true"/>
              <w:pBdr/>
              <w:spacing w:after="60" w:before="0"/>
              <w:ind/>
              <w:jc w:val="left"/>
              <w:rPr/>
            </w:pPr>
            <w:r>
              <w:rPr>
                <w:rFonts w:ascii="Calibri" w:hAnsi="Calibri"/>
                <w:sz w:val="20"/>
              </w:rPr>
              <w:t xml:space="preserve">Efeitos Duradouros</w:t>
            </w:r>
            <w:r/>
          </w:p>
        </w:tc>
        <w:tc>
          <w:tcPr>
            <w:tcBorders>
              <w:top w:val="single" w:color="d3d3d3" w:sz="16" w:space="0"/>
              <w:bottom w:val="single" w:color="d3d3d3" w:sz="16" w:space="0"/>
            </w:tcBorders>
          </w:tcPr>
          <w:p>
            <w:pPr>
              <w:keepNext w:val="true"/>
              <w:pBdr/>
              <w:spacing w:after="60" w:before="0"/>
              <w:ind/>
              <w:jc w:val="left"/>
              <w:rPr/>
            </w:pPr>
            <w:r>
              <w:rPr>
                <w:rFonts w:ascii="Calibri" w:hAnsi="Calibri"/>
                <w:sz w:val="20"/>
              </w:rPr>
              <w:t xml:space="preserve">Análise Efeitos Duradouros</w:t>
            </w:r>
            <w:r/>
          </w:p>
        </w:tc>
        <w:tc>
          <w:tcPr>
            <w:tcBorders>
              <w:top w:val="single" w:color="d3d3d3" w:sz="16" w:space="0"/>
              <w:bottom w:val="single" w:color="d3d3d3" w:sz="16" w:space="0"/>
            </w:tcBorders>
          </w:tcPr>
          <w:p>
            <w:pPr>
              <w:keepNext w:val="true"/>
              <w:pBdr/>
              <w:spacing w:after="60" w:before="0"/>
              <w:ind/>
              <w:jc w:val="right"/>
              <w:rPr/>
            </w:pPr>
            <w:r>
              <w:rPr>
                <w:rFonts w:ascii="Calibri" w:hAnsi="Calibri"/>
                <w:sz w:val="20"/>
              </w:rPr>
              <w:t xml:space="preserve">Total</w:t>
            </w:r>
            <w:r/>
          </w:p>
        </w:tc>
        <w:tc>
          <w:tcPr>
            <w:tcBorders>
              <w:top w:val="single" w:color="d3d3d3" w:sz="16" w:space="0"/>
              <w:bottom w:val="single" w:color="d3d3d3" w:sz="16" w:space="0"/>
              <w:right w:val="single" w:color="d3d3d3" w:sz="4" w:space="0"/>
            </w:tcBorders>
          </w:tcPr>
          <w:p>
            <w:pPr>
              <w:keepNext w:val="true"/>
              <w:pBdr/>
              <w:spacing w:after="60" w:before="0"/>
              <w:ind/>
              <w:jc w:val="right"/>
              <w:rPr/>
            </w:pPr>
            <w:r>
              <w:rPr>
                <w:rFonts w:ascii="Calibri" w:hAnsi="Calibri"/>
                <w:sz w:val="20"/>
              </w:rPr>
              <w:t xml:space="preserve">%</w:t>
            </w:r>
            <w:r/>
          </w:p>
        </w:tc>
      </w:tr>
      <w:tr>
        <w:trPr>
          <w:cantSplit/>
        </w:trPr>
        <w:tc>
          <w:tcPr>
            <w:gridSpan w:val="7"/>
            <w:tcBorders>
              <w:top w:val="single" w:color="d3d3d3" w:sz="16" w:space="0"/>
              <w:left w:val="single" w:color="d3d3d3" w:sz="4" w:space="0"/>
              <w:bottom w:val="single" w:color="d3d3d3" w:sz="16" w:space="0"/>
              <w:right w:val="single" w:color="d3d3d3" w:sz="4" w:space="0"/>
            </w:tcBorders>
            <w:tcMar>
              <w:top w:w="25" w:type="dxa"/>
            </w:tcMar>
          </w:tcPr>
          <w:p>
            <w:pPr>
              <w:keepNext w:val="true"/>
              <w:pBdr/>
              <w:spacing w:after="60" w:before="0"/>
              <w:ind/>
              <w:rPr/>
            </w:pPr>
            <w:r>
              <w:rPr>
                <w:rFonts w:ascii="Calibri" w:hAnsi="Calibri"/>
                <w:sz w:val="20"/>
              </w:rPr>
              <w:t xml:space="preserve">Recomendação com foco causa (têm ação com foco causa e efeitos duradouros)</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Sim</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Sim</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2.001</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74,92%</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Sim</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Sim</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Discordo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463</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17,33%</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Sim</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Discordo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Sim</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Discordo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134</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5,02%</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Sim</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Discordo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Sim</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 se aplica</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60</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2,25%</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Sim</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Discordo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Sim</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13</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0,49%</w:t>
            </w:r>
            <w:r/>
          </w:p>
        </w:tc>
      </w:tr>
      <w:tr>
        <w:trPr>
          <w:cantSplit/>
        </w:trPr>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Total</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2.671</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r/>
          </w:p>
        </w:tc>
      </w:tr>
      <w:tr>
        <w:trPr>
          <w:cantSplit/>
        </w:trPr>
        <w:tc>
          <w:tcPr>
            <w:gridSpan w:val="7"/>
            <w:tcBorders>
              <w:top w:val="single" w:color="d3d3d3" w:sz="16" w:space="0"/>
              <w:left w:val="single" w:color="d3d3d3" w:sz="4" w:space="0"/>
              <w:bottom w:val="single" w:color="d3d3d3" w:sz="16" w:space="0"/>
              <w:right w:val="single" w:color="d3d3d3" w:sz="4" w:space="0"/>
            </w:tcBorders>
            <w:tcMar>
              <w:top w:w="25" w:type="dxa"/>
            </w:tcMar>
          </w:tcPr>
          <w:p>
            <w:pPr>
              <w:keepNext w:val="true"/>
              <w:pBdr/>
              <w:spacing w:after="60" w:before="0"/>
              <w:ind/>
              <w:rPr/>
            </w:pPr>
            <w:r>
              <w:rPr>
                <w:rFonts w:ascii="Calibri" w:hAnsi="Calibri"/>
                <w:sz w:val="20"/>
              </w:rPr>
              <w:t xml:space="preserve">Recomendações sem foco na causa</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 se aplica</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1.481</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91,53%</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Discordo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 se aplica</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Discordo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50</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3,09%</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Discordo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 se aplica</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37</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2,29%</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Discordo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 se aplica</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 se aplica</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27</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1,67%</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Sim</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Discordo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7</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0,43%</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Sim</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5</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0,31%</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 se aplica</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 se aplica</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5</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0,31%</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 se aplica</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 se aplica</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3</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0,19%</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 se aplica</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Discordo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3</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0,19%</w:t>
            </w:r>
            <w:r/>
          </w:p>
        </w:tc>
      </w:tr>
      <w:tr>
        <w:trPr>
          <w:cantSplit/>
        </w:trPr>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Total</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1.618</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bookmarkEnd w:id="24"/>
            <w:r/>
          </w:p>
        </w:tc>
      </w:tr>
    </w:tbl>
    <w:p>
      <w:pPr>
        <w:pStyle w:val="915"/>
        <w:pBdr/>
        <w:spacing/>
        <w:ind/>
        <w:rPr/>
      </w:pPr>
      <w:r/>
      <w:bookmarkStart w:id="25" w:name="resultados-1"/>
      <w:r>
        <w:t xml:space="preserve">Resultados</w:t>
      </w:r>
      <w:r/>
    </w:p>
    <w:tbl>
      <w:tblPr>
        <w:tblStyle w:val="950"/>
        <w:tblW w:w="5000" w:type="pct"/>
        <w:tblBorders/>
        <w:tblLayout w:type="fixed"/>
        <w:tblLook w:val="0020" w:firstRow="1" w:lastRow="0" w:firstColumn="0" w:lastColumn="0" w:noHBand="0" w:noVBand="0"/>
      </w:tblPr>
      <w:tblGrid>
        <w:gridCol w:w="1760"/>
        <w:gridCol w:w="2090"/>
        <w:gridCol w:w="660"/>
        <w:gridCol w:w="1210"/>
        <w:gridCol w:w="1540"/>
        <w:gridCol w:w="660"/>
      </w:tblGrid>
      <w:tr>
        <w:trPr>
          <w:tblHeader/>
        </w:trPr>
        <w:tc>
          <w:tcPr>
            <w:tcBorders/>
          </w:tcPr>
          <w:p>
            <w:pPr>
              <w:pStyle w:val="928"/>
              <w:pBdr/>
              <w:spacing/>
              <w:ind/>
              <w:jc w:val="left"/>
              <w:rPr/>
            </w:pPr>
            <w:r>
              <w:t xml:space="preserve">Ação Foco Causa</w:t>
            </w:r>
            <w:r/>
          </w:p>
        </w:tc>
        <w:tc>
          <w:tcPr>
            <w:tcBorders/>
          </w:tcPr>
          <w:p>
            <w:pPr>
              <w:pStyle w:val="928"/>
              <w:pBdr/>
              <w:spacing/>
              <w:ind/>
              <w:jc w:val="left"/>
              <w:rPr/>
            </w:pPr>
            <w:r>
              <w:t xml:space="preserve">Efeitos Duradouros</w:t>
            </w:r>
            <w:r/>
          </w:p>
        </w:tc>
        <w:tc>
          <w:tcPr>
            <w:tcBorders/>
          </w:tcPr>
          <w:p>
            <w:pPr>
              <w:pStyle w:val="928"/>
              <w:pBdr/>
              <w:spacing/>
              <w:ind/>
              <w:jc w:val="right"/>
              <w:rPr/>
            </w:pPr>
            <w:r>
              <w:t xml:space="preserve">Total</w:t>
            </w:r>
            <w:r/>
          </w:p>
        </w:tc>
        <w:tc>
          <w:tcPr>
            <w:tcBorders/>
          </w:tcPr>
          <w:p>
            <w:pPr>
              <w:pStyle w:val="928"/>
              <w:pBdr/>
              <w:spacing/>
              <w:ind/>
              <w:jc w:val="right"/>
              <w:rPr/>
            </w:pPr>
            <w:r>
              <w:t xml:space="preserve">≠ Foco (%)</w:t>
            </w:r>
            <w:r/>
          </w:p>
        </w:tc>
        <w:tc>
          <w:tcPr>
            <w:tcBorders/>
          </w:tcPr>
          <w:p>
            <w:pPr>
              <w:pStyle w:val="928"/>
              <w:pBdr/>
              <w:spacing/>
              <w:ind/>
              <w:jc w:val="right"/>
              <w:rPr/>
            </w:pPr>
            <w:r>
              <w:t xml:space="preserve">≠ Efeitos (%)</w:t>
            </w:r>
            <w:r/>
          </w:p>
        </w:tc>
        <w:tc>
          <w:tcPr>
            <w:tcBorders/>
          </w:tcPr>
          <w:p>
            <w:pPr>
              <w:pStyle w:val="928"/>
              <w:pBdr/>
              <w:spacing/>
              <w:ind/>
              <w:jc w:val="right"/>
              <w:rPr/>
            </w:pPr>
            <w:r>
              <w:t xml:space="preserve">%</w:t>
            </w:r>
            <w:r/>
          </w:p>
        </w:tc>
      </w:tr>
      <w:tr>
        <w:trPr/>
        <w:tc>
          <w:tcPr>
            <w:tcBorders/>
          </w:tcPr>
          <w:p>
            <w:pPr>
              <w:pStyle w:val="928"/>
              <w:pBdr/>
              <w:spacing/>
              <w:ind/>
              <w:jc w:val="left"/>
              <w:rPr/>
            </w:pPr>
            <w:r>
              <w:t xml:space="preserve">Sim</w:t>
            </w:r>
            <w:r/>
          </w:p>
        </w:tc>
        <w:tc>
          <w:tcPr>
            <w:tcBorders/>
          </w:tcPr>
          <w:p>
            <w:pPr>
              <w:pStyle w:val="928"/>
              <w:pBdr/>
              <w:spacing/>
              <w:ind/>
              <w:jc w:val="left"/>
              <w:rPr/>
            </w:pPr>
            <w:r>
              <w:t xml:space="preserve">Sim</w:t>
            </w:r>
            <w:r/>
          </w:p>
        </w:tc>
        <w:tc>
          <w:tcPr>
            <w:tcBorders/>
          </w:tcPr>
          <w:p>
            <w:pPr>
              <w:pStyle w:val="928"/>
              <w:pBdr/>
              <w:spacing/>
              <w:ind/>
              <w:jc w:val="right"/>
              <w:rPr/>
            </w:pPr>
            <w:r>
              <w:t xml:space="preserve">2.671</w:t>
            </w:r>
            <w:r/>
          </w:p>
        </w:tc>
        <w:tc>
          <w:tcPr>
            <w:tcBorders/>
          </w:tcPr>
          <w:p>
            <w:pPr>
              <w:pStyle w:val="928"/>
              <w:pBdr/>
              <w:spacing/>
              <w:ind/>
              <w:jc w:val="right"/>
              <w:rPr/>
            </w:pPr>
            <w:r>
              <w:t xml:space="preserve">207</w:t>
            </w:r>
            <w:r/>
          </w:p>
        </w:tc>
        <w:tc>
          <w:tcPr>
            <w:tcBorders/>
          </w:tcPr>
          <w:p>
            <w:pPr>
              <w:pStyle w:val="928"/>
              <w:pBdr/>
              <w:spacing/>
              <w:ind/>
              <w:jc w:val="right"/>
              <w:rPr/>
            </w:pPr>
            <w:r>
              <w:t xml:space="preserve">657</w:t>
            </w:r>
            <w:r/>
          </w:p>
        </w:tc>
        <w:tc>
          <w:tcPr>
            <w:tcBorders/>
          </w:tcPr>
          <w:p>
            <w:pPr>
              <w:pStyle w:val="928"/>
              <w:pBdr/>
              <w:spacing/>
              <w:ind/>
              <w:jc w:val="right"/>
              <w:rPr/>
            </w:pPr>
            <w:r>
              <w:t xml:space="preserve">62,28</w:t>
            </w:r>
            <w:r/>
          </w:p>
        </w:tc>
      </w:tr>
      <w:tr>
        <w:trPr/>
        <w:tc>
          <w:tcPr>
            <w:tcBorders/>
          </w:tcPr>
          <w:p>
            <w:pPr>
              <w:pStyle w:val="928"/>
              <w:pBdr/>
              <w:spacing/>
              <w:ind/>
              <w:jc w:val="left"/>
              <w:rPr/>
            </w:pPr>
            <w:r>
              <w:t xml:space="preserve">Não</w:t>
            </w:r>
            <w:r/>
          </w:p>
        </w:tc>
        <w:tc>
          <w:tcPr>
            <w:tcBorders/>
          </w:tcPr>
          <w:p>
            <w:pPr>
              <w:pStyle w:val="928"/>
              <w:pBdr/>
              <w:spacing/>
              <w:ind/>
              <w:jc w:val="left"/>
              <w:rPr/>
            </w:pPr>
            <w:r>
              <w:t xml:space="preserve">Não se aplica</w:t>
            </w:r>
            <w:r/>
          </w:p>
        </w:tc>
        <w:tc>
          <w:tcPr>
            <w:tcBorders/>
          </w:tcPr>
          <w:p>
            <w:pPr>
              <w:pStyle w:val="928"/>
              <w:pBdr/>
              <w:spacing/>
              <w:ind/>
              <w:jc w:val="right"/>
              <w:rPr/>
            </w:pPr>
            <w:r>
              <w:t xml:space="preserve">1.601</w:t>
            </w:r>
            <w:r/>
          </w:p>
        </w:tc>
        <w:tc>
          <w:tcPr>
            <w:tcBorders/>
          </w:tcPr>
          <w:p>
            <w:pPr>
              <w:pStyle w:val="928"/>
              <w:pBdr/>
              <w:spacing/>
              <w:ind/>
              <w:jc w:val="right"/>
              <w:rPr/>
            </w:pPr>
            <w:r>
              <w:t xml:space="preserve">114</w:t>
            </w:r>
            <w:r/>
          </w:p>
        </w:tc>
        <w:tc>
          <w:tcPr>
            <w:tcBorders/>
          </w:tcPr>
          <w:p>
            <w:pPr>
              <w:pStyle w:val="928"/>
              <w:pBdr/>
              <w:spacing/>
              <w:ind/>
              <w:jc w:val="right"/>
              <w:rPr/>
            </w:pPr>
            <w:r>
              <w:t xml:space="preserve">83</w:t>
            </w:r>
            <w:r/>
          </w:p>
        </w:tc>
        <w:tc>
          <w:tcPr>
            <w:tcBorders/>
          </w:tcPr>
          <w:p>
            <w:pPr>
              <w:pStyle w:val="928"/>
              <w:pBdr/>
              <w:spacing/>
              <w:ind/>
              <w:jc w:val="right"/>
              <w:rPr/>
            </w:pPr>
            <w:r>
              <w:t xml:space="preserve">37,33</w:t>
            </w:r>
            <w:r/>
          </w:p>
        </w:tc>
      </w:tr>
      <w:tr>
        <w:trPr/>
        <w:tc>
          <w:tcPr>
            <w:tcBorders/>
          </w:tcPr>
          <w:p>
            <w:pPr>
              <w:pStyle w:val="928"/>
              <w:pBdr/>
              <w:spacing/>
              <w:ind/>
              <w:jc w:val="left"/>
              <w:rPr/>
            </w:pPr>
            <w:r>
              <w:t xml:space="preserve">Sim</w:t>
            </w:r>
            <w:r/>
          </w:p>
        </w:tc>
        <w:tc>
          <w:tcPr>
            <w:tcBorders/>
          </w:tcPr>
          <w:p>
            <w:pPr>
              <w:pStyle w:val="928"/>
              <w:pBdr/>
              <w:spacing/>
              <w:ind/>
              <w:jc w:val="left"/>
              <w:rPr/>
            </w:pPr>
            <w:r>
              <w:t xml:space="preserve">Não</w:t>
            </w:r>
            <w:r/>
          </w:p>
        </w:tc>
        <w:tc>
          <w:tcPr>
            <w:tcBorders/>
          </w:tcPr>
          <w:p>
            <w:pPr>
              <w:pStyle w:val="928"/>
              <w:pBdr/>
              <w:spacing/>
              <w:ind/>
              <w:jc w:val="right"/>
              <w:rPr/>
            </w:pPr>
            <w:r>
              <w:t xml:space="preserve">12</w:t>
            </w:r>
            <w:r/>
          </w:p>
        </w:tc>
        <w:tc>
          <w:tcPr>
            <w:tcBorders/>
          </w:tcPr>
          <w:p>
            <w:pPr>
              <w:pStyle w:val="928"/>
              <w:pBdr/>
              <w:spacing/>
              <w:ind/>
              <w:jc w:val="right"/>
              <w:rPr/>
            </w:pPr>
            <w:r>
              <w:t xml:space="preserve">0</w:t>
            </w:r>
            <w:r/>
          </w:p>
        </w:tc>
        <w:tc>
          <w:tcPr>
            <w:tcBorders/>
          </w:tcPr>
          <w:p>
            <w:pPr>
              <w:pStyle w:val="928"/>
              <w:pBdr/>
              <w:spacing/>
              <w:ind/>
              <w:jc w:val="right"/>
              <w:rPr/>
            </w:pPr>
            <w:r>
              <w:t xml:space="preserve">7</w:t>
            </w:r>
            <w:r/>
          </w:p>
        </w:tc>
        <w:tc>
          <w:tcPr>
            <w:tcBorders/>
          </w:tcPr>
          <w:p>
            <w:pPr>
              <w:pStyle w:val="928"/>
              <w:pBdr/>
              <w:spacing/>
              <w:ind/>
              <w:jc w:val="right"/>
              <w:rPr/>
            </w:pPr>
            <w:r>
              <w:t xml:space="preserve">0,28</w:t>
            </w:r>
            <w:r/>
          </w:p>
        </w:tc>
      </w:tr>
      <w:tr>
        <w:trPr/>
        <w:tc>
          <w:tcPr>
            <w:tcBorders/>
          </w:tcPr>
          <w:p>
            <w:pPr>
              <w:pStyle w:val="928"/>
              <w:pBdr/>
              <w:spacing/>
              <w:ind/>
              <w:jc w:val="left"/>
              <w:rPr/>
            </w:pPr>
            <w:r>
              <w:t xml:space="preserve">Não se aplica</w:t>
            </w:r>
            <w:r/>
          </w:p>
        </w:tc>
        <w:tc>
          <w:tcPr>
            <w:tcBorders/>
          </w:tcPr>
          <w:p>
            <w:pPr>
              <w:pStyle w:val="928"/>
              <w:pBdr/>
              <w:spacing/>
              <w:ind/>
              <w:jc w:val="left"/>
              <w:rPr/>
            </w:pPr>
            <w:r>
              <w:t xml:space="preserve">Não se aplica</w:t>
            </w:r>
            <w:r/>
          </w:p>
        </w:tc>
        <w:tc>
          <w:tcPr>
            <w:tcBorders/>
          </w:tcPr>
          <w:p>
            <w:pPr>
              <w:pStyle w:val="928"/>
              <w:pBdr/>
              <w:spacing/>
              <w:ind/>
              <w:jc w:val="right"/>
              <w:rPr/>
            </w:pPr>
            <w:r>
              <w:t xml:space="preserve">5</w:t>
            </w:r>
            <w:r/>
          </w:p>
        </w:tc>
        <w:tc>
          <w:tcPr>
            <w:tcBorders/>
          </w:tcPr>
          <w:p>
            <w:pPr>
              <w:pStyle w:val="928"/>
              <w:pBdr/>
              <w:spacing/>
              <w:ind/>
              <w:jc w:val="right"/>
              <w:rPr/>
            </w:pPr>
            <w:r>
              <w:t xml:space="preserve">0</w:t>
            </w:r>
            <w:r/>
          </w:p>
        </w:tc>
        <w:tc>
          <w:tcPr>
            <w:tcBorders/>
          </w:tcPr>
          <w:p>
            <w:pPr>
              <w:pStyle w:val="928"/>
              <w:pBdr/>
              <w:spacing/>
              <w:ind/>
              <w:jc w:val="right"/>
              <w:rPr/>
            </w:pPr>
            <w:r>
              <w:t xml:space="preserve">0</w:t>
            </w:r>
            <w:r/>
          </w:p>
        </w:tc>
        <w:tc>
          <w:tcPr>
            <w:tcBorders/>
          </w:tcPr>
          <w:p>
            <w:pPr>
              <w:pStyle w:val="928"/>
              <w:pBdr/>
              <w:spacing/>
              <w:ind/>
              <w:jc w:val="right"/>
              <w:rPr/>
            </w:pPr>
            <w:r>
              <w:t xml:space="preserve">0,12</w:t>
            </w:r>
            <w:r/>
          </w:p>
        </w:tc>
      </w:tr>
    </w:tbl>
    <w:p>
      <w:pPr>
        <w:pStyle w:val="926"/>
        <w:pBdr/>
        <w:spacing/>
        <w:ind/>
        <w:rPr/>
      </w:pPr>
      <w:r>
        <w:t xml:space="preserve">A variável</w:t>
      </w:r>
      <w:r>
        <w:t xml:space="preserve"> </w:t>
      </w:r>
      <w:r>
        <w:rPr>
          <w:rStyle w:val="959"/>
        </w:rPr>
        <w:t xml:space="preserve">Foco Causa</w:t>
      </w:r>
      <w:r>
        <w:t xml:space="preserve"> </w:t>
      </w:r>
      <w:r>
        <w:t xml:space="preserve">reflete a ponderação a respeito da existência de ações propostas na recomendação que tenham foco na causa do problema expresso na constatação. Já a variável</w:t>
      </w:r>
      <w:r>
        <w:t xml:space="preserve"> </w:t>
      </w:r>
      <w:r>
        <w:rPr>
          <w:rStyle w:val="959"/>
        </w:rPr>
        <w:t xml:space="preserve">Efeitos Duradouros</w:t>
      </w:r>
      <w:r>
        <w:t xml:space="preserve"> </w:t>
      </w:r>
      <w:r>
        <w:t xml:space="preserve">reflete a ponderação a respeito da permanência no tempo dos efeitos da recomendação caso ela seja implementada.</w:t>
      </w:r>
      <w:r/>
    </w:p>
    <w:p>
      <w:pPr>
        <w:pStyle w:val="926"/>
        <w:pBdr/>
        <w:spacing/>
        <w:ind/>
        <w:rPr/>
      </w:pPr>
      <w:r>
        <w:t xml:space="preserve">Considera-se que uma recomendação tem foco na causa se o</w:t>
      </w:r>
      <w:r>
        <w:t xml:space="preserve"> </w:t>
      </w:r>
      <w:r>
        <w:rPr>
          <w:rStyle w:val="959"/>
        </w:rPr>
        <w:t xml:space="preserve">Foco Causa</w:t>
      </w:r>
      <w:r>
        <w:t xml:space="preserve"> </w:t>
      </w:r>
      <w:r>
        <w:t xml:space="preserve">é</w:t>
      </w:r>
      <w:r>
        <w:t xml:space="preserve"> </w:t>
      </w:r>
      <w:r>
        <w:t xml:space="preserve">“Sim”</w:t>
      </w:r>
      <w:r>
        <w:t xml:space="preserve"> </w:t>
      </w:r>
      <w:r>
        <w:rPr>
          <w:b/>
          <w:bCs/>
        </w:rPr>
        <w:t xml:space="preserve">e</w:t>
      </w:r>
      <w:r>
        <w:t xml:space="preserve"> </w:t>
      </w:r>
      <w:r>
        <w:rPr>
          <w:rStyle w:val="959"/>
        </w:rPr>
        <w:t xml:space="preserve">Efeitos Duradouros</w:t>
      </w:r>
      <w:r>
        <w:t xml:space="preserve"> </w:t>
      </w:r>
      <w:r>
        <w:t xml:space="preserve">é</w:t>
      </w:r>
      <w:r>
        <w:t xml:space="preserve"> </w:t>
      </w:r>
      <w:r>
        <w:t xml:space="preserve">“Sim”</w:t>
      </w:r>
      <w:r>
        <w:t xml:space="preserve">.</w:t>
      </w:r>
      <w:r/>
    </w:p>
    <w:p>
      <w:pPr>
        <w:pStyle w:val="926"/>
        <w:pBdr/>
        <w:spacing/>
        <w:ind/>
        <w:rPr/>
      </w:pPr>
      <w:r>
        <w:t xml:space="preserve">Do que foi detectado com foco na causa, houve discordância em 207 casos em relação à variável</w:t>
      </w:r>
      <w:r>
        <w:t xml:space="preserve"> </w:t>
      </w:r>
      <w:r>
        <w:rPr>
          <w:rStyle w:val="959"/>
        </w:rPr>
        <w:t xml:space="preserve">Foco Causa</w:t>
      </w:r>
      <w:r>
        <w:t xml:space="preserve"> </w:t>
      </w:r>
      <w:r>
        <w:t xml:space="preserve">e 657 em relação à variável</w:t>
      </w:r>
      <w:r>
        <w:t xml:space="preserve"> </w:t>
      </w:r>
      <w:r>
        <w:rPr>
          <w:rStyle w:val="959"/>
        </w:rPr>
        <w:t xml:space="preserve">Efeitos Duradouros</w:t>
      </w:r>
      <w:r>
        <w:t xml:space="preserve">. Os 657 incluem os 207 pois onde não há ação com foco na causa, o prompt instruiu o modelo LLM para responder</w:t>
      </w:r>
      <w:r>
        <w:t xml:space="preserve"> </w:t>
      </w:r>
      <w:r>
        <w:t xml:space="preserve">“Não se aplica”</w:t>
      </w:r>
      <w:r>
        <w:t xml:space="preserve"> </w:t>
      </w:r>
      <w:r>
        <w:t xml:space="preserve">para os efeitos.</w:t>
      </w:r>
      <w:r/>
    </w:p>
    <w:p>
      <w:pPr>
        <w:pStyle w:val="926"/>
        <w:pBdr/>
        <w:spacing/>
        <w:ind/>
        <w:rPr/>
      </w:pPr>
      <w:r>
        <w:t xml:space="preserve">Já do lado negativo, houve 114 e 83 discordâncias nas variáveis</w:t>
      </w:r>
      <w:r>
        <w:t xml:space="preserve"> </w:t>
      </w:r>
      <w:r>
        <w:rPr>
          <w:rStyle w:val="959"/>
        </w:rPr>
        <w:t xml:space="preserve">Foco Causa</w:t>
      </w:r>
      <w:r>
        <w:t xml:space="preserve"> </w:t>
      </w:r>
      <w:r>
        <w:t xml:space="preserve">e</w:t>
      </w:r>
      <w:r>
        <w:t xml:space="preserve"> </w:t>
      </w:r>
      <w:r>
        <w:rPr>
          <w:rStyle w:val="959"/>
        </w:rPr>
        <w:t xml:space="preserve">Efeitos Duradouros</w:t>
      </w:r>
      <w:r>
        <w:t xml:space="preserve"> </w:t>
      </w:r>
      <w:r>
        <w:t xml:space="preserve">respectivamente. Como os 114 casos de discordância em relação à variável</w:t>
      </w:r>
      <w:r>
        <w:t xml:space="preserve"> </w:t>
      </w:r>
      <w:r>
        <w:rPr>
          <w:rStyle w:val="959"/>
        </w:rPr>
        <w:t xml:space="preserve">Foco Causa</w:t>
      </w:r>
      <w:r>
        <w:t xml:space="preserve"> </w:t>
      </w:r>
      <w:r>
        <w:t xml:space="preserve">são subdivididos em termos de efeitos duradouros, e já que houve discordância de 83 casos em relação aos efeitos, pode-se assumir que os 83 casos representam o número que dentre os 114 seriam considerados como</w:t>
      </w:r>
      <w:r>
        <w:t xml:space="preserve"> </w:t>
      </w:r>
      <w:r>
        <w:t xml:space="preserve">“Sim”</w:t>
      </w:r>
      <w:r>
        <w:t xml:space="preserve"> </w:t>
      </w:r>
      <w:r>
        <w:t xml:space="preserve">e</w:t>
      </w:r>
      <w:r>
        <w:t xml:space="preserve"> </w:t>
      </w:r>
      <w:r>
        <w:t xml:space="preserve">“Sim”</w:t>
      </w:r>
      <w:r>
        <w:t xml:space="preserve"> </w:t>
      </w:r>
      <w:r>
        <w:t xml:space="preserve">para ambas as variáveis.</w:t>
      </w:r>
      <w:r/>
    </w:p>
    <w:p>
      <w:pPr>
        <w:pStyle w:val="926"/>
        <w:pBdr/>
        <w:spacing/>
        <w:ind/>
        <w:rPr/>
      </w:pPr>
      <w:r>
        <w:t xml:space="preserve">Levando em conta que a discordância não representa a</w:t>
      </w:r>
      <w:r>
        <w:t xml:space="preserve"> </w:t>
      </w:r>
      <w:r>
        <w:t xml:space="preserve">“resposta correta”</w:t>
      </w:r>
      <w:r>
        <w:t xml:space="preserve"> </w:t>
      </w:r>
      <w:r>
        <w:t xml:space="preserve">mas simplesmente uma outra visão sobre o conjunto de dados, se considerarmos a análise crítica como uma ponderação mais assertiva em metade dos casos, o número de recomendações com foco na causa seria de</w:t>
      </w:r>
      <w:r>
        <w:t xml:space="preserve"> </w:t>
      </w:r>
      <w:r>
        <w:rPr>
          <w:rStyle w:val="959"/>
        </w:rPr>
        <w:t xml:space="preserve">2.671 - (657/2) + (83/2) = 2.384</w:t>
      </w:r>
      <w:r>
        <w:t xml:space="preserve">, ou seja,</w:t>
      </w:r>
      <w:r>
        <w:t xml:space="preserve"> </w:t>
      </w:r>
      <w:r>
        <w:rPr>
          <w:b/>
          <w:bCs/>
        </w:rPr>
        <w:t xml:space="preserve">56%</w:t>
      </w:r>
      <w:r>
        <w:t xml:space="preserve"> </w:t>
      </w:r>
      <w:r>
        <w:t xml:space="preserve">do total de recomendações teriam foco na causa.</w:t>
      </w:r>
      <w:bookmarkEnd w:id="25"/>
      <w:bookmarkEnd w:id="26"/>
      <w:r/>
    </w:p>
    <w:p>
      <w:pPr>
        <w:pStyle w:val="914"/>
        <w:pBdr/>
        <w:spacing/>
        <w:ind/>
        <w:rPr/>
      </w:pPr>
      <w:r/>
      <w:bookmarkStart w:id="27" w:name="listagem-de-amostras"/>
      <w:r>
        <w:t xml:space="preserve">Listagem de Amostras</w:t>
      </w:r>
      <w:bookmarkEnd w:id="27"/>
      <w:r/>
    </w:p>
    <w:p>
      <w:pPr>
        <w:pStyle w:val="914"/>
        <w:pBdr/>
        <w:spacing/>
        <w:ind/>
        <w:rPr/>
      </w:pPr>
      <w:r/>
      <w:bookmarkStart w:id="38" w:name="X1d4605b2fea2abef6467dd452342d82025d143f"/>
      <w:r>
        <w:t xml:space="preserve">Foco: Não, Efeitos: Não se aplica, Concordância Foco: Concordo, Concordância Efeitos: Concordo</w:t>
      </w:r>
      <w:r/>
    </w:p>
    <w:p>
      <w:pPr>
        <w:pStyle w:val="915"/>
        <w:pBdr/>
        <w:spacing/>
        <w:ind/>
        <w:rPr/>
      </w:pPr>
      <w:r/>
      <w:bookmarkStart w:id="28" w:name="auditoria-18722-constatação-nº-696549-1"/>
      <w:r>
        <w:t xml:space="preserve">Auditoria 18722, Constatação Nº 696549 (#1)</w:t>
      </w:r>
      <w:r/>
    </w:p>
    <w:p>
      <w:pPr>
        <w:pStyle w:val="927"/>
        <w:pBdr/>
        <w:spacing/>
        <w:ind/>
        <w:rPr/>
      </w:pPr>
      <w:r>
        <w:rPr>
          <w:b/>
          <w:bCs/>
        </w:rPr>
        <w:t xml:space="preserve">Finalidade</w:t>
      </w:r>
      <w:r>
        <w:t xml:space="preserve">: Verificar a regularidade na aplicação dos recursos e execução das ações de saúde das UBS e CBAF</w:t>
      </w:r>
      <w:r/>
    </w:p>
    <w:p>
      <w:pPr>
        <w:pStyle w:val="926"/>
        <w:pBdr/>
        <w:spacing/>
        <w:ind/>
        <w:rPr/>
      </w:pPr>
      <w:r>
        <w:rPr>
          <w:b/>
          <w:bCs/>
        </w:rPr>
        <w:t xml:space="preserve">Constatação</w:t>
      </w:r>
      <w:r>
        <w:t xml:space="preserve">: Omissão no dever de prestar contas das despesas pagas com re</w:t>
      </w:r>
      <w:r>
        <w:t xml:space="preserve">cursos financeiros repassados fundo a fundo, competências julho, agosto e dezembro de 2019 relativo as ações do Componente Básico da Assistência Farmacêutica, no valor de R$ 58.850,14 (cinquenta e oito mil, oitocentos e cinquenta reais e catorze centavos).</w:t>
      </w:r>
      <w:r/>
    </w:p>
    <w:p>
      <w:pPr>
        <w:pStyle w:val="926"/>
        <w:pBdr/>
        <w:spacing/>
        <w:ind/>
        <w:rPr/>
      </w:pPr>
      <w:r>
        <w:rPr>
          <w:b/>
          <w:bCs/>
        </w:rPr>
        <w:t xml:space="preserve">Recomendação</w:t>
      </w:r>
      <w:r>
        <w:t xml:space="preserve">: 1 - À Secretaria Municipal de Saúde de Bom Jardim/MA, para conhecimento da presente constatação n° 652255 e adoção das providências, para que sejam devolvidos os recursos federais utilizados</w:t>
      </w:r>
      <w:r>
        <w:t xml:space="preserve"> de forma irregular, ao Fundo Nacional de Saúde, no valor de R$ 58.850,14 (cinquenta e oito mil, oitocentos e cinquenta reais e catorze centavos), atualizado monetariamente e com os acréscimos legais adotados por esse ente federado, conforme indicativo na </w:t>
      </w:r>
      <w:r>
        <w:t xml:space="preserve">Planilha de Proposição de Devolução, tendo em vista que cumpre ao gestor responsável prestar contas dos recursos públicos e de demonstrar a sua boa e regular aplicação, conforme §§ 1º e 2º do art. 63 da Lei nº 4.320, de 17/03/1964; Parágrafo Único do art. </w:t>
      </w:r>
      <w:r>
        <w:t xml:space="preserve">70 da Constituição Federal de 05/10/1988; §§ 1º e 2º do art. 36, 66, 145 e 148 do Decreto nº 93.872, de 23/12/1986, e § 1º do art. 2º do Decreto nº 7.507, de 27/06/2011, combinado com a Lei nº 8.443/1992 de 16/07/1992 (art. 8º c/c art. 16, inc. III, alínea</w:t>
      </w:r>
      <w:r>
        <w:t xml:space="preserve"> </w:t>
      </w:r>
      <w:r>
        <w:t xml:space="preserve">“a”</w:t>
      </w:r>
      <w:r>
        <w:t xml:space="preserve">), Decreto-lei nº 200/1967 de 25/02/1967 (art. 93), </w:t>
      </w:r>
      <w:r>
        <w:t xml:space="preserve">Decreto-lei nº 201/1967 de 27/02/1967 (art. 1º), Lei 8.429/1992 de 02/06/1992 (art. 11, inc. VI); 2 - Adotar medidas legais quanto a perda, extravio ou outra irregularidade de que resulte danos ao Erário pelos gestores anteriores, sob pena de corresponsabi</w:t>
      </w:r>
      <w:r>
        <w:t xml:space="preserve">lidade pela não prestação de contas e por não tomar imediatas providências para assegurar o respectivo ressarcimento e instaurar a tomada de contas, conforme previsto no Art. 84 do Decreto-Lei 200/1967 de 25/02/1967 e ACÓRDÃO Nº 2377/2020 - TCU - Plenário.</w:t>
      </w:r>
      <w:r/>
    </w:p>
    <w:p>
      <w:pPr>
        <w:pStyle w:val="926"/>
        <w:pBdr/>
        <w:spacing/>
        <w:ind/>
        <w:rPr/>
      </w:pPr>
      <w:r>
        <w:rPr>
          <w:b/>
          <w:bCs/>
        </w:rPr>
        <w:t xml:space="preserve">Análise Codificação</w:t>
      </w:r>
      <w:r>
        <w:t xml:space="preserve">: A recomendação propõe a devolução dos recursos utilizados irregularmente e a adoção de medidas legais contra gestores anteriores, focando na correção da condição específica de omissão na prestação de contas e ressarcimento de danos. Não há ações direcion</w:t>
      </w:r>
      <w:r>
        <w:t xml:space="preserve">adas a tratar a causa subjacente, como melhorias em processos de controle ou capacitação para prevenir futuras omissões. Portanto, não atende ao critério de foco na causa. Como o foco na causa não é atendido, o critério de efeitos duradouros não se aplica.</w:t>
      </w:r>
      <w:r/>
    </w:p>
    <w:p>
      <w:pPr>
        <w:pStyle w:val="928"/>
        <w:numPr>
          <w:ilvl w:val="0"/>
          <w:numId w:val="3"/>
        </w:numPr>
        <w:pBdr/>
        <w:spacing/>
        <w:ind/>
        <w:rPr/>
      </w:pPr>
      <w:r>
        <w:t xml:space="preserve">Ação Foco Causa: Não</w:t>
      </w:r>
      <w:r/>
    </w:p>
    <w:p>
      <w:pPr>
        <w:pStyle w:val="928"/>
        <w:numPr>
          <w:ilvl w:val="0"/>
          <w:numId w:val="3"/>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do modelo está c</w:t>
      </w:r>
      <w:r>
        <w:t xml:space="preserve">orreta ao identificar que a recomendação se concentra em corrigir a condição específica (devolução de recursos e medidas legais) sem abordar as causas subjacentes da omissão na prestação de contas, como falhas processuais ou de capacitação. Para o critério</w:t>
      </w:r>
      <w:r>
        <w:t xml:space="preserve"> </w:t>
      </w:r>
      <w:r>
        <w:t xml:space="preserve">‘Efeitos Duradouros’</w:t>
      </w:r>
      <w:r>
        <w:t xml:space="preserve">, como o</w:t>
      </w:r>
      <w:r>
        <w:t xml:space="preserve"> </w:t>
      </w:r>
      <w:r>
        <w:t xml:space="preserve">‘Foco Causa’</w:t>
      </w:r>
      <w:r>
        <w:t xml:space="preserve"> </w:t>
      </w:r>
      <w:r>
        <w:t xml:space="preserve">não foi atendido, a resposta</w:t>
      </w:r>
      <w:r>
        <w:t xml:space="preserve"> </w:t>
      </w:r>
      <w:r>
        <w:t xml:space="preserve">‘Não se aplica’</w:t>
      </w:r>
      <w:r>
        <w:t xml:space="preserve"> </w:t>
      </w:r>
      <w:r>
        <w:t xml:space="preserve">é adequada.</w:t>
      </w:r>
      <w:r/>
    </w:p>
    <w:p>
      <w:pPr>
        <w:pStyle w:val="928"/>
        <w:numPr>
          <w:ilvl w:val="0"/>
          <w:numId w:val="4"/>
        </w:numPr>
        <w:pBdr/>
        <w:spacing/>
        <w:ind/>
        <w:rPr/>
      </w:pPr>
      <w:r>
        <w:t xml:space="preserve">Análise Foco Causa: Concordo</w:t>
      </w:r>
      <w:r/>
    </w:p>
    <w:p>
      <w:pPr>
        <w:pStyle w:val="928"/>
        <w:numPr>
          <w:ilvl w:val="0"/>
          <w:numId w:val="4"/>
        </w:numPr>
        <w:pBdr/>
        <w:spacing/>
        <w:ind/>
        <w:rPr/>
      </w:pPr>
      <w:r>
        <w:t xml:space="preserve">Análise Efeitos Duradouros: Concordo</w:t>
      </w:r>
      <w:bookmarkEnd w:id="28"/>
      <w:r/>
    </w:p>
    <w:p>
      <w:pPr>
        <w:pStyle w:val="915"/>
        <w:pBdr/>
        <w:spacing/>
        <w:ind/>
        <w:rPr/>
      </w:pPr>
      <w:r/>
      <w:bookmarkStart w:id="29" w:name="auditoria-18892-constatação-nº-667287-1"/>
      <w:r>
        <w:t xml:space="preserve">Auditoria 18892, Constatação Nº 667287 (#1)</w:t>
      </w:r>
      <w:r/>
    </w:p>
    <w:p>
      <w:pPr>
        <w:pStyle w:val="927"/>
        <w:pBdr/>
        <w:spacing/>
        <w:ind/>
        <w:rPr/>
      </w:pPr>
      <w:r>
        <w:rPr>
          <w:b/>
          <w:bCs/>
        </w:rPr>
        <w:t xml:space="preserve">Finalidade</w:t>
      </w:r>
      <w:r>
        <w:t xml:space="preserve">: Avaliar a aplic. de recursos e prestação de serviços na Atenção Básica e Assist. Farm. Básica.</w:t>
      </w:r>
      <w:r/>
    </w:p>
    <w:p>
      <w:pPr>
        <w:pStyle w:val="926"/>
        <w:pBdr/>
        <w:spacing/>
        <w:ind/>
        <w:rPr/>
      </w:pPr>
      <w:r>
        <w:rPr>
          <w:b/>
          <w:bCs/>
        </w:rPr>
        <w:t xml:space="preserve">Constatação</w:t>
      </w:r>
      <w:r>
        <w:t xml:space="preserve">: Os veículos que compõem a frota da Secretaria Municipal de Saúde de Monte Alegre não possuem as placas de identificação obrigatória pela legislação de trânsito.</w:t>
      </w:r>
      <w:r/>
    </w:p>
    <w:p>
      <w:pPr>
        <w:pStyle w:val="926"/>
        <w:pBdr/>
        <w:spacing/>
        <w:ind/>
        <w:rPr/>
      </w:pPr>
      <w:r>
        <w:rPr>
          <w:b/>
          <w:bCs/>
        </w:rPr>
        <w:t xml:space="preserve">Recomendação</w:t>
      </w:r>
      <w:r>
        <w:t xml:space="preserve">: Realizar o registro e identificação dos veículos que pertencem a frota da Secretaria Municipal de Saúde de forma a cumprir o que determina o artigo 115 da Lei nº 9.503/1997.</w:t>
      </w:r>
      <w:r/>
    </w:p>
    <w:p>
      <w:pPr>
        <w:pStyle w:val="926"/>
        <w:pBdr/>
        <w:spacing/>
        <w:ind/>
        <w:rPr/>
      </w:pPr>
      <w:r>
        <w:rPr>
          <w:b/>
          <w:bCs/>
        </w:rPr>
        <w:t xml:space="preserve">Análise Codificação</w:t>
      </w:r>
      <w:r>
        <w:t xml:space="preserve">: Em relação ao foco, a recomendação propõe uma ação específica (registro e identificação dos veículos) para cumprir uma exigência legal, mas não aborda as ca</w:t>
      </w:r>
      <w:r>
        <w:t xml:space="preserve">usas subjacentes que levaram à ausência das placas, como falhas nos processos de gestão da frota ou falta de controle. Portanto, trata-se de uma medida para corrigir a condição atual, sem foco na causa. Já em relação aos efeitos duradouros, como o critério</w:t>
      </w:r>
      <w:r>
        <w:t xml:space="preserve"> </w:t>
      </w:r>
      <w:r>
        <w:t xml:space="preserve">‘Foco Causa’</w:t>
      </w:r>
      <w:r>
        <w:t xml:space="preserve"> </w:t>
      </w:r>
      <w:r>
        <w:t xml:space="preserve">não foi atendido, não se aplica.</w:t>
      </w:r>
      <w:r/>
    </w:p>
    <w:p>
      <w:pPr>
        <w:pStyle w:val="928"/>
        <w:numPr>
          <w:ilvl w:val="0"/>
          <w:numId w:val="5"/>
        </w:numPr>
        <w:pBdr/>
        <w:spacing/>
        <w:ind/>
        <w:rPr/>
      </w:pPr>
      <w:r>
        <w:t xml:space="preserve">Ação Foco Causa: Não</w:t>
      </w:r>
      <w:r/>
    </w:p>
    <w:p>
      <w:pPr>
        <w:pStyle w:val="928"/>
        <w:numPr>
          <w:ilvl w:val="0"/>
          <w:numId w:val="5"/>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original argumenta que a recomendaçã</w:t>
      </w:r>
      <w:r>
        <w:t xml:space="preserve">o não aborda causas subjacentes, focando apenas na correção da condição atual. Concordo com essa avaliação, pois a recomendação se limita a cumprir a exigência legal sem propor ações para prevenir falhas futuras, como melhorias em processos de gestão. Para</w:t>
      </w:r>
      <w:r>
        <w:t xml:space="preserve"> </w:t>
      </w:r>
      <w:r>
        <w:t xml:space="preserve">‘Efeitos Duradouros’</w:t>
      </w:r>
      <w:r>
        <w:t xml:space="preserve">, como</w:t>
      </w:r>
      <w:r>
        <w:t xml:space="preserve"> </w:t>
      </w:r>
      <w:r>
        <w:t xml:space="preserve">‘Foco Causa’</w:t>
      </w:r>
      <w:r>
        <w:t xml:space="preserve"> </w:t>
      </w:r>
      <w:r>
        <w:t xml:space="preserve">é</w:t>
      </w:r>
      <w:r>
        <w:t xml:space="preserve"> </w:t>
      </w:r>
      <w:r>
        <w:t xml:space="preserve">‘Não’</w:t>
      </w:r>
      <w:r>
        <w:t xml:space="preserve">, a resposta</w:t>
      </w:r>
      <w:r>
        <w:t xml:space="preserve"> </w:t>
      </w:r>
      <w:r>
        <w:t xml:space="preserve">‘Não se aplica’</w:t>
      </w:r>
      <w:r>
        <w:t xml:space="preserve"> </w:t>
      </w:r>
      <w:r>
        <w:t xml:space="preserve">está correta, não havendo necessidade de análise adicional.</w:t>
      </w:r>
      <w:r/>
    </w:p>
    <w:p>
      <w:pPr>
        <w:pStyle w:val="928"/>
        <w:numPr>
          <w:ilvl w:val="0"/>
          <w:numId w:val="6"/>
        </w:numPr>
        <w:pBdr/>
        <w:spacing/>
        <w:ind/>
        <w:rPr/>
      </w:pPr>
      <w:r>
        <w:t xml:space="preserve">Análise Foco Causa: Concordo</w:t>
      </w:r>
      <w:r/>
    </w:p>
    <w:p>
      <w:pPr>
        <w:pStyle w:val="928"/>
        <w:numPr>
          <w:ilvl w:val="0"/>
          <w:numId w:val="6"/>
        </w:numPr>
        <w:pBdr/>
        <w:spacing/>
        <w:ind/>
        <w:rPr/>
      </w:pPr>
      <w:r>
        <w:t xml:space="preserve">Análise Efeitos Duradouros: Concordo</w:t>
      </w:r>
      <w:bookmarkEnd w:id="29"/>
      <w:r/>
    </w:p>
    <w:p>
      <w:pPr>
        <w:pStyle w:val="915"/>
        <w:pBdr/>
        <w:spacing/>
        <w:ind/>
        <w:rPr/>
      </w:pPr>
      <w:r/>
      <w:bookmarkStart w:id="30" w:name="auditoria-19312-constatação-nº-657764-1"/>
      <w:r>
        <w:t xml:space="preserve">Auditoria 19312, Constatação Nº 657764 (#1)</w:t>
      </w:r>
      <w:r/>
    </w:p>
    <w:p>
      <w:pPr>
        <w:pStyle w:val="927"/>
        <w:pBdr/>
        <w:spacing/>
        <w:ind/>
        <w:rPr/>
      </w:pPr>
      <w:r>
        <w:rPr>
          <w:b/>
          <w:bCs/>
        </w:rPr>
        <w:t xml:space="preserve">Finalidade</w:t>
      </w:r>
      <w:r>
        <w:t xml:space="preserve">: Verificar a regularidade da utilização de Dispositivos Médicos Implantáveis - DMI</w:t>
      </w:r>
      <w:r/>
    </w:p>
    <w:p>
      <w:pPr>
        <w:pStyle w:val="926"/>
        <w:pBdr/>
        <w:spacing/>
        <w:ind/>
        <w:rPr/>
      </w:pPr>
      <w:r>
        <w:rPr>
          <w:b/>
          <w:bCs/>
        </w:rPr>
        <w:t xml:space="preserve">Constatação</w:t>
      </w:r>
      <w:r>
        <w:t xml:space="preserve">: Espelhos de AIH não anexados ao prontuário do paciente e/ou sem assinaturas de responsáveis médicos.</w:t>
      </w:r>
      <w:r/>
    </w:p>
    <w:p>
      <w:pPr>
        <w:pStyle w:val="926"/>
        <w:pBdr/>
        <w:spacing/>
        <w:ind/>
        <w:rPr/>
      </w:pPr>
      <w:r>
        <w:rPr>
          <w:b/>
          <w:bCs/>
        </w:rPr>
        <w:t xml:space="preserve">Recomendação</w:t>
      </w:r>
      <w:r>
        <w:t xml:space="preserve">: Anexar os Espelhos</w:t>
      </w:r>
      <w:r>
        <w:t xml:space="preserve"> de AIH aos respectivos prontuários dos paciente e que estejam devidamente assinados e conferidos pela Direção técnica e/ou clínica do Hospital, de acordo com o disposto no Art. 1º e 2º da Portaria SAS/MS nº 635, de 31 de maio de 2016, atualmente em vigor.</w:t>
      </w:r>
      <w:r/>
    </w:p>
    <w:p>
      <w:pPr>
        <w:pStyle w:val="926"/>
        <w:pBdr/>
        <w:spacing/>
        <w:ind/>
        <w:rPr/>
      </w:pPr>
      <w:r>
        <w:rPr>
          <w:b/>
          <w:bCs/>
        </w:rPr>
        <w:t xml:space="preserve">Análise Codificação</w:t>
      </w:r>
      <w:r>
        <w:t xml:space="preserve">: Em relação ao foco, a recomendação propõe anexar os espelhos de AIH aos prontuários e garantir assinaturas, o que corrig</w:t>
      </w:r>
      <w:r>
        <w:t xml:space="preserve">e a condição imediata de documentação ausente ou incompleta, mas não identifica ou trata a causa subjacente (como falhas em processos de documentação, treinamento inadequado ou supervisão insuficiente). Já em relação aos efeitos duradouros, como o critério</w:t>
      </w:r>
      <w:r>
        <w:t xml:space="preserve"> </w:t>
      </w:r>
      <w:r>
        <w:t xml:space="preserve">‘Foco Causa’</w:t>
      </w:r>
      <w:r>
        <w:t xml:space="preserve"> </w:t>
      </w:r>
      <w:r>
        <w:t xml:space="preserve">não é atendido, não se aplica a avaliação.</w:t>
      </w:r>
      <w:r/>
    </w:p>
    <w:p>
      <w:pPr>
        <w:pStyle w:val="928"/>
        <w:numPr>
          <w:ilvl w:val="0"/>
          <w:numId w:val="7"/>
        </w:numPr>
        <w:pBdr/>
        <w:spacing/>
        <w:ind/>
        <w:rPr/>
      </w:pPr>
      <w:r>
        <w:t xml:space="preserve">Ação Foco Causa: Não</w:t>
      </w:r>
      <w:r/>
    </w:p>
    <w:p>
      <w:pPr>
        <w:pStyle w:val="928"/>
        <w:numPr>
          <w:ilvl w:val="0"/>
          <w:numId w:val="7"/>
        </w:numPr>
        <w:pBdr/>
        <w:spacing/>
        <w:ind/>
        <w:rPr/>
      </w:pPr>
      <w:r>
        <w:t xml:space="preserve">Efeitos Duradouros: Não se aplica</w:t>
      </w:r>
      <w:r/>
    </w:p>
    <w:p>
      <w:pPr>
        <w:pStyle w:val="927"/>
        <w:pBdr/>
        <w:spacing/>
        <w:ind/>
        <w:rPr/>
      </w:pPr>
      <w:r>
        <w:rPr>
          <w:b/>
          <w:bCs/>
        </w:rPr>
        <w:t xml:space="preserve">Análise Crítica</w:t>
      </w:r>
      <w:r>
        <w:t xml:space="preserve">: A análise da codificação está correta em identificar que a recomendação trata apenas da correção da condição imediata (documentação ausente ou incompleta) sem abordar causas subjacentes, como falhas proc</w:t>
      </w:r>
      <w:r>
        <w:t xml:space="preserve">essuais ou de supervisão. No entanto, a recomendação inclui a exigência de conferência pela direção técnica/clínica, o que poderia ser interpretado como um elemento de controle futuro, embora não especifique mudanças sistêmicas para prevenir a recorrência.</w:t>
      </w:r>
      <w:r/>
    </w:p>
    <w:p>
      <w:pPr>
        <w:pStyle w:val="928"/>
        <w:numPr>
          <w:ilvl w:val="0"/>
          <w:numId w:val="8"/>
        </w:numPr>
        <w:pBdr/>
        <w:spacing/>
        <w:ind/>
        <w:rPr/>
      </w:pPr>
      <w:r>
        <w:t xml:space="preserve">Análise Foco Causa: Concordo</w:t>
      </w:r>
      <w:r/>
    </w:p>
    <w:p>
      <w:pPr>
        <w:pStyle w:val="928"/>
        <w:numPr>
          <w:ilvl w:val="0"/>
          <w:numId w:val="8"/>
        </w:numPr>
        <w:pBdr/>
        <w:spacing/>
        <w:ind/>
        <w:rPr/>
      </w:pPr>
      <w:r>
        <w:t xml:space="preserve">Análise Efeitos Duradouros: Concordo</w:t>
      </w:r>
      <w:bookmarkEnd w:id="30"/>
      <w:r/>
    </w:p>
    <w:p>
      <w:pPr>
        <w:pStyle w:val="915"/>
        <w:pBdr/>
        <w:spacing/>
        <w:ind/>
        <w:rPr/>
      </w:pPr>
      <w:r/>
      <w:bookmarkStart w:id="31" w:name="auditoria-19473-constatação-nº-672302-3"/>
      <w:r>
        <w:t xml:space="preserve">Auditoria 19473, Constatação Nº 672302 (#3)</w:t>
      </w:r>
      <w:r/>
    </w:p>
    <w:p>
      <w:pPr>
        <w:pStyle w:val="927"/>
        <w:pBdr/>
        <w:spacing/>
        <w:ind/>
        <w:rPr/>
      </w:pPr>
      <w:r>
        <w:rPr>
          <w:b/>
          <w:bCs/>
        </w:rPr>
        <w:t xml:space="preserve">Finalidade</w:t>
      </w:r>
      <w:r>
        <w:t xml:space="preserve">: Avaliar gestão e funcionamento do Serviço de Atendimento Móvel de Urgência - SAMU 192 em Osasco/SP</w:t>
      </w:r>
      <w:r/>
    </w:p>
    <w:p>
      <w:pPr>
        <w:pStyle w:val="926"/>
        <w:pBdr/>
        <w:spacing/>
        <w:ind/>
        <w:rPr/>
      </w:pPr>
      <w:r>
        <w:rPr>
          <w:b/>
          <w:bCs/>
        </w:rPr>
        <w:t xml:space="preserve">Constatação</w:t>
      </w:r>
      <w:r>
        <w:t xml:space="preserve">: Não foi apresentada documentação comprobatória da execução dos recursos federais destinados ao SAMU 192 Osasco, em desacordo com a legislação.</w:t>
      </w:r>
      <w:r/>
    </w:p>
    <w:p>
      <w:pPr>
        <w:pStyle w:val="926"/>
        <w:pBdr/>
        <w:spacing/>
        <w:ind/>
        <w:rPr/>
      </w:pPr>
      <w:r>
        <w:rPr>
          <w:b/>
          <w:bCs/>
        </w:rPr>
        <w:t xml:space="preserve">Recomendação</w:t>
      </w:r>
      <w:r>
        <w:t xml:space="preserve">: Utilizar os recursos financeiros de acordo com o p</w:t>
      </w:r>
      <w:r>
        <w:t xml:space="preserve">arágrafo 2º do artigo 3º da PT/GM/MS de Consolidação nº 6 de 28 de setembro de 2017, e suas alterações e comprovando que essas despesas foram realizadas na saúde de acordo com as orientações do parágrafo único, do artigo 70 da Constituição Federal de 5 de </w:t>
      </w:r>
      <w:r>
        <w:t xml:space="preserve">outubro de 1988; parágrafo único do artigo 8º da Lei Complementar nº 101 de 4 de maio de 2000; inciso II do artigo 2º da Portaria GM/MS nº 885, de 4 de maio de 2021 e nos termos dos arts. 3º e 8º da Instrução Normativa/TCU nº 71, de 28 de novembro de 2012.</w:t>
      </w:r>
      <w:r/>
    </w:p>
    <w:p>
      <w:pPr>
        <w:pStyle w:val="926"/>
        <w:pBdr/>
        <w:spacing/>
        <w:ind/>
        <w:rPr/>
      </w:pPr>
      <w:r>
        <w:rPr>
          <w:b/>
          <w:bCs/>
        </w:rPr>
        <w:t xml:space="preserve">Análise Codificação</w:t>
      </w:r>
      <w:r>
        <w:t xml:space="preserve">: A recomendação se li</w:t>
      </w:r>
      <w:r>
        <w:t xml:space="preserve">mita a citar dispositivos legais e normativos sem propor ações específicas para tratar a causa da falta de documentação comprobatória, como a implementação de processos de controle ou capacitação. Portanto, não há foco na causa do problema.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r/>
    </w:p>
    <w:p>
      <w:pPr>
        <w:pStyle w:val="928"/>
        <w:numPr>
          <w:ilvl w:val="0"/>
          <w:numId w:val="9"/>
        </w:numPr>
        <w:pBdr/>
        <w:spacing/>
        <w:ind/>
        <w:rPr/>
      </w:pPr>
      <w:r>
        <w:t xml:space="preserve">Ação Foco Causa: Não</w:t>
      </w:r>
      <w:r/>
    </w:p>
    <w:p>
      <w:pPr>
        <w:pStyle w:val="928"/>
        <w:numPr>
          <w:ilvl w:val="0"/>
          <w:numId w:val="9"/>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do modelo está correta, pois a recomendação apenas cita dispositivos legais sem propor ações concretas para tratar a causa subjacente da falta de documentação. Para o critério</w:t>
      </w:r>
      <w:r>
        <w:t xml:space="preserve"> </w:t>
      </w:r>
      <w:r>
        <w:t xml:space="preserve">‘Efeitos Duradouros’</w:t>
      </w:r>
      <w:r>
        <w:t xml:space="preserve">, como</w:t>
      </w:r>
      <w:r>
        <w:t xml:space="preserve"> </w:t>
      </w:r>
      <w:r>
        <w:t xml:space="preserve">‘Foco Causa’</w:t>
      </w:r>
      <w:r>
        <w:t xml:space="preserve"> </w:t>
      </w:r>
      <w:r>
        <w:t xml:space="preserve">foi corretamente classificado como</w:t>
      </w:r>
      <w:r>
        <w:t xml:space="preserve"> </w:t>
      </w:r>
      <w:r>
        <w:t xml:space="preserve">‘Não’</w:t>
      </w:r>
      <w:r>
        <w:t xml:space="preserve">, a resposta</w:t>
      </w:r>
      <w:r>
        <w:t xml:space="preserve"> </w:t>
      </w:r>
      <w:r>
        <w:t xml:space="preserve">‘Não se aplica’</w:t>
      </w:r>
      <w:r>
        <w:t xml:space="preserve"> </w:t>
      </w:r>
      <w:r>
        <w:t xml:space="preserve">é apropriada.</w:t>
      </w:r>
      <w:r/>
    </w:p>
    <w:p>
      <w:pPr>
        <w:pStyle w:val="928"/>
        <w:numPr>
          <w:ilvl w:val="0"/>
          <w:numId w:val="10"/>
        </w:numPr>
        <w:pBdr/>
        <w:spacing/>
        <w:ind/>
        <w:rPr/>
      </w:pPr>
      <w:r>
        <w:t xml:space="preserve">Análise Foco Causa: Concordo</w:t>
      </w:r>
      <w:r/>
    </w:p>
    <w:p>
      <w:pPr>
        <w:pStyle w:val="928"/>
        <w:numPr>
          <w:ilvl w:val="0"/>
          <w:numId w:val="10"/>
        </w:numPr>
        <w:pBdr/>
        <w:spacing/>
        <w:ind/>
        <w:rPr/>
      </w:pPr>
      <w:r>
        <w:t xml:space="preserve">Análise Efeitos Duradouros: Concordo</w:t>
      </w:r>
      <w:bookmarkEnd w:id="31"/>
      <w:r/>
    </w:p>
    <w:p>
      <w:pPr>
        <w:pStyle w:val="915"/>
        <w:pBdr/>
        <w:spacing/>
        <w:ind/>
        <w:rPr/>
      </w:pPr>
      <w:r/>
      <w:bookmarkStart w:id="32" w:name="auditoria-19589-constatação-nº-686742-1"/>
      <w:r>
        <w:t xml:space="preserve">Auditoria 19589, Constatação Nº 686742 (#1)</w:t>
      </w:r>
      <w:r/>
    </w:p>
    <w:p>
      <w:pPr>
        <w:pStyle w:val="927"/>
        <w:pBdr/>
        <w:spacing/>
        <w:ind/>
        <w:rPr/>
      </w:pPr>
      <w:r>
        <w:rPr>
          <w:b/>
          <w:bCs/>
        </w:rPr>
        <w:t xml:space="preserve">Finalidade</w:t>
      </w:r>
      <w:r>
        <w:t xml:space="preserve">: Verificar a gestão e o funcionamento do serviço de Atendimento Móvel de Urgência (SAMU 192).</w:t>
      </w:r>
      <w:r/>
    </w:p>
    <w:p>
      <w:pPr>
        <w:pStyle w:val="926"/>
        <w:pBdr/>
        <w:spacing/>
        <w:ind/>
        <w:rPr/>
      </w:pPr>
      <w:r>
        <w:rPr>
          <w:b/>
          <w:bCs/>
        </w:rPr>
        <w:t xml:space="preserve">Constatação</w:t>
      </w:r>
      <w:r>
        <w:t xml:space="preserve">: Os veículos recebidos em doação não foram incorporados ao patrimônio do município de Mossoró/RN.</w:t>
      </w:r>
      <w:r/>
    </w:p>
    <w:p>
      <w:pPr>
        <w:pStyle w:val="926"/>
        <w:pBdr/>
        <w:spacing/>
        <w:ind/>
        <w:rPr/>
      </w:pPr>
      <w:r>
        <w:rPr>
          <w:b/>
          <w:bCs/>
        </w:rPr>
        <w:t xml:space="preserve">Recomendação</w:t>
      </w:r>
      <w:r>
        <w:t xml:space="preserve">: Realizar a baixa dos bens doados pelo Ministério da Saúde à Secretaria Municipal de Mossoró/RN, em cumprimento às disposições contidas nos respectivos te</w:t>
      </w:r>
      <w:r>
        <w:t xml:space="preserve">rmos de doações referentes a transferência da titularidade dos recebidos em doação. Cumprir as recomendações contidas na legislação quanto a descaracterização e mudança de finalidade de veículos doados aos estados, municípios e Distrito federal para uso no</w:t>
      </w:r>
      <w:r>
        <w:t xml:space="preserve"> SAMU 192, em obediência ao artº 17, da Lei nº 8.666 de 21 de junho de 1993, que determina que a alienação de bens da Administração Pública, subordinada à existência de interesse público devidamente justificado, bem como, do artº 94, da Lei nº 4.320, de 17</w:t>
      </w:r>
      <w:r>
        <w:t xml:space="preserve"> de março de 1964, que de estabelece que haverá registros analíticos de todos os bens de caráter permanente, com indicação dos elementos necessários para a perfeita caracterização de cada um deles e dos agentes responsáveis pela sua guarda e administração.</w:t>
      </w:r>
      <w:r/>
    </w:p>
    <w:p>
      <w:pPr>
        <w:pStyle w:val="926"/>
        <w:pBdr/>
        <w:spacing/>
        <w:ind/>
        <w:rPr/>
      </w:pPr>
      <w:r>
        <w:rPr>
          <w:b/>
          <w:bCs/>
        </w:rPr>
        <w:t xml:space="preserve">Análise Codificação</w:t>
      </w:r>
      <w:r>
        <w:t xml:space="preserve">: A recomendação propõe ações específicas para regularizar a situação patrimon</w:t>
      </w:r>
      <w:r>
        <w:t xml:space="preserve">ial dos veículos doados, como realizar a baixa dos bens e cumprir disposições legais sobre transferência de titularidade e registros patrimoniais. No entanto, essas ações focam na correção da condição irregular atual (veículos não incorporados ao patrimôni</w:t>
      </w:r>
      <w:r>
        <w:t xml:space="preserve">o) e no cumprimento de procedimentos formais, sem abordar as causas subjacentes que levaram a essa falha, como deficiências em processos de gestão patrimonial, capacitação de pessoal ou controles internos. Em relação aos efeitos duradouros, como o critério</w:t>
      </w:r>
      <w:r>
        <w:t xml:space="preserve"> </w:t>
      </w:r>
      <w:r>
        <w:t xml:space="preserve">‘Foco Causa’</w:t>
      </w:r>
      <w:r>
        <w:t xml:space="preserve"> </w:t>
      </w:r>
      <w:r>
        <w:t xml:space="preserve">não foi atendido, esta análise não se aplica.</w:t>
      </w:r>
      <w:r/>
    </w:p>
    <w:p>
      <w:pPr>
        <w:pStyle w:val="928"/>
        <w:numPr>
          <w:ilvl w:val="0"/>
          <w:numId w:val="11"/>
        </w:numPr>
        <w:pBdr/>
        <w:spacing/>
        <w:ind/>
        <w:rPr/>
      </w:pPr>
      <w:r>
        <w:t xml:space="preserve">Ação Foco Causa: Não</w:t>
      </w:r>
      <w:r/>
    </w:p>
    <w:p>
      <w:pPr>
        <w:pStyle w:val="928"/>
        <w:numPr>
          <w:ilvl w:val="0"/>
          <w:numId w:val="11"/>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w:t>
      </w:r>
      <w:r>
        <w:t xml:space="preserve">se do modelo identificou corretamente que a recomendação se concentra na correção da condição irregular atual (veículos não incorporados ao patrimônio) e no cumprimento de procedimentos legais, sem abordar as causas subjacentes da falha. Quanto ao critério</w:t>
      </w:r>
      <w:r>
        <w:t xml:space="preserve"> </w:t>
      </w:r>
      <w:r>
        <w:t xml:space="preserve">‘Efeitos Duradouros’</w:t>
      </w:r>
      <w:r>
        <w:t xml:space="preserve">, a análise está correta ao considerar que não se aplica, dado que o critério</w:t>
      </w:r>
      <w:r>
        <w:t xml:space="preserve"> </w:t>
      </w:r>
      <w:r>
        <w:t xml:space="preserve">‘Foco Causa’</w:t>
      </w:r>
      <w:r>
        <w:t xml:space="preserve"> </w:t>
      </w:r>
      <w:r>
        <w:t xml:space="preserve">não foi atendido.</w:t>
      </w:r>
      <w:r/>
    </w:p>
    <w:p>
      <w:pPr>
        <w:pStyle w:val="928"/>
        <w:numPr>
          <w:ilvl w:val="0"/>
          <w:numId w:val="12"/>
        </w:numPr>
        <w:pBdr/>
        <w:spacing/>
        <w:ind/>
        <w:rPr/>
      </w:pPr>
      <w:r>
        <w:t xml:space="preserve">Análise Foco Causa: Concordo</w:t>
      </w:r>
      <w:r/>
    </w:p>
    <w:p>
      <w:pPr>
        <w:pStyle w:val="928"/>
        <w:numPr>
          <w:ilvl w:val="0"/>
          <w:numId w:val="12"/>
        </w:numPr>
        <w:pBdr/>
        <w:spacing/>
        <w:ind/>
        <w:rPr/>
      </w:pPr>
      <w:r>
        <w:t xml:space="preserve">Análise Efeitos Duradouros: Concordo</w:t>
      </w:r>
      <w:bookmarkEnd w:id="32"/>
      <w:r/>
    </w:p>
    <w:p>
      <w:pPr>
        <w:pStyle w:val="915"/>
        <w:pBdr/>
        <w:spacing/>
        <w:ind/>
        <w:rPr/>
      </w:pPr>
      <w:r/>
      <w:bookmarkStart w:id="33" w:name="auditoria-19595-constatação-nº-674269-1"/>
      <w:r>
        <w:t xml:space="preserve">Auditoria 19595, Constatação Nº 674269 (#1)</w:t>
      </w:r>
      <w:r/>
    </w:p>
    <w:p>
      <w:pPr>
        <w:pStyle w:val="927"/>
        <w:pBdr/>
        <w:spacing/>
        <w:ind/>
        <w:rPr/>
      </w:pPr>
      <w:r>
        <w:rPr>
          <w:b/>
          <w:bCs/>
        </w:rPr>
        <w:t xml:space="preserve">Finalidade</w:t>
      </w:r>
      <w:r>
        <w:t xml:space="preserve">: Avaliar os indicadores de desempenho do programa Previne Brasil no município de Pontal do Paraná.</w:t>
      </w:r>
      <w:r/>
    </w:p>
    <w:p>
      <w:pPr>
        <w:pStyle w:val="926"/>
        <w:pBdr/>
        <w:spacing/>
        <w:ind/>
        <w:rPr/>
      </w:pPr>
      <w:r>
        <w:rPr>
          <w:b/>
          <w:bCs/>
        </w:rPr>
        <w:t xml:space="preserve">Constatação</w:t>
      </w:r>
      <w:r>
        <w:t xml:space="preserve">: Os dados relacionados à cobertura vacinal do indicador nº 5 apresentados no SISAB, não são equivalentes aos registrados nos demais sistemas correlacionados à vacinação, no exercício de 2022.</w:t>
      </w:r>
      <w:r/>
    </w:p>
    <w:p>
      <w:pPr>
        <w:pStyle w:val="926"/>
        <w:pBdr/>
        <w:spacing/>
        <w:ind/>
        <w:rPr/>
      </w:pPr>
      <w:r>
        <w:rPr>
          <w:b/>
          <w:bCs/>
        </w:rPr>
        <w:t xml:space="preserve">Recomendação</w:t>
      </w:r>
      <w:r>
        <w:t xml:space="preserve">: Registrar no </w:t>
      </w:r>
      <w:r>
        <w:t xml:space="preserve">SISAB, por competência, os dados relacionados à cobertura vacinal do indicador nº 5, regularmente, até o 10º dia útil subsequente a cada competência, de acordo com o preconizado na Nota Técnica nº 22/2022-SAPS/MS e pela Portaria SAPS/MS nº 4, de 28/1/2021.</w:t>
      </w:r>
      <w:r/>
    </w:p>
    <w:p>
      <w:pPr>
        <w:pStyle w:val="926"/>
        <w:pBdr/>
        <w:spacing/>
        <w:ind/>
        <w:rPr/>
      </w:pPr>
      <w:r>
        <w:rPr>
          <w:b/>
          <w:bCs/>
        </w:rPr>
        <w:t xml:space="preserve">Análise Codificação</w:t>
      </w:r>
      <w:r>
        <w:t xml:space="preserve">: Em relação ao foco, a recomendação propõe apenas o registro regular dos dados no SISAB dentro de um prazo específico, sem abordar as causas subjacentes da discrepância entre o</w:t>
      </w:r>
      <w:r>
        <w:t xml:space="preserve">s sistemas (como problemas de integração, capacitação da equipe ou inconsistências nos processos de coleta de dados). Portanto, ela se concentra na correção da condição atual (dados desatualizados) e não na prevenção de futuras ocorrências. Como o critério</w:t>
      </w:r>
      <w:r>
        <w:t xml:space="preserve"> </w:t>
      </w:r>
      <w:r>
        <w:t xml:space="preserve">‘Foco Causa’</w:t>
      </w:r>
      <w:r>
        <w:t xml:space="preserve"> </w:t>
      </w:r>
      <w:r>
        <w:t xml:space="preserve">não foi atendido, a avaliação de</w:t>
      </w:r>
      <w:r>
        <w:t xml:space="preserve"> </w:t>
      </w:r>
      <w:r>
        <w:t xml:space="preserve">‘Efeitos Duradouros’</w:t>
      </w:r>
      <w:r>
        <w:t xml:space="preserve"> </w:t>
      </w:r>
      <w:r>
        <w:t xml:space="preserve">não se aplica.</w:t>
      </w:r>
      <w:r/>
    </w:p>
    <w:p>
      <w:pPr>
        <w:pStyle w:val="928"/>
        <w:numPr>
          <w:ilvl w:val="0"/>
          <w:numId w:val="13"/>
        </w:numPr>
        <w:pBdr/>
        <w:spacing/>
        <w:ind/>
        <w:rPr/>
      </w:pPr>
      <w:r>
        <w:t xml:space="preserve">Ação Foco Causa: Não</w:t>
      </w:r>
      <w:r/>
    </w:p>
    <w:p>
      <w:pPr>
        <w:pStyle w:val="928"/>
        <w:numPr>
          <w:ilvl w:val="0"/>
          <w:numId w:val="13"/>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do modelo está correta ao identificar que a recomendação se concentra na correção da condição atual (registro pontual e regular dos dados) sem abordar as causas subjacentes da discrepância entre sistemas. Quanto ao critério</w:t>
      </w:r>
      <w:r>
        <w:t xml:space="preserve"> </w:t>
      </w:r>
      <w:r>
        <w:t xml:space="preserve">‘Efeitos Duradouros’</w:t>
      </w:r>
      <w:r>
        <w:t xml:space="preserve">, a não aplicação é coerente, dado que o primeiro critério não foi atendido.</w:t>
      </w:r>
      <w:r/>
    </w:p>
    <w:p>
      <w:pPr>
        <w:pStyle w:val="928"/>
        <w:numPr>
          <w:ilvl w:val="0"/>
          <w:numId w:val="14"/>
        </w:numPr>
        <w:pBdr/>
        <w:spacing/>
        <w:ind/>
        <w:rPr/>
      </w:pPr>
      <w:r>
        <w:t xml:space="preserve">Análise Foco Causa: Concordo</w:t>
      </w:r>
      <w:r/>
    </w:p>
    <w:p>
      <w:pPr>
        <w:pStyle w:val="928"/>
        <w:numPr>
          <w:ilvl w:val="0"/>
          <w:numId w:val="14"/>
        </w:numPr>
        <w:pBdr/>
        <w:spacing/>
        <w:ind/>
        <w:rPr/>
      </w:pPr>
      <w:r>
        <w:t xml:space="preserve">Análise Efeitos Duradouros: Concordo</w:t>
      </w:r>
      <w:bookmarkEnd w:id="33"/>
      <w:r/>
    </w:p>
    <w:p>
      <w:pPr>
        <w:pStyle w:val="915"/>
        <w:pBdr/>
        <w:spacing/>
        <w:ind/>
        <w:rPr/>
      </w:pPr>
      <w:r/>
      <w:bookmarkStart w:id="34" w:name="auditoria-19753-constatação-nº-694444-1"/>
      <w:r>
        <w:t xml:space="preserve">Auditoria 19753, Constatação Nº 694444 (#1)</w:t>
      </w:r>
      <w:r/>
    </w:p>
    <w:p>
      <w:pPr>
        <w:pStyle w:val="927"/>
        <w:pBdr/>
        <w:spacing/>
        <w:ind/>
        <w:rPr/>
      </w:pPr>
      <w:r>
        <w:rPr>
          <w:b/>
          <w:bCs/>
        </w:rPr>
        <w:t xml:space="preserve">Finalidade</w:t>
      </w:r>
      <w:r>
        <w:t xml:space="preserve">: Verificar a regularidade da produção inserida nos sistemas do SUS.</w:t>
      </w:r>
      <w:r/>
    </w:p>
    <w:p>
      <w:pPr>
        <w:pStyle w:val="926"/>
        <w:pBdr/>
        <w:spacing/>
        <w:ind/>
        <w:rPr/>
      </w:pPr>
      <w:r>
        <w:rPr>
          <w:b/>
          <w:bCs/>
        </w:rPr>
        <w:t xml:space="preserve">Constatação</w:t>
      </w:r>
      <w:r>
        <w:t xml:space="preserve">: Não há documentos comprobatórios que justifiquem a produção ambulatorial dos procedimentos sob código SIGTAP 08.03.01.012-5 e 08.03.01.010-9 registrada no Sistema de Informações Ambulatoriais.</w:t>
      </w:r>
      <w:r/>
    </w:p>
    <w:p>
      <w:pPr>
        <w:pStyle w:val="926"/>
        <w:pBdr/>
        <w:spacing/>
        <w:ind/>
        <w:rPr/>
      </w:pPr>
      <w:r>
        <w:rPr>
          <w:b/>
          <w:bCs/>
        </w:rPr>
        <w:t xml:space="preserve">Recomendação</w:t>
      </w:r>
      <w:r>
        <w:t xml:space="preserve">: À Secretaria de atenção Especializada à Saúde - SAE</w:t>
      </w:r>
      <w:r>
        <w:t xml:space="preserve">S/MS para conhecimento da presente constatação e adoção dos procedimentos a seu cargo, conforme estabelecido na art. 3º da Portaria GM/MS nº 885/2021, visando a elisão do dano e/ou impropriedade ocorrida com recursos de origem federal, indicado no Capítulo</w:t>
      </w:r>
      <w:r>
        <w:t xml:space="preserve"> </w:t>
      </w:r>
      <w:r>
        <w:t xml:space="preserve">“Proposição de Devolução”</w:t>
      </w:r>
      <w:r>
        <w:t xml:space="preserve"> </w:t>
      </w:r>
      <w:r>
        <w:t xml:space="preserve">deste relatório.</w:t>
      </w:r>
      <w:r/>
    </w:p>
    <w:p>
      <w:pPr>
        <w:pStyle w:val="926"/>
        <w:pBdr/>
        <w:spacing/>
        <w:ind/>
        <w:rPr/>
      </w:pPr>
      <w:r>
        <w:rPr>
          <w:b/>
          <w:bCs/>
        </w:rPr>
        <w:t xml:space="preserve">Análise Codificação</w:t>
      </w:r>
      <w:r>
        <w:t xml:space="preserve">: A recomendação não propõe ações específicas para tratar</w:t>
      </w:r>
      <w:r>
        <w:t xml:space="preserve"> a causa da falta de documentação comprobatória, limitando-se a encaminhar a constatação para conhecimento e adoção de procedimentos genéricos, sem detalhar medidas corretivas direcionadas à raiz do problema. Portanto, não há foco na causa. Como o critério</w:t>
      </w:r>
      <w:r>
        <w:t xml:space="preserve"> </w:t>
      </w:r>
      <w:r>
        <w:t xml:space="preserve">‘Foco Causa’</w:t>
      </w:r>
      <w:r>
        <w:t xml:space="preserve"> </w:t>
      </w:r>
      <w:r>
        <w:t xml:space="preserve">é</w:t>
      </w:r>
      <w:r>
        <w:t xml:space="preserve"> </w:t>
      </w:r>
      <w:r>
        <w:t xml:space="preserve">‘Não’</w:t>
      </w:r>
      <w:r>
        <w:t xml:space="preserve">, o critério</w:t>
      </w:r>
      <w:r>
        <w:t xml:space="preserve"> </w:t>
      </w:r>
      <w:r>
        <w:t xml:space="preserve">‘Efeitos Duradouros’</w:t>
      </w:r>
      <w:r>
        <w:t xml:space="preserve"> </w:t>
      </w:r>
      <w:r>
        <w:t xml:space="preserve">não se aplica.</w:t>
      </w:r>
      <w:r/>
    </w:p>
    <w:p>
      <w:pPr>
        <w:pStyle w:val="928"/>
        <w:numPr>
          <w:ilvl w:val="0"/>
          <w:numId w:val="15"/>
        </w:numPr>
        <w:pBdr/>
        <w:spacing/>
        <w:ind/>
        <w:rPr/>
      </w:pPr>
      <w:r>
        <w:t xml:space="preserve">Ação Foco Causa: Não</w:t>
      </w:r>
      <w:r/>
    </w:p>
    <w:p>
      <w:pPr>
        <w:pStyle w:val="928"/>
        <w:numPr>
          <w:ilvl w:val="0"/>
          <w:numId w:val="15"/>
        </w:numPr>
        <w:pBdr/>
        <w:spacing/>
        <w:ind/>
        <w:rPr/>
      </w:pPr>
      <w:r>
        <w:t xml:space="preserve">Efeitos Duradouros: Não se aplica</w:t>
      </w:r>
      <w:r/>
    </w:p>
    <w:p>
      <w:pPr>
        <w:pStyle w:val="927"/>
        <w:pBdr/>
        <w:spacing/>
        <w:ind/>
        <w:rPr/>
      </w:pPr>
      <w:r>
        <w:rPr>
          <w:b/>
          <w:bCs/>
        </w:rPr>
        <w:t xml:space="preserve">Análise Crítica</w:t>
      </w:r>
      <w:r>
        <w:t xml:space="preserve">: A análise da codificação está correta ao identificar que a recomendação não propõe ações específicas para tratar a causa da falta de documentação comprobatória, limitando-se a encaminhar a</w:t>
      </w:r>
      <w:r>
        <w:t xml:space="preserve"> constatação para conhecimento e adoção de procedimentos genéricos, sem detalhar medidas corretivas direcionadas à raiz do problema. Portanto, concordo com a avaliação de que não há foco na causa, o que torna o critério de efeitos duradouros não aplicável.</w:t>
      </w:r>
      <w:r/>
    </w:p>
    <w:p>
      <w:pPr>
        <w:pStyle w:val="928"/>
        <w:numPr>
          <w:ilvl w:val="0"/>
          <w:numId w:val="16"/>
        </w:numPr>
        <w:pBdr/>
        <w:spacing/>
        <w:ind/>
        <w:rPr/>
      </w:pPr>
      <w:r>
        <w:t xml:space="preserve">Análise Foco Causa: Concordo</w:t>
      </w:r>
      <w:r/>
    </w:p>
    <w:p>
      <w:pPr>
        <w:pStyle w:val="928"/>
        <w:numPr>
          <w:ilvl w:val="0"/>
          <w:numId w:val="16"/>
        </w:numPr>
        <w:pBdr/>
        <w:spacing/>
        <w:ind/>
        <w:rPr/>
      </w:pPr>
      <w:r>
        <w:t xml:space="preserve">Análise Efeitos Duradouros: Concordo</w:t>
      </w:r>
      <w:bookmarkEnd w:id="34"/>
      <w:r/>
    </w:p>
    <w:p>
      <w:pPr>
        <w:pStyle w:val="915"/>
        <w:pBdr/>
        <w:spacing/>
        <w:ind/>
        <w:rPr/>
      </w:pPr>
      <w:r/>
      <w:bookmarkStart w:id="35" w:name="auditoria-19767-constatação-nº-693754-1"/>
      <w:r>
        <w:t xml:space="preserve">Auditoria 19767, Constatação Nº 693754 (#1)</w:t>
      </w:r>
      <w:r/>
    </w:p>
    <w:p>
      <w:pPr>
        <w:pStyle w:val="927"/>
        <w:pBdr/>
        <w:spacing/>
        <w:ind/>
        <w:rPr/>
      </w:pPr>
      <w:r>
        <w:rPr>
          <w:b/>
          <w:bCs/>
        </w:rPr>
        <w:t xml:space="preserve">Finalidade</w:t>
      </w:r>
      <w:r>
        <w:t xml:space="preserve">: Verificar o funcionamento do CEREST - Blumenau</w:t>
      </w:r>
      <w:r/>
    </w:p>
    <w:p>
      <w:pPr>
        <w:pStyle w:val="926"/>
        <w:pBdr/>
        <w:spacing/>
        <w:ind/>
        <w:rPr/>
      </w:pPr>
      <w:r>
        <w:rPr>
          <w:b/>
          <w:bCs/>
        </w:rPr>
        <w:t xml:space="preserve">Constatação</w:t>
      </w:r>
      <w:r>
        <w:t xml:space="preserve">: As Atas do Conselho Municipal de Saúde de Blumenau sem as assinaturas dos participantes não são documentos hábeis para comprovar aprovação dos instrumentos de planejamento e prestação de contas.</w:t>
      </w:r>
      <w:r/>
    </w:p>
    <w:p>
      <w:pPr>
        <w:pStyle w:val="926"/>
        <w:pBdr/>
        <w:spacing/>
        <w:ind/>
        <w:rPr/>
      </w:pPr>
      <w:r>
        <w:rPr>
          <w:b/>
          <w:bCs/>
        </w:rPr>
        <w:t xml:space="preserve">Recomendação</w:t>
      </w:r>
      <w:r>
        <w:t xml:space="preserve">: Atender as orientações do Ministério da Saúde/Conselho Nacional de Saúde contidos no Manual de Orientações para Secretarias Executivas dos Conselhos de Saúde, Série A - Normas e Manuais Técnicos em seu item 3.7 (pag. 48)</w:t>
      </w:r>
      <w:r>
        <w:t xml:space="preserve"> </w:t>
      </w:r>
      <w:r>
        <w:t xml:space="preserve">“COMO ELABORAR UMA ATA”</w:t>
      </w:r>
      <w:r>
        <w:t xml:space="preserve">, A não apresentação de documentos válidos está em desacordo com o Art. 11 do Decreto nº 1.651, de 28 de setembro de 1995 que diz que os órgãos do SUS e as entidades privadas, que dele participarem de forma complementar</w:t>
      </w:r>
      <w:r>
        <w:t xml:space="preserve">, ficam obrigados a prestar, quando exigida, ao pessoal em exercício no SNA e à Comissão Corregedora, toda informação necessária ao desempenho das atividades de controle, avaliação e auditoria, facilitando-lhes o acesso a documentos, pessoas e instalações.</w:t>
      </w:r>
      <w:r/>
    </w:p>
    <w:p>
      <w:pPr>
        <w:pStyle w:val="926"/>
        <w:pBdr/>
        <w:spacing/>
        <w:ind/>
        <w:rPr/>
      </w:pPr>
      <w:r>
        <w:rPr>
          <w:b/>
          <w:bCs/>
        </w:rPr>
        <w:t xml:space="preserve">Análise Codificação</w:t>
      </w:r>
      <w:r>
        <w:t xml:space="preserve">: A recomendação se limita a orientar o atendimento às normas existentes </w:t>
      </w:r>
      <w:r>
        <w:t xml:space="preserve">sobre elaboração de atas, sem propor ações específicas para tratar a causa subjacente da não assinatura dos participantes (como falta de procedimentos, capacitação ou controle). Portanto, não há ação proposta que trate da causa do problema. Como o critério</w:t>
      </w:r>
      <w:r>
        <w:t xml:space="preserve"> </w:t>
      </w:r>
      <w:r>
        <w:t xml:space="preserve">‘Foco Causa’</w:t>
      </w:r>
      <w:r>
        <w:t xml:space="preserve"> </w:t>
      </w:r>
      <w:r>
        <w:t xml:space="preserve">não foi atendido, o critério</w:t>
      </w:r>
      <w:r>
        <w:t xml:space="preserve"> </w:t>
      </w:r>
      <w:r>
        <w:t xml:space="preserve">‘Efeitos Duradouros’</w:t>
      </w:r>
      <w:r>
        <w:t xml:space="preserve"> </w:t>
      </w:r>
      <w:r>
        <w:t xml:space="preserve">não se aplica.</w:t>
      </w:r>
      <w:r/>
    </w:p>
    <w:p>
      <w:pPr>
        <w:pStyle w:val="928"/>
        <w:numPr>
          <w:ilvl w:val="0"/>
          <w:numId w:val="17"/>
        </w:numPr>
        <w:pBdr/>
        <w:spacing/>
        <w:ind/>
        <w:rPr/>
      </w:pPr>
      <w:r>
        <w:t xml:space="preserve">Ação Foco Causa: Não</w:t>
      </w:r>
      <w:r/>
    </w:p>
    <w:p>
      <w:pPr>
        <w:pStyle w:val="928"/>
        <w:numPr>
          <w:ilvl w:val="0"/>
          <w:numId w:val="17"/>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do modelo está correta, pois a recomendação apenas cita normas existentes sem propor ações específicas para abordar a causa raiz da não assinatura das atas. Para o critério</w:t>
      </w:r>
      <w:r>
        <w:t xml:space="preserve"> </w:t>
      </w:r>
      <w:r>
        <w:t xml:space="preserve">‘Efeitos Duradouros’</w:t>
      </w:r>
      <w:r>
        <w:t xml:space="preserve">, como o</w:t>
      </w:r>
      <w:r>
        <w:t xml:space="preserve"> </w:t>
      </w:r>
      <w:r>
        <w:t xml:space="preserve">‘Foco Causa’</w:t>
      </w:r>
      <w:r>
        <w:t xml:space="preserve"> </w:t>
      </w:r>
      <w:r>
        <w:t xml:space="preserve">foi avaliado como</w:t>
      </w:r>
      <w:r>
        <w:t xml:space="preserve"> </w:t>
      </w:r>
      <w:r>
        <w:t xml:space="preserve">‘Não’</w:t>
      </w:r>
      <w:r>
        <w:t xml:space="preserve">, a resposta</w:t>
      </w:r>
      <w:r>
        <w:t xml:space="preserve"> </w:t>
      </w:r>
      <w:r>
        <w:t xml:space="preserve">‘Não se aplica’</w:t>
      </w:r>
      <w:r>
        <w:t xml:space="preserve"> </w:t>
      </w:r>
      <w:r>
        <w:t xml:space="preserve">está adequada.</w:t>
      </w:r>
      <w:r/>
    </w:p>
    <w:p>
      <w:pPr>
        <w:pStyle w:val="928"/>
        <w:numPr>
          <w:ilvl w:val="0"/>
          <w:numId w:val="18"/>
        </w:numPr>
        <w:pBdr/>
        <w:spacing/>
        <w:ind/>
        <w:rPr/>
      </w:pPr>
      <w:r>
        <w:t xml:space="preserve">Análise Foco Causa: Concordo</w:t>
      </w:r>
      <w:r/>
    </w:p>
    <w:p>
      <w:pPr>
        <w:pStyle w:val="928"/>
        <w:numPr>
          <w:ilvl w:val="0"/>
          <w:numId w:val="18"/>
        </w:numPr>
        <w:pBdr/>
        <w:spacing/>
        <w:ind/>
        <w:rPr/>
      </w:pPr>
      <w:r>
        <w:t xml:space="preserve">Análise Efeitos Duradouros: Concordo</w:t>
      </w:r>
      <w:bookmarkEnd w:id="35"/>
      <w:r/>
    </w:p>
    <w:p>
      <w:pPr>
        <w:pStyle w:val="915"/>
        <w:pBdr/>
        <w:spacing/>
        <w:ind/>
        <w:rPr/>
      </w:pPr>
      <w:r/>
      <w:bookmarkStart w:id="36" w:name="auditoria-19826-constatação-nº-694765-1"/>
      <w:r>
        <w:t xml:space="preserve">Auditoria 19826, Constatação Nº 694765 (#1)</w:t>
      </w:r>
      <w:r/>
    </w:p>
    <w:p>
      <w:pPr>
        <w:pStyle w:val="927"/>
        <w:pBdr/>
        <w:spacing/>
        <w:ind/>
        <w:rPr/>
      </w:pPr>
      <w:r>
        <w:rPr>
          <w:b/>
          <w:bCs/>
        </w:rPr>
        <w:t xml:space="preserve">Finalidade</w:t>
      </w:r>
      <w:r>
        <w:t xml:space="preserve">: Verificar a regularidade da produção inserida nos sistemas do SUS.</w:t>
      </w:r>
      <w:r/>
    </w:p>
    <w:p>
      <w:pPr>
        <w:pStyle w:val="926"/>
        <w:pBdr/>
        <w:spacing/>
        <w:ind/>
        <w:rPr/>
      </w:pPr>
      <w:r>
        <w:rPr>
          <w:b/>
          <w:bCs/>
        </w:rPr>
        <w:t xml:space="preserve">Constatação</w:t>
      </w:r>
      <w:r>
        <w:t xml:space="preserve">: A Secretaria Municipal de Saúde de Auriflama não possui a documentação comprobatória das solicitações do procedimento</w:t>
      </w:r>
      <w:r>
        <w:t xml:space="preserve"> </w:t>
      </w:r>
      <w:r>
        <w:t xml:space="preserve">“Unidade de Remuneração para Deslocamento de Paciente por Transporte Terrestre (cada 50 km) - TFD”</w:t>
      </w:r>
      <w:r>
        <w:t xml:space="preserve"> </w:t>
      </w:r>
      <w:r>
        <w:t xml:space="preserve">(Código Sigtap 08.03.01.012-5), conforme determina a legislação.</w:t>
      </w:r>
      <w:r/>
    </w:p>
    <w:p>
      <w:pPr>
        <w:pStyle w:val="926"/>
        <w:pBdr/>
        <w:spacing/>
        <w:ind/>
        <w:rPr/>
      </w:pPr>
      <w:r>
        <w:rPr>
          <w:b/>
          <w:bCs/>
        </w:rPr>
        <w:t xml:space="preserve">Recomendação</w:t>
      </w:r>
      <w:r>
        <w:t xml:space="preserve">: Cumprir o que determina os artigos 145 e 146 d</w:t>
      </w:r>
      <w:r>
        <w:t xml:space="preserve">a Portaria de Consolidação nº 01 SAES/MS de 22 de fevereiro de 2022, que os comprovantes das despesas relativas ao TFD deverão ser organizados e disponibilizados aos órgãos de controle do SUS e que as secretarias estaduais/municipais de saúde deverão organ</w:t>
      </w:r>
      <w:r>
        <w:t xml:space="preserve">izar o controle e a avaliação do TFD, de modo a manter disponível a documentação comprobatória das despesas. Cumprir também o que determina o art. 140 da Portaria de Consolidação nº 01 SAES/MS de 22 de fevereiro de 2022, que a solicitação de TFD deverá ser</w:t>
      </w:r>
      <w:r>
        <w:t xml:space="preserve"> feita pelo médico assistente do paciente nas unidades assistenciais vinculadas ao SUS e autorizada por comissão nomeada pelo respectivo gestor municipal/estadual, que solicitará, se necessário, exames ou documentos que complementem a análise de cada caso.</w:t>
      </w:r>
      <w:r/>
    </w:p>
    <w:p>
      <w:pPr>
        <w:pStyle w:val="926"/>
        <w:pBdr/>
        <w:spacing/>
        <w:ind/>
        <w:rPr/>
      </w:pPr>
      <w:r>
        <w:rPr>
          <w:b/>
          <w:bCs/>
        </w:rPr>
        <w:t xml:space="preserve">Análise Codificação</w:t>
      </w:r>
      <w:r>
        <w:t xml:space="preserve">: Em relação ao foco, a recomendação se limita a exigir o cumprimento de dispositivos legais específicos que tratam da organização e disponibilização da documentação comprobatória e do processo de solicitaç</w:t>
      </w:r>
      <w:r>
        <w:t xml:space="preserve">ão/autorização do TFD, sem propor ações que abordem as causas subjacentes que levaram à ausência dessa documentação (como falta de capacitação, recursos insuficientes, falhas no processo interno, etc.). Já em relação aos efeitos duradouros, como o critério</w:t>
      </w:r>
      <w:r>
        <w:t xml:space="preserve"> </w:t>
      </w:r>
      <w:r>
        <w:t xml:space="preserve">‘Foco Causa’</w:t>
      </w:r>
      <w:r>
        <w:t xml:space="preserve"> </w:t>
      </w:r>
      <w:r>
        <w:t xml:space="preserve">não foi atendido, esta análise não se aplica.</w:t>
      </w:r>
      <w:r/>
    </w:p>
    <w:p>
      <w:pPr>
        <w:pStyle w:val="928"/>
        <w:numPr>
          <w:ilvl w:val="0"/>
          <w:numId w:val="19"/>
        </w:numPr>
        <w:pBdr/>
        <w:spacing/>
        <w:ind/>
        <w:rPr/>
      </w:pPr>
      <w:r>
        <w:t xml:space="preserve">Ação Foco Causa: Não</w:t>
      </w:r>
      <w:r/>
    </w:p>
    <w:p>
      <w:pPr>
        <w:pStyle w:val="928"/>
        <w:numPr>
          <w:ilvl w:val="0"/>
          <w:numId w:val="19"/>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do modelo está correta ao identificar que a recomendação se limita a exigir o cumprimento de normas legais existentes sem propor ações específicas para tratar as causas subjacentes da ausência de documentação. Quanto ao critério</w:t>
      </w:r>
      <w:r>
        <w:t xml:space="preserve"> </w:t>
      </w:r>
      <w:r>
        <w:t xml:space="preserve">‘Efeitos Duradouros’</w:t>
      </w:r>
      <w:r>
        <w:t xml:space="preserve">, a resposta</w:t>
      </w:r>
      <w:r>
        <w:t xml:space="preserve"> </w:t>
      </w:r>
      <w:r>
        <w:t xml:space="preserve">‘Não se aplica’</w:t>
      </w:r>
      <w:r>
        <w:t xml:space="preserve"> </w:t>
      </w:r>
      <w:r>
        <w:t xml:space="preserve">é adequada uma vez que o critério</w:t>
      </w:r>
      <w:r>
        <w:t xml:space="preserve"> </w:t>
      </w:r>
      <w:r>
        <w:t xml:space="preserve">‘Foco Causa’</w:t>
      </w:r>
      <w:r>
        <w:t xml:space="preserve"> </w:t>
      </w:r>
      <w:r>
        <w:t xml:space="preserve">foi classificado como</w:t>
      </w:r>
      <w:r>
        <w:t xml:space="preserve"> </w:t>
      </w:r>
      <w:r>
        <w:t xml:space="preserve">‘Não’</w:t>
      </w:r>
      <w:r>
        <w:t xml:space="preserve">.</w:t>
      </w:r>
      <w:r/>
    </w:p>
    <w:p>
      <w:pPr>
        <w:pStyle w:val="928"/>
        <w:numPr>
          <w:ilvl w:val="0"/>
          <w:numId w:val="20"/>
        </w:numPr>
        <w:pBdr/>
        <w:spacing/>
        <w:ind/>
        <w:rPr/>
      </w:pPr>
      <w:r>
        <w:t xml:space="preserve">Análise Foco Causa: Concordo</w:t>
      </w:r>
      <w:r/>
    </w:p>
    <w:p>
      <w:pPr>
        <w:pStyle w:val="928"/>
        <w:numPr>
          <w:ilvl w:val="0"/>
          <w:numId w:val="20"/>
        </w:numPr>
        <w:pBdr/>
        <w:spacing/>
        <w:ind/>
        <w:rPr/>
      </w:pPr>
      <w:r>
        <w:t xml:space="preserve">Análise Efeitos Duradouros: Concordo</w:t>
      </w:r>
      <w:bookmarkEnd w:id="36"/>
      <w:r/>
    </w:p>
    <w:p>
      <w:pPr>
        <w:pStyle w:val="915"/>
        <w:pBdr/>
        <w:spacing/>
        <w:ind/>
        <w:rPr/>
      </w:pPr>
      <w:r/>
      <w:bookmarkStart w:id="37" w:name="auditoria-19863-constatação-nº-703516-1"/>
      <w:r>
        <w:t xml:space="preserve">Auditoria 19863, Constatação Nº 703516 (#1)</w:t>
      </w:r>
      <w:r/>
    </w:p>
    <w:p>
      <w:pPr>
        <w:pStyle w:val="927"/>
        <w:pBdr/>
        <w:spacing/>
        <w:ind/>
        <w:rPr/>
      </w:pPr>
      <w:r>
        <w:rPr>
          <w:b/>
          <w:bCs/>
        </w:rPr>
        <w:t xml:space="preserve">Finalidade</w:t>
      </w:r>
      <w:r>
        <w:t xml:space="preserve">: Verificar o cumprimento do Plano de Ação da SES ref. à ACP nº 10058- 73.2015.4.01.4300 da 1ª VF.</w:t>
      </w:r>
      <w:r/>
    </w:p>
    <w:p>
      <w:pPr>
        <w:pStyle w:val="926"/>
        <w:pBdr/>
        <w:spacing/>
        <w:ind/>
        <w:rPr/>
      </w:pPr>
      <w:r>
        <w:rPr>
          <w:b/>
          <w:bCs/>
        </w:rPr>
        <w:t xml:space="preserve">Constatação</w:t>
      </w:r>
      <w:r>
        <w:t xml:space="preserve">: A SES/TO não comprovou a revisão do Regimento Interno do Hospital Regional de Arraias.</w:t>
      </w:r>
      <w:r/>
    </w:p>
    <w:p>
      <w:pPr>
        <w:pStyle w:val="926"/>
        <w:pBdr/>
        <w:spacing/>
        <w:ind/>
        <w:rPr/>
      </w:pPr>
      <w:r>
        <w:rPr>
          <w:b/>
          <w:bCs/>
        </w:rPr>
        <w:t xml:space="preserve">Recomendação</w:t>
      </w:r>
      <w:r>
        <w:t xml:space="preserve">: Cumprir o acordado no item 2.2</w:t>
      </w:r>
      <w:r>
        <w:t xml:space="preserve"> </w:t>
      </w:r>
      <w:r>
        <w:t xml:space="preserve">“Revisar/Elaborar o Regimento Interno dos Hospitais”</w:t>
      </w:r>
      <w:r>
        <w:t xml:space="preserve">- Plano de Ação SES/TO 2022, conforme o compromisso assumido para revisão do Regimento Interno do Hospital Regional de Arraias.</w:t>
      </w:r>
      <w:r/>
    </w:p>
    <w:p>
      <w:pPr>
        <w:pStyle w:val="926"/>
        <w:pBdr/>
        <w:spacing/>
        <w:ind/>
        <w:rPr/>
      </w:pPr>
      <w:r>
        <w:rPr>
          <w:b/>
          <w:bCs/>
        </w:rPr>
        <w:t xml:space="preserve">Análise Codificação</w:t>
      </w:r>
      <w:r>
        <w:t xml:space="preserve">: Em relação ao foco, a recomendação apenas repete o compromisso já assumido no plano de ação, sem propor ações específicas para trata</w:t>
      </w:r>
      <w:r>
        <w:t xml:space="preserve">r a causa subjacente da não revisão do regimento interno. Não há menção a medidas que abordem as razões pelas quais a SES/TO não cumpriu o prazo, como falhas de gestão, falta de recursos ou capacitação. Já em relação aos efeitos duradouros, como o critério</w:t>
      </w:r>
      <w:r>
        <w:t xml:space="preserve"> </w:t>
      </w:r>
      <w:r>
        <w:t xml:space="preserve">‘Foco Causa’</w:t>
      </w:r>
      <w:r>
        <w:t xml:space="preserve"> </w:t>
      </w:r>
      <w:r>
        <w:t xml:space="preserve">não foi atendido, esta análise não se aplica.</w:t>
      </w:r>
      <w:r/>
    </w:p>
    <w:p>
      <w:pPr>
        <w:pStyle w:val="928"/>
        <w:numPr>
          <w:ilvl w:val="0"/>
          <w:numId w:val="21"/>
        </w:numPr>
        <w:pBdr/>
        <w:spacing/>
        <w:ind/>
        <w:rPr/>
      </w:pPr>
      <w:r>
        <w:t xml:space="preserve">Ação Foco Causa: Não</w:t>
      </w:r>
      <w:r/>
    </w:p>
    <w:p>
      <w:pPr>
        <w:pStyle w:val="928"/>
        <w:numPr>
          <w:ilvl w:val="0"/>
          <w:numId w:val="21"/>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do modelo está correta ao identificar que a recomendação apenas repete o compromisso existente sem propor ações que abordem as causas subjacentes da não revisão do regimento interno, como falhas de gestão ou falta de recursos. Para o critério</w:t>
      </w:r>
      <w:r>
        <w:t xml:space="preserve"> </w:t>
      </w:r>
      <w:r>
        <w:t xml:space="preserve">‘Efeitos Duradouros’</w:t>
      </w:r>
      <w:r>
        <w:t xml:space="preserve">, como o</w:t>
      </w:r>
      <w:r>
        <w:t xml:space="preserve"> </w:t>
      </w:r>
      <w:r>
        <w:t xml:space="preserve">‘Foco Causa’</w:t>
      </w:r>
      <w:r>
        <w:t xml:space="preserve"> </w:t>
      </w:r>
      <w:r>
        <w:t xml:space="preserve">foi avaliado como</w:t>
      </w:r>
      <w:r>
        <w:t xml:space="preserve"> </w:t>
      </w:r>
      <w:r>
        <w:t xml:space="preserve">‘Não’</w:t>
      </w:r>
      <w:r>
        <w:t xml:space="preserve">, a resposta</w:t>
      </w:r>
      <w:r>
        <w:t xml:space="preserve"> </w:t>
      </w:r>
      <w:r>
        <w:t xml:space="preserve">‘Não se aplica’</w:t>
      </w:r>
      <w:r>
        <w:t xml:space="preserve"> </w:t>
      </w:r>
      <w:r>
        <w:t xml:space="preserve">está adequada.</w:t>
      </w:r>
      <w:r/>
    </w:p>
    <w:p>
      <w:pPr>
        <w:pStyle w:val="928"/>
        <w:numPr>
          <w:ilvl w:val="0"/>
          <w:numId w:val="22"/>
        </w:numPr>
        <w:pBdr/>
        <w:spacing/>
        <w:ind/>
        <w:rPr/>
      </w:pPr>
      <w:r>
        <w:t xml:space="preserve">Análise Foco Causa: Concordo</w:t>
      </w:r>
      <w:r/>
    </w:p>
    <w:p>
      <w:pPr>
        <w:pStyle w:val="928"/>
        <w:numPr>
          <w:ilvl w:val="0"/>
          <w:numId w:val="22"/>
        </w:numPr>
        <w:pBdr/>
        <w:spacing/>
        <w:ind/>
        <w:rPr/>
      </w:pPr>
      <w:r>
        <w:t xml:space="preserve">Análise Efeitos Duradouros: Concordo</w:t>
      </w:r>
      <w:bookmarkEnd w:id="37"/>
      <w:bookmarkEnd w:id="38"/>
      <w:r/>
    </w:p>
    <w:p>
      <w:pPr>
        <w:pStyle w:val="914"/>
        <w:pBdr/>
        <w:spacing/>
        <w:ind/>
        <w:rPr/>
      </w:pPr>
      <w:r/>
      <w:bookmarkStart w:id="42" w:name="Xede5fa6fdb6225882078bd54d3b4370a2f8c3bf"/>
      <w:r>
        <w:t xml:space="preserve">Foco: Não, Efeitos: Não se aplica, Concordância Foco: Concordo, Concordância Efeitos: Não se aplica</w:t>
      </w:r>
      <w:r/>
    </w:p>
    <w:p>
      <w:pPr>
        <w:pStyle w:val="915"/>
        <w:pBdr/>
        <w:spacing/>
        <w:ind/>
        <w:rPr/>
      </w:pPr>
      <w:r/>
      <w:bookmarkStart w:id="39" w:name="auditoria-18885-constatação-nº-664805-1"/>
      <w:r>
        <w:t xml:space="preserve">Auditoria 18885, Constatação Nº 664805 (#1)</w:t>
      </w:r>
      <w:r/>
    </w:p>
    <w:p>
      <w:pPr>
        <w:pStyle w:val="927"/>
        <w:pBdr/>
        <w:spacing/>
        <w:ind/>
        <w:rPr/>
      </w:pPr>
      <w:r>
        <w:rPr>
          <w:b/>
          <w:bCs/>
        </w:rPr>
        <w:t xml:space="preserve">Finalidade</w:t>
      </w:r>
      <w:r>
        <w:t xml:space="preserve">: Auditar a SMS de Catanduva/SP, focando Contrato de Gestão n°. 01/2015, com OSCIP Mahatma Gandhi</w:t>
      </w:r>
      <w:r/>
    </w:p>
    <w:p>
      <w:pPr>
        <w:pStyle w:val="926"/>
        <w:pBdr/>
        <w:spacing/>
        <w:ind/>
        <w:rPr/>
      </w:pPr>
      <w:r>
        <w:rPr>
          <w:b/>
          <w:bCs/>
        </w:rPr>
        <w:t xml:space="preserve">Constatação</w:t>
      </w:r>
      <w:r>
        <w:t xml:space="preserve">: Foram realizados pag</w:t>
      </w:r>
      <w:r>
        <w:t xml:space="preserve">amentos decorrentes do Contrato de Gestão nº 01/2015, firmado entre o Município de Catanduva e o Hospital Psiquiátrico Mahatma Gandhi, para empregado da contratada a título de serviços prestados de enfermagem e gerenciamento, em desacordo com a legislação.</w:t>
      </w:r>
      <w:r/>
    </w:p>
    <w:p>
      <w:pPr>
        <w:pStyle w:val="926"/>
        <w:pBdr/>
        <w:spacing/>
        <w:ind/>
        <w:rPr/>
      </w:pPr>
      <w:r>
        <w:rPr>
          <w:b/>
          <w:bCs/>
        </w:rPr>
        <w:t xml:space="preserve">Recomendação</w:t>
      </w:r>
      <w:r>
        <w:t xml:space="preserve">: Quando da execução de convênios e contrato somente pagar a conveniada por serviços comprovados, de acordo com o inciso III do § 2º do Artigo 63 da Lei Federal 4.320 de 17 de março de 1964 que estabelece</w:t>
      </w:r>
      <w:r>
        <w:t xml:space="preserve"> que a liquidação da despesa por fornecimentos feitos ou serviços prestados terá por base, os comprovantes da entrega de material ou da prestação efetiva do serviços, contraria também o Artigo 76, combinado com o artigo 116 da Lei Federal nº 8.666, de 21 d</w:t>
      </w:r>
      <w:r>
        <w:t xml:space="preserve">e junho de 1993, que estabelece que a Administração rejeitará, no todo ou em parte, obra, serviço ou fornecimento executado em desacordo com o contrato, e, ainda, o artigo 42 da Portaria Interministerial MP/MF/CGU nº 127 de 29 de maio de 2008, que regulame</w:t>
      </w:r>
      <w:r>
        <w:t xml:space="preserve">nta o Decreto federal nº 6.170 de 25 de julho de 2007, que estabelece que a liberação de recursos obedecerá ao cronograma de desembolso previsto no Plano de Trabalho e guardará consonância com as metas e fases ou etapas de execução do objeto do instrumento</w:t>
      </w:r>
      <w:r>
        <w:t xml:space="preserve">. Também cumprir o disposto no art. 18, X e XI da Lei Federal nº 8.080 de 19 de setembro de 1990, o qual dispõe que compete à direção municipal do sistema único de Saúde (SUS) controlar, fiscalizar e avaliar os procedimentos dos serviços privados de saúde.</w:t>
      </w:r>
      <w:r/>
    </w:p>
    <w:p>
      <w:pPr>
        <w:pStyle w:val="926"/>
        <w:pBdr/>
        <w:spacing/>
        <w:ind/>
        <w:rPr/>
      </w:pPr>
      <w:r>
        <w:rPr>
          <w:b/>
          <w:bCs/>
        </w:rPr>
        <w:t xml:space="preserve">Análise Codificação</w:t>
      </w:r>
      <w:r>
        <w:t xml:space="preserve">: A recomendação enfatiza a necessidade de pagar apenas por serviços compro</w:t>
      </w:r>
      <w:r>
        <w:t xml:space="preserve">vados e alinhados com a legislação, focando na correção imediata da condição de pagamentos indevidos, sem propor ações para abordar as causas subjacentes, como falhas nos sistemas de controle ou fiscalização. Portanto, não há foco na causa. Como o critério</w:t>
      </w:r>
      <w:r>
        <w:t xml:space="preserve"> </w:t>
      </w:r>
      <w:r>
        <w:t xml:space="preserve">‘Foco Causa’</w:t>
      </w:r>
      <w:r>
        <w:t xml:space="preserve"> </w:t>
      </w:r>
      <w:r>
        <w:t xml:space="preserve">é</w:t>
      </w:r>
      <w:r>
        <w:t xml:space="preserve"> </w:t>
      </w:r>
      <w:r>
        <w:t xml:space="preserve">‘Não’</w:t>
      </w:r>
      <w:r>
        <w:t xml:space="preserve">, o critério</w:t>
      </w:r>
      <w:r>
        <w:t xml:space="preserve"> </w:t>
      </w:r>
      <w:r>
        <w:t xml:space="preserve">‘Efeitos Duradouros’</w:t>
      </w:r>
      <w:r>
        <w:t xml:space="preserve"> </w:t>
      </w:r>
      <w:r>
        <w:t xml:space="preserve">não se aplica.</w:t>
      </w:r>
      <w:r/>
    </w:p>
    <w:p>
      <w:pPr>
        <w:pStyle w:val="928"/>
        <w:numPr>
          <w:ilvl w:val="0"/>
          <w:numId w:val="23"/>
        </w:numPr>
        <w:pBdr/>
        <w:spacing/>
        <w:ind/>
        <w:rPr/>
      </w:pPr>
      <w:r>
        <w:t xml:space="preserve">Ação Foco Causa: Não</w:t>
      </w:r>
      <w:r/>
    </w:p>
    <w:p>
      <w:pPr>
        <w:pStyle w:val="928"/>
        <w:numPr>
          <w:ilvl w:val="0"/>
          <w:numId w:val="23"/>
        </w:numPr>
        <w:pBdr/>
        <w:spacing/>
        <w:ind/>
        <w:rPr/>
      </w:pPr>
      <w:r>
        <w:t xml:space="preserve">Efeitos Duradouros: Não se aplica</w:t>
      </w:r>
      <w:r/>
    </w:p>
    <w:p>
      <w:pPr>
        <w:pStyle w:val="927"/>
        <w:pBdr/>
        <w:spacing/>
        <w:ind/>
        <w:rPr/>
      </w:pPr>
      <w:r>
        <w:rPr>
          <w:b/>
          <w:bCs/>
        </w:rPr>
        <w:t xml:space="preserve">Análise Crítica</w:t>
      </w:r>
      <w:r>
        <w:t xml:space="preserve">: A análise da codificação está correta ao identificar que a recomendação se concentra na correção imediata da condição de pagamentos indevidos, sem propor ações para abordar </w:t>
      </w:r>
      <w:r>
        <w:t xml:space="preserve">causas subjacentes, como falhas em sistemas de controle ou fiscalização. No entanto, a recomendação também inclui elementos de conformidade legal que, se implementados, poderiam ter efeitos preventivos, mas não são explicitamente direcionados à causa raiz.</w:t>
      </w:r>
      <w:r/>
    </w:p>
    <w:p>
      <w:pPr>
        <w:pStyle w:val="928"/>
        <w:numPr>
          <w:ilvl w:val="0"/>
          <w:numId w:val="24"/>
        </w:numPr>
        <w:pBdr/>
        <w:spacing/>
        <w:ind/>
        <w:rPr/>
      </w:pPr>
      <w:r>
        <w:t xml:space="preserve">Análise Foco Causa: Concordo</w:t>
      </w:r>
      <w:r/>
    </w:p>
    <w:p>
      <w:pPr>
        <w:pStyle w:val="928"/>
        <w:numPr>
          <w:ilvl w:val="0"/>
          <w:numId w:val="24"/>
        </w:numPr>
        <w:pBdr/>
        <w:spacing/>
        <w:ind/>
        <w:rPr/>
      </w:pPr>
      <w:r>
        <w:t xml:space="preserve">Análise Efeitos Duradouros: Não se aplica</w:t>
      </w:r>
      <w:bookmarkEnd w:id="39"/>
      <w:r/>
    </w:p>
    <w:p>
      <w:pPr>
        <w:pStyle w:val="915"/>
        <w:pBdr/>
        <w:spacing/>
        <w:ind/>
        <w:rPr/>
      </w:pPr>
      <w:r/>
      <w:bookmarkStart w:id="40" w:name="auditoria-19488-constatação-nº-671390-2"/>
      <w:r>
        <w:t xml:space="preserve">Auditoria 19488, Constatação Nº 671390 (#2)</w:t>
      </w:r>
      <w:r/>
    </w:p>
    <w:p>
      <w:pPr>
        <w:pStyle w:val="927"/>
        <w:pBdr/>
        <w:spacing/>
        <w:ind/>
        <w:rPr/>
      </w:pPr>
      <w:r>
        <w:rPr>
          <w:b/>
          <w:bCs/>
        </w:rPr>
        <w:t xml:space="preserve">Finalidade</w:t>
      </w:r>
      <w:r>
        <w:t xml:space="preserve">: Verificar a gestão e o funcionamento do serviço de Atendimento Móvel de Urgência (SAMU 192).</w:t>
      </w:r>
      <w:r/>
    </w:p>
    <w:p>
      <w:pPr>
        <w:pStyle w:val="926"/>
        <w:pBdr/>
        <w:spacing/>
        <w:ind/>
        <w:rPr/>
      </w:pPr>
      <w:r>
        <w:rPr>
          <w:b/>
          <w:bCs/>
        </w:rPr>
        <w:t xml:space="preserve">Constatação</w:t>
      </w:r>
      <w:r>
        <w:t xml:space="preserve">: Os veículos recebidos em doação do Ministério da Saúde não foram incorporados ao patrimônio do município de Cajazeiras/PB.</w:t>
      </w:r>
      <w:r/>
    </w:p>
    <w:p>
      <w:pPr>
        <w:pStyle w:val="926"/>
        <w:pBdr/>
        <w:spacing/>
        <w:ind/>
        <w:rPr/>
      </w:pPr>
      <w:r>
        <w:rPr>
          <w:b/>
          <w:bCs/>
        </w:rPr>
        <w:t xml:space="preserve">Recomendação</w:t>
      </w:r>
      <w:r>
        <w:t xml:space="preserve">: Requerer ao Departamento Estadual de Trânsito da Paraíba (DETRAN/PB) a disponibilização de Autorização para T</w:t>
      </w:r>
      <w:r>
        <w:t xml:space="preserve">ransferência de Propriedade de Veículo em meio digital (ATPV-e) das unidades móveis doados ao Município de Cajazeiras/PB antes de 04/01/2021, nos termos do Inciso II do art. 13 da Resolução CONTRAN nº 809, de 15/12/2020; Registrar no portal de serviços do </w:t>
      </w:r>
      <w:r>
        <w:t xml:space="preserve">DETRAN/PB a Autorização para Transferência de Propriedade de Veículo em meio digital (ATPV-e) para todas as unidades móveis doadas ao Município de Cajazeiras/PB que ainda não completaram o processo de transferência de propriedade para o referido município.</w:t>
      </w:r>
      <w:r/>
    </w:p>
    <w:p>
      <w:pPr>
        <w:pStyle w:val="926"/>
        <w:pBdr/>
        <w:spacing/>
        <w:ind/>
        <w:rPr/>
      </w:pPr>
      <w:r>
        <w:rPr>
          <w:b/>
          <w:bCs/>
        </w:rPr>
        <w:t xml:space="preserve">Análise Codificação</w:t>
      </w:r>
      <w:r>
        <w:t xml:space="preserve">: A recomendação propõe ações específicas para regularizar a transferência de propriedade dos veículos doados, como solicitar e registrar a</w:t>
      </w:r>
      <w:r>
        <w:t xml:space="preserve"> ATPV-e junto ao DETRAN/PB. No entanto, essas ações focam na correção da condição atual (veículos não incorporados ao patrimônio) e não abordam as causas subjacentes que levaram à não incorporação, como possíveis falhas nos processos de gestão patrimonial,</w:t>
      </w:r>
      <w:r>
        <w:t xml:space="preserve"> falta de capacitação da equipe ou deficiências na comunicação com o Ministério da Saúde. Assim, a recomendação é condition-based, pois visa resolver o problema imediato sem tratar de suas causas fundamentais. Quanto aos efeitos duradouros, como o critério</w:t>
      </w:r>
      <w:r>
        <w:t xml:space="preserve"> </w:t>
      </w:r>
      <w:r>
        <w:t xml:space="preserve">‘Foco Causa’</w:t>
      </w:r>
      <w:r>
        <w:t xml:space="preserve"> </w:t>
      </w:r>
      <w:r>
        <w:t xml:space="preserve">não foi atendido, essa análise não se aplica.</w:t>
      </w:r>
      <w:r/>
    </w:p>
    <w:p>
      <w:pPr>
        <w:pStyle w:val="928"/>
        <w:numPr>
          <w:ilvl w:val="0"/>
          <w:numId w:val="25"/>
        </w:numPr>
        <w:pBdr/>
        <w:spacing/>
        <w:ind/>
        <w:rPr/>
      </w:pPr>
      <w:r>
        <w:t xml:space="preserve">Ação Foco Causa: Não</w:t>
      </w:r>
      <w:r/>
    </w:p>
    <w:p>
      <w:pPr>
        <w:pStyle w:val="928"/>
        <w:numPr>
          <w:ilvl w:val="0"/>
          <w:numId w:val="25"/>
        </w:numPr>
        <w:pBdr/>
        <w:spacing/>
        <w:ind/>
        <w:rPr/>
      </w:pPr>
      <w:r>
        <w:t xml:space="preserve">Efeitos Duradouros: Não se aplica</w:t>
      </w:r>
      <w:r/>
    </w:p>
    <w:p>
      <w:pPr>
        <w:pStyle w:val="927"/>
        <w:pBdr/>
        <w:spacing/>
        <w:ind/>
        <w:rPr/>
      </w:pPr>
      <w:r>
        <w:rPr>
          <w:b/>
          <w:bCs/>
        </w:rPr>
        <w:t xml:space="preserve">Análise Crítica</w:t>
      </w:r>
      <w:r>
        <w:t xml:space="preserve">: A análi</w:t>
      </w:r>
      <w:r>
        <w:t xml:space="preserve">se fornecida avalia corretamente que a recomendação se concentra na correção da condição imediata de não incorporação dos veículos ao patrimônio, sem abordar causas subjacentes, como falhas processuais ou de capacitação. No entanto, a avaliação do critério</w:t>
      </w:r>
      <w:r>
        <w:t xml:space="preserve"> </w:t>
      </w:r>
      <w:r>
        <w:t xml:space="preserve">‘Foco Causa’</w:t>
      </w:r>
      <w:r>
        <w:t xml:space="preserve"> </w:t>
      </w:r>
      <w:r>
        <w:t xml:space="preserve">poderia ser mais precisa, pois a recomendação inclui ações que, embora direcionadas à regularização, podem indiretamente influenciar a causa ao estabelecer um procedimento padrão para futuras transferências.</w:t>
      </w:r>
      <w:r/>
    </w:p>
    <w:p>
      <w:pPr>
        <w:pStyle w:val="928"/>
        <w:numPr>
          <w:ilvl w:val="0"/>
          <w:numId w:val="26"/>
        </w:numPr>
        <w:pBdr/>
        <w:spacing/>
        <w:ind/>
        <w:rPr/>
      </w:pPr>
      <w:r>
        <w:t xml:space="preserve">Análise Foco Causa: Concordo</w:t>
      </w:r>
      <w:r/>
    </w:p>
    <w:p>
      <w:pPr>
        <w:pStyle w:val="928"/>
        <w:numPr>
          <w:ilvl w:val="0"/>
          <w:numId w:val="26"/>
        </w:numPr>
        <w:pBdr/>
        <w:spacing/>
        <w:ind/>
        <w:rPr/>
      </w:pPr>
      <w:r>
        <w:t xml:space="preserve">Análise Efeitos Duradouros: Não se aplica</w:t>
      </w:r>
      <w:bookmarkEnd w:id="40"/>
      <w:r/>
    </w:p>
    <w:p>
      <w:pPr>
        <w:pStyle w:val="915"/>
        <w:pBdr/>
        <w:spacing/>
        <w:ind/>
        <w:rPr/>
      </w:pPr>
      <w:r/>
      <w:bookmarkStart w:id="41" w:name="auditoria-19848-constatação-nº-701972-1"/>
      <w:r>
        <w:t xml:space="preserve">Auditoria 19848, Constatação Nº 701972 (#1)</w:t>
      </w:r>
      <w:r/>
    </w:p>
    <w:p>
      <w:pPr>
        <w:pStyle w:val="927"/>
        <w:pBdr/>
        <w:spacing/>
        <w:ind/>
        <w:rPr/>
      </w:pPr>
      <w:r>
        <w:rPr>
          <w:b/>
          <w:bCs/>
        </w:rPr>
        <w:t xml:space="preserve">Finalidade</w:t>
      </w:r>
      <w:r>
        <w:t xml:space="preserve">: Verificar a gestão e o gerenciamento dos Centros de Referência em Saúde do Trabalhador - CERESTs</w:t>
      </w:r>
      <w:r/>
    </w:p>
    <w:p>
      <w:pPr>
        <w:pStyle w:val="926"/>
        <w:pBdr/>
        <w:spacing/>
        <w:ind/>
        <w:rPr/>
      </w:pPr>
      <w:r>
        <w:rPr>
          <w:b/>
          <w:bCs/>
        </w:rPr>
        <w:t xml:space="preserve">Constatação</w:t>
      </w:r>
      <w:r>
        <w:t xml:space="preserve">: O CEREST Regional de Aracati/CE, sob gestão da Secretaria Municipal de Saúde-SMS de Aracati/CE, não comprovou relatórios dos atendimentos prestados aos cidadãos para fins de registro no Sistema de Informação de Agravos de Notificação-SINAN.</w:t>
      </w:r>
      <w:r/>
    </w:p>
    <w:p>
      <w:pPr>
        <w:pStyle w:val="926"/>
        <w:pBdr/>
        <w:spacing/>
        <w:ind/>
        <w:rPr/>
      </w:pPr>
      <w:r>
        <w:rPr>
          <w:b/>
          <w:bCs/>
        </w:rPr>
        <w:t xml:space="preserve">Recomendação</w:t>
      </w:r>
      <w:r>
        <w:t xml:space="preserve">: Alimentar regularmente, com a atuação do CEREST Regional, o Sistema de Informação de Agrav</w:t>
      </w:r>
      <w:r>
        <w:t xml:space="preserve">os de Notificação- SINAN, comprovando por meio de documentos as informações relativas às notificações compulsórias (das unidades sentinelas ou universais) de doenças e agravos relacionados ao trabalho na rede de atenção do SUS, de acordo com item 3, alínea</w:t>
      </w:r>
      <w:r>
        <w:t xml:space="preserve"> </w:t>
      </w:r>
      <w:r>
        <w:rPr>
          <w:rStyle w:val="959"/>
        </w:rPr>
        <w:t xml:space="preserve">h</w:t>
      </w:r>
      <w:r>
        <w:t xml:space="preserve">, inciso I</w:t>
      </w:r>
      <w:r>
        <w:t xml:space="preserve">I, art. 9º, Capítulo III, do Anexo XV, da Portaria de Consolidação GM/MS n.º 02, de 28 setembro 2017, e com o tópico Ações de Responsabilidade das Regiões e dos Municípios, Anexo 1, do Anexo X, da Portaria de Consolidação GM/MS n.º 03, de 28 setembro 2017.</w:t>
      </w:r>
      <w:r/>
    </w:p>
    <w:p>
      <w:pPr>
        <w:pStyle w:val="926"/>
        <w:pBdr/>
        <w:spacing/>
        <w:ind/>
        <w:rPr/>
      </w:pPr>
      <w:r>
        <w:rPr>
          <w:b/>
          <w:bCs/>
        </w:rPr>
        <w:t xml:space="preserve">Análise Codificação</w:t>
      </w:r>
      <w:r>
        <w:t xml:space="preserve">: Em relação ao foco, a recomendação propõe a ação de</w:t>
      </w:r>
      <w:r>
        <w:t xml:space="preserve"> </w:t>
      </w:r>
      <w:r>
        <w:t xml:space="preserve">‘alimentar regularmente’</w:t>
      </w:r>
      <w:r>
        <w:t xml:space="preserve"> </w:t>
      </w:r>
      <w:r>
        <w:t xml:space="preserve">o sistema SINAN com informações documentadas sobre notificações compulsórias, o que visa corrigir diretamente a condição encontrada de ausênci</w:t>
      </w:r>
      <w:r>
        <w:t xml:space="preserve">a de comprovação dos atendimentos, sem abordar as causas subjacentes que levaram a essa falha (como falta de capacitação, recursos humanos insuficientes ou problemas de processo). Portanto, a recomendação é focada na condição, não na causa. Como o critério</w:t>
      </w:r>
      <w:r>
        <w:t xml:space="preserve"> </w:t>
      </w:r>
      <w:r>
        <w:t xml:space="preserve">‘Foco Causa’</w:t>
      </w:r>
      <w:r>
        <w:t xml:space="preserve"> </w:t>
      </w:r>
      <w:r>
        <w:t xml:space="preserve">não foi atendido, o critério</w:t>
      </w:r>
      <w:r>
        <w:t xml:space="preserve"> </w:t>
      </w:r>
      <w:r>
        <w:t xml:space="preserve">‘Efeitos Duradouros’</w:t>
      </w:r>
      <w:r>
        <w:t xml:space="preserve"> </w:t>
      </w:r>
      <w:r>
        <w:t xml:space="preserve">não se aplica.</w:t>
      </w:r>
      <w:r/>
    </w:p>
    <w:p>
      <w:pPr>
        <w:pStyle w:val="928"/>
        <w:numPr>
          <w:ilvl w:val="0"/>
          <w:numId w:val="27"/>
        </w:numPr>
        <w:pBdr/>
        <w:spacing/>
        <w:ind/>
        <w:rPr/>
      </w:pPr>
      <w:r>
        <w:t xml:space="preserve">Ação Foco Causa: Não</w:t>
      </w:r>
      <w:r/>
    </w:p>
    <w:p>
      <w:pPr>
        <w:pStyle w:val="928"/>
        <w:numPr>
          <w:ilvl w:val="0"/>
          <w:numId w:val="27"/>
        </w:numPr>
        <w:pBdr/>
        <w:spacing/>
        <w:ind/>
        <w:rPr/>
      </w:pPr>
      <w:r>
        <w:t xml:space="preserve">Efeitos Duradouros: Não se aplica</w:t>
      </w:r>
      <w:r/>
    </w:p>
    <w:p>
      <w:pPr>
        <w:pStyle w:val="927"/>
        <w:pBdr/>
        <w:spacing/>
        <w:ind/>
        <w:rPr/>
      </w:pPr>
      <w:r>
        <w:rPr>
          <w:b/>
          <w:bCs/>
        </w:rPr>
        <w:t xml:space="preserve">Análise Crítica</w:t>
      </w:r>
      <w:r>
        <w:t xml:space="preserve">: A análise fornecida avalia corretamente que a recomendação se concentra em corrigir a condiç</w:t>
      </w:r>
      <w:r>
        <w:t xml:space="preserve">ão imediata de não comprovação dos atendimentos, sem abordar causas subjacentes como falta de treinamento ou recursos. No entanto, ao considerar a definição de recomendações baseadas em causa, que visam prevenir a recorrência do problema, a recomendação de</w:t>
      </w:r>
      <w:r>
        <w:t xml:space="preserve"> </w:t>
      </w:r>
      <w:r>
        <w:t xml:space="preserve">‘alimentar regularmente’</w:t>
      </w:r>
      <w:r>
        <w:t xml:space="preserve"> </w:t>
      </w:r>
      <w:r>
        <w:t xml:space="preserve">pode se</w:t>
      </w:r>
      <w:r>
        <w:t xml:space="preserve">r interpretada como uma ação que, se implementada de forma sistemática, poderia abordar parcialmente a causa ao estabelecer um processo contínuo, embora não especifique mudanças estruturais. Portanto, há uma ambiguidade que justifica uma revisão cuidadosa.</w:t>
      </w:r>
      <w:r/>
    </w:p>
    <w:p>
      <w:pPr>
        <w:pStyle w:val="928"/>
        <w:numPr>
          <w:ilvl w:val="0"/>
          <w:numId w:val="28"/>
        </w:numPr>
        <w:pBdr/>
        <w:spacing/>
        <w:ind/>
        <w:rPr/>
      </w:pPr>
      <w:r>
        <w:t xml:space="preserve">Análise Foco Causa: Concordo</w:t>
      </w:r>
      <w:r/>
    </w:p>
    <w:p>
      <w:pPr>
        <w:pStyle w:val="928"/>
        <w:numPr>
          <w:ilvl w:val="0"/>
          <w:numId w:val="28"/>
        </w:numPr>
        <w:pBdr/>
        <w:spacing/>
        <w:ind/>
        <w:rPr/>
      </w:pPr>
      <w:r>
        <w:t xml:space="preserve">Análise Efeitos Duradouros: Não se aplica</w:t>
      </w:r>
      <w:bookmarkEnd w:id="41"/>
      <w:bookmarkEnd w:id="42"/>
      <w:r/>
    </w:p>
    <w:p>
      <w:pPr>
        <w:pStyle w:val="914"/>
        <w:pBdr/>
        <w:spacing/>
        <w:ind/>
        <w:rPr/>
      </w:pPr>
      <w:r/>
      <w:bookmarkStart w:id="53" w:name="X2679442458623f6df3aee2e239d9e7cc41c7b8e"/>
      <w:r>
        <w:t xml:space="preserve">Foco: Não, Efeitos: Não se aplica, Concordância Foco: Discordo, Concordância Efeitos: Concordo</w:t>
      </w:r>
      <w:r/>
    </w:p>
    <w:p>
      <w:pPr>
        <w:pStyle w:val="915"/>
        <w:pBdr/>
        <w:spacing/>
        <w:ind/>
        <w:rPr/>
      </w:pPr>
      <w:r/>
      <w:bookmarkStart w:id="43" w:name="auditoria-19179-constatação-nº-666966-1"/>
      <w:r>
        <w:t xml:space="preserve">Auditoria 19179, Constatação Nº 666966 (#1)</w:t>
      </w:r>
      <w:r/>
    </w:p>
    <w:p>
      <w:pPr>
        <w:pStyle w:val="927"/>
        <w:pBdr/>
        <w:spacing/>
        <w:ind/>
        <w:rPr/>
      </w:pPr>
      <w:r>
        <w:rPr>
          <w:b/>
          <w:bCs/>
        </w:rPr>
        <w:t xml:space="preserve">Finalidade</w:t>
      </w:r>
      <w:r>
        <w:t xml:space="preserve">: Verificar prestação dos serviços e aplicação dos recursos federais no Hosp. Mun. de Imperatriz</w:t>
      </w:r>
      <w:r/>
    </w:p>
    <w:p>
      <w:pPr>
        <w:pStyle w:val="926"/>
        <w:pBdr/>
        <w:spacing/>
        <w:ind/>
        <w:rPr/>
      </w:pPr>
      <w:r>
        <w:rPr>
          <w:b/>
          <w:bCs/>
        </w:rPr>
        <w:t xml:space="preserve">Constatação</w:t>
      </w:r>
      <w:r>
        <w:t xml:space="preserve">: A urgência/emergência do HMI Hospital Municipal de Imperatriz não apresenta estrutura física e equipamentos/recursos tecnológicos mínimos de acordo com a legislação e necessários para o atendimento prestado.</w:t>
      </w:r>
      <w:r/>
    </w:p>
    <w:p>
      <w:pPr>
        <w:pStyle w:val="926"/>
        <w:pBdr/>
        <w:spacing/>
        <w:ind/>
        <w:rPr/>
      </w:pPr>
      <w:r>
        <w:rPr>
          <w:b/>
          <w:bCs/>
        </w:rPr>
        <w:t xml:space="preserve">Recomendação</w:t>
      </w:r>
      <w:r>
        <w:t xml:space="preserve">: Cumprir o que determina o item 5 do Anexo da Portaria GM/MS nº 354, de 10 de março de 2014, quanto à estrutura física da sala vermelha e ausência de dependências essenciais ao atendimento do usuário; bem como o item 6.</w:t>
      </w:r>
      <w:r>
        <w:t xml:space="preserve">2 do Anexo da Portaria GM/MS nº 354, de 10 de março de 2014, assim como os Art. 7º, Art. 36 e Art. 42 da Resolução da Diretoria Colegiada - RDC/ANVISA/MS nº 63, de 25 de novembro de 2011, que trata dos equipamentos e sua manutenção, da unidade de urgência.</w:t>
      </w:r>
      <w:r/>
    </w:p>
    <w:p>
      <w:pPr>
        <w:pStyle w:val="926"/>
        <w:pBdr/>
        <w:spacing/>
        <w:ind/>
        <w:rPr/>
      </w:pPr>
      <w:r>
        <w:rPr>
          <w:b/>
          <w:bCs/>
        </w:rPr>
        <w:t xml:space="preserve">Análise Codificação</w:t>
      </w:r>
      <w:r>
        <w:t xml:space="preserve">: Em relação ao foco, a recomendação se limita a citar o cumprimento de dispositivos normativos</w:t>
      </w:r>
      <w:r>
        <w:t xml:space="preserve"> específicos sobre estrutura física, dependências e equipamentos, sem propor ações que tratem diretamente das causas subjacentes à não conformidade, como falhas de gestão, planejamento ou alocação de recursos. Quanto aos efeitos duradouros, como o critério</w:t>
      </w:r>
      <w:r>
        <w:t xml:space="preserve"> </w:t>
      </w:r>
      <w:r>
        <w:t xml:space="preserve">‘Foco Causa’</w:t>
      </w:r>
      <w:r>
        <w:t xml:space="preserve"> </w:t>
      </w:r>
      <w:r>
        <w:t xml:space="preserve">não foi atendido, não se aplica a análise.</w:t>
      </w:r>
      <w:r/>
    </w:p>
    <w:p>
      <w:pPr>
        <w:pStyle w:val="928"/>
        <w:numPr>
          <w:ilvl w:val="0"/>
          <w:numId w:val="29"/>
        </w:numPr>
        <w:pBdr/>
        <w:spacing/>
        <w:ind/>
        <w:rPr/>
      </w:pPr>
      <w:r>
        <w:t xml:space="preserve">Ação Foco Causa: Não</w:t>
      </w:r>
      <w:r/>
    </w:p>
    <w:p>
      <w:pPr>
        <w:pStyle w:val="928"/>
        <w:numPr>
          <w:ilvl w:val="0"/>
          <w:numId w:val="29"/>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do modelo argumenta que a recomendação apenas cita o cumprimento de normas sem propor ações que tratem causas subjacentes, como falhas de gestão ou planejamento. No entanto,</w:t>
      </w:r>
      <w:r>
        <w:t xml:space="preserve"> a recomendação especifica dispositivos normativos que estabelecem requisitos mínimos para estrutura física, dependências e equipamentos, os quais, se implementados, podem abordar causas estruturais e organizacionais da não conformidade. Quanto ao critério</w:t>
      </w:r>
      <w:r>
        <w:t xml:space="preserve"> </w:t>
      </w:r>
      <w:r>
        <w:t xml:space="preserve">‘Efeitos Duradouros’</w:t>
      </w:r>
      <w:r>
        <w:t xml:space="preserve">, como a análise do</w:t>
      </w:r>
      <w:r>
        <w:t xml:space="preserve"> </w:t>
      </w:r>
      <w:r>
        <w:t xml:space="preserve">‘Foco Causa’</w:t>
      </w:r>
      <w:r>
        <w:t xml:space="preserve"> </w:t>
      </w:r>
      <w:r>
        <w:t xml:space="preserve">é questionável, a avaliação de</w:t>
      </w:r>
      <w:r>
        <w:t xml:space="preserve"> </w:t>
      </w:r>
      <w:r>
        <w:t xml:space="preserve">‘Não se aplica’</w:t>
      </w:r>
      <w:r>
        <w:t xml:space="preserve"> </w:t>
      </w:r>
      <w:r>
        <w:t xml:space="preserve">também pode ser reconsiderada, mas a recomendação em si não detalha mecanismos para garantir a sustentabilidade das mudanças.</w:t>
      </w:r>
      <w:r/>
    </w:p>
    <w:p>
      <w:pPr>
        <w:pStyle w:val="928"/>
        <w:numPr>
          <w:ilvl w:val="0"/>
          <w:numId w:val="30"/>
        </w:numPr>
        <w:pBdr/>
        <w:spacing/>
        <w:ind/>
        <w:rPr/>
      </w:pPr>
      <w:r>
        <w:t xml:space="preserve">Análise Foco Causa: Discordo</w:t>
      </w:r>
      <w:r/>
    </w:p>
    <w:p>
      <w:pPr>
        <w:pStyle w:val="928"/>
        <w:numPr>
          <w:ilvl w:val="0"/>
          <w:numId w:val="30"/>
        </w:numPr>
        <w:pBdr/>
        <w:spacing/>
        <w:ind/>
        <w:rPr/>
      </w:pPr>
      <w:r>
        <w:t xml:space="preserve">Análise Efeitos Duradouros: Concordo</w:t>
      </w:r>
      <w:bookmarkEnd w:id="43"/>
      <w:r/>
    </w:p>
    <w:p>
      <w:pPr>
        <w:pStyle w:val="915"/>
        <w:pBdr/>
        <w:spacing/>
        <w:ind/>
        <w:rPr/>
      </w:pPr>
      <w:r/>
      <w:bookmarkStart w:id="44" w:name="auditoria-19335-constatação-nº-665590-1"/>
      <w:r>
        <w:t xml:space="preserve">Auditoria 19335, Constatação Nº 665590 (#1)</w:t>
      </w:r>
      <w:r/>
    </w:p>
    <w:p>
      <w:pPr>
        <w:pStyle w:val="927"/>
        <w:pBdr/>
        <w:spacing/>
        <w:ind/>
        <w:rPr/>
      </w:pPr>
      <w:r>
        <w:rPr>
          <w:b/>
          <w:bCs/>
        </w:rPr>
        <w:t xml:space="preserve">Finalidade</w:t>
      </w:r>
      <w:r>
        <w:t xml:space="preserve">: Verificar a regularidade da utilização de Dispositivos Médicos Implantáveis - DMI.</w:t>
      </w:r>
      <w:r/>
    </w:p>
    <w:p>
      <w:pPr>
        <w:pStyle w:val="926"/>
        <w:pBdr/>
        <w:spacing/>
        <w:ind/>
        <w:rPr/>
      </w:pPr>
      <w:r>
        <w:rPr>
          <w:b/>
          <w:bCs/>
        </w:rPr>
        <w:t xml:space="preserve">Constatação</w:t>
      </w:r>
      <w:r>
        <w:t xml:space="preserve">: A Comissão de Revisão de Prontuários (CRP) do Hospital de Caridade e Beneficência (HCB) não estava formalmente constituída em parte do período auditado.</w:t>
      </w:r>
      <w:r/>
    </w:p>
    <w:p>
      <w:pPr>
        <w:pStyle w:val="926"/>
        <w:pBdr/>
        <w:spacing/>
        <w:ind/>
        <w:rPr/>
      </w:pPr>
      <w:r>
        <w:rPr>
          <w:b/>
          <w:bCs/>
        </w:rPr>
        <w:t xml:space="preserve">Recomendação</w:t>
      </w:r>
      <w:r>
        <w:t xml:space="preserve">: Organizar e manter os documentos que comprovem a manutenção e atuação da Comissão de Revisão de Prontuário (CRP).</w:t>
      </w:r>
      <w:r/>
    </w:p>
    <w:p>
      <w:pPr>
        <w:pStyle w:val="926"/>
        <w:pBdr/>
        <w:spacing/>
        <w:ind/>
        <w:rPr/>
      </w:pPr>
      <w:r>
        <w:rPr>
          <w:b/>
          <w:bCs/>
        </w:rPr>
        <w:t xml:space="preserve">Análise Codificação</w:t>
      </w:r>
      <w:r>
        <w:t xml:space="preserve">: A recomendação propõe a organização e manutenção de documentos para comprovar a atuação da Comissão de Revisão de Prontuários (CRP), o </w:t>
      </w:r>
      <w:r>
        <w:t xml:space="preserve">que visa corrigir a condição específica de falta de formalização da comissão, sem abordar as causas subjacentes, como possíveis falhas na gestão ou na definição de responsabilidades. Portanto, o foco está na condição imediata, não na causa.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r/>
    </w:p>
    <w:p>
      <w:pPr>
        <w:pStyle w:val="928"/>
        <w:numPr>
          <w:ilvl w:val="0"/>
          <w:numId w:val="31"/>
        </w:numPr>
        <w:pBdr/>
        <w:spacing/>
        <w:ind/>
        <w:rPr/>
      </w:pPr>
      <w:r>
        <w:t xml:space="preserve">Ação Foco Causa: Não</w:t>
      </w:r>
      <w:r/>
    </w:p>
    <w:p>
      <w:pPr>
        <w:pStyle w:val="928"/>
        <w:numPr>
          <w:ilvl w:val="0"/>
          <w:numId w:val="31"/>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w:t>
      </w:r>
      <w:r>
        <w:t xml:space="preserve">análise original argumenta que a recomendação visa corrigir a condição imediata de falta de formalização da CRP, sem abordar causas subjacentes como falhas na gestão ou definição de responsabilidades. No entanto, a recomendação de organizar e manter docume</w:t>
      </w:r>
      <w:r>
        <w:t xml:space="preserve">ntos pode ser interpretada como uma ação que, ao estabelecer um processo documental, trata da causa raiz da falta de formalização, que é a ausência de um sistema de registro e comprovação contínua. Portanto, há ambiguidade na classificação. Para o critério</w:t>
      </w:r>
      <w:r>
        <w:t xml:space="preserve"> </w:t>
      </w:r>
      <w:r>
        <w:t xml:space="preserve">‘Efeitos Duradouros’</w:t>
      </w:r>
      <w:r>
        <w:t xml:space="preserve">, como a análise original concluiu que</w:t>
      </w:r>
      <w:r>
        <w:t xml:space="preserve"> </w:t>
      </w:r>
      <w:r>
        <w:t xml:space="preserve">‘Foco Causa’</w:t>
      </w:r>
      <w:r>
        <w:t xml:space="preserve"> </w:t>
      </w:r>
      <w:r>
        <w:t xml:space="preserve">é</w:t>
      </w:r>
      <w:r>
        <w:t xml:space="preserve"> </w:t>
      </w:r>
      <w:r>
        <w:t xml:space="preserve">‘Não’</w:t>
      </w:r>
      <w:r>
        <w:t xml:space="preserve">, a resposta</w:t>
      </w:r>
      <w:r>
        <w:t xml:space="preserve"> </w:t>
      </w:r>
      <w:r>
        <w:t xml:space="preserve">‘Não se aplica’</w:t>
      </w:r>
      <w:r>
        <w:t xml:space="preserve"> </w:t>
      </w:r>
      <w:r>
        <w:t xml:space="preserve">está correta, mas se houver discordância no primeiro critério, isso poderia afetar o segundo.</w:t>
      </w:r>
      <w:r/>
    </w:p>
    <w:p>
      <w:pPr>
        <w:pStyle w:val="928"/>
        <w:numPr>
          <w:ilvl w:val="0"/>
          <w:numId w:val="32"/>
        </w:numPr>
        <w:pBdr/>
        <w:spacing/>
        <w:ind/>
        <w:rPr/>
      </w:pPr>
      <w:r>
        <w:t xml:space="preserve">Análise Foco Causa: Discordo</w:t>
      </w:r>
      <w:r/>
    </w:p>
    <w:p>
      <w:pPr>
        <w:pStyle w:val="928"/>
        <w:numPr>
          <w:ilvl w:val="0"/>
          <w:numId w:val="32"/>
        </w:numPr>
        <w:pBdr/>
        <w:spacing/>
        <w:ind/>
        <w:rPr/>
      </w:pPr>
      <w:r>
        <w:t xml:space="preserve">Análise Efeitos Duradouros: Concordo</w:t>
      </w:r>
      <w:bookmarkEnd w:id="44"/>
      <w:r/>
    </w:p>
    <w:p>
      <w:pPr>
        <w:pStyle w:val="915"/>
        <w:pBdr/>
        <w:spacing/>
        <w:ind/>
        <w:rPr/>
      </w:pPr>
      <w:r/>
      <w:bookmarkStart w:id="45" w:name="auditoria-19388-constatação-nº-662599-2"/>
      <w:r>
        <w:t xml:space="preserve">Auditoria 19388, Constatação Nº 662599 (#2)</w:t>
      </w:r>
      <w:r/>
    </w:p>
    <w:p>
      <w:pPr>
        <w:pStyle w:val="927"/>
        <w:pBdr/>
        <w:spacing/>
        <w:ind/>
        <w:rPr/>
      </w:pPr>
      <w:r>
        <w:rPr>
          <w:b/>
          <w:bCs/>
        </w:rPr>
        <w:t xml:space="preserve">Finalidade</w:t>
      </w:r>
      <w:r>
        <w:t xml:space="preserve">: Verificar a regularidade da produção inserida nos sistemas do SUS com incremento nos tetos MAC e PAB</w:t>
      </w:r>
      <w:r/>
    </w:p>
    <w:p>
      <w:pPr>
        <w:pStyle w:val="926"/>
        <w:pBdr/>
        <w:spacing/>
        <w:ind/>
        <w:rPr/>
      </w:pPr>
      <w:r>
        <w:rPr>
          <w:b/>
          <w:bCs/>
        </w:rPr>
        <w:t xml:space="preserve">Constatação</w:t>
      </w:r>
      <w:r>
        <w:t xml:space="preserve">: Os instrumentos de gestão do SUS referente ao município de Barra do Corda apresentaram divergências relativas</w:t>
      </w:r>
      <w:r>
        <w:t xml:space="preserve"> às metas, diretrizes e objetivos, no tocante a assistência de saúde especializada, especialmente quanto às quantidades de procedimentos informados no Relatório de Gestão Anual - 2021 e no Sistema de Informação Ambulatorial (SIA/SUS), no exercício de 2021.</w:t>
      </w:r>
      <w:r/>
    </w:p>
    <w:p>
      <w:pPr>
        <w:pStyle w:val="926"/>
        <w:pBdr/>
        <w:spacing/>
        <w:ind/>
        <w:rPr/>
      </w:pPr>
      <w:r>
        <w:rPr>
          <w:b/>
          <w:bCs/>
        </w:rPr>
        <w:t xml:space="preserve">Recomendação</w:t>
      </w:r>
      <w:r>
        <w:t xml:space="preserve">: Cumprir o disposto nos Arts. 95, 96, 97 e 99</w:t>
      </w:r>
      <w:r>
        <w:t xml:space="preserve">, todos da Portaria de Consolidação GM/MS nº 1, de 28/09/2017, que preveem que os instrumentos para o planejamento no âmbito do SUS são o Plano de Saúde (PS), as respectivas Programações Anuais de Saúde (PAS) e o Relatório Anual de Gestão (RAG) que se inte</w:t>
      </w:r>
      <w:r>
        <w:t xml:space="preserve">rligam compondo um processo cíclico de planejamento para operacionalização integrada, solidária e sistêmica do SUS. Preveem ainda, que o PS se configura como base para a execução, o acompanhamento, a avaliação da gestão do sistema de saúde e contempla toda</w:t>
      </w:r>
      <w:r>
        <w:t xml:space="preserve">s as áreas da atenção à saúde, de modo a garantir a integralidade dessa atenção; que a PAS é o instrumento que operacionaliza as intenções expressas no Plano de Saúde e tem por objetivo anualizar as metas do Plano de Saúde e prever a alocação dos recursos </w:t>
      </w:r>
      <w:r>
        <w:t xml:space="preserve">orçamentários a serem executados; e que o RAG é o instrumento de gestão com elaboração anual que permite ao gestor apresentar os resultados alcançados com a execução da PAS e orienta eventuais redirecionamentos que se fizerem necessários no Plano de Saúde.</w:t>
      </w:r>
      <w:r/>
    </w:p>
    <w:p>
      <w:pPr>
        <w:pStyle w:val="926"/>
        <w:pBdr/>
        <w:spacing/>
        <w:ind/>
        <w:rPr/>
      </w:pPr>
      <w:r>
        <w:rPr>
          <w:b/>
          <w:bCs/>
        </w:rPr>
        <w:t xml:space="preserve">Análise Codificação</w:t>
      </w:r>
      <w:r>
        <w:t xml:space="preserve">: A recomendação se limita a citar dispositivos normativ</w:t>
      </w:r>
      <w:r>
        <w:t xml:space="preserve">os que estabelecem a obrigatoriedade de interligação entre os instrumentos de planejamento do SUS (Plano de Saúde, Programação Anual de Saúde e Relatório Anual de Gestão), sem propor ações específicas para tratar a causa das divergências identificadas nos </w:t>
      </w:r>
      <w:r>
        <w:t xml:space="preserve">dados. Não há menção a medidas como revisão de processos de coleta e registro de dados, capacitação de pessoal, implementação de sistemas de controle interno ou outras ações que ataquem a raiz do problema. Portanto, a recomendação não possui foco na causa.</w:t>
      </w:r>
      <w:r/>
    </w:p>
    <w:p>
      <w:pPr>
        <w:pStyle w:val="928"/>
        <w:numPr>
          <w:ilvl w:val="0"/>
          <w:numId w:val="33"/>
        </w:numPr>
        <w:pBdr/>
        <w:spacing/>
        <w:ind/>
        <w:rPr/>
      </w:pPr>
      <w:r>
        <w:t xml:space="preserve">Ação Foco Causa: Não</w:t>
      </w:r>
      <w:r/>
    </w:p>
    <w:p>
      <w:pPr>
        <w:pStyle w:val="928"/>
        <w:numPr>
          <w:ilvl w:val="0"/>
          <w:numId w:val="33"/>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do modelo argumenta que a recomendação apenas cita dispositivos normativos sem propor ações específicas para tratar a causa das divergências, como revisão de processos ou capacitação. No entanto, a recomendação enfatiza explicitamente a necessi</w:t>
      </w:r>
      <w:r>
        <w:t xml:space="preserve">dade de cumprir a interligação cíclica entre Plano de Saúde, Programação Anual de Saúde e Relatório Anual de Gestão, o que pode ser interpretado como uma ação para abordar a causa subjacente de inconsistências no planejamento e execução. Quanto ao critério</w:t>
      </w:r>
      <w:r>
        <w:t xml:space="preserve"> </w:t>
      </w:r>
      <w:r>
        <w:t xml:space="preserve">‘Efeitos Duradouros’</w:t>
      </w:r>
      <w:r>
        <w:t xml:space="preserve">, como o modelo classificou</w:t>
      </w:r>
      <w:r>
        <w:t xml:space="preserve"> </w:t>
      </w:r>
      <w:r>
        <w:t xml:space="preserve">‘Foco Causa’</w:t>
      </w:r>
      <w:r>
        <w:t xml:space="preserve"> </w:t>
      </w:r>
      <w:r>
        <w:t xml:space="preserve">como</w:t>
      </w:r>
      <w:r>
        <w:t xml:space="preserve"> </w:t>
      </w:r>
      <w:r>
        <w:t xml:space="preserve">‘Não’</w:t>
      </w:r>
      <w:r>
        <w:t xml:space="preserve">, a resposta</w:t>
      </w:r>
      <w:r>
        <w:t xml:space="preserve"> </w:t>
      </w:r>
      <w:r>
        <w:t xml:space="preserve">‘Não se aplica’</w:t>
      </w:r>
      <w:r>
        <w:t xml:space="preserve"> </w:t>
      </w:r>
      <w:r>
        <w:t xml:space="preserve">está correta, mas discordo da classificação inicial.</w:t>
      </w:r>
      <w:r/>
    </w:p>
    <w:p>
      <w:pPr>
        <w:pStyle w:val="928"/>
        <w:numPr>
          <w:ilvl w:val="0"/>
          <w:numId w:val="34"/>
        </w:numPr>
        <w:pBdr/>
        <w:spacing/>
        <w:ind/>
        <w:rPr/>
      </w:pPr>
      <w:r>
        <w:t xml:space="preserve">Análise Foco Causa: Discordo</w:t>
      </w:r>
      <w:r/>
    </w:p>
    <w:p>
      <w:pPr>
        <w:pStyle w:val="928"/>
        <w:numPr>
          <w:ilvl w:val="0"/>
          <w:numId w:val="34"/>
        </w:numPr>
        <w:pBdr/>
        <w:spacing/>
        <w:ind/>
        <w:rPr/>
      </w:pPr>
      <w:r>
        <w:t xml:space="preserve">Análise Efeitos Duradouros: Concordo</w:t>
      </w:r>
      <w:bookmarkEnd w:id="45"/>
      <w:r/>
    </w:p>
    <w:p>
      <w:pPr>
        <w:pStyle w:val="915"/>
        <w:pBdr/>
        <w:spacing/>
        <w:ind/>
        <w:rPr/>
      </w:pPr>
      <w:r/>
      <w:bookmarkStart w:id="46" w:name="auditoria-19484-constatação-nº-682909-2"/>
      <w:r>
        <w:t xml:space="preserve">Auditoria 19484, Constatação Nº 682909 (#2)</w:t>
      </w:r>
      <w:r/>
    </w:p>
    <w:p>
      <w:pPr>
        <w:pStyle w:val="927"/>
        <w:pBdr/>
        <w:spacing/>
        <w:ind/>
        <w:rPr/>
      </w:pPr>
      <w:r>
        <w:rPr>
          <w:b/>
          <w:bCs/>
        </w:rPr>
        <w:t xml:space="preserve">Finalidade</w:t>
      </w:r>
      <w:r>
        <w:t xml:space="preserve">: Verificar regularidade execução contrato SMS Bom Jesus Itabapoana e o Hospital São Vicente de Paula</w:t>
      </w:r>
      <w:r/>
    </w:p>
    <w:p>
      <w:pPr>
        <w:pStyle w:val="926"/>
        <w:pBdr/>
        <w:spacing/>
        <w:ind/>
        <w:rPr/>
      </w:pPr>
      <w:r>
        <w:rPr>
          <w:b/>
          <w:bCs/>
        </w:rPr>
        <w:t xml:space="preserve">Constatação</w:t>
      </w:r>
      <w:r>
        <w:t xml:space="preserve">: As trans</w:t>
      </w:r>
      <w:r>
        <w:t xml:space="preserve">ferências financeiras executadas pela Secretaria Municipal de Saúde de Bom Jesus do Itabapoana/RJ ao Hospital São Vicente de Paulo, referentes ao alcance das metas físicas, não condizem com a produção informada nos sistemas oficiais do Ministério da Saúde.</w:t>
      </w:r>
      <w:r/>
    </w:p>
    <w:p>
      <w:pPr>
        <w:pStyle w:val="926"/>
        <w:pBdr/>
        <w:spacing/>
        <w:ind/>
        <w:rPr/>
      </w:pPr>
      <w:r>
        <w:rPr>
          <w:b/>
          <w:bCs/>
        </w:rPr>
        <w:t xml:space="preserve">Recomendação</w:t>
      </w:r>
      <w:r>
        <w:t xml:space="preserve">: Adotar medidas que assegurem o cumprimento da Portaria GM/MS de Consolidação n.º 2, de 28 de setembro de 2017, no que se refere ao ANEXO 2 DO ANEXO XXIV, especialmente ao disposto no</w:t>
      </w:r>
      <w:r>
        <w:t xml:space="preserve"> </w:t>
      </w:r>
      <w:r>
        <w:t xml:space="preserve">“CAPÍTULO V DA CONTRATUALIZAÇÃO”</w:t>
      </w:r>
      <w:r>
        <w:t xml:space="preserve">, Seção III, art. 28</w:t>
      </w:r>
      <w:r>
        <w:t xml:space="preserve"> </w:t>
      </w:r>
      <w:r>
        <w:t xml:space="preserve">“O repasse dos recursos financeiros pelos entes federativos aos hospitais contratualizados será realizado de maneira regular,</w:t>
      </w:r>
      <w:r>
        <w:t xml:space="preserve"> conforme estabelecido nos atos normativos específicos e no instrumento de contratualização, e condicionado ao cumprimento das metas qualitativas e quantitativas estabelecidas no Documento Descritivo. (Origem: PRT MS/GM 3410/2013, Art. 28) (…) § 3º O não c</w:t>
      </w:r>
      <w:r>
        <w:t xml:space="preserve">umprimento pelo hospital das metas quantitativas e qualitativas pactuadas e discriminadas no Documento Descritivo implicará na suspensão parcial ou redução do repasse dos recursos financeiros pelo gestor local. (Origem: PRT MS/GM 3410/2013, Art. 28, § 3º)”</w:t>
      </w:r>
      <w:r>
        <w:t xml:space="preserve">. Cumprir e fazer com que sejam integralmente cumpridas as cláusulas contratuais dos instrumentos de formalização</w:t>
      </w:r>
      <w:r>
        <w:t xml:space="preserve"> da contratação de serviços de saúde. Não obstante, assegurar com que sejam cumpridos os conteúdos dispostos na Lei Municipal n.º 1.453, de 11 de março de 2021, ou instrumento normativo correlato, sobretudo no que se refere à constituição e funcionamento d</w:t>
      </w:r>
      <w:r>
        <w:t xml:space="preserve">o Núcleo de Controle Interno da Secretaria Municipal de Saúde previsto no §1° do art. 14 e atentar para o cumprimento das diretrizes preconizadas pela Instrução Normativa n.º 001, de 12 de agosto de 2021, emitida pela Controladoria Geral do Município, que:</w:t>
      </w:r>
      <w:r>
        <w:t xml:space="preserve"> </w:t>
      </w:r>
      <w:r>
        <w:t xml:space="preserve">“Dispõe sobre o rito de aplicação de penalidades…das infrações praticadas por fornecedores…”</w:t>
      </w:r>
      <w:r>
        <w:t xml:space="preserve">. Dar ciência ao responsável pela irregularidade registrada neste item para ressarcimento a ser feito</w:t>
      </w:r>
      <w:r>
        <w:t xml:space="preserve"> junto ao Fundo Nacional de Saúde- FNS no valor de R$ 218.596,57 (duzentos e dezoito mil, quinhentos e noventa e seis reais e cinquenta e sete centavos), em cumprimento ao item 9.3.3 do Acórdão/TCU nº 1.072/2017-Plenário visando à elisão do dano ao erário.</w:t>
      </w:r>
      <w:r/>
    </w:p>
    <w:p>
      <w:pPr>
        <w:pStyle w:val="926"/>
        <w:pBdr/>
        <w:spacing/>
        <w:ind/>
        <w:rPr/>
      </w:pPr>
      <w:r>
        <w:rPr>
          <w:b/>
          <w:bCs/>
        </w:rPr>
        <w:t xml:space="preserve">Análise Codificação</w:t>
      </w:r>
      <w:r>
        <w:t xml:space="preserve">: A recomendação é ampla e genérica, focando principalmente em medidas administrativas e legais para assegurar o cumprimento de normas e cláusulas contratuais existentes, sem p</w:t>
      </w:r>
      <w:r>
        <w:t xml:space="preserve">ropor ações específicas para tratar a causa raiz do problema identificado (discrepância entre transferências financeiras e produção informada nos sistemas oficiais). Embora mencione a necessidade de cumprir portarias e leis, não identifica ou aborda direta</w:t>
      </w:r>
      <w:r>
        <w:t xml:space="preserve">mente as causas subjacentes que levaram à irregularidade, como possíveis falhas nos processos de verificação, sistemas de controle interno inadequados ou deficiências na capacitação técnica. Portanto, a recomendação não atende ao critério de foco na causa.</w:t>
      </w:r>
      <w:r/>
    </w:p>
    <w:p>
      <w:pPr>
        <w:pStyle w:val="928"/>
        <w:numPr>
          <w:ilvl w:val="0"/>
          <w:numId w:val="35"/>
        </w:numPr>
        <w:pBdr/>
        <w:spacing/>
        <w:ind/>
        <w:rPr/>
      </w:pPr>
      <w:r>
        <w:t xml:space="preserve">Ação Foco Causa: Não</w:t>
      </w:r>
      <w:r/>
    </w:p>
    <w:p>
      <w:pPr>
        <w:pStyle w:val="928"/>
        <w:numPr>
          <w:ilvl w:val="0"/>
          <w:numId w:val="35"/>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do modelo argumenta que a recomendação é genérica e não aborda causas subjacentes específicas, como falhas em processos de verificação ou controle interno. No entanto, a recomendação inclui </w:t>
      </w:r>
      <w:r>
        <w:t xml:space="preserve">medidas que visam prevenir a recorrência da irregularidade, como a implementação de estruturas de controle (Núcleo de Controle Interno) e o cumprimento de normas que condicionam repasses ao desempenho, o que pode ser interpretado como focado na causa. Para</w:t>
      </w:r>
      <w:r>
        <w:t xml:space="preserve"> </w:t>
      </w:r>
      <w:r>
        <w:t xml:space="preserve">‘Efeitos Duradouros’</w:t>
      </w:r>
      <w:r>
        <w:t xml:space="preserve">, a análise não se aplica devido à resposta</w:t>
      </w:r>
      <w:r>
        <w:t xml:space="preserve"> </w:t>
      </w:r>
      <w:r>
        <w:t xml:space="preserve">‘Não’</w:t>
      </w:r>
      <w:r>
        <w:t xml:space="preserve"> </w:t>
      </w:r>
      <w:r>
        <w:t xml:space="preserve">no primeiro critério, mas há inconsistência na avaliação inicial.</w:t>
      </w:r>
      <w:r/>
    </w:p>
    <w:p>
      <w:pPr>
        <w:pStyle w:val="928"/>
        <w:numPr>
          <w:ilvl w:val="0"/>
          <w:numId w:val="36"/>
        </w:numPr>
        <w:pBdr/>
        <w:spacing/>
        <w:ind/>
        <w:rPr/>
      </w:pPr>
      <w:r>
        <w:t xml:space="preserve">Análise Foco Causa: Discordo</w:t>
      </w:r>
      <w:r/>
    </w:p>
    <w:p>
      <w:pPr>
        <w:pStyle w:val="928"/>
        <w:numPr>
          <w:ilvl w:val="0"/>
          <w:numId w:val="36"/>
        </w:numPr>
        <w:pBdr/>
        <w:spacing/>
        <w:ind/>
        <w:rPr/>
      </w:pPr>
      <w:r>
        <w:t xml:space="preserve">Análise Efeitos Duradouros: Concordo</w:t>
      </w:r>
      <w:bookmarkEnd w:id="46"/>
      <w:r/>
    </w:p>
    <w:p>
      <w:pPr>
        <w:pStyle w:val="915"/>
        <w:pBdr/>
        <w:spacing/>
        <w:ind/>
        <w:rPr/>
      </w:pPr>
      <w:r/>
      <w:bookmarkStart w:id="47" w:name="auditoria-19624-constatação-nº-685595-1"/>
      <w:r>
        <w:t xml:space="preserve">Auditoria 19624, Constatação Nº 685595 (#1)</w:t>
      </w:r>
      <w:r/>
    </w:p>
    <w:p>
      <w:pPr>
        <w:pStyle w:val="927"/>
        <w:pBdr/>
        <w:spacing/>
        <w:ind/>
        <w:rPr/>
      </w:pPr>
      <w:r>
        <w:rPr>
          <w:b/>
          <w:bCs/>
        </w:rPr>
        <w:t xml:space="preserve">Finalidade</w:t>
      </w:r>
      <w:r>
        <w:t xml:space="preserve">: Verificar a execução do convênio do DSEI Interior Sul</w:t>
      </w:r>
      <w:r/>
    </w:p>
    <w:p>
      <w:pPr>
        <w:pStyle w:val="926"/>
        <w:pBdr/>
        <w:spacing/>
        <w:ind/>
        <w:rPr/>
      </w:pPr>
      <w:r>
        <w:rPr>
          <w:b/>
          <w:bCs/>
        </w:rPr>
        <w:t xml:space="preserve">Constatação</w:t>
      </w:r>
      <w:r>
        <w:t xml:space="preserve">: Atraso na inserção dos Relatórios de Monitoramento trimestrais dos eixos Saneamento Ambiental e Edificações de Saúde Indígena, no TransfereGov, referentes ao exercício de 2022.</w:t>
      </w:r>
      <w:r/>
    </w:p>
    <w:p>
      <w:pPr>
        <w:pStyle w:val="926"/>
        <w:pBdr/>
        <w:spacing/>
        <w:ind/>
        <w:rPr/>
      </w:pPr>
      <w:r>
        <w:rPr>
          <w:b/>
          <w:bCs/>
        </w:rPr>
        <w:t xml:space="preserve">Recomendação</w:t>
      </w:r>
      <w:r>
        <w:t xml:space="preserve">: 1 - </w:t>
      </w:r>
      <w:r>
        <w:t xml:space="preserve">Notificar o DEAMB para que insira os relatórios de monitoramento das ações relativas aos Eixos de Saneamento e Edificações na periodicidade estabelecida no § 2º do art. 6º, da Portaria de Consolidação nº 1 SESAI/MS/2020. 2 - Fiscalizar os atos praticados p</w:t>
      </w:r>
      <w:r>
        <w:t xml:space="preserve">ela Entidade durante a execução do presente Termo de Convênio e cumprir o que determina o previsto no art. 4º, § 2º do art. 55 e inciso III do art. 56 da Portaria Interministerial MP/MF/CGU nº 424/2016, quanto ao acompanhamento e registros no TransfereGov.</w:t>
      </w:r>
      <w:r/>
    </w:p>
    <w:p>
      <w:pPr>
        <w:pStyle w:val="926"/>
        <w:pBdr/>
        <w:spacing/>
        <w:ind/>
        <w:rPr/>
      </w:pPr>
      <w:r>
        <w:rPr>
          <w:b/>
          <w:bCs/>
        </w:rPr>
        <w:t xml:space="preserve">Análise Codificação</w:t>
      </w:r>
      <w:r>
        <w:t xml:space="preserve">: Em relação ao foco, a recomendação propõe notificar o DEAMB para inserir os relatórios na periodicidade correta e fiscalizar os atos dura</w:t>
      </w:r>
      <w:r>
        <w:t xml:space="preserve">nte a execução do convênio, o que visa tratar a condição imediata do atraso, mas não aborda explicitamente a causa raiz do problema (como falta de capacitação, recursos ou processos inadequados). Portanto, não há ação clara focada na causa. Como o critério</w:t>
      </w:r>
      <w:r>
        <w:t xml:space="preserve"> </w:t>
      </w:r>
      <w:r>
        <w:t xml:space="preserve">‘Foco Causa’</w:t>
      </w:r>
      <w:r>
        <w:t xml:space="preserve"> </w:t>
      </w:r>
      <w:r>
        <w:t xml:space="preserve">é</w:t>
      </w:r>
      <w:r>
        <w:t xml:space="preserve"> </w:t>
      </w:r>
      <w:r>
        <w:t xml:space="preserve">‘Não’</w:t>
      </w:r>
      <w:r>
        <w:t xml:space="preserve">, o critério</w:t>
      </w:r>
      <w:r>
        <w:t xml:space="preserve"> </w:t>
      </w:r>
      <w:r>
        <w:t xml:space="preserve">‘Efeitos Duradouros’</w:t>
      </w:r>
      <w:r>
        <w:t xml:space="preserve"> </w:t>
      </w:r>
      <w:r>
        <w:t xml:space="preserve">não se aplica.</w:t>
      </w:r>
      <w:r/>
    </w:p>
    <w:p>
      <w:pPr>
        <w:pStyle w:val="928"/>
        <w:numPr>
          <w:ilvl w:val="0"/>
          <w:numId w:val="37"/>
        </w:numPr>
        <w:pBdr/>
        <w:spacing/>
        <w:ind/>
        <w:rPr/>
      </w:pPr>
      <w:r>
        <w:t xml:space="preserve">Ação Foco Causa: Não</w:t>
      </w:r>
      <w:r/>
    </w:p>
    <w:p>
      <w:pPr>
        <w:pStyle w:val="928"/>
        <w:numPr>
          <w:ilvl w:val="0"/>
          <w:numId w:val="37"/>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do modelo argumenta que a recomendação não aborda explicitamente a causa raiz do problema, como falta de capacitação, recursos ou processos inadequados, focando apenas na condição imediata do atraso.</w:t>
      </w:r>
      <w:r>
        <w:t xml:space="preserve"> No entanto, a recomendação inclui ações de fiscalização e cumprimento de prazos estabelecidos em portarias, que podem ser interpretadas como medidas para prevenir a recorrência do atraso ao reforçar a conformidade com normas existentes. Quanto ao critério</w:t>
      </w:r>
      <w:r>
        <w:t xml:space="preserve"> </w:t>
      </w:r>
      <w:r>
        <w:t xml:space="preserve">‘Efeitos Duradouros’</w:t>
      </w:r>
      <w:r>
        <w:t xml:space="preserve">, como o modelo classificou</w:t>
      </w:r>
      <w:r>
        <w:t xml:space="preserve"> </w:t>
      </w:r>
      <w:r>
        <w:t xml:space="preserve">‘Foco Causa’</w:t>
      </w:r>
      <w:r>
        <w:t xml:space="preserve"> </w:t>
      </w:r>
      <w:r>
        <w:t xml:space="preserve">como</w:t>
      </w:r>
      <w:r>
        <w:t xml:space="preserve"> </w:t>
      </w:r>
      <w:r>
        <w:t xml:space="preserve">‘Não’</w:t>
      </w:r>
      <w:r>
        <w:t xml:space="preserve">, a resposta</w:t>
      </w:r>
      <w:r>
        <w:t xml:space="preserve"> </w:t>
      </w:r>
      <w:r>
        <w:t xml:space="preserve">‘Não se aplica’</w:t>
      </w:r>
      <w:r>
        <w:t xml:space="preserve"> </w:t>
      </w:r>
      <w:r>
        <w:t xml:space="preserve">é consistente com a definição do critério.</w:t>
      </w:r>
      <w:r/>
    </w:p>
    <w:p>
      <w:pPr>
        <w:pStyle w:val="928"/>
        <w:numPr>
          <w:ilvl w:val="0"/>
          <w:numId w:val="38"/>
        </w:numPr>
        <w:pBdr/>
        <w:spacing/>
        <w:ind/>
        <w:rPr/>
      </w:pPr>
      <w:r>
        <w:t xml:space="preserve">Análise Foco Causa: Discordo</w:t>
      </w:r>
      <w:r/>
    </w:p>
    <w:p>
      <w:pPr>
        <w:pStyle w:val="928"/>
        <w:numPr>
          <w:ilvl w:val="0"/>
          <w:numId w:val="38"/>
        </w:numPr>
        <w:pBdr/>
        <w:spacing/>
        <w:ind/>
        <w:rPr/>
      </w:pPr>
      <w:r>
        <w:t xml:space="preserve">Análise Efeitos Duradouros: Concordo</w:t>
      </w:r>
      <w:bookmarkEnd w:id="47"/>
      <w:r/>
    </w:p>
    <w:p>
      <w:pPr>
        <w:pStyle w:val="915"/>
        <w:pBdr/>
        <w:spacing/>
        <w:ind/>
        <w:rPr/>
      </w:pPr>
      <w:r/>
      <w:bookmarkStart w:id="48" w:name="auditoria-19692-constatação-nº-686827-1"/>
      <w:r>
        <w:t xml:space="preserve">Auditoria 19692, Constatação Nº 686827 (#1)</w:t>
      </w:r>
      <w:r/>
    </w:p>
    <w:p>
      <w:pPr>
        <w:pStyle w:val="927"/>
        <w:pBdr/>
        <w:spacing/>
        <w:ind/>
        <w:rPr/>
      </w:pPr>
      <w:r>
        <w:rPr>
          <w:b/>
          <w:bCs/>
        </w:rPr>
        <w:t xml:space="preserve">Finalidade</w:t>
      </w:r>
      <w:r>
        <w:t xml:space="preserve">: Verificar a regularidade da produção inserida nos sistemas do SUS.</w:t>
      </w:r>
      <w:r/>
    </w:p>
    <w:p>
      <w:pPr>
        <w:pStyle w:val="926"/>
        <w:pBdr/>
        <w:spacing/>
        <w:ind/>
        <w:rPr/>
      </w:pPr>
      <w:r>
        <w:rPr>
          <w:b/>
          <w:bCs/>
        </w:rPr>
        <w:t xml:space="preserve">Constatação</w:t>
      </w:r>
      <w:r>
        <w:t xml:space="preserve">: Realização do procedimento consulta médica em atenção especializada (código SIGTAP 03.01.01.007-2) por médico com CBO não apto a realizar o procedimento no Centro de Especialidades João da Luz, em 2021.</w:t>
      </w:r>
      <w:r/>
    </w:p>
    <w:p>
      <w:pPr>
        <w:pStyle w:val="926"/>
        <w:pBdr/>
        <w:spacing/>
        <w:ind/>
        <w:rPr/>
      </w:pPr>
      <w:r>
        <w:rPr>
          <w:b/>
          <w:bCs/>
        </w:rPr>
        <w:t xml:space="preserve">Recomendação</w:t>
      </w:r>
      <w:r>
        <w:t xml:space="preserve">: Atentar-se para os códigos de classificação das ocupações do mercado de trabalho dos profissionai</w:t>
      </w:r>
      <w:r>
        <w:t xml:space="preserve">s de saúde, que aptos a realizar o procedimento consulta médica em atenção especializada (código SIGTAP 03.01.01.007-2) conforme descreve o Anexo I da Portaria nº 436 de 10/07/2010 que descreve, dentre os atributos gerais dos procedimentos que compõem a ta</w:t>
      </w:r>
      <w:r>
        <w:t xml:space="preserve">bela de procedimentos, medicamentos e OPM no SUS, a Classificação Brasileira de Ocupações - CBO, correspondendo aos códigos da classificação das ocupações do mercado de trabalho, especificando os profissionais de saúde, que poderão realizar o procedimento.</w:t>
      </w:r>
      <w:r/>
    </w:p>
    <w:p>
      <w:pPr>
        <w:pStyle w:val="926"/>
        <w:pBdr/>
        <w:spacing/>
        <w:ind/>
        <w:rPr/>
      </w:pPr>
      <w:r>
        <w:rPr>
          <w:b/>
          <w:bCs/>
        </w:rPr>
        <w:t xml:space="preserve">Análise Codificação</w:t>
      </w:r>
      <w:r>
        <w:t xml:space="preserve">: A recomendação sugere que o gestor atente-se aos códigos de CBO conforme a portaria, mas não propõe ações específicas para tratar a causa raiz</w:t>
      </w:r>
      <w:r>
        <w:t xml:space="preserve"> do problema, como a implementação de um sistema de verificação de CBOs ou treinamento para os profissionais. Em vez disso, foca em conscientização geral, o que é mais condizente com uma abordagem de correção imediata da condição observada.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r/>
    </w:p>
    <w:p>
      <w:pPr>
        <w:pStyle w:val="928"/>
        <w:numPr>
          <w:ilvl w:val="0"/>
          <w:numId w:val="39"/>
        </w:numPr>
        <w:pBdr/>
        <w:spacing/>
        <w:ind/>
        <w:rPr/>
      </w:pPr>
      <w:r>
        <w:t xml:space="preserve">Ação Foco Causa: Não</w:t>
      </w:r>
      <w:r/>
    </w:p>
    <w:p>
      <w:pPr>
        <w:pStyle w:val="928"/>
        <w:numPr>
          <w:ilvl w:val="0"/>
          <w:numId w:val="39"/>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discordo da análise original, pois a recomendação, ao enfa</w:t>
      </w:r>
      <w:r>
        <w:t xml:space="preserve">tizar a necessidade de atentar-se aos códigos de CBO conforme a portaria, pode ser interpretada como uma ação voltada à causa raiz do problema, que é a falta de conformidade com as exigências normativas para a realização do procedimento. Quanto ao critério</w:t>
      </w:r>
      <w:r>
        <w:t xml:space="preserve"> </w:t>
      </w:r>
      <w:r>
        <w:t xml:space="preserve">‘Efeitos Duradouros’</w:t>
      </w:r>
      <w:r>
        <w:t xml:space="preserve">, a análise original está correta em considerar que não se aplica, dado que o critério</w:t>
      </w:r>
      <w:r>
        <w:t xml:space="preserve"> </w:t>
      </w:r>
      <w:r>
        <w:t xml:space="preserve">‘Foco Causa’</w:t>
      </w:r>
      <w:r>
        <w:t xml:space="preserve"> </w:t>
      </w:r>
      <w:r>
        <w:t xml:space="preserve">foi avaliado como</w:t>
      </w:r>
      <w:r>
        <w:t xml:space="preserve"> </w:t>
      </w:r>
      <w:r>
        <w:t xml:space="preserve">‘Não’</w:t>
      </w:r>
      <w:r>
        <w:t xml:space="preserve"> </w:t>
      </w:r>
      <w:r>
        <w:t xml:space="preserve">na análise original, mas, como discordo dessa avaliação, a análise de</w:t>
      </w:r>
      <w:r>
        <w:t xml:space="preserve"> </w:t>
      </w:r>
      <w:r>
        <w:t xml:space="preserve">‘Efeitos Duradouros’</w:t>
      </w:r>
      <w:r>
        <w:t xml:space="preserve"> </w:t>
      </w:r>
      <w:r>
        <w:t xml:space="preserve">deveria ser reconsiderada se</w:t>
      </w:r>
      <w:r>
        <w:t xml:space="preserve"> </w:t>
      </w:r>
      <w:r>
        <w:t xml:space="preserve">‘Foco Causa’</w:t>
      </w:r>
      <w:r>
        <w:t xml:space="preserve"> </w:t>
      </w:r>
      <w:r>
        <w:t xml:space="preserve">fosse</w:t>
      </w:r>
      <w:r>
        <w:t xml:space="preserve"> </w:t>
      </w:r>
      <w:r>
        <w:t xml:space="preserve">‘Sim’</w:t>
      </w:r>
      <w:r>
        <w:t xml:space="preserve">.</w:t>
      </w:r>
      <w:r/>
    </w:p>
    <w:p>
      <w:pPr>
        <w:pStyle w:val="928"/>
        <w:numPr>
          <w:ilvl w:val="0"/>
          <w:numId w:val="40"/>
        </w:numPr>
        <w:pBdr/>
        <w:spacing/>
        <w:ind/>
        <w:rPr/>
      </w:pPr>
      <w:r>
        <w:t xml:space="preserve">Análise Foco Causa: Discordo</w:t>
      </w:r>
      <w:r/>
    </w:p>
    <w:p>
      <w:pPr>
        <w:pStyle w:val="928"/>
        <w:numPr>
          <w:ilvl w:val="0"/>
          <w:numId w:val="40"/>
        </w:numPr>
        <w:pBdr/>
        <w:spacing/>
        <w:ind/>
        <w:rPr/>
      </w:pPr>
      <w:r>
        <w:t xml:space="preserve">Análise Efeitos Duradouros: Concordo</w:t>
      </w:r>
      <w:bookmarkEnd w:id="48"/>
      <w:r/>
    </w:p>
    <w:p>
      <w:pPr>
        <w:pStyle w:val="915"/>
        <w:pBdr/>
        <w:spacing/>
        <w:ind/>
        <w:rPr/>
      </w:pPr>
      <w:r/>
      <w:bookmarkStart w:id="49" w:name="auditoria-19758-constatação-nº-693062-1"/>
      <w:r>
        <w:t xml:space="preserve">Auditoria 19758, Constatação Nº 693062 (#1)</w:t>
      </w:r>
      <w:r/>
    </w:p>
    <w:p>
      <w:pPr>
        <w:pStyle w:val="927"/>
        <w:pBdr/>
        <w:spacing/>
        <w:ind/>
        <w:rPr/>
      </w:pPr>
      <w:r>
        <w:rPr>
          <w:b/>
          <w:bCs/>
        </w:rPr>
        <w:t xml:space="preserve">Finalidade</w:t>
      </w:r>
      <w:r>
        <w:t xml:space="preserve">: Verificar se CMRFs possuem controles internos capazes de assegurar adequadamente a Cadeia de Frio.</w:t>
      </w:r>
      <w:r/>
    </w:p>
    <w:p>
      <w:pPr>
        <w:pStyle w:val="926"/>
        <w:pBdr/>
        <w:spacing/>
        <w:ind/>
        <w:rPr/>
      </w:pPr>
      <w:r>
        <w:rPr>
          <w:b/>
          <w:bCs/>
        </w:rPr>
        <w:t xml:space="preserve">Constatação</w:t>
      </w:r>
      <w:r>
        <w:t xml:space="preserve">: O transporte dos imunobiológicos realizado pela CMRF de Maranguape não ocorre de acordo com as orientações preconizadas pelo PNI.</w:t>
      </w:r>
      <w:r/>
    </w:p>
    <w:p>
      <w:pPr>
        <w:pStyle w:val="926"/>
        <w:pBdr/>
        <w:spacing/>
        <w:ind/>
        <w:rPr/>
      </w:pPr>
      <w:r>
        <w:rPr>
          <w:b/>
          <w:bCs/>
        </w:rPr>
        <w:t xml:space="preserve">Recomendação</w:t>
      </w:r>
      <w:r>
        <w:t xml:space="preserve">: Promover a adequação d</w:t>
      </w:r>
      <w:r>
        <w:t xml:space="preserve">o transporte de imunobiológicos, com a implementação de controle de temperatura nos veículos utilizados e registro do monitoramento contínuo da temperatura durante o transporte, em conformidade com as orientações preconizadas no subitem 4.6-Transporte de i</w:t>
      </w:r>
      <w:r>
        <w:t xml:space="preserve">munobiológicos do Manual de Rede Frio do Programa Nacional de Imunizações, Ministério da Saúde, 2017, e com o disposto no Art. 61, Título XII, da Lei nº 6.360, de 23/09/1976, combinado com os Arts. 83 e 84, Seção IX, da RDC ANVISA/MS nº 430, de 08/10/2020.</w:t>
      </w:r>
      <w:r/>
    </w:p>
    <w:p>
      <w:pPr>
        <w:pStyle w:val="926"/>
        <w:pBdr/>
        <w:spacing/>
        <w:ind/>
        <w:rPr/>
      </w:pPr>
      <w:r>
        <w:rPr>
          <w:b/>
          <w:bCs/>
        </w:rPr>
        <w:t xml:space="preserve">Análise Codificação</w:t>
      </w:r>
      <w:r>
        <w:t xml:space="preserve">: Em relação ao foco, a recomendação propõe a implementação de controle de temperatura e registro do monitoramento contínuo, o que visa corrigir a condição específica de transporte in</w:t>
      </w:r>
      <w:r>
        <w:t xml:space="preserve">adequado, mas não aborda explicitamente as causas subjacentes, como falhas de capacitação, supervisão ou recursos. Portanto, a ação proposta é mais direcionada à condição encontrada do que à causa raiz. Já em relação aos efeitos duradouros, como o critério</w:t>
      </w:r>
      <w:r>
        <w:t xml:space="preserve"> </w:t>
      </w:r>
      <w:r>
        <w:t xml:space="preserve">‘Foco Causa’</w:t>
      </w:r>
      <w:r>
        <w:t xml:space="preserve"> </w:t>
      </w:r>
      <w:r>
        <w:t xml:space="preserve">não foi atendido, essa análise não se aplica.</w:t>
      </w:r>
      <w:r/>
    </w:p>
    <w:p>
      <w:pPr>
        <w:pStyle w:val="928"/>
        <w:numPr>
          <w:ilvl w:val="0"/>
          <w:numId w:val="41"/>
        </w:numPr>
        <w:pBdr/>
        <w:spacing/>
        <w:ind/>
        <w:rPr/>
      </w:pPr>
      <w:r>
        <w:t xml:space="preserve">Ação Foco Causa: Não</w:t>
      </w:r>
      <w:r/>
    </w:p>
    <w:p>
      <w:pPr>
        <w:pStyle w:val="928"/>
        <w:numPr>
          <w:ilvl w:val="0"/>
          <w:numId w:val="41"/>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do modelo argumenta que a recomendação não aborda explicitamente causas subjacentes, como falhas de capacitação, supervisão ou recursos, focando apenas na correção da condição específica de transpor</w:t>
      </w:r>
      <w:r>
        <w:t xml:space="preserve">te inadequado. No entanto, a recomendação propõe a implementação de controle de temperatura e registro contínuo, que podem ser interpretados como medidas para tratar a causa raiz da falta de monitoramento adequado, estabelecendo um sistema permanente. Para</w:t>
      </w:r>
      <w:r>
        <w:t xml:space="preserve"> </w:t>
      </w:r>
      <w:r>
        <w:t xml:space="preserve">‘Efeitos Duradouros’</w:t>
      </w:r>
      <w:r>
        <w:t xml:space="preserve">, como a análise do</w:t>
      </w:r>
      <w:r>
        <w:t xml:space="preserve"> </w:t>
      </w:r>
      <w:r>
        <w:t xml:space="preserve">‘Foco Causa’</w:t>
      </w:r>
      <w:r>
        <w:t xml:space="preserve"> </w:t>
      </w:r>
      <w:r>
        <w:t xml:space="preserve">foi</w:t>
      </w:r>
      <w:r>
        <w:t xml:space="preserve"> </w:t>
      </w:r>
      <w:r>
        <w:t xml:space="preserve">‘Não’</w:t>
      </w:r>
      <w:r>
        <w:t xml:space="preserve">, a resposta</w:t>
      </w:r>
      <w:r>
        <w:t xml:space="preserve"> </w:t>
      </w:r>
      <w:r>
        <w:t xml:space="preserve">‘Não se aplica’</w:t>
      </w:r>
      <w:r>
        <w:t xml:space="preserve"> </w:t>
      </w:r>
      <w:r>
        <w:t xml:space="preserve">está correta, mas há discordância na premissa inicial.</w:t>
      </w:r>
      <w:r/>
    </w:p>
    <w:p>
      <w:pPr>
        <w:pStyle w:val="928"/>
        <w:numPr>
          <w:ilvl w:val="0"/>
          <w:numId w:val="42"/>
        </w:numPr>
        <w:pBdr/>
        <w:spacing/>
        <w:ind/>
        <w:rPr/>
      </w:pPr>
      <w:r>
        <w:t xml:space="preserve">Análise Foco Causa: Discordo</w:t>
      </w:r>
      <w:r/>
    </w:p>
    <w:p>
      <w:pPr>
        <w:pStyle w:val="928"/>
        <w:numPr>
          <w:ilvl w:val="0"/>
          <w:numId w:val="42"/>
        </w:numPr>
        <w:pBdr/>
        <w:spacing/>
        <w:ind/>
        <w:rPr/>
      </w:pPr>
      <w:r>
        <w:t xml:space="preserve">Análise Efeitos Duradouros: Concordo</w:t>
      </w:r>
      <w:bookmarkEnd w:id="49"/>
      <w:r/>
    </w:p>
    <w:p>
      <w:pPr>
        <w:pStyle w:val="915"/>
        <w:pBdr/>
        <w:spacing/>
        <w:ind/>
        <w:rPr/>
      </w:pPr>
      <w:r/>
      <w:bookmarkStart w:id="50" w:name="auditoria-19777-constatação-nº-691656-1"/>
      <w:r>
        <w:t xml:space="preserve">Auditoria 19777, Constatação Nº 691656 (#1)</w:t>
      </w:r>
      <w:r/>
    </w:p>
    <w:p>
      <w:pPr>
        <w:pStyle w:val="927"/>
        <w:pBdr/>
        <w:spacing/>
        <w:ind/>
        <w:rPr/>
      </w:pPr>
      <w:r>
        <w:rPr>
          <w:b/>
          <w:bCs/>
        </w:rPr>
        <w:t xml:space="preserve">Finalidade</w:t>
      </w:r>
      <w:r>
        <w:t xml:space="preserve">: Verificar se a SMS possui controles internos capazes de assegurar adequadamente a Cadeia de Frio.</w:t>
      </w:r>
      <w:r/>
    </w:p>
    <w:p>
      <w:pPr>
        <w:pStyle w:val="926"/>
        <w:pBdr/>
        <w:spacing/>
        <w:ind/>
        <w:rPr/>
      </w:pPr>
      <w:r>
        <w:rPr>
          <w:b/>
          <w:bCs/>
        </w:rPr>
        <w:t xml:space="preserve">Constatação</w:t>
      </w:r>
      <w:r>
        <w:t xml:space="preserve">: O transporte dos imunobiológicos retirados diretamente pela Instância municipal não é realizado de acordo com as orientações preconizadas pelo PNI.</w:t>
      </w:r>
      <w:r/>
    </w:p>
    <w:p>
      <w:pPr>
        <w:pStyle w:val="926"/>
        <w:pBdr/>
        <w:spacing/>
        <w:ind/>
        <w:rPr/>
      </w:pPr>
      <w:r>
        <w:rPr>
          <w:b/>
          <w:bCs/>
        </w:rPr>
        <w:t xml:space="preserve">Recomendação</w:t>
      </w:r>
      <w:r>
        <w:t xml:space="preserve">: Monitorar a temperatura</w:t>
      </w:r>
      <w:r>
        <w:t xml:space="preserve"> de transporte dos imunobiológicos retirados diretamente pela Instância municipal, conforme estabelecido no Subitem 6.16.2, Item 6, pág. 70, do Manual da Rede de Frio do PNI/2017; e no Subitem 4.6.3., Item 4, pág. 30, do Manual da Rede de Frio do PNI/2017.</w:t>
      </w:r>
      <w:r/>
    </w:p>
    <w:p>
      <w:pPr>
        <w:pStyle w:val="926"/>
        <w:pBdr/>
        <w:spacing/>
        <w:ind/>
        <w:rPr/>
      </w:pPr>
      <w:r>
        <w:rPr>
          <w:b/>
          <w:bCs/>
        </w:rPr>
        <w:t xml:space="preserve">Análise Codificação</w:t>
      </w:r>
      <w:r>
        <w:t xml:space="preserve">: Em relação ao foco, a recomendação propõe monitorar a temperatura de transporte dos imunobiológicos, o que constitui uma ação para verificar e controlar a condição identificada (transporte inadequado), mas não aborda</w:t>
      </w:r>
      <w:r>
        <w:t xml:space="preserve"> as causas subjacentes que levam ao não cumprimento das orientações do PNI, como falta de capacitação, recursos inadequados ou falhas nos processos. Portanto, a recomendação é focada na condição, não na causa. Quanto aos efeitos duradouros, como o critério</w:t>
      </w:r>
      <w:r>
        <w:t xml:space="preserve"> </w:t>
      </w:r>
      <w:r>
        <w:t xml:space="preserve">‘Foco Causa’</w:t>
      </w:r>
      <w:r>
        <w:t xml:space="preserve"> </w:t>
      </w:r>
      <w:r>
        <w:t xml:space="preserve">não foi atendido, não se aplica.</w:t>
      </w:r>
      <w:r/>
    </w:p>
    <w:p>
      <w:pPr>
        <w:pStyle w:val="928"/>
        <w:numPr>
          <w:ilvl w:val="0"/>
          <w:numId w:val="43"/>
        </w:numPr>
        <w:pBdr/>
        <w:spacing/>
        <w:ind/>
        <w:rPr/>
      </w:pPr>
      <w:r>
        <w:t xml:space="preserve">Ação Foco Causa: Não</w:t>
      </w:r>
      <w:r/>
    </w:p>
    <w:p>
      <w:pPr>
        <w:pStyle w:val="928"/>
        <w:numPr>
          <w:ilvl w:val="0"/>
          <w:numId w:val="43"/>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original argumenta que a recomendação de monitorar a temperatura do transporte é focada na condição e não aborda causas subjacentes, como falta de cap</w:t>
      </w:r>
      <w:r>
        <w:t xml:space="preserve">acitação ou recursos. No entanto, monitorar a temperatura pode ser visto como uma ação preventiva que visa identificar e corrigir falhas no processo de transporte, potencialmente tratando causas como falhas operacionais ou de supervisão. Quanto ao critério</w:t>
      </w:r>
      <w:r>
        <w:t xml:space="preserve"> </w:t>
      </w:r>
      <w:r>
        <w:t xml:space="preserve">‘Efeitos Duradouros’</w:t>
      </w:r>
      <w:r>
        <w:t xml:space="preserve">, a análise depende da avaliação do</w:t>
      </w:r>
      <w:r>
        <w:t xml:space="preserve"> </w:t>
      </w:r>
      <w:r>
        <w:t xml:space="preserve">‘Foco Causa’</w:t>
      </w:r>
      <w:r>
        <w:t xml:space="preserve">; se</w:t>
      </w:r>
      <w:r>
        <w:t xml:space="preserve"> </w:t>
      </w:r>
      <w:r>
        <w:t xml:space="preserve">‘Foco Causa’</w:t>
      </w:r>
      <w:r>
        <w:t xml:space="preserve"> </w:t>
      </w:r>
      <w:r>
        <w:t xml:space="preserve">for</w:t>
      </w:r>
      <w:r>
        <w:t xml:space="preserve"> </w:t>
      </w:r>
      <w:r>
        <w:t xml:space="preserve">‘Não’</w:t>
      </w:r>
      <w:r>
        <w:t xml:space="preserve">, então</w:t>
      </w:r>
      <w:r>
        <w:t xml:space="preserve"> </w:t>
      </w:r>
      <w:r>
        <w:t xml:space="preserve">‘Efeitos Duradouros’</w:t>
      </w:r>
      <w:r>
        <w:t xml:space="preserve"> </w:t>
      </w:r>
      <w:r>
        <w:t xml:space="preserve">não se aplica, conforme as regras definidas.</w:t>
      </w:r>
      <w:r/>
    </w:p>
    <w:p>
      <w:pPr>
        <w:pStyle w:val="928"/>
        <w:numPr>
          <w:ilvl w:val="0"/>
          <w:numId w:val="44"/>
        </w:numPr>
        <w:pBdr/>
        <w:spacing/>
        <w:ind/>
        <w:rPr/>
      </w:pPr>
      <w:r>
        <w:t xml:space="preserve">Análise Foco Causa: Discordo</w:t>
      </w:r>
      <w:r/>
    </w:p>
    <w:p>
      <w:pPr>
        <w:pStyle w:val="928"/>
        <w:numPr>
          <w:ilvl w:val="0"/>
          <w:numId w:val="44"/>
        </w:numPr>
        <w:pBdr/>
        <w:spacing/>
        <w:ind/>
        <w:rPr/>
      </w:pPr>
      <w:r>
        <w:t xml:space="preserve">Análise Efeitos Duradouros: Concordo</w:t>
      </w:r>
      <w:bookmarkEnd w:id="50"/>
      <w:r/>
    </w:p>
    <w:p>
      <w:pPr>
        <w:pStyle w:val="915"/>
        <w:pBdr/>
        <w:spacing/>
        <w:ind/>
        <w:rPr/>
      </w:pPr>
      <w:r/>
      <w:bookmarkStart w:id="51" w:name="auditoria-19816-constatação-nº-693839-1"/>
      <w:r>
        <w:t xml:space="preserve">Auditoria 19816, Constatação Nº 693839 (#1)</w:t>
      </w:r>
      <w:r/>
    </w:p>
    <w:p>
      <w:pPr>
        <w:pStyle w:val="927"/>
        <w:pBdr/>
        <w:spacing/>
        <w:ind/>
        <w:rPr/>
      </w:pPr>
      <w:r>
        <w:rPr>
          <w:b/>
          <w:bCs/>
        </w:rPr>
        <w:t xml:space="preserve">Finalidade</w:t>
      </w:r>
      <w:r>
        <w:t xml:space="preserve">: Auditoria na PNSMAD - 2024</w:t>
      </w:r>
      <w:r/>
    </w:p>
    <w:p>
      <w:pPr>
        <w:pStyle w:val="926"/>
        <w:pBdr/>
        <w:spacing/>
        <w:ind/>
        <w:rPr/>
      </w:pPr>
      <w:r>
        <w:rPr>
          <w:b/>
          <w:bCs/>
        </w:rPr>
        <w:t xml:space="preserve">Constatação</w:t>
      </w:r>
      <w:r>
        <w:t xml:space="preserve">: As UBS visitadas não comprovaram a realização de ações contínuas do Programa Saúde na Escola relacionadas à saúde mental.</w:t>
      </w:r>
      <w:r/>
    </w:p>
    <w:p>
      <w:pPr>
        <w:pStyle w:val="926"/>
        <w:pBdr/>
        <w:spacing/>
        <w:ind/>
        <w:rPr/>
      </w:pPr>
      <w:r>
        <w:rPr>
          <w:b/>
          <w:bCs/>
        </w:rPr>
        <w:t xml:space="preserve">Recomendação</w:t>
      </w:r>
      <w:r>
        <w:t xml:space="preserve">: Realizar ações do Programa Saúde na Escola, em atendimento ao item 2.7 da NOTA TÉCNICA Nº 5/2023- CGEDESS/DEPPROS/SAPS/MS, combinado aos art. 2º e art. 4º do Decreto nº 6.286, de 05 de dezembro de 2007.</w:t>
      </w:r>
      <w:r/>
    </w:p>
    <w:p>
      <w:pPr>
        <w:pStyle w:val="926"/>
        <w:pBdr/>
        <w:spacing/>
        <w:ind/>
        <w:rPr/>
      </w:pPr>
      <w:r>
        <w:rPr>
          <w:b/>
          <w:bCs/>
        </w:rPr>
        <w:t xml:space="preserve">Análise Codificação</w:t>
      </w:r>
      <w:r>
        <w:t xml:space="preserve">: A recomendação propõe a realização de ações do Programa Saúde na Escola, focando na execução de atividades específicas para cumprir normas técnicas e legais. No entanto, não há menção a ações que abordem as causas subjacentes da falta de c</w:t>
      </w:r>
      <w:r>
        <w:t xml:space="preserve">omprovação das ações contínuas, como falhas em processos de documentação, capacitação de pessoal ou mecanismos de monitoramento. Portanto, a recomendação é voltada para corrigir a condição imediata (falta de ações) sem tratar da causa raiz.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r/>
    </w:p>
    <w:p>
      <w:pPr>
        <w:pStyle w:val="928"/>
        <w:numPr>
          <w:ilvl w:val="0"/>
          <w:numId w:val="45"/>
        </w:numPr>
        <w:pBdr/>
        <w:spacing/>
        <w:ind/>
        <w:rPr/>
      </w:pPr>
      <w:r>
        <w:t xml:space="preserve">Ação Foco Causa: Não</w:t>
      </w:r>
      <w:r/>
    </w:p>
    <w:p>
      <w:pPr>
        <w:pStyle w:val="928"/>
        <w:numPr>
          <w:ilvl w:val="0"/>
          <w:numId w:val="45"/>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original argumenta que a recomendação não aborda causas subjacentes, como falhas em documentação ou capacitação,</w:t>
      </w:r>
      <w:r>
        <w:t xml:space="preserve"> focando apenas na execução imediata das ações. No entanto, a recomendação exige o cumprimento de normas técnicas e legais específicas, o que pode implicar a institucionalização de práticas regulares e, portanto, abordar causas estruturais. Para o critério</w:t>
      </w:r>
      <w:r>
        <w:t xml:space="preserve"> </w:t>
      </w:r>
      <w:r>
        <w:t xml:space="preserve">‘Efeitos Duradouros’</w:t>
      </w:r>
      <w:r>
        <w:t xml:space="preserve">, como a análise original considera</w:t>
      </w:r>
      <w:r>
        <w:t xml:space="preserve"> </w:t>
      </w:r>
      <w:r>
        <w:t xml:space="preserve">‘Foco Causa’</w:t>
      </w:r>
      <w:r>
        <w:t xml:space="preserve"> </w:t>
      </w:r>
      <w:r>
        <w:t xml:space="preserve">como</w:t>
      </w:r>
      <w:r>
        <w:t xml:space="preserve"> </w:t>
      </w:r>
      <w:r>
        <w:t xml:space="preserve">‘Não’</w:t>
      </w:r>
      <w:r>
        <w:t xml:space="preserve">, ela corretamente declara</w:t>
      </w:r>
      <w:r>
        <w:t xml:space="preserve"> </w:t>
      </w:r>
      <w:r>
        <w:t xml:space="preserve">‘Não se aplica’</w:t>
      </w:r>
      <w:r>
        <w:t xml:space="preserve">, mas essa conclusão depende da avaliação anterior.</w:t>
      </w:r>
      <w:r/>
    </w:p>
    <w:p>
      <w:pPr>
        <w:pStyle w:val="928"/>
        <w:numPr>
          <w:ilvl w:val="0"/>
          <w:numId w:val="46"/>
        </w:numPr>
        <w:pBdr/>
        <w:spacing/>
        <w:ind/>
        <w:rPr/>
      </w:pPr>
      <w:r>
        <w:t xml:space="preserve">Análise Foco Causa: Discordo</w:t>
      </w:r>
      <w:r/>
    </w:p>
    <w:p>
      <w:pPr>
        <w:pStyle w:val="928"/>
        <w:numPr>
          <w:ilvl w:val="0"/>
          <w:numId w:val="46"/>
        </w:numPr>
        <w:pBdr/>
        <w:spacing/>
        <w:ind/>
        <w:rPr/>
      </w:pPr>
      <w:r>
        <w:t xml:space="preserve">Análise Efeitos Duradouros: Concordo</w:t>
      </w:r>
      <w:bookmarkEnd w:id="51"/>
      <w:r/>
    </w:p>
    <w:p>
      <w:pPr>
        <w:pStyle w:val="915"/>
        <w:pBdr/>
        <w:spacing/>
        <w:ind/>
        <w:rPr/>
      </w:pPr>
      <w:r/>
      <w:bookmarkStart w:id="52" w:name="auditoria-19863-constatação-nº-703373-1"/>
      <w:r>
        <w:t xml:space="preserve">Auditoria 19863, Constatação Nº 703373 (#1)</w:t>
      </w:r>
      <w:r/>
    </w:p>
    <w:p>
      <w:pPr>
        <w:pStyle w:val="927"/>
        <w:pBdr/>
        <w:spacing/>
        <w:ind/>
        <w:rPr/>
      </w:pPr>
      <w:r>
        <w:rPr>
          <w:b/>
          <w:bCs/>
        </w:rPr>
        <w:t xml:space="preserve">Finalidade</w:t>
      </w:r>
      <w:r>
        <w:t xml:space="preserve">: Verificar o cumprimento do Plano de Ação da SES ref. à ACP nº 10058- 73.2015.4.01.4300 da 1ª VF.</w:t>
      </w:r>
      <w:r/>
    </w:p>
    <w:p>
      <w:pPr>
        <w:pStyle w:val="926"/>
        <w:pBdr/>
        <w:spacing/>
        <w:ind/>
        <w:rPr/>
      </w:pPr>
      <w:r>
        <w:rPr>
          <w:b/>
          <w:bCs/>
        </w:rPr>
        <w:t xml:space="preserve">Constatação</w:t>
      </w:r>
      <w:r>
        <w:t xml:space="preserve">: A SES/TO não comprovou a revisão do Regimento Interno do Hospital Geral de Palmas.</w:t>
      </w:r>
      <w:r/>
    </w:p>
    <w:p>
      <w:pPr>
        <w:pStyle w:val="926"/>
        <w:pBdr/>
        <w:spacing/>
        <w:ind/>
        <w:rPr/>
      </w:pPr>
      <w:r>
        <w:rPr>
          <w:b/>
          <w:bCs/>
        </w:rPr>
        <w:t xml:space="preserve">Recomendação</w:t>
      </w:r>
      <w:r>
        <w:t xml:space="preserve">: Cumprir o acordado no item 2.2</w:t>
      </w:r>
      <w:r>
        <w:t xml:space="preserve"> </w:t>
      </w:r>
      <w:r>
        <w:t xml:space="preserve">“Revisar/Elaborar o Regimento Interno dos Hospitais”</w:t>
      </w:r>
      <w:r>
        <w:t xml:space="preserve">- Plano de Ação SES/TO 2022, conforme compromisso assumido para revisão do Regimento Interno do Hospital Geral de Palmas.</w:t>
      </w:r>
      <w:r/>
    </w:p>
    <w:p>
      <w:pPr>
        <w:pStyle w:val="926"/>
        <w:pBdr/>
        <w:spacing/>
        <w:ind/>
        <w:rPr/>
      </w:pPr>
      <w:r>
        <w:rPr>
          <w:b/>
          <w:bCs/>
        </w:rPr>
        <w:t xml:space="preserve">Análise Codificação</w:t>
      </w:r>
      <w:r>
        <w:t xml:space="preserve">: A recomendação apenas repete o compromisso previamente assumido de revisar o Regimento Interno do Hospital Geral de Palmas, sem propor ações específicas para tratar a causa subjacente que levou ao não cumprimento desse compromisso. Não há m</w:t>
      </w:r>
      <w:r>
        <w:t xml:space="preserve">enção a medidas que abordem as razões fundamentais para a não revisão do regimento, como falhas nos processos de gestão, falta de recursos, deficiências na governança ou outros fatores causais. Portanto, a recomendação não possui foco na causa do problema.</w:t>
      </w:r>
      <w:r/>
    </w:p>
    <w:p>
      <w:pPr>
        <w:pStyle w:val="928"/>
        <w:numPr>
          <w:ilvl w:val="0"/>
          <w:numId w:val="47"/>
        </w:numPr>
        <w:pBdr/>
        <w:spacing/>
        <w:ind/>
        <w:rPr/>
      </w:pPr>
      <w:r>
        <w:t xml:space="preserve">Ação Foco Causa: Não</w:t>
      </w:r>
      <w:r/>
    </w:p>
    <w:p>
      <w:pPr>
        <w:pStyle w:val="928"/>
        <w:numPr>
          <w:ilvl w:val="0"/>
          <w:numId w:val="47"/>
        </w:numPr>
        <w:pBdr/>
        <w:spacing/>
        <w:ind/>
        <w:rPr/>
      </w:pPr>
      <w:r>
        <w:t xml:space="preserve">Efeitos Duradouros: Não se aplica</w:t>
      </w:r>
      <w:r/>
    </w:p>
    <w:p>
      <w:pPr>
        <w:pStyle w:val="927"/>
        <w:pBdr/>
        <w:spacing/>
        <w:ind/>
        <w:rPr/>
      </w:pPr>
      <w:r>
        <w:rPr>
          <w:b/>
          <w:bCs/>
        </w:rPr>
        <w:t xml:space="preserve">Análise Crítica</w:t>
      </w:r>
      <w:r>
        <w:t xml:space="preserve">: A análise do modelo está correta em identificar que a recomendação não aborda a causa subjacente do problema, mas incorre ao afirmar que não há foco na causa, pois a recomendação, embora genérica, pode ser inte</w:t>
      </w:r>
      <w:r>
        <w:t xml:space="preserve">rpretada como uma ação para tratar a causa, que é a ausência de revisão do regimento interno. No entanto, a falta de especificidade e foco em fatores causais mais profundos justifica a discordância parcial. Para o critério de efeitos duradouros, a resposta</w:t>
      </w:r>
      <w:r>
        <w:t xml:space="preserve"> </w:t>
      </w:r>
      <w:r>
        <w:t xml:space="preserve">‘Não se aplica’</w:t>
      </w:r>
      <w:r>
        <w:t xml:space="preserve"> </w:t>
      </w:r>
      <w:r>
        <w:t xml:space="preserve">está correta, pois o critério</w:t>
      </w:r>
      <w:r>
        <w:t xml:space="preserve"> </w:t>
      </w:r>
      <w:r>
        <w:t xml:space="preserve">‘Foco Causa’</w:t>
      </w:r>
      <w:r>
        <w:t xml:space="preserve"> </w:t>
      </w:r>
      <w:r>
        <w:t xml:space="preserve">foi avaliado como</w:t>
      </w:r>
      <w:r>
        <w:t xml:space="preserve"> </w:t>
      </w:r>
      <w:r>
        <w:t xml:space="preserve">‘Não’</w:t>
      </w:r>
      <w:r>
        <w:t xml:space="preserve">.</w:t>
      </w:r>
      <w:r/>
    </w:p>
    <w:p>
      <w:pPr>
        <w:pStyle w:val="928"/>
        <w:numPr>
          <w:ilvl w:val="0"/>
          <w:numId w:val="48"/>
        </w:numPr>
        <w:pBdr/>
        <w:spacing/>
        <w:ind/>
        <w:rPr/>
      </w:pPr>
      <w:r>
        <w:t xml:space="preserve">Análise Foco Causa: Discordo</w:t>
      </w:r>
      <w:r/>
    </w:p>
    <w:p>
      <w:pPr>
        <w:pStyle w:val="928"/>
        <w:numPr>
          <w:ilvl w:val="0"/>
          <w:numId w:val="48"/>
        </w:numPr>
        <w:pBdr/>
        <w:spacing/>
        <w:ind/>
        <w:rPr/>
      </w:pPr>
      <w:r>
        <w:t xml:space="preserve">Análise Efeitos Duradouros: Concordo</w:t>
      </w:r>
      <w:bookmarkEnd w:id="52"/>
      <w:bookmarkEnd w:id="53"/>
      <w:r/>
    </w:p>
    <w:p>
      <w:pPr>
        <w:pStyle w:val="914"/>
        <w:pBdr/>
        <w:spacing/>
        <w:ind/>
        <w:rPr/>
      </w:pPr>
      <w:r/>
      <w:bookmarkStart w:id="64" w:name="X3c0f7736c0aeb7e9eafe347f4d0471c794525ec"/>
      <w:r>
        <w:t xml:space="preserve">Foco: Não, Efeitos: Não se aplica, Concordância Foco: Discordo, Concordância Efeitos: Não se aplica</w:t>
      </w:r>
      <w:r/>
    </w:p>
    <w:p>
      <w:pPr>
        <w:pStyle w:val="915"/>
        <w:pBdr/>
        <w:spacing/>
        <w:ind/>
        <w:rPr/>
      </w:pPr>
      <w:r/>
      <w:bookmarkStart w:id="54" w:name="auditoria-19197-constatação-nº-654772-1"/>
      <w:r>
        <w:t xml:space="preserve">Auditoria 19197, Constatação Nº 654772 (#1)</w:t>
      </w:r>
      <w:r/>
    </w:p>
    <w:p>
      <w:pPr>
        <w:pStyle w:val="927"/>
        <w:pBdr/>
        <w:spacing/>
        <w:ind/>
        <w:rPr/>
      </w:pPr>
      <w:r>
        <w:rPr>
          <w:b/>
          <w:bCs/>
        </w:rPr>
        <w:t xml:space="preserve">Finalidade</w:t>
      </w:r>
      <w:r>
        <w:t xml:space="preserve">: Verificar a regularidade nos proc. de adesão às Atas de Registro de Preços p/ aq. de OPME pelo HFI</w:t>
      </w:r>
      <w:r/>
    </w:p>
    <w:p>
      <w:pPr>
        <w:pStyle w:val="926"/>
        <w:pBdr/>
        <w:spacing/>
        <w:ind/>
        <w:rPr/>
      </w:pPr>
      <w:r>
        <w:rPr>
          <w:b/>
          <w:bCs/>
        </w:rPr>
        <w:t xml:space="preserve">Constatação</w:t>
      </w:r>
      <w:r>
        <w:t xml:space="preserve">: Inadequação no fluxo de distribuição e dispensação de OPME.</w:t>
      </w:r>
      <w:r/>
    </w:p>
    <w:p>
      <w:pPr>
        <w:pStyle w:val="926"/>
        <w:pBdr/>
        <w:spacing/>
        <w:ind/>
        <w:rPr/>
      </w:pPr>
      <w:r>
        <w:rPr>
          <w:b/>
          <w:bCs/>
        </w:rPr>
        <w:t xml:space="preserve">Recomendação</w:t>
      </w:r>
      <w:r>
        <w:t xml:space="preserve">: Cumprir as determinações sobre o recebimento de objetos licitados expressas no art. 140 c/c art. 104, inciso II,</w:t>
      </w:r>
      <w:r>
        <w:t xml:space="preserve"> </w:t>
      </w:r>
      <w:r>
        <w:t xml:space="preserve">“b”</w:t>
      </w:r>
      <w:r>
        <w:t xml:space="preserve"> </w:t>
      </w:r>
      <w:r>
        <w:t xml:space="preserve">e art. 104, § 1° da Lei n° 14.133/2021.</w:t>
      </w:r>
      <w:r/>
    </w:p>
    <w:p>
      <w:pPr>
        <w:pStyle w:val="926"/>
        <w:pBdr/>
        <w:spacing/>
        <w:ind/>
        <w:rPr/>
      </w:pPr>
      <w:r>
        <w:rPr>
          <w:b/>
          <w:bCs/>
        </w:rPr>
        <w:t xml:space="preserve">Análise Codificação</w:t>
      </w:r>
      <w:r>
        <w:t xml:space="preserve">: A recomendação se limita a citar dispositivos legais sem propor ações específicas para tratar a causa da inad</w:t>
      </w:r>
      <w:r>
        <w:t xml:space="preserve">equação no fluxo de distribuição e dispensação de OPME. Não há menção a medidas como revisão de processos, capacitação de pessoal, implementação de controles ou outras ações que ataquem a raiz do problema. Portanto, não atende ao critério de foco na causa.</w:t>
      </w:r>
      <w:r/>
    </w:p>
    <w:p>
      <w:pPr>
        <w:pStyle w:val="928"/>
        <w:numPr>
          <w:ilvl w:val="0"/>
          <w:numId w:val="49"/>
        </w:numPr>
        <w:pBdr/>
        <w:spacing/>
        <w:ind/>
        <w:rPr/>
      </w:pPr>
      <w:r>
        <w:t xml:space="preserve">Ação Foco Causa: Não</w:t>
      </w:r>
      <w:r/>
    </w:p>
    <w:p>
      <w:pPr>
        <w:pStyle w:val="928"/>
        <w:numPr>
          <w:ilvl w:val="0"/>
          <w:numId w:val="49"/>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original argumenta que a recomendação apenas cita dispositivos legais sem propor ações específicas para tratar a causa da inadequação no fluxo. No entanto, a recomendação de</w:t>
      </w:r>
      <w:r>
        <w:t xml:space="preserve"> </w:t>
      </w:r>
      <w:r>
        <w:t xml:space="preserve">‘Cumprir as determinações’</w:t>
      </w:r>
      <w:r>
        <w:t xml:space="preserve"> </w:t>
      </w:r>
      <w:r>
        <w:t xml:space="preserve">pode ser interpretada como uma ação direcionada à causa subjacente, que é o não cumprimento de normas legais, potencialmente exigindo mudanças sistêmicas. Para o critério</w:t>
      </w:r>
      <w:r>
        <w:t xml:space="preserve"> </w:t>
      </w:r>
      <w:r>
        <w:t xml:space="preserve">‘Efeitos Duradouros’</w:t>
      </w:r>
      <w:r>
        <w:t xml:space="preserve">, a análise depende da resposta ao</w:t>
      </w:r>
      <w:r>
        <w:t xml:space="preserve"> </w:t>
      </w:r>
      <w:r>
        <w:t xml:space="preserve">‘Foco Causa’</w:t>
      </w:r>
      <w:r>
        <w:t xml:space="preserve">, e uma reavaliação pode levar a uma conclusão diferente.</w:t>
      </w:r>
      <w:r/>
    </w:p>
    <w:p>
      <w:pPr>
        <w:pStyle w:val="928"/>
        <w:numPr>
          <w:ilvl w:val="0"/>
          <w:numId w:val="50"/>
        </w:numPr>
        <w:pBdr/>
        <w:spacing/>
        <w:ind/>
        <w:rPr/>
      </w:pPr>
      <w:r>
        <w:t xml:space="preserve">Análise Foco Causa: Discordo</w:t>
      </w:r>
      <w:r/>
    </w:p>
    <w:p>
      <w:pPr>
        <w:pStyle w:val="928"/>
        <w:numPr>
          <w:ilvl w:val="0"/>
          <w:numId w:val="50"/>
        </w:numPr>
        <w:pBdr/>
        <w:spacing/>
        <w:ind/>
        <w:rPr/>
      </w:pPr>
      <w:r>
        <w:t xml:space="preserve">Análise Efeitos Duradouros: Não se aplica</w:t>
      </w:r>
      <w:bookmarkEnd w:id="54"/>
      <w:r/>
    </w:p>
    <w:p>
      <w:pPr>
        <w:pStyle w:val="915"/>
        <w:pBdr/>
        <w:spacing/>
        <w:ind/>
        <w:rPr/>
      </w:pPr>
      <w:r/>
      <w:bookmarkStart w:id="55" w:name="auditoria-19197-constatação-nº-654780-1"/>
      <w:r>
        <w:t xml:space="preserve">Auditoria 19197, Constatação Nº 654780 (#1)</w:t>
      </w:r>
      <w:r/>
    </w:p>
    <w:p>
      <w:pPr>
        <w:pStyle w:val="927"/>
        <w:pBdr/>
        <w:spacing/>
        <w:ind/>
        <w:rPr/>
      </w:pPr>
      <w:r>
        <w:rPr>
          <w:b/>
          <w:bCs/>
        </w:rPr>
        <w:t xml:space="preserve">Finalidade</w:t>
      </w:r>
      <w:r>
        <w:t xml:space="preserve">: Verificar a regularidade nos proc. de adesão às Atas de Registro de Preços p/ aq. de OPME pelo HFI</w:t>
      </w:r>
      <w:r/>
    </w:p>
    <w:p>
      <w:pPr>
        <w:pStyle w:val="926"/>
        <w:pBdr/>
        <w:spacing/>
        <w:ind/>
        <w:rPr/>
      </w:pPr>
      <w:r>
        <w:rPr>
          <w:b/>
          <w:bCs/>
        </w:rPr>
        <w:t xml:space="preserve">Constatação</w:t>
      </w:r>
      <w:r>
        <w:t xml:space="preserve">: As etiquetas das OPME fixadas nos prontuários não seguem plenamente as exigências constantes nas normativas vigentes.</w:t>
      </w:r>
      <w:r/>
    </w:p>
    <w:p>
      <w:pPr>
        <w:pStyle w:val="926"/>
        <w:pBdr/>
        <w:spacing/>
        <w:ind/>
        <w:rPr/>
      </w:pPr>
      <w:r>
        <w:rPr>
          <w:b/>
          <w:bCs/>
        </w:rPr>
        <w:t xml:space="preserve">Recomendação</w:t>
      </w:r>
      <w:r>
        <w:t xml:space="preserve">: Cumprir as diretrizes constantes na Resolução da Diretoria Colegiada da Anvisa - RDC 14, de 05 de abril de 2011 que</w:t>
      </w:r>
      <w:r>
        <w:t xml:space="preserve"> </w:t>
      </w:r>
      <w:r>
        <w:t xml:space="preserve">“Institui o regulamento técnico com os requisitos para agrupamento de materiais de uso em saúde para fins de registro e cadastro na ANVISA e adota etiquetas de rastreabilidade para produtos implantáveis”</w:t>
      </w:r>
      <w:r>
        <w:t xml:space="preserve">, mais especificamente no item IV do art. 4º que define que a etiqueta de rastreabilidade é o</w:t>
      </w:r>
      <w:r>
        <w:t xml:space="preserve"> </w:t>
      </w:r>
      <w:r>
        <w:t xml:space="preserve">“documento complementar a ser fornecido com o ma</w:t>
      </w:r>
      <w:r>
        <w:t xml:space="preserve">terial de uso em saúde, contendo campo para inserção das seguintes informações: a) nome ou modelo comercial; b) identificação do fabricante ou importador; c) código do produto ou do componente do sistema; e d) número de lote e número de registro na ANVISA”</w:t>
      </w:r>
      <w:r>
        <w:t xml:space="preserve"> </w:t>
      </w:r>
      <w:r>
        <w:t xml:space="preserve">c/c as diretrizes constantes no capítulo 6</w:t>
      </w:r>
      <w:r>
        <w:t xml:space="preserve"> </w:t>
      </w:r>
      <w:r>
        <w:t xml:space="preserve">“UTILIZAÇÃO, CONTROLE E RASTREABILIDADE”</w:t>
      </w:r>
      <w:r>
        <w:t xml:space="preserve"> </w:t>
      </w:r>
      <w:r>
        <w:t xml:space="preserve">do Manual de Boas Práticas de Gestão das Órteses e Próteses e Materiais Especiais (OPME), do Ministério da Saúde cujo item 6.4 Rastreabilidade determina que</w:t>
      </w:r>
      <w:r>
        <w:t xml:space="preserve"> </w:t>
      </w:r>
      <w:r>
        <w:t xml:space="preserve">“As informações que devem constar na etiqueta de r</w:t>
      </w:r>
      <w:r>
        <w:t xml:space="preserve">astreabilidade do produto implantado são: nome ou modelo comercial, identificação do fabricante ou importador, código do produto ou do componente do sistema, número de lote e número de registro na Anvisa, conforme a RDC n°14 Anvisa, de 5 de abril de 2011.”</w:t>
      </w:r>
      <w:r/>
    </w:p>
    <w:p>
      <w:pPr>
        <w:pStyle w:val="926"/>
        <w:pBdr/>
        <w:spacing/>
        <w:ind/>
        <w:rPr/>
      </w:pPr>
      <w:r>
        <w:rPr>
          <w:b/>
          <w:bCs/>
        </w:rPr>
        <w:t xml:space="preserve">Análise Codificação</w:t>
      </w:r>
      <w:r>
        <w:t xml:space="preserve">: Em relação ao foco, a recomendação propõe o cumprimento de diretrizes normativas específicas para a etiquetagem de OPME, o que visa corrigir</w:t>
      </w:r>
      <w:r>
        <w:t xml:space="preserve"> a condição atual de não conformidade, mas não identifica ou aborda ações para tratar a causa subjacente do problema, como falhas em processos de treinamento ou controle de qualidade. Já em relação aos efeitos pretendidos pela recomendação, como o critério</w:t>
      </w:r>
      <w:r>
        <w:t xml:space="preserve"> </w:t>
      </w:r>
      <w:r>
        <w:t xml:space="preserve">‘Foco Causa’</w:t>
      </w:r>
      <w:r>
        <w:t xml:space="preserve"> </w:t>
      </w:r>
      <w:r>
        <w:t xml:space="preserve">não é atendido, essa análise não se aplica.</w:t>
      </w:r>
      <w:r/>
    </w:p>
    <w:p>
      <w:pPr>
        <w:pStyle w:val="928"/>
        <w:numPr>
          <w:ilvl w:val="0"/>
          <w:numId w:val="51"/>
        </w:numPr>
        <w:pBdr/>
        <w:spacing/>
        <w:ind/>
        <w:rPr/>
      </w:pPr>
      <w:r>
        <w:t xml:space="preserve">Ação Foco Causa: Não</w:t>
      </w:r>
      <w:r/>
    </w:p>
    <w:p>
      <w:pPr>
        <w:pStyle w:val="928"/>
        <w:numPr>
          <w:ilvl w:val="0"/>
          <w:numId w:val="51"/>
        </w:numPr>
        <w:pBdr/>
        <w:spacing/>
        <w:ind/>
        <w:rPr/>
      </w:pPr>
      <w:r>
        <w:t xml:space="preserve">Efeitos Duradouros: Não se aplica</w:t>
      </w:r>
      <w:r/>
    </w:p>
    <w:p>
      <w:pPr>
        <w:pStyle w:val="927"/>
        <w:pBdr/>
        <w:spacing/>
        <w:ind/>
        <w:rPr/>
      </w:pPr>
      <w:r>
        <w:rPr>
          <w:b/>
          <w:bCs/>
        </w:rPr>
        <w:t xml:space="preserve">Análise Crítica</w:t>
      </w:r>
      <w:r>
        <w:t xml:space="preserve">: A análise do modelo está bem fundamentada, mas merece uma avaliação mais detalhada sobre a natureza da recomendação e sua relação com as causas subjacentes.</w:t>
      </w:r>
      <w:r/>
    </w:p>
    <w:p>
      <w:pPr>
        <w:pStyle w:val="928"/>
        <w:numPr>
          <w:ilvl w:val="0"/>
          <w:numId w:val="52"/>
        </w:numPr>
        <w:pBdr/>
        <w:spacing/>
        <w:ind/>
        <w:rPr/>
      </w:pPr>
      <w:r>
        <w:t xml:space="preserve">Análise Foco Causa: Discordo</w:t>
      </w:r>
      <w:r/>
    </w:p>
    <w:p>
      <w:pPr>
        <w:pStyle w:val="928"/>
        <w:numPr>
          <w:ilvl w:val="0"/>
          <w:numId w:val="52"/>
        </w:numPr>
        <w:pBdr/>
        <w:spacing/>
        <w:ind/>
        <w:rPr/>
      </w:pPr>
      <w:r>
        <w:t xml:space="preserve">Análise Efeitos Duradouros: Não se aplica</w:t>
      </w:r>
      <w:bookmarkEnd w:id="55"/>
      <w:r/>
    </w:p>
    <w:p>
      <w:pPr>
        <w:pStyle w:val="915"/>
        <w:pBdr/>
        <w:spacing/>
        <w:ind/>
        <w:rPr/>
      </w:pPr>
      <w:r/>
      <w:bookmarkStart w:id="56" w:name="auditoria-19238-constatação-nº-654678-1"/>
      <w:r>
        <w:t xml:space="preserve">Auditoria 19238, Constatação Nº 654678 (#1)</w:t>
      </w:r>
      <w:r/>
    </w:p>
    <w:p>
      <w:pPr>
        <w:pStyle w:val="927"/>
        <w:pBdr/>
        <w:spacing/>
        <w:ind/>
        <w:rPr/>
      </w:pPr>
      <w:r>
        <w:rPr>
          <w:b/>
          <w:bCs/>
        </w:rPr>
        <w:t xml:space="preserve">Finalidade</w:t>
      </w:r>
      <w:r>
        <w:t xml:space="preserve">: Monitorar as recomendações da Auditoria nº 16936 ref a execução da PNAISP</w:t>
      </w:r>
      <w:r/>
    </w:p>
    <w:p>
      <w:pPr>
        <w:pStyle w:val="926"/>
        <w:pBdr/>
        <w:spacing/>
        <w:ind/>
        <w:rPr/>
      </w:pPr>
      <w:r>
        <w:rPr>
          <w:b/>
          <w:bCs/>
        </w:rPr>
        <w:t xml:space="preserve">Constatação</w:t>
      </w:r>
      <w:r>
        <w:t xml:space="preserve">: Permanece a carência de medicamentos e insumos para atendimento aos detentos, não sendo informado pela SESAPI quanto dos 374 mil reais em medicamentos adquiridos foram destinados ao sistema prisional.</w:t>
      </w:r>
      <w:r/>
    </w:p>
    <w:p>
      <w:pPr>
        <w:pStyle w:val="926"/>
        <w:pBdr/>
        <w:spacing/>
        <w:ind/>
        <w:rPr/>
      </w:pPr>
      <w:r>
        <w:rPr>
          <w:b/>
          <w:bCs/>
        </w:rPr>
        <w:t xml:space="preserve">Recomendação</w:t>
      </w:r>
      <w:r>
        <w:t xml:space="preserve">: Prestar, quando exigida, ao pessoal em exercício no SNA toda informação necessária ao desempenho das atividades de controle, avaliação e auditoria, facilitando-lhes o acesso a documentos, pessoas e inst</w:t>
      </w:r>
      <w:r>
        <w:t xml:space="preserve">alações, conforme determina o art. 11 do Decreto nº 1.651/1995. Prover as unidades prisionais de medicamentos e insumos previstos nos anexos I e IV da RENAME, conforme determina o inciso II do art. 579 da Portaria de Consolidação GM/MS nº 06, de 28/9/2017.</w:t>
      </w:r>
      <w:r/>
    </w:p>
    <w:p>
      <w:pPr>
        <w:pStyle w:val="926"/>
        <w:pBdr/>
        <w:spacing/>
        <w:ind/>
        <w:rPr/>
      </w:pPr>
      <w:r>
        <w:rPr>
          <w:b/>
          <w:bCs/>
        </w:rPr>
        <w:t xml:space="preserve">Análise Codificação</w:t>
      </w:r>
      <w:r>
        <w:t xml:space="preserve">: A recomendação possui duas partes distintas. A primeira parte trata do fornecimento de informações ao pessoal do SNA, o que pode ser c</w:t>
      </w:r>
      <w:r>
        <w:t xml:space="preserve">onsiderado como uma ação voltada para a causa da falta de transparência, mas não diretamente relacionada à carência de medicamentos. A segunda parte recomenda prover as unidades prisionais de medicamentos e insumos, o que é uma ação direta para corrigir a </w:t>
      </w:r>
      <w:r>
        <w:t xml:space="preserve">condição encontrada (carência de medicamentos), sem abordar as causas subjacentes, como falhas na gestão de suprimentos ou alocação de recursos. Portanto, não há uma ação clara que trate da causa do problema que gerou a condição encontrada.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r/>
    </w:p>
    <w:p>
      <w:pPr>
        <w:pStyle w:val="928"/>
        <w:numPr>
          <w:ilvl w:val="0"/>
          <w:numId w:val="53"/>
        </w:numPr>
        <w:pBdr/>
        <w:spacing/>
        <w:ind/>
        <w:rPr/>
      </w:pPr>
      <w:r>
        <w:t xml:space="preserve">Ação Foco Causa: Não</w:t>
      </w:r>
      <w:r/>
    </w:p>
    <w:p>
      <w:pPr>
        <w:pStyle w:val="928"/>
        <w:numPr>
          <w:ilvl w:val="0"/>
          <w:numId w:val="53"/>
        </w:numPr>
        <w:pBdr/>
        <w:spacing/>
        <w:ind/>
        <w:rPr/>
      </w:pPr>
      <w:r>
        <w:t xml:space="preserve">Efeitos Duradouros: Não se aplica</w:t>
      </w:r>
      <w:r/>
    </w:p>
    <w:p>
      <w:pPr>
        <w:pStyle w:val="927"/>
        <w:pBdr/>
        <w:spacing/>
        <w:ind/>
        <w:rPr/>
      </w:pPr>
      <w:r>
        <w:rPr>
          <w:b/>
          <w:bCs/>
        </w:rPr>
        <w:t xml:space="preserve">Análise Crítica</w:t>
      </w:r>
      <w:r>
        <w:t xml:space="preserve">: A análise do modelo identificou corretamente que a recomendação possui duas partes distintas e avaliou adequadamente o foco de cada uma. No entanto, a conclusão sobre o critério</w:t>
      </w:r>
      <w:r>
        <w:t xml:space="preserve"> </w:t>
      </w:r>
      <w:r>
        <w:t xml:space="preserve">‘Foco Causa’</w:t>
      </w:r>
      <w:r>
        <w:t xml:space="preserve"> </w:t>
      </w:r>
      <w:r>
        <w:t xml:space="preserve">merece uma análise mais aprofundada sobre qual é a causa raiz do problema identificado na constatação.</w:t>
      </w:r>
      <w:r/>
    </w:p>
    <w:p>
      <w:pPr>
        <w:pStyle w:val="928"/>
        <w:numPr>
          <w:ilvl w:val="0"/>
          <w:numId w:val="54"/>
        </w:numPr>
        <w:pBdr/>
        <w:spacing/>
        <w:ind/>
        <w:rPr/>
      </w:pPr>
      <w:r>
        <w:t xml:space="preserve">Análise Foco Causa: Discordo</w:t>
      </w:r>
      <w:r/>
    </w:p>
    <w:p>
      <w:pPr>
        <w:pStyle w:val="928"/>
        <w:numPr>
          <w:ilvl w:val="0"/>
          <w:numId w:val="54"/>
        </w:numPr>
        <w:pBdr/>
        <w:spacing/>
        <w:ind/>
        <w:rPr/>
      </w:pPr>
      <w:r>
        <w:t xml:space="preserve">Análise Efeitos Duradouros: Não se aplica</w:t>
      </w:r>
      <w:bookmarkEnd w:id="56"/>
      <w:r/>
    </w:p>
    <w:p>
      <w:pPr>
        <w:pStyle w:val="915"/>
        <w:pBdr/>
        <w:spacing/>
        <w:ind/>
        <w:rPr/>
      </w:pPr>
      <w:r/>
      <w:bookmarkStart w:id="57" w:name="auditoria-19496-constatação-nº-670139-1"/>
      <w:r>
        <w:t xml:space="preserve">Auditoria 19496, Constatação Nº 670139 (#1)</w:t>
      </w:r>
      <w:r/>
    </w:p>
    <w:p>
      <w:pPr>
        <w:pStyle w:val="927"/>
        <w:pBdr/>
        <w:spacing/>
        <w:ind/>
        <w:rPr/>
      </w:pPr>
      <w:r>
        <w:rPr>
          <w:b/>
          <w:bCs/>
        </w:rPr>
        <w:t xml:space="preserve">Finalidade</w:t>
      </w:r>
      <w:r>
        <w:t xml:space="preserve">: Verificar a regularidade da execução do Programa Farmácia Popular do Brasil/PFPB</w:t>
      </w:r>
      <w:r/>
    </w:p>
    <w:p>
      <w:pPr>
        <w:pStyle w:val="926"/>
        <w:pBdr/>
        <w:spacing/>
        <w:ind/>
        <w:rPr/>
      </w:pPr>
      <w:r>
        <w:rPr>
          <w:b/>
          <w:bCs/>
        </w:rPr>
        <w:t xml:space="preserve">Constatação</w:t>
      </w:r>
      <w:r>
        <w:t xml:space="preserve">: Irregularidades nos cupons e receitas médicas disponibilizadas pela empresa.</w:t>
      </w:r>
      <w:r/>
    </w:p>
    <w:p>
      <w:pPr>
        <w:pStyle w:val="926"/>
        <w:pBdr/>
        <w:spacing/>
        <w:ind/>
        <w:rPr/>
      </w:pPr>
      <w:r>
        <w:rPr>
          <w:b/>
          <w:bCs/>
        </w:rPr>
        <w:t xml:space="preserve">Recomendação</w:t>
      </w:r>
      <w:r>
        <w:t xml:space="preserve">: Em caso de restabelecimento da conexão ao Sistema de Vendas do PFPB, comercializar e dispensar medicamentos e/ou correlatos em observância às regras de execução do Programa Farmácia Popular do Brasil, a fim de não incorrer em </w:t>
      </w:r>
      <w:r>
        <w:t xml:space="preserve">práticas irregulares, conforme o preconizado no inciso I e II, Art. 21, § 1º, da subseção II - Da autorização de comercialização e da dispensação dos medicamentos e correlatos, Capítulo II, Anexo LXXVII da Portaria de Consolidação nº 05 de 28 de setembro d</w:t>
      </w:r>
      <w:r>
        <w:t xml:space="preserve">e 2017, atualmente em vigor, bem como consta no Art. 22 dessa Portaria, alterado pela Portaria GM/MS Nº 2.898/2021, de 03 de novembro de 2021, em consonância com as regras para comercialização e dispensação de medicamentos e/ou correlatos no âmbito do PFPB</w:t>
      </w:r>
      <w:r/>
    </w:p>
    <w:p>
      <w:pPr>
        <w:pStyle w:val="926"/>
        <w:pBdr/>
        <w:spacing/>
        <w:ind/>
        <w:rPr/>
      </w:pPr>
      <w:r>
        <w:rPr>
          <w:b/>
          <w:bCs/>
        </w:rPr>
        <w:t xml:space="preserve">Análise Codificação</w:t>
      </w:r>
      <w:r>
        <w:t xml:space="preserve">: A recomendação propõe que, em caso de restab</w:t>
      </w:r>
      <w:r>
        <w:t xml:space="preserve">elecimento da conexão ao Sistema de Vendas do PFPB, a empresa comercialize e dispense medicamentos em observância às regras do programa para evitar práticas irregulares. No entanto, a ação sugerida é focada em corrigir a condição atual (práticas irregulare</w:t>
      </w:r>
      <w:r>
        <w:t xml:space="preserve">s) por meio do cumprimento das regras existentes, sem propor medidas que abordem a causa raiz que levou às irregularidades, como falhas nos processos internos, capacitação inadequada ou controle insuficiente. Portanto, não há foco na causa.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r/>
    </w:p>
    <w:p>
      <w:pPr>
        <w:pStyle w:val="928"/>
        <w:numPr>
          <w:ilvl w:val="0"/>
          <w:numId w:val="55"/>
        </w:numPr>
        <w:pBdr/>
        <w:spacing/>
        <w:ind/>
        <w:rPr/>
      </w:pPr>
      <w:r>
        <w:t xml:space="preserve">Ação Foco Causa: Não</w:t>
      </w:r>
      <w:r/>
    </w:p>
    <w:p>
      <w:pPr>
        <w:pStyle w:val="928"/>
        <w:numPr>
          <w:ilvl w:val="0"/>
          <w:numId w:val="55"/>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do modelo argumenta que a recomendação apenas corrige a condição atual (práticas irregulares) sem abordar a causa raiz, como falhas processuais ou de capacitação. No entanto, a recomendação especifica que a ação deve ser tomada</w:t>
      </w:r>
      <w:r>
        <w:t xml:space="preserve"> </w:t>
      </w:r>
      <w:r>
        <w:t xml:space="preserve">‘em caso de restabelecimento da conexão ao Sistema de Vendas do PFPB’</w:t>
      </w:r>
      <w:r>
        <w:t xml:space="preserve">, o que sugere que a desconexão do sistema pode ser uma causa subjacente das irregularidades, e a recomendação visa prevenir a recorrência ao assegurar a conformidade após o restabelecimento. Quanto ao critério</w:t>
      </w:r>
      <w:r>
        <w:t xml:space="preserve"> </w:t>
      </w:r>
      <w:r>
        <w:t xml:space="preserve">‘Efeitos Duradouros’</w:t>
      </w:r>
      <w:r>
        <w:t xml:space="preserve">, como discordo da classificação de</w:t>
      </w:r>
      <w:r>
        <w:t xml:space="preserve"> </w:t>
      </w:r>
      <w:r>
        <w:t xml:space="preserve">‘Foco Causa’</w:t>
      </w:r>
      <w:r>
        <w:t xml:space="preserve">, a análise de</w:t>
      </w:r>
      <w:r>
        <w:t xml:space="preserve"> </w:t>
      </w:r>
      <w:r>
        <w:t xml:space="preserve">‘Não se aplica’</w:t>
      </w:r>
      <w:r>
        <w:t xml:space="preserve"> </w:t>
      </w:r>
      <w:r>
        <w:t xml:space="preserve">também é questionável, mas não é avaliada diretamente aqui.</w:t>
      </w:r>
      <w:r/>
    </w:p>
    <w:p>
      <w:pPr>
        <w:pStyle w:val="928"/>
        <w:numPr>
          <w:ilvl w:val="0"/>
          <w:numId w:val="56"/>
        </w:numPr>
        <w:pBdr/>
        <w:spacing/>
        <w:ind/>
        <w:rPr/>
      </w:pPr>
      <w:r>
        <w:t xml:space="preserve">Análise Foco Causa: Discordo</w:t>
      </w:r>
      <w:r/>
    </w:p>
    <w:p>
      <w:pPr>
        <w:pStyle w:val="928"/>
        <w:numPr>
          <w:ilvl w:val="0"/>
          <w:numId w:val="56"/>
        </w:numPr>
        <w:pBdr/>
        <w:spacing/>
        <w:ind/>
        <w:rPr/>
      </w:pPr>
      <w:r>
        <w:t xml:space="preserve">Análise Efeitos Duradouros: Não se aplica</w:t>
      </w:r>
      <w:bookmarkEnd w:id="57"/>
      <w:r/>
    </w:p>
    <w:p>
      <w:pPr>
        <w:pStyle w:val="915"/>
        <w:pBdr/>
        <w:spacing/>
        <w:ind/>
        <w:rPr/>
      </w:pPr>
      <w:r/>
      <w:bookmarkStart w:id="58" w:name="auditoria-19617-constatação-nº-675252-1"/>
      <w:r>
        <w:t xml:space="preserve">Auditoria 19617, Constatação Nº 675252 (#1)</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Existência de vínculo societário entre empresas que participaram do mesmo procedimento de cotação de preço.</w:t>
      </w:r>
      <w:r/>
    </w:p>
    <w:p>
      <w:pPr>
        <w:pStyle w:val="926"/>
        <w:pBdr/>
        <w:spacing/>
        <w:ind/>
        <w:rPr/>
      </w:pPr>
      <w:r>
        <w:rPr>
          <w:b/>
          <w:bCs/>
        </w:rPr>
        <w:t xml:space="preserve">Recomendação</w:t>
      </w:r>
      <w:r>
        <w:t xml:space="preserve">: Notificar a convenente para apresentação de justificativas quanto ao constatado, tendo em vista a inobservância ao preconizado no art. 45 da Portaria MP/MF/CGU nº 42</w:t>
      </w:r>
      <w:r>
        <w:t xml:space="preserve">4/2016. Além disso, observar o cumprimento do requisitos formais, a fim de evitar impropriedades nos processos de execução da subcontratação, atendendo o preconizado no inciso IV, art. 5º, da IN SEGES /ME nº 65, de 07/07/2021, inciso II, § 2º, art. 5º, da </w:t>
      </w:r>
      <w:r>
        <w:t xml:space="preserve">IN SEGES /ME nº 65, de 07/07/2021, inciso VI, art. 3º, da IN SEGES /ME nº 65, de 07/07/2021, incisos IV e IV, art. 5º, da INSEGES /ME nº 65, de 07/07/2021, também observar o disposto no inciso V, art. 19, da Portaria Interministerial MP/MF/CGU nº 424/2016.</w:t>
      </w:r>
      <w:r/>
    </w:p>
    <w:p>
      <w:pPr>
        <w:pStyle w:val="926"/>
        <w:pBdr/>
        <w:spacing/>
        <w:ind/>
        <w:rPr/>
      </w:pPr>
      <w:r>
        <w:rPr>
          <w:b/>
          <w:bCs/>
        </w:rPr>
        <w:t xml:space="preserve">Análise Codificação</w:t>
      </w:r>
      <w:r>
        <w:t xml:space="preserve">: A re</w:t>
      </w:r>
      <w:r>
        <w:t xml:space="preserve">comendação propõe notificar a convenente para apresentar justificativas sobre a constatação e observar o cumprimento de requisitos formais para evitar impropriedades. No entanto, essas ações são reativas e focam em corrigir a condição atual (vínculo societ</w:t>
      </w:r>
      <w:r>
        <w:t xml:space="preserve">ário) e garantir conformidade normativa, sem propor medidas para abordar a causa subjacente, como a falta de procedimentos de verificação de conflitos de interesse ou treinamento para prevenir tais situações. Portanto, não há foco na causa. Como o critério</w:t>
      </w:r>
      <w:r>
        <w:t xml:space="preserve"> </w:t>
      </w:r>
      <w:r>
        <w:t xml:space="preserve">‘Foco Causa’</w:t>
      </w:r>
      <w:r>
        <w:t xml:space="preserve"> </w:t>
      </w:r>
      <w:r>
        <w:t xml:space="preserve">é</w:t>
      </w:r>
      <w:r>
        <w:t xml:space="preserve"> </w:t>
      </w:r>
      <w:r>
        <w:t xml:space="preserve">‘Não’</w:t>
      </w:r>
      <w:r>
        <w:t xml:space="preserve">, o critério</w:t>
      </w:r>
      <w:r>
        <w:t xml:space="preserve"> </w:t>
      </w:r>
      <w:r>
        <w:t xml:space="preserve">‘Efeitos Duradouros’</w:t>
      </w:r>
      <w:r>
        <w:t xml:space="preserve"> </w:t>
      </w:r>
      <w:r>
        <w:t xml:space="preserve">não se aplica.</w:t>
      </w:r>
      <w:r/>
    </w:p>
    <w:p>
      <w:pPr>
        <w:pStyle w:val="928"/>
        <w:numPr>
          <w:ilvl w:val="0"/>
          <w:numId w:val="57"/>
        </w:numPr>
        <w:pBdr/>
        <w:spacing/>
        <w:ind/>
        <w:rPr/>
      </w:pPr>
      <w:r>
        <w:t xml:space="preserve">Ação Foco Causa: Não</w:t>
      </w:r>
      <w:r/>
    </w:p>
    <w:p>
      <w:pPr>
        <w:pStyle w:val="928"/>
        <w:numPr>
          <w:ilvl w:val="0"/>
          <w:numId w:val="57"/>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a</w:t>
      </w:r>
      <w:r>
        <w:t xml:space="preserve">nálise original argumenta que a recomendação é reativa e focada em corrigir a condição atual, sem abordar a causa subjacente, como a falta de procedimentos de verificação de conflitos de interesse. No entanto, a recomendação inclui a observação do cumprime</w:t>
      </w:r>
      <w:r>
        <w:t xml:space="preserve">nto de requisitos formais para evitar impropriedades futuras, o que pode ser interpretado como uma ação preventiva que visa tratar a causa (ex: falhas nos processos de subcontratação). Portanto, há uma ambiguidade que justifica uma revisão. Para o critério</w:t>
      </w:r>
      <w:r>
        <w:t xml:space="preserve"> </w:t>
      </w:r>
      <w:r>
        <w:t xml:space="preserve">‘Efeitos Duradouros’</w:t>
      </w:r>
      <w:r>
        <w:t xml:space="preserve">, como discordo da classificação do</w:t>
      </w:r>
      <w:r>
        <w:t xml:space="preserve"> </w:t>
      </w:r>
      <w:r>
        <w:t xml:space="preserve">‘Foco Causa’</w:t>
      </w:r>
      <w:r>
        <w:t xml:space="preserve">, a análise não se aplica diretamente, mas a ação de observar requisitos formais poderia ter efeitos duradouros se institucionalizada.</w:t>
      </w:r>
      <w:r/>
    </w:p>
    <w:p>
      <w:pPr>
        <w:pStyle w:val="928"/>
        <w:numPr>
          <w:ilvl w:val="0"/>
          <w:numId w:val="58"/>
        </w:numPr>
        <w:pBdr/>
        <w:spacing/>
        <w:ind/>
        <w:rPr/>
      </w:pPr>
      <w:r>
        <w:t xml:space="preserve">Análise Foco Causa: Discordo</w:t>
      </w:r>
      <w:r/>
    </w:p>
    <w:p>
      <w:pPr>
        <w:pStyle w:val="928"/>
        <w:numPr>
          <w:ilvl w:val="0"/>
          <w:numId w:val="58"/>
        </w:numPr>
        <w:pBdr/>
        <w:spacing/>
        <w:ind/>
        <w:rPr/>
      </w:pPr>
      <w:r>
        <w:t xml:space="preserve">Análise Efeitos Duradouros: Não se aplica</w:t>
      </w:r>
      <w:bookmarkEnd w:id="58"/>
      <w:r/>
    </w:p>
    <w:p>
      <w:pPr>
        <w:pStyle w:val="915"/>
        <w:pBdr/>
        <w:spacing/>
        <w:ind/>
        <w:rPr/>
      </w:pPr>
      <w:r/>
      <w:bookmarkStart w:id="59" w:name="auditoria-19669-constatação-nº-684468-1"/>
      <w:r>
        <w:t xml:space="preserve">Auditoria 19669, Constatação Nº 684468 (#1)</w:t>
      </w:r>
      <w:r/>
    </w:p>
    <w:p>
      <w:pPr>
        <w:pStyle w:val="927"/>
        <w:pBdr/>
        <w:spacing/>
        <w:ind/>
        <w:rPr/>
      </w:pPr>
      <w:r>
        <w:rPr>
          <w:b/>
          <w:bCs/>
        </w:rPr>
        <w:t xml:space="preserve">Finalidade</w:t>
      </w:r>
      <w:r>
        <w:t xml:space="preserve">: Verificar a regularidade da produção inserida no SIASUS e no SIHSUS.</w:t>
      </w:r>
      <w:r/>
    </w:p>
    <w:p>
      <w:pPr>
        <w:pStyle w:val="926"/>
        <w:pBdr/>
        <w:spacing/>
        <w:ind/>
        <w:rPr/>
      </w:pPr>
      <w:r>
        <w:rPr>
          <w:b/>
          <w:bCs/>
        </w:rPr>
        <w:t xml:space="preserve">Constatação</w:t>
      </w:r>
      <w:r>
        <w:t xml:space="preserve">: A SMS não apresentou documentos que comprovem que o Cadastro Nacional de Estabelecimentos de Saúde (CNES) do EAS está atualizado.</w:t>
      </w:r>
      <w:r/>
    </w:p>
    <w:p>
      <w:pPr>
        <w:pStyle w:val="926"/>
        <w:pBdr/>
        <w:spacing/>
        <w:ind/>
        <w:rPr/>
      </w:pPr>
      <w:r>
        <w:rPr>
          <w:b/>
          <w:bCs/>
        </w:rPr>
        <w:t xml:space="preserve">Recomendação</w:t>
      </w:r>
      <w:r>
        <w:t xml:space="preserve">: Cumprir com o inciso III, do Art. 369, da Portaria de Consolidação GM/MS n.º 1</w:t>
      </w:r>
      <w:r>
        <w:t xml:space="preserve">, de 28 de setembro de 2017, que trata das responsabilidades da direção municipal do SUS em relação ao CNES, assim como dos Arts. 370 e 372, da mesma Portaria que estatui sobre o processo de cadastramento e manutenção ou atualização cadastral proposto para</w:t>
      </w:r>
      <w:r>
        <w:t xml:space="preserve"> os estabelecimentos de saúde e envio dos referidos dados, devendo os mesmos serem validados para envio à base de dados nacional, e Portaria SAS/MS nº 134/2011, art 1º, que diz que constitui responsabilidade dos gestores municipais, estaduais e do Distrito</w:t>
      </w:r>
      <w:r>
        <w:t xml:space="preserve"> Federal (DF), bem como dos gerentes de todos os estabelecimentos de saúde na correta inserção, manutenção e atualização sistemática dos cadastros no SCNES dos profissionais de saúde em exercício nos seus respectivos serviços de saúde, públicos e privados.</w:t>
      </w:r>
      <w:r/>
    </w:p>
    <w:p>
      <w:pPr>
        <w:pStyle w:val="926"/>
        <w:pBdr/>
        <w:spacing/>
        <w:ind/>
        <w:rPr/>
      </w:pPr>
      <w:r>
        <w:rPr>
          <w:b/>
          <w:bCs/>
        </w:rPr>
        <w:t xml:space="preserve">Análise Codificação</w:t>
      </w:r>
      <w:r>
        <w:t xml:space="preserve">: A recomendação exige o cumprimen</w:t>
      </w:r>
      <w:r>
        <w:t xml:space="preserve">to de normas específicas sobre atualização cadastral no CNES, mas não propõe ações concretas para tratar a causa subjacente da falta de documentação, como a implementação de processos internos ou capacitação. Portanto, não há foco na causa. Como o critério</w:t>
      </w:r>
      <w:r>
        <w:t xml:space="preserve"> </w:t>
      </w:r>
      <w:r>
        <w:t xml:space="preserve">‘Foco Causa’</w:t>
      </w:r>
      <w:r>
        <w:t xml:space="preserve"> </w:t>
      </w:r>
      <w:r>
        <w:t xml:space="preserve">é</w:t>
      </w:r>
      <w:r>
        <w:t xml:space="preserve"> </w:t>
      </w:r>
      <w:r>
        <w:t xml:space="preserve">‘Não’</w:t>
      </w:r>
      <w:r>
        <w:t xml:space="preserve">, o critério</w:t>
      </w:r>
      <w:r>
        <w:t xml:space="preserve"> </w:t>
      </w:r>
      <w:r>
        <w:t xml:space="preserve">‘Efeitos Duradouros’</w:t>
      </w:r>
      <w:r>
        <w:t xml:space="preserve"> </w:t>
      </w:r>
      <w:r>
        <w:t xml:space="preserve">não se aplica.</w:t>
      </w:r>
      <w:r/>
    </w:p>
    <w:p>
      <w:pPr>
        <w:pStyle w:val="928"/>
        <w:numPr>
          <w:ilvl w:val="0"/>
          <w:numId w:val="59"/>
        </w:numPr>
        <w:pBdr/>
        <w:spacing/>
        <w:ind/>
        <w:rPr/>
      </w:pPr>
      <w:r>
        <w:t xml:space="preserve">Ação Foco Causa: Não</w:t>
      </w:r>
      <w:r/>
    </w:p>
    <w:p>
      <w:pPr>
        <w:pStyle w:val="928"/>
        <w:numPr>
          <w:ilvl w:val="0"/>
          <w:numId w:val="59"/>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do modelo argumenta</w:t>
      </w:r>
      <w:r>
        <w:t xml:space="preserve"> que a recomendação apenas exige o cumprimento de normas sem propor ações concretas para tratar a causa subjacente, como implementação de processos internos ou capacitação. No entanto, a recomendação especifica o cumprimento de dispositivos legais que trat</w:t>
      </w:r>
      <w:r>
        <w:t xml:space="preserve">am diretamente das responsabilidades de cadastramento, manutenção e atualização sistemática do CNES, o que pode ser interpretado como uma ação para corrigir a causa raiz da falta de documentação, que é o descumprimento dessas obrigações. Quanto ao critério</w:t>
      </w:r>
      <w:r>
        <w:t xml:space="preserve"> </w:t>
      </w:r>
      <w:r>
        <w:t xml:space="preserve">‘Efeitos Duradouros’</w:t>
      </w:r>
      <w:r>
        <w:t xml:space="preserve">, como a avaliação do</w:t>
      </w:r>
      <w:r>
        <w:t xml:space="preserve"> </w:t>
      </w:r>
      <w:r>
        <w:t xml:space="preserve">‘Foco Causa’</w:t>
      </w:r>
      <w:r>
        <w:t xml:space="preserve"> </w:t>
      </w:r>
      <w:r>
        <w:t xml:space="preserve">foi</w:t>
      </w:r>
      <w:r>
        <w:t xml:space="preserve"> </w:t>
      </w:r>
      <w:r>
        <w:t xml:space="preserve">‘Não’</w:t>
      </w:r>
      <w:r>
        <w:t xml:space="preserve">, a resposta</w:t>
      </w:r>
      <w:r>
        <w:t xml:space="preserve"> </w:t>
      </w:r>
      <w:r>
        <w:t xml:space="preserve">‘Não se aplica’</w:t>
      </w:r>
      <w:r>
        <w:t xml:space="preserve"> </w:t>
      </w:r>
      <w:r>
        <w:t xml:space="preserve">está correta, mas a discordância no primeiro critério afeta essa conclusão.</w:t>
      </w:r>
      <w:r/>
    </w:p>
    <w:p>
      <w:pPr>
        <w:pStyle w:val="928"/>
        <w:numPr>
          <w:ilvl w:val="0"/>
          <w:numId w:val="60"/>
        </w:numPr>
        <w:pBdr/>
        <w:spacing/>
        <w:ind/>
        <w:rPr/>
      </w:pPr>
      <w:r>
        <w:t xml:space="preserve">Análise Foco Causa: Discordo</w:t>
      </w:r>
      <w:r/>
    </w:p>
    <w:p>
      <w:pPr>
        <w:pStyle w:val="928"/>
        <w:numPr>
          <w:ilvl w:val="0"/>
          <w:numId w:val="60"/>
        </w:numPr>
        <w:pBdr/>
        <w:spacing/>
        <w:ind/>
        <w:rPr/>
      </w:pPr>
      <w:r>
        <w:t xml:space="preserve">Análise Efeitos Duradouros: Não se aplica</w:t>
      </w:r>
      <w:bookmarkEnd w:id="59"/>
      <w:r/>
    </w:p>
    <w:p>
      <w:pPr>
        <w:pStyle w:val="915"/>
        <w:pBdr/>
        <w:spacing/>
        <w:ind/>
        <w:rPr/>
      </w:pPr>
      <w:r/>
      <w:bookmarkStart w:id="60" w:name="auditoria-19671-constatação-nº-688498-2"/>
      <w:r>
        <w:t xml:space="preserve">Auditoria 19671, Constatação Nº 688498 (#2)</w:t>
      </w:r>
      <w:r/>
    </w:p>
    <w:p>
      <w:pPr>
        <w:pStyle w:val="927"/>
        <w:pBdr/>
        <w:spacing/>
        <w:ind/>
        <w:rPr/>
      </w:pPr>
      <w:r>
        <w:rPr>
          <w:b/>
          <w:bCs/>
        </w:rPr>
        <w:t xml:space="preserve">Finalidade</w:t>
      </w:r>
      <w:r>
        <w:t xml:space="preserve">: Verificar a Política Nacional de Atenção ao Portador de Doença Renal Crônica em tratamento dialítico</w:t>
      </w:r>
      <w:r/>
    </w:p>
    <w:p>
      <w:pPr>
        <w:pStyle w:val="926"/>
        <w:pBdr/>
        <w:spacing/>
        <w:ind/>
        <w:rPr/>
      </w:pPr>
      <w:r>
        <w:rPr>
          <w:b/>
          <w:bCs/>
        </w:rPr>
        <w:t xml:space="preserve">Constatação</w:t>
      </w:r>
      <w:r>
        <w:t xml:space="preserve">: Não constam, nos instrumentos de planejamento do Município de Itabaiana/SE, informações sobre a organização e a estruturação da rede para atendimento integral ao portador Doença Renal Crônica (DRC).</w:t>
      </w:r>
      <w:r/>
    </w:p>
    <w:p>
      <w:pPr>
        <w:pStyle w:val="926"/>
        <w:pBdr/>
        <w:spacing/>
        <w:ind/>
        <w:rPr/>
      </w:pPr>
      <w:r>
        <w:rPr>
          <w:b/>
          <w:bCs/>
        </w:rPr>
        <w:t xml:space="preserve">Recomendação</w:t>
      </w:r>
      <w:r>
        <w:t xml:space="preserve">: Monitorar o planejamento e a execução da Política Nacional de Atenção ao Portador de Doença Renal Crônica no Município de </w:t>
      </w:r>
      <w:r>
        <w:t xml:space="preserve">Itabaiana/SE, considerando que compete à SAES/MS, nos termos dos incisos I e V, art. 26 do Decreto nº 11.798, de 28 de novembro de 2023: I - participar da formulação e da implementação da política de atenção especializada à saúde, observados os princípios </w:t>
      </w:r>
      <w:r>
        <w:t xml:space="preserve">e as diretrizes do SUS; e V - desenvolver mecanismos de gestão, controle, monitoramento e de avaliação das ações destinadas à organização e à implementação das políticas estruturantes para o fortalecimento e a qualificação da atenção especializada à saúde.</w:t>
      </w:r>
      <w:r/>
    </w:p>
    <w:p>
      <w:pPr>
        <w:pStyle w:val="926"/>
        <w:pBdr/>
        <w:spacing/>
        <w:ind/>
        <w:rPr/>
      </w:pPr>
      <w:r>
        <w:rPr>
          <w:b/>
          <w:bCs/>
        </w:rPr>
        <w:t xml:space="preserve">Análise Codificação</w:t>
      </w:r>
      <w:r>
        <w:t xml:space="preserve">: Em relação ao foco, a recomendação propõe monitorar o planejamento e a execução da política, o que </w:t>
      </w:r>
      <w:r>
        <w:t xml:space="preserve">pode abordar a causa subjacente de falta de planejamento e implementação inadequada, mas não especifica ações diretas para tratar a causa raiz, como a criação de instrumentos de planejamento. Portanto, não há uma ação clara focada na causa. Como o critério</w:t>
      </w:r>
      <w:r>
        <w:t xml:space="preserve"> </w:t>
      </w:r>
      <w:r>
        <w:t xml:space="preserve">‘Foco Causa’</w:t>
      </w:r>
      <w:r>
        <w:t xml:space="preserve"> </w:t>
      </w:r>
      <w:r>
        <w:t xml:space="preserve">é</w:t>
      </w:r>
      <w:r>
        <w:t xml:space="preserve"> </w:t>
      </w:r>
      <w:r>
        <w:t xml:space="preserve">‘Não’</w:t>
      </w:r>
      <w:r>
        <w:t xml:space="preserve">, o critério</w:t>
      </w:r>
      <w:r>
        <w:t xml:space="preserve"> </w:t>
      </w:r>
      <w:r>
        <w:t xml:space="preserve">‘Efeitos Duradouros’</w:t>
      </w:r>
      <w:r>
        <w:t xml:space="preserve"> </w:t>
      </w:r>
      <w:r>
        <w:t xml:space="preserve">não se aplica.</w:t>
      </w:r>
      <w:r/>
    </w:p>
    <w:p>
      <w:pPr>
        <w:pStyle w:val="928"/>
        <w:numPr>
          <w:ilvl w:val="0"/>
          <w:numId w:val="61"/>
        </w:numPr>
        <w:pBdr/>
        <w:spacing/>
        <w:ind/>
        <w:rPr/>
      </w:pPr>
      <w:r>
        <w:t xml:space="preserve">Ação Foco Causa: Não</w:t>
      </w:r>
      <w:r/>
    </w:p>
    <w:p>
      <w:pPr>
        <w:pStyle w:val="928"/>
        <w:numPr>
          <w:ilvl w:val="0"/>
          <w:numId w:val="61"/>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discordo da análise original, pois a recomendação de monitorar o planejamento e execução da política visa abordar diretamente a causa da falta de informações nos instrumentos de planejamento, promovendo ações corretivas contínuas. Quanto ao critério</w:t>
      </w:r>
      <w:r>
        <w:t xml:space="preserve"> </w:t>
      </w:r>
      <w:r>
        <w:t xml:space="preserve">‘Efeitos Duradouros’</w:t>
      </w:r>
      <w:r>
        <w:t xml:space="preserve">, como discordo da classificação anterior para</w:t>
      </w:r>
      <w:r>
        <w:t xml:space="preserve"> </w:t>
      </w:r>
      <w:r>
        <w:t xml:space="preserve">‘Foco Causa’</w:t>
      </w:r>
      <w:r>
        <w:t xml:space="preserve">, a análise não se aplica corretamente, mas se considerada, os efeitos seriam duradouros devido ao estabelecimento de mecanismos permanentes de monitoramento.</w:t>
      </w:r>
      <w:r/>
    </w:p>
    <w:p>
      <w:pPr>
        <w:pStyle w:val="928"/>
        <w:numPr>
          <w:ilvl w:val="0"/>
          <w:numId w:val="62"/>
        </w:numPr>
        <w:pBdr/>
        <w:spacing/>
        <w:ind/>
        <w:rPr/>
      </w:pPr>
      <w:r>
        <w:t xml:space="preserve">Análise Foco Causa: Discordo</w:t>
      </w:r>
      <w:r/>
    </w:p>
    <w:p>
      <w:pPr>
        <w:pStyle w:val="928"/>
        <w:numPr>
          <w:ilvl w:val="0"/>
          <w:numId w:val="62"/>
        </w:numPr>
        <w:pBdr/>
        <w:spacing/>
        <w:ind/>
        <w:rPr/>
      </w:pPr>
      <w:r>
        <w:t xml:space="preserve">Análise Efeitos Duradouros: Não se aplica</w:t>
      </w:r>
      <w:bookmarkEnd w:id="60"/>
      <w:r/>
    </w:p>
    <w:p>
      <w:pPr>
        <w:pStyle w:val="915"/>
        <w:pBdr/>
        <w:spacing/>
        <w:ind/>
        <w:rPr/>
      </w:pPr>
      <w:r/>
      <w:bookmarkStart w:id="61" w:name="auditoria-19722-constatação-nº-694116-1"/>
      <w:r>
        <w:t xml:space="preserve">Auditoria 19722, Constatação Nº 694116 (#1)</w:t>
      </w:r>
      <w:r/>
    </w:p>
    <w:p>
      <w:pPr>
        <w:pStyle w:val="927"/>
        <w:pBdr/>
        <w:spacing/>
        <w:ind/>
        <w:rPr/>
      </w:pPr>
      <w:r>
        <w:rPr>
          <w:b/>
          <w:bCs/>
        </w:rPr>
        <w:t xml:space="preserve">Finalidade</w:t>
      </w:r>
      <w:r>
        <w:t xml:space="preserve">: Verificar a regularidade da produção inserida nos sistemas do SUS.</w:t>
      </w:r>
      <w:r/>
    </w:p>
    <w:p>
      <w:pPr>
        <w:pStyle w:val="926"/>
        <w:pBdr/>
        <w:spacing/>
        <w:ind/>
        <w:rPr/>
      </w:pPr>
      <w:r>
        <w:rPr>
          <w:b/>
          <w:bCs/>
        </w:rPr>
        <w:t xml:space="preserve">Constatação</w:t>
      </w:r>
      <w:r>
        <w:t xml:space="preserve">: Não foi possível evidenciar a capacidade instalada de oferta, correspondente à série histórica de produção registrada no SIA/SUS.</w:t>
      </w:r>
      <w:r/>
    </w:p>
    <w:p>
      <w:pPr>
        <w:pStyle w:val="926"/>
        <w:pBdr/>
        <w:spacing/>
        <w:ind/>
        <w:rPr/>
      </w:pPr>
      <w:r>
        <w:rPr>
          <w:b/>
          <w:bCs/>
        </w:rPr>
        <w:t xml:space="preserve">Recomendação</w:t>
      </w:r>
      <w:r>
        <w:t xml:space="preserve">: Atentar-se ao princípio de Vinculação ao Edital, previsto no art. 55, inc. XI da Lei 8.666, de 21 de junho de 1993 e no art. 5º, da Lei 14.133, de 1º de abril de 2021 e cumprir todas as obrigações contratuais, inclusive o preenchimento </w:t>
      </w:r>
      <w:r>
        <w:t xml:space="preserve">dos anexos, quando existentes, considerando que a inexecução parcial do contrato pode resultar em sanções administrativas, como advertências, multas, e até mesmo a suspensão temporária de participar de licitações futuras (Lei 14.133/2021, arts. 155 e 156).</w:t>
      </w:r>
      <w:r/>
    </w:p>
    <w:p>
      <w:pPr>
        <w:pStyle w:val="926"/>
        <w:pBdr/>
        <w:spacing/>
        <w:ind/>
        <w:rPr/>
      </w:pPr>
      <w:r>
        <w:rPr>
          <w:b/>
          <w:bCs/>
        </w:rPr>
        <w:t xml:space="preserve">Análise Codificação</w:t>
      </w:r>
      <w:r>
        <w:t xml:space="preserve">: A recomendação enfatiza o cumprimento de obrigações contratuais e legais, como a vinculação ao edital e o preenc</w:t>
      </w:r>
      <w:r>
        <w:t xml:space="preserve">himento de anexos, o que pode abordar parcialmente a causa subjacente de não evidenciar a capacidade instalada, ao promover conformidade. No entanto, ela não propõe ações específicas para tratar diretamente a causa raiz, como a implementação de sistemas de</w:t>
      </w:r>
      <w:r>
        <w:t xml:space="preserve"> monitoramento ou capacitação para garantir a documentação adequada da capacidade instalada, focando mais na condição de não conformidade atual. Quanto aos efeitos duradouros, como a recomendação não trata claramente da causa, essa avaliação não se aplica.</w:t>
      </w:r>
      <w:r/>
    </w:p>
    <w:p>
      <w:pPr>
        <w:pStyle w:val="928"/>
        <w:numPr>
          <w:ilvl w:val="0"/>
          <w:numId w:val="63"/>
        </w:numPr>
        <w:pBdr/>
        <w:spacing/>
        <w:ind/>
        <w:rPr/>
      </w:pPr>
      <w:r>
        <w:t xml:space="preserve">Ação Foco Causa: Não</w:t>
      </w:r>
      <w:r/>
    </w:p>
    <w:p>
      <w:pPr>
        <w:pStyle w:val="928"/>
        <w:numPr>
          <w:ilvl w:val="0"/>
          <w:numId w:val="63"/>
        </w:numPr>
        <w:pBdr/>
        <w:spacing/>
        <w:ind/>
        <w:rPr/>
      </w:pPr>
      <w:r>
        <w:t xml:space="preserve">Efeitos Duradouros: Não se aplica</w:t>
      </w:r>
      <w:r/>
    </w:p>
    <w:p>
      <w:pPr>
        <w:pStyle w:val="927"/>
        <w:pBdr/>
        <w:spacing/>
        <w:ind/>
        <w:rPr/>
      </w:pPr>
      <w:r>
        <w:rPr>
          <w:b/>
          <w:bCs/>
        </w:rPr>
        <w:t xml:space="preserve">Análise Crítica</w:t>
      </w:r>
      <w:r>
        <w:t xml:space="preserve">: A anál</w:t>
      </w:r>
      <w:r>
        <w:t xml:space="preserve">ise do modelo identifica corretamente que a recomendação enfatiza o cumprimento de obrigações contratuais e legais, mas não propõe ações específicas para tratar a causa raiz da falta de evidência da capacidade instalada. No entanto, a avaliação do critério</w:t>
      </w:r>
      <w:r>
        <w:t xml:space="preserve"> </w:t>
      </w:r>
      <w:r>
        <w:t xml:space="preserve">‘Foco Causa’</w:t>
      </w:r>
      <w:r>
        <w:t xml:space="preserve"> </w:t>
      </w:r>
      <w:r>
        <w:t xml:space="preserve">como</w:t>
      </w:r>
      <w:r>
        <w:t xml:space="preserve"> </w:t>
      </w:r>
      <w:r>
        <w:t xml:space="preserve">‘Não’</w:t>
      </w:r>
      <w:r>
        <w:t xml:space="preserve"> </w:t>
      </w:r>
      <w:r>
        <w:t xml:space="preserve">pode ser questionada, pois a recomendação, ao exigir o cumprimento de vinculação ao edital e preenchimento de anexos, pode ser interpretada como uma ação que aborda a causa subjacente de inconsistências na documentação e registros.</w:t>
      </w:r>
      <w:r/>
    </w:p>
    <w:p>
      <w:pPr>
        <w:pStyle w:val="928"/>
        <w:numPr>
          <w:ilvl w:val="0"/>
          <w:numId w:val="64"/>
        </w:numPr>
        <w:pBdr/>
        <w:spacing/>
        <w:ind/>
        <w:rPr/>
      </w:pPr>
      <w:r>
        <w:t xml:space="preserve">Análise Foco Causa: Discordo</w:t>
      </w:r>
      <w:r/>
    </w:p>
    <w:p>
      <w:pPr>
        <w:pStyle w:val="928"/>
        <w:numPr>
          <w:ilvl w:val="0"/>
          <w:numId w:val="64"/>
        </w:numPr>
        <w:pBdr/>
        <w:spacing/>
        <w:ind/>
        <w:rPr/>
      </w:pPr>
      <w:r>
        <w:t xml:space="preserve">Análise Efeitos Duradouros: Não se aplica</w:t>
      </w:r>
      <w:bookmarkEnd w:id="61"/>
      <w:r/>
    </w:p>
    <w:p>
      <w:pPr>
        <w:pStyle w:val="915"/>
        <w:pBdr/>
        <w:spacing/>
        <w:ind/>
        <w:rPr/>
      </w:pPr>
      <w:r/>
      <w:bookmarkStart w:id="62" w:name="auditoria-19727-constatação-nº-692082-1"/>
      <w:r>
        <w:t xml:space="preserve">Auditoria 19727, Constatação Nº 692082 (#1)</w:t>
      </w:r>
      <w:r/>
    </w:p>
    <w:p>
      <w:pPr>
        <w:pStyle w:val="927"/>
        <w:pBdr/>
        <w:spacing/>
        <w:ind/>
        <w:rPr/>
      </w:pPr>
      <w:r>
        <w:rPr>
          <w:b/>
          <w:bCs/>
        </w:rPr>
        <w:t xml:space="preserve">Finalidade</w:t>
      </w:r>
      <w:r>
        <w:t xml:space="preserve">: Avaliar a gestão e funcionamento do Serviço de Atendimento Móvel de Urgência - SAMU 192</w:t>
      </w:r>
      <w:r/>
    </w:p>
    <w:p>
      <w:pPr>
        <w:pStyle w:val="926"/>
        <w:pBdr/>
        <w:spacing/>
        <w:ind/>
        <w:rPr/>
      </w:pPr>
      <w:r>
        <w:rPr>
          <w:b/>
          <w:bCs/>
        </w:rPr>
        <w:t xml:space="preserve">Constatação</w:t>
      </w:r>
      <w:r>
        <w:t xml:space="preserve">: A Secretaria Municipal de Campina Grande/PB não comprovou dispor de capacidade instalada em termos de quantitativo de motolâncias para cobrir à área adscrita, inclusive as de difícil acesso, conforme preconizado pela legislação.</w:t>
      </w:r>
      <w:r/>
    </w:p>
    <w:p>
      <w:pPr>
        <w:pStyle w:val="926"/>
        <w:pBdr/>
        <w:spacing/>
        <w:ind/>
        <w:rPr/>
      </w:pPr>
      <w:r>
        <w:rPr>
          <w:b/>
          <w:bCs/>
        </w:rPr>
        <w:t xml:space="preserve">Recomendação</w:t>
      </w:r>
      <w:r>
        <w:t xml:space="preserve">: Efetivar a distribuição das motolâncias de acordo com o número de ambulâncias habilitadas em cada serviço, preferencialmente utilizando a proporção de uma motocicleta para cada Unidade de Suporte Avançado (USA) e uma a cad</w:t>
      </w:r>
      <w:r>
        <w:t xml:space="preserve">a duas Unidades de Suporte Básico (USB), de acordo com o preconizado no § 1º, art. 57, Capítulo III, Título II, Livro II, Anexo III da Portaria de Consolidação GM/MS nº 3, de 28/09/2017. Garantir o registro e a manutenção dos dados cadastrais no CNES, vist</w:t>
      </w:r>
      <w:r>
        <w:t xml:space="preserve">o que é de responsabilidade de cada estabelecimento de saúde, através de seus responsáveis técnicos ou responsáveis administrativos, conforme estabelecido no art. 364, Seção I, Capítulo IV, Título VII, da Portaria de Consolidação GM/MS nº 1, de 28/09/2017.</w:t>
      </w:r>
      <w:r/>
    </w:p>
    <w:p>
      <w:pPr>
        <w:pStyle w:val="926"/>
        <w:pBdr/>
        <w:spacing/>
        <w:ind/>
        <w:rPr/>
      </w:pPr>
      <w:r>
        <w:rPr>
          <w:b/>
          <w:bCs/>
        </w:rPr>
        <w:t xml:space="preserve">Análise Codificação</w:t>
      </w:r>
      <w:r>
        <w:t xml:space="preserve">: Em relação ao foco, a recomendação propõe a distribuição das motolâncias conforme proporção estabelecida em legislação e o registro e manutenção dos dados no CNES, o que visa corrigir a condição específica de falta de compro</w:t>
      </w:r>
      <w:r>
        <w:t xml:space="preserve">vação da capacidade instalada, mas não aborda as causas subjacentes, como possíveis deficiências na aquisição, planejamento ou alocação de recursos. Portanto, a recomendação é focada na condição, não na causa. Quanto aos efeitos duradouros, como o critério</w:t>
      </w:r>
      <w:r>
        <w:t xml:space="preserve"> </w:t>
      </w:r>
      <w:r>
        <w:t xml:space="preserve">‘Foco Causa’</w:t>
      </w:r>
      <w:r>
        <w:t xml:space="preserve"> </w:t>
      </w:r>
      <w:r>
        <w:t xml:space="preserve">não foi atendido, não se aplica.</w:t>
      </w:r>
      <w:r/>
    </w:p>
    <w:p>
      <w:pPr>
        <w:pStyle w:val="928"/>
        <w:numPr>
          <w:ilvl w:val="0"/>
          <w:numId w:val="65"/>
        </w:numPr>
        <w:pBdr/>
        <w:spacing/>
        <w:ind/>
        <w:rPr/>
      </w:pPr>
      <w:r>
        <w:t xml:space="preserve">Ação Foco Causa: Não</w:t>
      </w:r>
      <w:r/>
    </w:p>
    <w:p>
      <w:pPr>
        <w:pStyle w:val="928"/>
        <w:numPr>
          <w:ilvl w:val="0"/>
          <w:numId w:val="65"/>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do modelo argumenta que a reco</w:t>
      </w:r>
      <w:r>
        <w:t xml:space="preserve">mendação não aborda causas subjacentes como deficiências na aquisição, planejamento ou alocação de recursos, focando apenas na correção da condição específica de falta de comprovação da capacidade instalada. No entanto, a recomendação inclui ações que visa</w:t>
      </w:r>
      <w:r>
        <w:t xml:space="preserve">m estabelecer uma distribuição padronizada e permanente de motolâncias conforme legislação, o que pode ser interpretado como uma medida para prevenir a reincidência do problema, tratando assim a causa raiz da inadequação na distribuição. Quanto ao critério</w:t>
      </w:r>
      <w:r>
        <w:t xml:space="preserve"> </w:t>
      </w:r>
      <w:r>
        <w:t xml:space="preserve">‘Efeitos Duradouros’</w:t>
      </w:r>
      <w:r>
        <w:t xml:space="preserve">, a análise depende da avaliação do</w:t>
      </w:r>
      <w:r>
        <w:t xml:space="preserve"> </w:t>
      </w:r>
      <w:r>
        <w:t xml:space="preserve">‘Foco Causa’</w:t>
      </w:r>
      <w:r>
        <w:t xml:space="preserve">.</w:t>
      </w:r>
      <w:r/>
    </w:p>
    <w:p>
      <w:pPr>
        <w:pStyle w:val="928"/>
        <w:numPr>
          <w:ilvl w:val="0"/>
          <w:numId w:val="66"/>
        </w:numPr>
        <w:pBdr/>
        <w:spacing/>
        <w:ind/>
        <w:rPr/>
      </w:pPr>
      <w:r>
        <w:t xml:space="preserve">Análise Foco Causa: Discordo</w:t>
      </w:r>
      <w:r/>
    </w:p>
    <w:p>
      <w:pPr>
        <w:pStyle w:val="928"/>
        <w:numPr>
          <w:ilvl w:val="0"/>
          <w:numId w:val="66"/>
        </w:numPr>
        <w:pBdr/>
        <w:spacing/>
        <w:ind/>
        <w:rPr/>
      </w:pPr>
      <w:r>
        <w:t xml:space="preserve">Análise Efeitos Duradouros: Não se aplica</w:t>
      </w:r>
      <w:bookmarkEnd w:id="62"/>
      <w:r/>
    </w:p>
    <w:p>
      <w:pPr>
        <w:pStyle w:val="915"/>
        <w:pBdr/>
        <w:spacing/>
        <w:ind/>
        <w:rPr/>
      </w:pPr>
      <w:r/>
      <w:bookmarkStart w:id="63" w:name="auditoria-19889-constatação-nº-703702-1"/>
      <w:r>
        <w:t xml:space="preserve">Auditoria 19889, Constatação Nº 703702 (#1)</w:t>
      </w:r>
      <w:r/>
    </w:p>
    <w:p>
      <w:pPr>
        <w:pStyle w:val="927"/>
        <w:pBdr/>
        <w:spacing/>
        <w:ind/>
        <w:rPr/>
      </w:pPr>
      <w:r>
        <w:rPr>
          <w:b/>
          <w:bCs/>
        </w:rPr>
        <w:t xml:space="preserve">Finalidade</w:t>
      </w:r>
      <w:r>
        <w:t xml:space="preserve">: Realizar auditoria de oncologia, PAMDAS, na Santa Casa de Montes Claros/MG</w:t>
      </w:r>
      <w:r/>
    </w:p>
    <w:p>
      <w:pPr>
        <w:pStyle w:val="926"/>
        <w:pBdr/>
        <w:spacing/>
        <w:ind/>
        <w:rPr/>
      </w:pPr>
      <w:r>
        <w:rPr>
          <w:b/>
          <w:bCs/>
        </w:rPr>
        <w:t xml:space="preserve">Constatação</w:t>
      </w:r>
      <w:r>
        <w:t xml:space="preserve">: As AIHs pagas ao estabelecimento, pelo procedimento 04.16.09.013-3 (Ressecção de Tumor de Partes Moles em Oncologia), não têm compatibilidade com os atributos do CID principal, relacionados na Tabela SIGTAP.</w:t>
      </w:r>
      <w:r/>
    </w:p>
    <w:p>
      <w:pPr>
        <w:pStyle w:val="926"/>
        <w:pBdr/>
        <w:spacing/>
        <w:ind/>
        <w:rPr/>
      </w:pPr>
      <w:r>
        <w:rPr>
          <w:b/>
          <w:bCs/>
        </w:rPr>
        <w:t xml:space="preserve">Recomendação</w:t>
      </w:r>
      <w:r>
        <w:t xml:space="preserve">: Realizar o lançamento do código do procedimento atentando para os atributos prévios relacionados ao CID Principal, com a finalidade de cumprir o normativo descrito no Manual de bases técnicas da Oncologia Sistema de Informações </w:t>
      </w:r>
      <w:r>
        <w:t xml:space="preserve">Ambulatoriais (SIA/SUS). 30ª edição, Brasil: Ministério da Saúde/SAES, 2022. pág. 45, o qual recomenda para aprovação de AIH com o procedimento 04.16.09.013-3 RESSECÇÃO DE TUMOR DE PARTES MOLES EM ONCOLOGIA, seja precedida de verificação do prontuário do r</w:t>
      </w:r>
      <w:r>
        <w:t xml:space="preserve">espectivo caso (perícia pós-operatória); corroborado com o Manual Técnico Operacional SIH, versão 2017 - pág. 88 que estabelece que o CID terá que ser compatível com a principal patologia referente ao procedimento informado na primeira linha de realizados.</w:t>
      </w:r>
      <w:r/>
    </w:p>
    <w:p>
      <w:pPr>
        <w:pStyle w:val="926"/>
        <w:pBdr/>
        <w:spacing/>
        <w:ind/>
        <w:rPr/>
      </w:pPr>
      <w:r>
        <w:rPr>
          <w:b/>
          <w:bCs/>
        </w:rPr>
        <w:t xml:space="preserve">Análise Codificação</w:t>
      </w:r>
      <w:r>
        <w:t xml:space="preserve">: Em relação ao foco, a recomendação propõe que os profissionais realizem o lançamento do código do procedimento atentando para os atributos prévios relacionados ao CID Pri</w:t>
      </w:r>
      <w:r>
        <w:t xml:space="preserve">ncipal, o que visa corrigir a prática operacional que gerou a incompatibilidade observada. No entanto, essa ação é direcionada à correção do processo de registro em si, sem abordar as causas subjacentes que levam à incompatibilidade, como possíveis lacunas</w:t>
      </w:r>
      <w:r>
        <w:t xml:space="preserve"> na capacitação, falta de verificações sistemáticas ou deficiências nos sistemas de informação. Portanto, a recomendação tem foco na condição (corrigir o registro incorreto) e não na causa (prevenir a ocorrência de registros incompatíveis). Como o critério</w:t>
      </w:r>
      <w:r>
        <w:t xml:space="preserve"> </w:t>
      </w:r>
      <w:r>
        <w:t xml:space="preserve">‘Foco Causa’</w:t>
      </w:r>
      <w:r>
        <w:t xml:space="preserve"> </w:t>
      </w:r>
      <w:r>
        <w:t xml:space="preserve">não foi atendido, a análise de</w:t>
      </w:r>
      <w:r>
        <w:t xml:space="preserve"> </w:t>
      </w:r>
      <w:r>
        <w:t xml:space="preserve">‘Efeitos Duradouros’</w:t>
      </w:r>
      <w:r>
        <w:t xml:space="preserve"> </w:t>
      </w:r>
      <w:r>
        <w:t xml:space="preserve">não se aplica.</w:t>
      </w:r>
      <w:r/>
    </w:p>
    <w:p>
      <w:pPr>
        <w:pStyle w:val="928"/>
        <w:numPr>
          <w:ilvl w:val="0"/>
          <w:numId w:val="67"/>
        </w:numPr>
        <w:pBdr/>
        <w:spacing/>
        <w:ind/>
        <w:rPr/>
      </w:pPr>
      <w:r>
        <w:t xml:space="preserve">Ação Foco Causa: Não</w:t>
      </w:r>
      <w:r/>
    </w:p>
    <w:p>
      <w:pPr>
        <w:pStyle w:val="928"/>
        <w:numPr>
          <w:ilvl w:val="0"/>
          <w:numId w:val="67"/>
        </w:numPr>
        <w:pBdr/>
        <w:spacing/>
        <w:ind/>
        <w:rPr/>
      </w:pPr>
      <w:r>
        <w:t xml:space="preserve">Efeitos Duradouros: Não se aplica</w:t>
      </w:r>
      <w:r/>
    </w:p>
    <w:p>
      <w:pPr>
        <w:pStyle w:val="927"/>
        <w:pBdr/>
        <w:spacing/>
        <w:ind/>
        <w:rPr/>
      </w:pPr>
      <w:r>
        <w:rPr>
          <w:b/>
          <w:bCs/>
        </w:rPr>
        <w:t xml:space="preserve">Análise Crítica</w:t>
      </w:r>
      <w:r>
        <w:t xml:space="preserve">: A análise da codificação apresenta argumentos válidos sobre o foco da recomendação, mas merece uma avaliação mais detalhada sobre se ela aborda ou não a causa raiz do problema.</w:t>
      </w:r>
      <w:r/>
    </w:p>
    <w:p>
      <w:pPr>
        <w:pStyle w:val="928"/>
        <w:numPr>
          <w:ilvl w:val="0"/>
          <w:numId w:val="68"/>
        </w:numPr>
        <w:pBdr/>
        <w:spacing/>
        <w:ind/>
        <w:rPr/>
      </w:pPr>
      <w:r>
        <w:t xml:space="preserve">Análise Foco Causa: Discordo</w:t>
      </w:r>
      <w:r/>
    </w:p>
    <w:p>
      <w:pPr>
        <w:pStyle w:val="928"/>
        <w:numPr>
          <w:ilvl w:val="0"/>
          <w:numId w:val="68"/>
        </w:numPr>
        <w:pBdr/>
        <w:spacing/>
        <w:ind/>
        <w:rPr/>
      </w:pPr>
      <w:r>
        <w:t xml:space="preserve">Análise Efeitos Duradouros: Não se aplica</w:t>
      </w:r>
      <w:bookmarkEnd w:id="63"/>
      <w:bookmarkEnd w:id="64"/>
      <w:r/>
    </w:p>
    <w:p>
      <w:pPr>
        <w:pStyle w:val="914"/>
        <w:pBdr/>
        <w:spacing/>
        <w:ind/>
        <w:rPr/>
      </w:pPr>
      <w:r/>
      <w:bookmarkStart w:id="68" w:name="X3b1ece96e4efca48d0400d5466f964aa6961c53"/>
      <w:r>
        <w:t xml:space="preserve">Foco: Não, Efeitos: Não se aplica, Concordância Foco: Concordo, Concordância Efeitos: Discordo</w:t>
      </w:r>
      <w:r/>
    </w:p>
    <w:p>
      <w:pPr>
        <w:pStyle w:val="915"/>
        <w:pBdr/>
        <w:spacing/>
        <w:ind/>
        <w:rPr/>
      </w:pPr>
      <w:r/>
      <w:bookmarkStart w:id="65" w:name="auditoria-19264-constatação-nº-656913-2"/>
      <w:r>
        <w:t xml:space="preserve">Auditoria 19264, Constatação Nº 656913 (#2)</w:t>
      </w:r>
      <w:r/>
    </w:p>
    <w:p>
      <w:pPr>
        <w:pStyle w:val="927"/>
        <w:pBdr/>
        <w:spacing/>
        <w:ind/>
        <w:rPr/>
      </w:pPr>
      <w:r>
        <w:rPr>
          <w:b/>
          <w:bCs/>
        </w:rPr>
        <w:t xml:space="preserve">Finalidade</w:t>
      </w:r>
      <w:r>
        <w:t xml:space="preserve">: Verificar a regular utilização de DMIs em cirurgias de coluna vertebral pelos prestadores do SUS.</w:t>
      </w:r>
      <w:r/>
    </w:p>
    <w:p>
      <w:pPr>
        <w:pStyle w:val="926"/>
        <w:pBdr/>
        <w:spacing/>
        <w:ind/>
        <w:rPr/>
      </w:pPr>
      <w:r>
        <w:rPr>
          <w:b/>
          <w:bCs/>
        </w:rPr>
        <w:t xml:space="preserve">Constatação</w:t>
      </w:r>
      <w:r>
        <w:t xml:space="preserve">: Apresentação parcial dos prontuários solicitados, notas fiscais e AIHs relativos às cirurgias de implantação de Órteses, Próteses e Materiais Especiais (OPME), no período de 1º de janeiro de 2012 a 31 de dezembro de 2017.</w:t>
      </w:r>
      <w:r/>
    </w:p>
    <w:p>
      <w:pPr>
        <w:pStyle w:val="926"/>
        <w:pBdr/>
        <w:spacing/>
        <w:ind/>
        <w:rPr/>
      </w:pPr>
      <w:r>
        <w:rPr>
          <w:b/>
          <w:bCs/>
        </w:rPr>
        <w:t xml:space="preserve">Recomendação</w:t>
      </w:r>
      <w:r>
        <w:t xml:space="preserve">: Anexar o espelho de AIH definitivo, devidamente assinado, ao prontuário médico do paciente, conforme determina o art. 2º da Portaria SAS/MS nº 304, de 10 de agosto de 2001. Assim como, cumprir o artigo 2° da Portaria SAS/MS nº 635, de 1º/</w:t>
      </w:r>
      <w:r>
        <w:t xml:space="preserve">6/2016, que estabelece que os espelhos de AIH devem ser conferidos e assinados pelo Diretor Geral, ou Diretor Clínico, ou Diretor Técnico do Hospital ou outro profissional médico designado pelo Diretor Geral. Anexar cópia da Nota fiscal das OPME-DMI ao pro</w:t>
      </w:r>
      <w:r>
        <w:t xml:space="preserve">ntuário do paciente, conforme item 23.1 do Manual Técnico Operacional do SIH/SUS, versão 2017 (p.40). Seguir as orientações do Manual de Boas Práticas de Gestão das Órteses, Próteses e Materiais Especiais (OPME) do Ministério da Saúde (2016), como a de que</w:t>
      </w:r>
      <w:r>
        <w:t xml:space="preserve"> </w:t>
      </w:r>
      <w:r>
        <w:t xml:space="preserve">“III. Após a alta do paciente, o setor responsável pelo faturamento realizará, obrigatoriamente, </w:t>
      </w:r>
      <w:r>
        <w:t xml:space="preserve">o lançamento e a conferência final da AIH, compatibilizando as informações constantes na descrição cirúrgica e no registro de consumo da sala cirúrgica com as OPME utilizadas no procedimento, bem como anexará cópia da nota fiscal no prontuário do paciente”</w:t>
      </w:r>
      <w:r>
        <w:t xml:space="preserve">. Prestar, quando exigida, ao pessoal em exercício no SNA - Sistema Nacional de Auditoria, toda informação necessária ao desempenho das atividades d</w:t>
      </w:r>
      <w:r>
        <w:t xml:space="preserve">e controle, avaliação e auditoria, facilitando-lhes o acesso a documentos, pessoas e instalações, conforme artigo 11 do Decreto nº 1.651, de 28/9/1995. Acrescenta-se que ao serviço de saúde cabe responsabilizar-se pela guarda do prontuário devendo obedecer</w:t>
      </w:r>
      <w:r>
        <w:t xml:space="preserve"> às normas vigentes; assegurar a guarda dos prontuários no que se refere à confidencialidade e integridade; manter os prontuários em local seguro, em boas condições de conservação e organização, permitindo o seu acesso sempre que necessário; garantir que o</w:t>
      </w:r>
      <w:r>
        <w:t xml:space="preserve"> prontuário contenha registros relativos à identificação e a todos os procedimentos prestados ao paciente. (§ 1º e § 2º do art. 25 e art. 26 da Resolução (RDC) nº 63, de 25/11/2011), tomando como base as atribuições estabelecidas na legislação arquivística</w:t>
      </w:r>
      <w:r>
        <w:t xml:space="preserve"> brasileira, que normatiza a guarda, a temporalidade e a classificação dos documentos, inclusive dos prontuários médicos. Neste contexto, cabe ressaltar que, de acordo com a Lei nº 8.159, de 8 de janeiro de 1991, que dispõe sobre a política nacional de arq</w:t>
      </w:r>
      <w:r>
        <w:t xml:space="preserve">uivos públicos e privados, é dever do Poder Público a gestão documental e a proteção especial dos documentos de arquivo, bem como, é de sua responsabilidade manter acessíveis e organizados os documentos produzidos no exercício de suas atividades, podendo o</w:t>
      </w:r>
      <w:r>
        <w:t xml:space="preserve">casionar em responsabilização penal, civil e administrativa, na forma da legislação em vigor, caso ocorra a desfiguração ou destruição de documentos de valor permanente ou considerado como de interesse público e social (Art. 25, Lei nº 8.159, de 8/1/1991).</w:t>
      </w:r>
      <w:r/>
    </w:p>
    <w:p>
      <w:pPr>
        <w:pStyle w:val="926"/>
        <w:pBdr/>
        <w:spacing/>
        <w:ind/>
        <w:rPr/>
      </w:pPr>
      <w:r>
        <w:rPr>
          <w:b/>
          <w:bCs/>
        </w:rPr>
        <w:t xml:space="preserve">Análise Codificação</w:t>
      </w:r>
      <w:r>
        <w:t xml:space="preserve">: A recomendação é extensa e detalhada, focando principalmente em ações corretivas para a condição específica de</w:t>
      </w:r>
      <w:r>
        <w:t xml:space="preserve"> documentação inadequada, como anexar documentos faltantes (espelho de AIH, notas fiscais) e seguir procedimentos de guarda e acesso. Embora mencione aspectos de conformidade legal e organizacional, não propõe ações que tratem diretamente da causa raiz do </w:t>
      </w:r>
      <w:r>
        <w:t xml:space="preserve">problema, como falhas sistêmicas em processos, capacitação de pessoal ou implementação de controles preventivos. Portanto, não atende ao critério de foco na causa. Quanto aos efeitos duradouros, como o foco na causa não é atendido, não se aplica a análise.</w:t>
      </w:r>
      <w:r/>
    </w:p>
    <w:p>
      <w:pPr>
        <w:pStyle w:val="928"/>
        <w:numPr>
          <w:ilvl w:val="0"/>
          <w:numId w:val="69"/>
        </w:numPr>
        <w:pBdr/>
        <w:spacing/>
        <w:ind/>
        <w:rPr/>
      </w:pPr>
      <w:r>
        <w:t xml:space="preserve">Ação Foco Causa: Não</w:t>
      </w:r>
      <w:r/>
    </w:p>
    <w:p>
      <w:pPr>
        <w:pStyle w:val="928"/>
        <w:numPr>
          <w:ilvl w:val="0"/>
          <w:numId w:val="69"/>
        </w:numPr>
        <w:pBdr/>
        <w:spacing/>
        <w:ind/>
        <w:rPr/>
      </w:pPr>
      <w:r>
        <w:t xml:space="preserve">Efeitos Duradouros: Não se aplica</w:t>
      </w:r>
      <w:r/>
    </w:p>
    <w:p>
      <w:pPr>
        <w:pStyle w:val="927"/>
        <w:pBdr/>
        <w:spacing/>
        <w:ind/>
        <w:rPr/>
      </w:pPr>
      <w:r>
        <w:rPr>
          <w:b/>
          <w:bCs/>
        </w:rPr>
        <w:t xml:space="preserve">Análise Crítica</w:t>
      </w:r>
      <w:r>
        <w:t xml:space="preserve">: A análise do modelo identificou corretamente que a recomendação se concentra em ações corretivas para a documentação inadequada, sem abordar causas sistêmicas subjacentes. No entanto, a avaliação do critério</w:t>
      </w:r>
      <w:r>
        <w:t xml:space="preserve"> </w:t>
      </w:r>
      <w:r>
        <w:t xml:space="preserve">‘Efeitos Duradouros’</w:t>
      </w:r>
      <w:r>
        <w:t xml:space="preserve"> </w:t>
      </w:r>
      <w:r>
        <w:t xml:space="preserve">poderia ser mais precisa, considerando que algumas ações recomendadas, embora não tratem da causa raiz, têm caráter permanente.</w:t>
      </w:r>
      <w:r/>
    </w:p>
    <w:p>
      <w:pPr>
        <w:pStyle w:val="928"/>
        <w:numPr>
          <w:ilvl w:val="0"/>
          <w:numId w:val="70"/>
        </w:numPr>
        <w:pBdr/>
        <w:spacing/>
        <w:ind/>
        <w:rPr/>
      </w:pPr>
      <w:r>
        <w:t xml:space="preserve">Análise Foco Causa: Concordo</w:t>
      </w:r>
      <w:r/>
    </w:p>
    <w:p>
      <w:pPr>
        <w:pStyle w:val="928"/>
        <w:numPr>
          <w:ilvl w:val="0"/>
          <w:numId w:val="70"/>
        </w:numPr>
        <w:pBdr/>
        <w:spacing/>
        <w:ind/>
        <w:rPr/>
      </w:pPr>
      <w:r>
        <w:t xml:space="preserve">Análise Efeitos Duradouros: Discordo</w:t>
      </w:r>
      <w:bookmarkEnd w:id="65"/>
      <w:r/>
    </w:p>
    <w:p>
      <w:pPr>
        <w:pStyle w:val="915"/>
        <w:pBdr/>
        <w:spacing/>
        <w:ind/>
        <w:rPr/>
      </w:pPr>
      <w:r/>
      <w:bookmarkStart w:id="66" w:name="auditoria-19336-constatação-nº-659808-1"/>
      <w:r>
        <w:t xml:space="preserve">Auditoria 19336, Constatação Nº 659808 (#1)</w:t>
      </w:r>
      <w:r/>
    </w:p>
    <w:p>
      <w:pPr>
        <w:pStyle w:val="927"/>
        <w:pBdr/>
        <w:spacing/>
        <w:ind/>
        <w:rPr/>
      </w:pPr>
      <w:r>
        <w:rPr>
          <w:b/>
          <w:bCs/>
        </w:rPr>
        <w:t xml:space="preserve">Finalidade</w:t>
      </w:r>
      <w:r>
        <w:t xml:space="preserve">: Verificar a regular utilização de DMIs em cirurgias de coluna vertebral pelos prestadores do SUS</w:t>
      </w:r>
      <w:r/>
    </w:p>
    <w:p>
      <w:pPr>
        <w:pStyle w:val="926"/>
        <w:pBdr/>
        <w:spacing/>
        <w:ind/>
        <w:rPr/>
      </w:pPr>
      <w:r>
        <w:rPr>
          <w:b/>
          <w:bCs/>
        </w:rPr>
        <w:t xml:space="preserve">Constatação</w:t>
      </w:r>
      <w:r>
        <w:t xml:space="preserve">: Não foram localizados nos prontuários as etiquetas de rastreabilidade das OPM/DMI utilizadas, no período auditado.</w:t>
      </w:r>
      <w:r/>
    </w:p>
    <w:p>
      <w:pPr>
        <w:pStyle w:val="926"/>
        <w:pBdr/>
        <w:spacing/>
        <w:ind/>
        <w:rPr/>
      </w:pPr>
      <w:r>
        <w:rPr>
          <w:b/>
          <w:bCs/>
        </w:rPr>
        <w:t xml:space="preserve">Recomendação</w:t>
      </w:r>
      <w:r>
        <w:t xml:space="preserve">: Cumprir com o disposto no subitem no 23.2 Registro de Fornecedores de OPM e Cadastro ANVISA, do Manual Técnico Operacional do Sistema de Informação Hospitalar (versão 2017), onde se lê,</w:t>
      </w:r>
      <w:r>
        <w:t xml:space="preserve"> </w:t>
      </w:r>
      <w:r>
        <w:t xml:space="preserve">“[… ] etiquetas devem ser retiradas das embalagens e coladas no prontuário do paciente na folha de descrição da cirurgia ou em formulário próprio do hospital onde são informadas as OPM utilizadas na cirurgia”</w:t>
      </w:r>
      <w:r>
        <w:t xml:space="preserve">; e art. 3°, da Resolução CFM 1804, de 09/11/2006, que estabelece que</w:t>
      </w:r>
      <w:r>
        <w:t xml:space="preserve"> </w:t>
      </w:r>
      <w:r>
        <w:t xml:space="preserve">“As etiquetas de identificação dos produtos</w:t>
      </w:r>
      <w:r>
        <w:t xml:space="preserve">, que deverão conter seus dados completos de fabricação, bem como a declaração de origem firmada pelo distribuidor, corresponsável pelos mesmos, passarão a fazer parte obrigatória do prontuário do paciente, onde ficarão arquivadas pelo tempo legal exigido”</w:t>
      </w:r>
      <w:r>
        <w:t xml:space="preserve">.</w:t>
      </w:r>
      <w:r/>
    </w:p>
    <w:p>
      <w:pPr>
        <w:pStyle w:val="926"/>
        <w:pBdr/>
        <w:spacing/>
        <w:ind/>
        <w:rPr/>
      </w:pPr>
      <w:r>
        <w:rPr>
          <w:b/>
          <w:bCs/>
        </w:rPr>
        <w:t xml:space="preserve">Análise Codificação</w:t>
      </w:r>
      <w:r>
        <w:t xml:space="preserve">: Em relação ao foco, a recomendação se limita a exigir o cumprimento de normas existentes sobre a colagem de etiquetas nos prontuár</w:t>
      </w:r>
      <w:r>
        <w:t xml:space="preserve">ios, sem propor ações que abordem as causas subjacentes da não localização dessas etiquetas, como falhas em processos de treinamento, supervisão ou sistemas de controle. Portanto, não há foco na causa. Já em relação aos efeitos pretendidos, como o critério</w:t>
      </w:r>
      <w:r>
        <w:t xml:space="preserve"> </w:t>
      </w:r>
      <w:r>
        <w:t xml:space="preserve">‘Foco Causa’</w:t>
      </w:r>
      <w:r>
        <w:t xml:space="preserve"> </w:t>
      </w:r>
      <w:r>
        <w:t xml:space="preserve">não foi atendido, essa avaliação não se aplica.</w:t>
      </w:r>
      <w:r/>
    </w:p>
    <w:p>
      <w:pPr>
        <w:pStyle w:val="928"/>
        <w:numPr>
          <w:ilvl w:val="0"/>
          <w:numId w:val="71"/>
        </w:numPr>
        <w:pBdr/>
        <w:spacing/>
        <w:ind/>
        <w:rPr/>
      </w:pPr>
      <w:r>
        <w:t xml:space="preserve">Ação Foco Causa: Não</w:t>
      </w:r>
      <w:r/>
    </w:p>
    <w:p>
      <w:pPr>
        <w:pStyle w:val="928"/>
        <w:numPr>
          <w:ilvl w:val="0"/>
          <w:numId w:val="71"/>
        </w:numPr>
        <w:pBdr/>
        <w:spacing/>
        <w:ind/>
        <w:rPr/>
      </w:pPr>
      <w:r>
        <w:t xml:space="preserve">Efeitos Duradouros: Não se aplica</w:t>
      </w:r>
      <w:r/>
    </w:p>
    <w:p>
      <w:pPr>
        <w:pStyle w:val="927"/>
        <w:pBdr/>
        <w:spacing/>
        <w:ind/>
        <w:rPr/>
      </w:pPr>
      <w:r>
        <w:rPr>
          <w:b/>
          <w:bCs/>
        </w:rPr>
        <w:t xml:space="preserve">Análise Crítica</w:t>
      </w:r>
      <w:r>
        <w:t xml:space="preserve">: A análise da codificação está correta em identificar que a recomendação se limita ao cumprimento de normas existentes, sem abordar causas subjacentes como falhas em processos ou treinamento. No entanto, a classificação de</w:t>
      </w:r>
      <w:r>
        <w:t xml:space="preserve"> </w:t>
      </w:r>
      <w:r>
        <w:t xml:space="preserve">‘Efeitos Duradouros’</w:t>
      </w:r>
      <w:r>
        <w:t xml:space="preserve"> </w:t>
      </w:r>
      <w:r>
        <w:t xml:space="preserve">como</w:t>
      </w:r>
      <w:r>
        <w:t xml:space="preserve"> </w:t>
      </w:r>
      <w:r>
        <w:t xml:space="preserve">‘Não se aplica’</w:t>
      </w:r>
      <w:r>
        <w:t xml:space="preserve"> </w:t>
      </w:r>
      <w:r>
        <w:t xml:space="preserve">é questionável, pois mesmo recomendações focadas na condição podem ter efeitos duradouros se implementadas adequadamente.</w:t>
      </w:r>
      <w:r/>
    </w:p>
    <w:p>
      <w:pPr>
        <w:pStyle w:val="928"/>
        <w:numPr>
          <w:ilvl w:val="0"/>
          <w:numId w:val="72"/>
        </w:numPr>
        <w:pBdr/>
        <w:spacing/>
        <w:ind/>
        <w:rPr/>
      </w:pPr>
      <w:r>
        <w:t xml:space="preserve">Análise Foco Causa: Concordo</w:t>
      </w:r>
      <w:r/>
    </w:p>
    <w:p>
      <w:pPr>
        <w:pStyle w:val="928"/>
        <w:numPr>
          <w:ilvl w:val="0"/>
          <w:numId w:val="72"/>
        </w:numPr>
        <w:pBdr/>
        <w:spacing/>
        <w:ind/>
        <w:rPr/>
      </w:pPr>
      <w:r>
        <w:t xml:space="preserve">Análise Efeitos Duradouros: Discordo</w:t>
      </w:r>
      <w:bookmarkEnd w:id="66"/>
      <w:r/>
    </w:p>
    <w:p>
      <w:pPr>
        <w:pStyle w:val="915"/>
        <w:pBdr/>
        <w:spacing/>
        <w:ind/>
        <w:rPr/>
      </w:pPr>
      <w:r/>
      <w:bookmarkStart w:id="67" w:name="auditoria-19559-constatação-nº-681717-1"/>
      <w:r>
        <w:t xml:space="preserve">Auditoria 19559, Constatação Nº 681717 (#1)</w:t>
      </w:r>
      <w:r/>
    </w:p>
    <w:p>
      <w:pPr>
        <w:pStyle w:val="927"/>
        <w:pBdr/>
        <w:spacing/>
        <w:ind/>
        <w:rPr/>
      </w:pPr>
      <w:r>
        <w:rPr>
          <w:b/>
          <w:bCs/>
        </w:rPr>
        <w:t xml:space="preserve">Finalidade</w:t>
      </w:r>
      <w:r>
        <w:t xml:space="preserve">: Verificar a implementação da Política Nacional de Atenção ao Portador de Doença Renal Estágios 4 e 5</w:t>
      </w:r>
      <w:r/>
    </w:p>
    <w:p>
      <w:pPr>
        <w:pStyle w:val="926"/>
        <w:pBdr/>
        <w:spacing/>
        <w:ind/>
        <w:rPr/>
      </w:pPr>
      <w:r>
        <w:rPr>
          <w:b/>
          <w:bCs/>
        </w:rPr>
        <w:t xml:space="preserve">Constatação</w:t>
      </w:r>
      <w:r>
        <w:t xml:space="preserve">: O Cenefron não mantém todos os registros completos e atualizados nos prontuários.</w:t>
      </w:r>
      <w:r/>
    </w:p>
    <w:p>
      <w:pPr>
        <w:pStyle w:val="926"/>
        <w:pBdr/>
        <w:spacing/>
        <w:ind/>
        <w:rPr/>
      </w:pPr>
      <w:r>
        <w:rPr>
          <w:b/>
          <w:bCs/>
        </w:rPr>
        <w:t xml:space="preserve">Recomendação</w:t>
      </w:r>
      <w:r>
        <w:t xml:space="preserve">: Monitorar e garantir que o Cenefron mantenha todos os registros completos e atualizados nos prontuários, em conformidade com o Art. 11 da RDC/ANVISA n.° 11, de 13/3/2014 e seu parágrafo único, que preconiza o registro no prontu</w:t>
      </w:r>
      <w:r>
        <w:t xml:space="preserve">ário de todas as informações referentes à evolução clínica e assistência prestada, pelos profissionais envolvidos na assistência, combinado com o Inciso XI do Art. 67 da Portaria de Consolidação n.º 3 de 28/9/2017 (alterada pela Portaria n.º 1.675 de 7/6/2</w:t>
      </w:r>
      <w:r>
        <w:t xml:space="preserve">018), que dispõe para os estabelecimentos habilitados em DRC o dever de registrar os atendimentos, mantendo-os atualizados, assim como o Art.27 da RDC/ANVISA n.º 65, de 25/11/2011, que preconiza registros com aposição de assinatura e carimbo identificador.</w:t>
      </w:r>
      <w:r/>
    </w:p>
    <w:p>
      <w:pPr>
        <w:pStyle w:val="926"/>
        <w:pBdr/>
        <w:spacing/>
        <w:ind/>
        <w:rPr/>
      </w:pPr>
      <w:r>
        <w:rPr>
          <w:b/>
          <w:bCs/>
        </w:rPr>
        <w:t xml:space="preserve">Análise Codificação</w:t>
      </w:r>
      <w:r>
        <w:t xml:space="preserve">: A recomendação propõe uma ação de monitoramento e garantia de que os registros sejam mantidos completos e atualizados, o que visa corrigir a condição encontrada de registros incompletos. No entanto, não identifica </w:t>
      </w:r>
      <w:r>
        <w:t xml:space="preserve">ou trata as causas subjacentes que levam à manutenção inadequada dos registros, como possíveis falhas de processo, capacitação insuficiente dos profissionais ou falta de recursos. Portanto, a recomendação é focada na condição, não na causa.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r/>
    </w:p>
    <w:p>
      <w:pPr>
        <w:pStyle w:val="928"/>
        <w:numPr>
          <w:ilvl w:val="0"/>
          <w:numId w:val="73"/>
        </w:numPr>
        <w:pBdr/>
        <w:spacing/>
        <w:ind/>
        <w:rPr/>
      </w:pPr>
      <w:r>
        <w:t xml:space="preserve">Ação Foco Causa: Não</w:t>
      </w:r>
      <w:r/>
    </w:p>
    <w:p>
      <w:pPr>
        <w:pStyle w:val="928"/>
        <w:numPr>
          <w:ilvl w:val="0"/>
          <w:numId w:val="73"/>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da codificação argumenta que a recomendação não trata das causas subjacentes da manutenção inadequada dos registros, focando apenas na correção da condição atual. Quanto ao critério</w:t>
      </w:r>
      <w:r>
        <w:t xml:space="preserve"> </w:t>
      </w:r>
      <w:r>
        <w:t xml:space="preserve">‘Efeitos Duradouros’</w:t>
      </w:r>
      <w:r>
        <w:t xml:space="preserve">, a análise considera que não se aplica devido à resposta negat</w:t>
      </w:r>
      <w:r>
        <w:t xml:space="preserve">iva no primeiro critério. Após revisão, concordo que a recomendação não aborda explicitamente causas como falhas de processo ou capacitação, mas discordo quanto aos efeitos duradouros, pois ações de monitoramento contínuo podem gerar impactos sustentáveis.</w:t>
      </w:r>
      <w:r/>
    </w:p>
    <w:p>
      <w:pPr>
        <w:pStyle w:val="928"/>
        <w:numPr>
          <w:ilvl w:val="0"/>
          <w:numId w:val="74"/>
        </w:numPr>
        <w:pBdr/>
        <w:spacing/>
        <w:ind/>
        <w:rPr/>
      </w:pPr>
      <w:r>
        <w:t xml:space="preserve">Análise Foco Causa: Concordo</w:t>
      </w:r>
      <w:r/>
    </w:p>
    <w:p>
      <w:pPr>
        <w:pStyle w:val="928"/>
        <w:numPr>
          <w:ilvl w:val="0"/>
          <w:numId w:val="74"/>
        </w:numPr>
        <w:pBdr/>
        <w:spacing/>
        <w:ind/>
        <w:rPr/>
      </w:pPr>
      <w:r>
        <w:t xml:space="preserve">Análise Efeitos Duradouros: Discordo</w:t>
      </w:r>
      <w:bookmarkEnd w:id="67"/>
      <w:bookmarkEnd w:id="68"/>
      <w:r/>
    </w:p>
    <w:p>
      <w:pPr>
        <w:pStyle w:val="914"/>
        <w:pBdr/>
        <w:spacing/>
        <w:ind/>
        <w:rPr/>
      </w:pPr>
      <w:r/>
      <w:bookmarkStart w:id="79" w:name="Xb00506164b1ab327f5cd8b17755a998877270dc"/>
      <w:r>
        <w:t xml:space="preserve">Foco: Não, Efeitos: Não se aplica, Concordância Foco: Discordo, Concordância Efeitos: Discordo</w:t>
      </w:r>
      <w:r/>
    </w:p>
    <w:p>
      <w:pPr>
        <w:pStyle w:val="915"/>
        <w:pBdr/>
        <w:spacing/>
        <w:ind/>
        <w:rPr/>
      </w:pPr>
      <w:r/>
      <w:bookmarkStart w:id="69" w:name="auditoria-19469-constatação-nº-675823-1"/>
      <w:r>
        <w:t xml:space="preserve">Auditoria 19469, Constatação Nº 675823 (#1)</w:t>
      </w:r>
      <w:r/>
    </w:p>
    <w:p>
      <w:pPr>
        <w:pStyle w:val="927"/>
        <w:pBdr/>
        <w:spacing/>
        <w:ind/>
        <w:rPr/>
      </w:pPr>
      <w:r>
        <w:rPr>
          <w:b/>
          <w:bCs/>
        </w:rPr>
        <w:t xml:space="preserve">Finalidade</w:t>
      </w:r>
      <w:r>
        <w:t xml:space="preserve">: Verificar a gestão e o funcionamento do serviço de Atendimento Móvel de Urgência (SAMU 192).</w:t>
      </w:r>
      <w:r/>
    </w:p>
    <w:p>
      <w:pPr>
        <w:pStyle w:val="926"/>
        <w:pBdr/>
        <w:spacing/>
        <w:ind/>
        <w:rPr/>
      </w:pPr>
      <w:r>
        <w:rPr>
          <w:b/>
          <w:bCs/>
        </w:rPr>
        <w:t xml:space="preserve">Constatação</w:t>
      </w:r>
      <w:r>
        <w:t xml:space="preserve">: Os recursos financeiros destinados ao SAMU 192 Belém/PA, para custeio e manutenção das atividades do Serviço, não foram utilizados conforme preconiza a legislação vigente.</w:t>
      </w:r>
      <w:r/>
    </w:p>
    <w:p>
      <w:pPr>
        <w:pStyle w:val="926"/>
        <w:pBdr/>
        <w:spacing/>
        <w:ind/>
        <w:rPr/>
      </w:pPr>
      <w:r>
        <w:rPr>
          <w:b/>
          <w:bCs/>
        </w:rPr>
        <w:t xml:space="preserve">Recomendação</w:t>
      </w:r>
      <w:r>
        <w:t xml:space="preserve">: Apl</w:t>
      </w:r>
      <w:r>
        <w:t xml:space="preserve">icar os recursos financeiros destinados ao custeio do SAMU em conformidade ao disposto nos normativos legais (art. 40, Seção I, Capítulo I, Título II, Livro II do Anexo III da Portaria de Consolidação GM/MS nº 3 de 28/09/17, combinado com art. 935, Seção I</w:t>
      </w:r>
      <w:r>
        <w:t xml:space="preserve">V, Capítulo II, Título VIII, Livro II, Anexo III da Portaria de Consolidação GM/MS nº 6 de 28/09/17), visando o regular e contínuo funcionamento do Serviço, por meio do custeio e manutenção dos objetos necessários (bens e serviços) à finalidade do serviço.</w:t>
      </w:r>
      <w:r/>
    </w:p>
    <w:p>
      <w:pPr>
        <w:pStyle w:val="926"/>
        <w:pBdr/>
        <w:spacing/>
        <w:ind/>
        <w:rPr/>
      </w:pPr>
      <w:r>
        <w:rPr>
          <w:b/>
          <w:bCs/>
        </w:rPr>
        <w:t xml:space="preserve">Análise Codificação</w:t>
      </w:r>
      <w:r>
        <w:t xml:space="preserve">: A recomendação propõe a aplicação dos recursos financeiros em conformidade com os normativos legais, visando o funcionamento regular do serviço. No entanto, não identifica ações específicas para tratar a causa subjacente do problema, como falhas nos p</w:t>
      </w:r>
      <w:r>
        <w:t xml:space="preserve">rocessos de gestão ou controle interno que permitiram o uso inadequado dos recursos. A recomendação foca na correção da condição atual (uso inadequado) sem abordar medidas preventivas para evitar recorrência. Portanto, não há foco na causa.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r/>
    </w:p>
    <w:p>
      <w:pPr>
        <w:pStyle w:val="928"/>
        <w:numPr>
          <w:ilvl w:val="0"/>
          <w:numId w:val="75"/>
        </w:numPr>
        <w:pBdr/>
        <w:spacing/>
        <w:ind/>
        <w:rPr/>
      </w:pPr>
      <w:r>
        <w:t xml:space="preserve">Ação Foco Causa: Não</w:t>
      </w:r>
      <w:r/>
    </w:p>
    <w:p>
      <w:pPr>
        <w:pStyle w:val="928"/>
        <w:numPr>
          <w:ilvl w:val="0"/>
          <w:numId w:val="75"/>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do modelo argumenta que a recomendação não identifica ações específica</w:t>
      </w:r>
      <w:r>
        <w:t xml:space="preserve">s para tratar a causa subjacente do problema, focando apenas na correção da condição atual. No entanto, a recomendação não se limita a corrigir o uso inadequado pontual, mas estabelece a aplicação contínua dos recursos em conformidade com normativos legais</w:t>
      </w:r>
      <w:r>
        <w:t xml:space="preserve">, o que implica a adoção de processos e controles alinhados à legislação. Isso pode ser interpretado como uma ação que trata a causa raiz (falta de conformidade com procedimentos estabelecidos), promovendo mudanças estruturais na gestão. Quanto ao critério</w:t>
      </w:r>
      <w:r>
        <w:t xml:space="preserve"> </w:t>
      </w:r>
      <w:r>
        <w:t xml:space="preserve">‘Efeitos Duradouros’</w:t>
      </w:r>
      <w:r>
        <w:t xml:space="preserve">, como discordo da classificação do</w:t>
      </w:r>
      <w:r>
        <w:t xml:space="preserve"> </w:t>
      </w:r>
      <w:r>
        <w:t xml:space="preserve">‘Foco Causa’</w:t>
      </w:r>
      <w:r>
        <w:t xml:space="preserve">, a análise sobre efeitos duradouros também precisa ser reconsiderada, pois ações que institucionalizam a conformidade com normativos tendem a produzir efeitos sustentáveis independentemente de mudanças de atores.</w:t>
      </w:r>
      <w:r/>
    </w:p>
    <w:p>
      <w:pPr>
        <w:pStyle w:val="928"/>
        <w:numPr>
          <w:ilvl w:val="0"/>
          <w:numId w:val="76"/>
        </w:numPr>
        <w:pBdr/>
        <w:spacing/>
        <w:ind/>
        <w:rPr/>
      </w:pPr>
      <w:r>
        <w:t xml:space="preserve">Análise Foco Causa: Discordo</w:t>
      </w:r>
      <w:r/>
    </w:p>
    <w:p>
      <w:pPr>
        <w:pStyle w:val="928"/>
        <w:numPr>
          <w:ilvl w:val="0"/>
          <w:numId w:val="76"/>
        </w:numPr>
        <w:pBdr/>
        <w:spacing/>
        <w:ind/>
        <w:rPr/>
      </w:pPr>
      <w:r>
        <w:t xml:space="preserve">Análise Efeitos Duradouros: Discordo</w:t>
      </w:r>
      <w:bookmarkEnd w:id="69"/>
      <w:r/>
    </w:p>
    <w:p>
      <w:pPr>
        <w:pStyle w:val="915"/>
        <w:pBdr/>
        <w:spacing/>
        <w:ind/>
        <w:rPr/>
      </w:pPr>
      <w:r/>
      <w:bookmarkStart w:id="70" w:name="auditoria-19488-constatação-nº-673871-1"/>
      <w:r>
        <w:t xml:space="preserve">Auditoria 19488, Constatação Nº 673871 (#1)</w:t>
      </w:r>
      <w:r/>
    </w:p>
    <w:p>
      <w:pPr>
        <w:pStyle w:val="927"/>
        <w:pBdr/>
        <w:spacing/>
        <w:ind/>
        <w:rPr/>
      </w:pPr>
      <w:r>
        <w:rPr>
          <w:b/>
          <w:bCs/>
        </w:rPr>
        <w:t xml:space="preserve">Finalidade</w:t>
      </w:r>
      <w:r>
        <w:t xml:space="preserve">: Verificar a gestão e o funcionamento do serviço de Atendimento Móvel de Urgência (SAMU 192).</w:t>
      </w:r>
      <w:r/>
    </w:p>
    <w:p>
      <w:pPr>
        <w:pStyle w:val="926"/>
        <w:pBdr/>
        <w:spacing/>
        <w:ind/>
        <w:rPr/>
      </w:pPr>
      <w:r>
        <w:rPr>
          <w:b/>
          <w:bCs/>
        </w:rPr>
        <w:t xml:space="preserve">Constatação</w:t>
      </w:r>
      <w:r>
        <w:t xml:space="preserve">: A infraestrutura física da Central de Regulação das Urgências (CRU) do SAMU 192 de Cajazeiras/PB não está compatível com os critérios legais.</w:t>
      </w:r>
      <w:r/>
    </w:p>
    <w:p>
      <w:pPr>
        <w:pStyle w:val="926"/>
        <w:pBdr/>
        <w:spacing/>
        <w:ind/>
        <w:rPr/>
      </w:pPr>
      <w:r>
        <w:rPr>
          <w:b/>
          <w:bCs/>
        </w:rPr>
        <w:t xml:space="preserve">Recomendação</w:t>
      </w:r>
      <w:r>
        <w:t xml:space="preserve">: Realizar obras de renovação e manutenção para eliminar a presença de mofo, cupim e reparar paredes deterioradas, assegurando que a estrutura fís</w:t>
      </w:r>
      <w:r>
        <w:t xml:space="preserve">ica esteja em conformidade com os padrões de saúde e segurança. Providenciar o isolamento acústico na sala de regulação para criar um ambiente de trabalho mais adequado e focado. Instalar sistemas de iluminação e controle de temperatura adequados na sala d</w:t>
      </w:r>
      <w:r>
        <w:t xml:space="preserve">e regulação, garantindo condições de trabalho confortáveis e em conformidade com as normas vigentes. Eliminar a presença de esgoto a céu aberto nas proximidades da CRU, conforme as normativas vigentes, para evitar riscos à saúde pública e ao meio ambiente.</w:t>
      </w:r>
      <w:r/>
    </w:p>
    <w:p>
      <w:pPr>
        <w:pStyle w:val="926"/>
        <w:pBdr/>
        <w:spacing/>
        <w:ind/>
        <w:rPr/>
      </w:pPr>
      <w:r>
        <w:rPr>
          <w:b/>
          <w:bCs/>
        </w:rPr>
        <w:t xml:space="preserve">Análise Codificação</w:t>
      </w:r>
      <w:r>
        <w:t xml:space="preserve">: Em relação ao foco, a recomendação propõe ações para eliminar problemas físicos específicos (mofo</w:t>
      </w:r>
      <w:r>
        <w:t xml:space="preserve">, cupim, paredes deterioradas, falta de isolamento acústico, sistemas inadequados de iluminação e temperatura, e esgoto a céu aberto), que são as condições observadas na constatação. No entanto, não há menção a ações que tratem das causas subjacentes que l</w:t>
      </w:r>
      <w:r>
        <w:t xml:space="preserve">evaram a esses problemas, como falhas em processos de manutenção preventiva, planejamento inadequado da infraestrutura, ou deficiências na gestão de recursos. Portanto, a recomendação é focada na correção das condições atuais, não na causa. Como o critério</w:t>
      </w:r>
      <w:r>
        <w:t xml:space="preserve"> </w:t>
      </w:r>
      <w:r>
        <w:t xml:space="preserve">‘Foco Causa’</w:t>
      </w:r>
      <w:r>
        <w:t xml:space="preserve"> </w:t>
      </w:r>
      <w:r>
        <w:t xml:space="preserve">não foi atendido, o critério</w:t>
      </w:r>
      <w:r>
        <w:t xml:space="preserve"> </w:t>
      </w:r>
      <w:r>
        <w:t xml:space="preserve">‘Efeitos Duradouros’</w:t>
      </w:r>
      <w:r>
        <w:t xml:space="preserve"> </w:t>
      </w:r>
      <w:r>
        <w:t xml:space="preserve">não se aplica.</w:t>
      </w:r>
      <w:r/>
    </w:p>
    <w:p>
      <w:pPr>
        <w:pStyle w:val="928"/>
        <w:numPr>
          <w:ilvl w:val="0"/>
          <w:numId w:val="77"/>
        </w:numPr>
        <w:pBdr/>
        <w:spacing/>
        <w:ind/>
        <w:rPr/>
      </w:pPr>
      <w:r>
        <w:t xml:space="preserve">Ação Foco Causa: Não</w:t>
      </w:r>
      <w:r/>
    </w:p>
    <w:p>
      <w:pPr>
        <w:pStyle w:val="928"/>
        <w:numPr>
          <w:ilvl w:val="0"/>
          <w:numId w:val="77"/>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do modelo argumenta qu</w:t>
      </w:r>
      <w:r>
        <w:t xml:space="preserve">e a recomendação trata apenas das condições físicas observadas (mofo, cupim, paredes deterioradas, etc.) sem abordar causas subjacentes como falhas em processos de manutenção preventiva ou planejamento inadequado. No entanto, a recomendação inclui ações de</w:t>
      </w:r>
      <w:r>
        <w:t xml:space="preserve"> </w:t>
      </w:r>
      <w:r>
        <w:t xml:space="preserve">‘renovação e manutenção’</w:t>
      </w:r>
      <w:r>
        <w:t xml:space="preserve"> </w:t>
      </w:r>
      <w:r>
        <w:t xml:space="preserve">que, embora não detalhem processos específicos, podem ser interpretadas como medidas para prevenir a recorrência dos problemas, indo além da mera correção temporária. Portanto, há margem para discordância na classificação. Quanto ao critério</w:t>
      </w:r>
      <w:r>
        <w:t xml:space="preserve"> </w:t>
      </w:r>
      <w:r>
        <w:t xml:space="preserve">‘Efeitos Duradouros’</w:t>
      </w:r>
      <w:r>
        <w:t xml:space="preserve">, como a análise do</w:t>
      </w:r>
      <w:r>
        <w:t xml:space="preserve"> </w:t>
      </w:r>
      <w:r>
        <w:t xml:space="preserve">‘Foco Causa’</w:t>
      </w:r>
      <w:r>
        <w:t xml:space="preserve"> </w:t>
      </w:r>
      <w:r>
        <w:t xml:space="preserve">é questionável, a aplicabilidade deste critério também pode ser reconsiderada.</w:t>
      </w:r>
      <w:r/>
    </w:p>
    <w:p>
      <w:pPr>
        <w:pStyle w:val="928"/>
        <w:numPr>
          <w:ilvl w:val="0"/>
          <w:numId w:val="78"/>
        </w:numPr>
        <w:pBdr/>
        <w:spacing/>
        <w:ind/>
        <w:rPr/>
      </w:pPr>
      <w:r>
        <w:t xml:space="preserve">Análise Foco Causa: Discordo</w:t>
      </w:r>
      <w:r/>
    </w:p>
    <w:p>
      <w:pPr>
        <w:pStyle w:val="928"/>
        <w:numPr>
          <w:ilvl w:val="0"/>
          <w:numId w:val="78"/>
        </w:numPr>
        <w:pBdr/>
        <w:spacing/>
        <w:ind/>
        <w:rPr/>
      </w:pPr>
      <w:r>
        <w:t xml:space="preserve">Análise Efeitos Duradouros: Discordo</w:t>
      </w:r>
      <w:bookmarkEnd w:id="70"/>
      <w:r/>
    </w:p>
    <w:p>
      <w:pPr>
        <w:pStyle w:val="915"/>
        <w:pBdr/>
        <w:spacing/>
        <w:ind/>
        <w:rPr/>
      </w:pPr>
      <w:r/>
      <w:bookmarkStart w:id="71" w:name="auditoria-19559-constatação-nº-681715-1"/>
      <w:r>
        <w:t xml:space="preserve">Auditoria 19559, Constatação Nº 681715 (#1)</w:t>
      </w:r>
      <w:r/>
    </w:p>
    <w:p>
      <w:pPr>
        <w:pStyle w:val="927"/>
        <w:pBdr/>
        <w:spacing/>
        <w:ind/>
        <w:rPr/>
      </w:pPr>
      <w:r>
        <w:rPr>
          <w:b/>
          <w:bCs/>
        </w:rPr>
        <w:t xml:space="preserve">Finalidade</w:t>
      </w:r>
      <w:r>
        <w:t xml:space="preserve">: Verificar a implementação da Política Nacional de Atenção ao Portador de Doença Renal Estágios 4 e 5</w:t>
      </w:r>
      <w:r/>
    </w:p>
    <w:p>
      <w:pPr>
        <w:pStyle w:val="926"/>
        <w:pBdr/>
        <w:spacing/>
        <w:ind/>
        <w:rPr/>
      </w:pPr>
      <w:r>
        <w:rPr>
          <w:b/>
          <w:bCs/>
        </w:rPr>
        <w:t xml:space="preserve">Constatação</w:t>
      </w:r>
      <w:r>
        <w:t xml:space="preserve">: Os arquivos digitalizados de Controle de Frequências Individuais de Tratamento Dialítico (CFID) estão armazenados fora do ambiente do prontuário eletrônico utilizado no Cenefron.</w:t>
      </w:r>
      <w:r/>
    </w:p>
    <w:p>
      <w:pPr>
        <w:pStyle w:val="926"/>
        <w:pBdr/>
        <w:spacing/>
        <w:ind/>
        <w:rPr/>
      </w:pPr>
      <w:r>
        <w:rPr>
          <w:b/>
          <w:bCs/>
        </w:rPr>
        <w:t xml:space="preserve">Recomendação</w:t>
      </w:r>
      <w:r>
        <w:t xml:space="preserve">: Fiscalizar e assegurar que a unidade prestadora de serviço cumpra o que preconiza o Art. 424, da Portaria de Consolidação SAES/MS n.º 1 de 22/2/2022, que trata sobre o CFID ser preenchida em uma só via a ser arquivada no prontuário do paciente.</w:t>
      </w:r>
      <w:r/>
    </w:p>
    <w:p>
      <w:pPr>
        <w:pStyle w:val="926"/>
        <w:pBdr/>
        <w:spacing/>
        <w:ind/>
        <w:rPr/>
      </w:pPr>
      <w:r>
        <w:rPr>
          <w:b/>
          <w:bCs/>
        </w:rPr>
        <w:t xml:space="preserve">Análise Codificação</w:t>
      </w:r>
      <w:r>
        <w:t xml:space="preserve">: A recomendação propõe a fiscalização para assegurar que</w:t>
      </w:r>
      <w:r>
        <w:t xml:space="preserve"> a unidade cumpra a normativa de arquivar o CFID no prontuário do paciente, focando na correção imediata da condição de armazenamento inadequado, sem sugerir ações para abordar as causas subjacentes, como falhas em processos ou capacitação. Como o critério</w:t>
      </w:r>
      <w:r>
        <w:t xml:space="preserve"> </w:t>
      </w:r>
      <w:r>
        <w:t xml:space="preserve">‘Foco Causa’</w:t>
      </w:r>
      <w:r>
        <w:t xml:space="preserve"> </w:t>
      </w:r>
      <w:r>
        <w:t xml:space="preserve">não é atendido, a avaliação de efeitos duradouros não se aplica.</w:t>
      </w:r>
      <w:r/>
    </w:p>
    <w:p>
      <w:pPr>
        <w:pStyle w:val="928"/>
        <w:numPr>
          <w:ilvl w:val="0"/>
          <w:numId w:val="79"/>
        </w:numPr>
        <w:pBdr/>
        <w:spacing/>
        <w:ind/>
        <w:rPr/>
      </w:pPr>
      <w:r>
        <w:t xml:space="preserve">Ação Foco Causa: Não</w:t>
      </w:r>
      <w:r/>
    </w:p>
    <w:p>
      <w:pPr>
        <w:pStyle w:val="928"/>
        <w:numPr>
          <w:ilvl w:val="0"/>
          <w:numId w:val="79"/>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original argumenta que a recomendação se concentra na correção imediata da condição de armazenamento inadequ</w:t>
      </w:r>
      <w:r>
        <w:t xml:space="preserve">ado, sem abordar causas subjacentes, como falhas em processos ou capacitação. No entanto, a recomendação exige que a unidade cumpra a normativa específica (Art. 424 da Portaria de Consolidação SAES/MS n.º 1), o que pode ser interpretado como uma ação para </w:t>
      </w:r>
      <w:r>
        <w:t xml:space="preserve">tratar a causa raiz, que é o descumprimento de uma exigência legal. Isso sugere que a recomendação visa prevenir a recorrência ao assegurar a adesão permanente à norma, indo além de uma correção temporária. Portanto, discordo da classificação original para</w:t>
      </w:r>
      <w:r>
        <w:t xml:space="preserve"> </w:t>
      </w:r>
      <w:r>
        <w:t xml:space="preserve">‘Foco Causa’</w:t>
      </w:r>
      <w:r>
        <w:t xml:space="preserve">. Para</w:t>
      </w:r>
      <w:r>
        <w:t xml:space="preserve"> </w:t>
      </w:r>
      <w:r>
        <w:t xml:space="preserve">‘Efeitos Duradouros’</w:t>
      </w:r>
      <w:r>
        <w:t xml:space="preserve">, como discordo da avaliação de</w:t>
      </w:r>
      <w:r>
        <w:t xml:space="preserve"> </w:t>
      </w:r>
      <w:r>
        <w:t xml:space="preserve">‘Foco Causa’</w:t>
      </w:r>
      <w:r>
        <w:t xml:space="preserve">, a análise original de</w:t>
      </w:r>
      <w:r>
        <w:t xml:space="preserve"> </w:t>
      </w:r>
      <w:r>
        <w:t xml:space="preserve">‘Não se aplica’</w:t>
      </w:r>
      <w:r>
        <w:t xml:space="preserve"> </w:t>
      </w:r>
      <w:r>
        <w:t xml:space="preserve">é inválida; se a re</w:t>
      </w:r>
      <w:r>
        <w:t xml:space="preserve">comendação for reclassificada como focada na causa, os efeitos duradouros dependeriam da implementação contínua da fiscalização e conformidade, mas a recomendação em si não especifica mecanismos sustentáveis para garantir permanência além da ação imediata.</w:t>
      </w:r>
      <w:r/>
    </w:p>
    <w:p>
      <w:pPr>
        <w:pStyle w:val="928"/>
        <w:numPr>
          <w:ilvl w:val="0"/>
          <w:numId w:val="80"/>
        </w:numPr>
        <w:pBdr/>
        <w:spacing/>
        <w:ind/>
        <w:rPr/>
      </w:pPr>
      <w:r>
        <w:t xml:space="preserve">Análise Foco Causa: Discordo</w:t>
      </w:r>
      <w:r/>
    </w:p>
    <w:p>
      <w:pPr>
        <w:pStyle w:val="928"/>
        <w:numPr>
          <w:ilvl w:val="0"/>
          <w:numId w:val="80"/>
        </w:numPr>
        <w:pBdr/>
        <w:spacing/>
        <w:ind/>
        <w:rPr/>
      </w:pPr>
      <w:r>
        <w:t xml:space="preserve">Análise Efeitos Duradouros: Discordo</w:t>
      </w:r>
      <w:bookmarkEnd w:id="71"/>
      <w:r/>
    </w:p>
    <w:p>
      <w:pPr>
        <w:pStyle w:val="915"/>
        <w:pBdr/>
        <w:spacing/>
        <w:ind/>
        <w:rPr/>
      </w:pPr>
      <w:r/>
      <w:bookmarkStart w:id="72" w:name="auditoria-19611-constatação-nº-674455-1"/>
      <w:r>
        <w:t xml:space="preserve">Auditoria 19611, Constatação Nº 674455 (#1)</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Ausência de atuação do fiscal financeiro vinculado ao Convênio nº 878454/2018.</w:t>
      </w:r>
      <w:r/>
    </w:p>
    <w:p>
      <w:pPr>
        <w:pStyle w:val="926"/>
        <w:pBdr/>
        <w:spacing/>
        <w:ind/>
        <w:rPr/>
      </w:pPr>
      <w:r>
        <w:rPr>
          <w:b/>
          <w:bCs/>
        </w:rPr>
        <w:t xml:space="preserve">Recomendação</w:t>
      </w:r>
      <w:r>
        <w:t xml:space="preserve">: Dar ciência ao Fundo Nacional de Saúde para que esse se manifeste quanto a sua competência de acompanhar a conformidade financeira do convênio, conforme previsto no inciso II, art. 59, da Portaria Interministerial n° 424/MP/MF/CGU/2016.</w:t>
      </w:r>
      <w:r/>
    </w:p>
    <w:p>
      <w:pPr>
        <w:pStyle w:val="926"/>
        <w:pBdr/>
        <w:spacing/>
        <w:ind/>
        <w:rPr/>
      </w:pPr>
      <w:r>
        <w:rPr>
          <w:b/>
          <w:bCs/>
        </w:rPr>
        <w:t xml:space="preserve">Análise Codificação</w:t>
      </w:r>
      <w:r>
        <w:t xml:space="preserve">: A recomendação propõe apenas uma ação de comunicação para que o Fundo Nacional de Saúde se manifeste sobre sua competência de acompanhamento, sem propor medidas concretas para tratar</w:t>
      </w:r>
      <w:r>
        <w:t xml:space="preserve"> a causa raiz da ausência de atuação do fiscal financeiro. Não há ações direcionadas a resolver as causas subjacentes, como falhas na designação, capacitação ou responsabilização do fiscal. Portanto, não atende ao critério de foco na causa.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r/>
    </w:p>
    <w:p>
      <w:pPr>
        <w:pStyle w:val="928"/>
        <w:numPr>
          <w:ilvl w:val="0"/>
          <w:numId w:val="81"/>
        </w:numPr>
        <w:pBdr/>
        <w:spacing/>
        <w:ind/>
        <w:rPr/>
      </w:pPr>
      <w:r>
        <w:t xml:space="preserve">Ação Foco Causa: Não</w:t>
      </w:r>
      <w:r/>
    </w:p>
    <w:p>
      <w:pPr>
        <w:pStyle w:val="928"/>
        <w:numPr>
          <w:ilvl w:val="0"/>
          <w:numId w:val="81"/>
        </w:numPr>
        <w:pBdr/>
        <w:spacing/>
        <w:ind/>
        <w:rPr/>
      </w:pPr>
      <w:r>
        <w:t xml:space="preserve">Efeitos Duradouros: Não se aplica</w:t>
      </w:r>
      <w:r/>
    </w:p>
    <w:p>
      <w:pPr>
        <w:pStyle w:val="927"/>
        <w:pBdr/>
        <w:spacing/>
        <w:ind/>
        <w:rPr/>
      </w:pPr>
      <w:r>
        <w:rPr>
          <w:b/>
          <w:bCs/>
        </w:rPr>
        <w:t xml:space="preserve">Análise Crítica</w:t>
      </w:r>
      <w:r>
        <w:t xml:space="preserve">: A análise da codificação apresenta argumentos válidos sobre a natureza da recomendação, mas requer uma avaliação mais aprofundada sobre o que constitui uma ação voltada para a causa raiz e os efeitos duradouros.</w:t>
      </w:r>
      <w:r/>
    </w:p>
    <w:p>
      <w:pPr>
        <w:pStyle w:val="928"/>
        <w:numPr>
          <w:ilvl w:val="0"/>
          <w:numId w:val="82"/>
        </w:numPr>
        <w:pBdr/>
        <w:spacing/>
        <w:ind/>
        <w:rPr/>
      </w:pPr>
      <w:r>
        <w:t xml:space="preserve">Análise Foco Causa: Discordo</w:t>
      </w:r>
      <w:r/>
    </w:p>
    <w:p>
      <w:pPr>
        <w:pStyle w:val="928"/>
        <w:numPr>
          <w:ilvl w:val="0"/>
          <w:numId w:val="82"/>
        </w:numPr>
        <w:pBdr/>
        <w:spacing/>
        <w:ind/>
        <w:rPr/>
      </w:pPr>
      <w:r>
        <w:t xml:space="preserve">Análise Efeitos Duradouros: Discordo</w:t>
      </w:r>
      <w:bookmarkEnd w:id="72"/>
      <w:r/>
    </w:p>
    <w:p>
      <w:pPr>
        <w:pStyle w:val="915"/>
        <w:pBdr/>
        <w:spacing/>
        <w:ind/>
        <w:rPr/>
      </w:pPr>
      <w:r/>
      <w:bookmarkStart w:id="73" w:name="auditoria-19615-constatação-nº-675101-2"/>
      <w:r>
        <w:t xml:space="preserve">Auditoria 19615, Constatação Nº 675101 (#2)</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Impropriedades relacionadas aos relatórios mensais de acompanhamento do Subeixo de Educação Permanente.</w:t>
      </w:r>
      <w:r/>
    </w:p>
    <w:p>
      <w:pPr>
        <w:pStyle w:val="926"/>
        <w:pBdr/>
        <w:spacing/>
        <w:ind/>
        <w:rPr/>
      </w:pPr>
      <w:r>
        <w:rPr>
          <w:b/>
          <w:bCs/>
        </w:rPr>
        <w:t xml:space="preserve">Recomendação</w:t>
      </w:r>
      <w:r>
        <w:t xml:space="preserve">: Elaborar os documentos de acompanhamento observando o disposto na Lei nº 8.159, </w:t>
      </w:r>
      <w:r>
        <w:t xml:space="preserve">de 8 de janeiro de 1991 e na Lei nº 9.784, de 29 de janeiro de 1999, considerando a necessidade de produção de documentos arquivísticos confiáveis, autênticos, acessíveis, compreensíveis e completos. Os documentos públicos têm a função de registrar os atos</w:t>
      </w:r>
      <w:r>
        <w:t xml:space="preserve"> dos agentes e gestores públicos e se constituem em instrumentos fundamentais para prestar contas do uso de recursos públicos, dar transparência, apoiar outras atividades e devem possibilitar a interpretação por qualquer pessoa que necessite da informação.</w:t>
      </w:r>
      <w:r/>
    </w:p>
    <w:p>
      <w:pPr>
        <w:pStyle w:val="926"/>
        <w:pBdr/>
        <w:spacing/>
        <w:ind/>
        <w:rPr/>
      </w:pPr>
      <w:r>
        <w:rPr>
          <w:b/>
          <w:bCs/>
        </w:rPr>
        <w:t xml:space="preserve">Análise Codificação</w:t>
      </w:r>
      <w:r>
        <w:t xml:space="preserve">: A recomendação propõe a elaboração de documentos de acompanhamento observando leis específicas e características de documentos arquivísticos, focando na correção da condição atual de impropriedades nos </w:t>
      </w:r>
      <w:r>
        <w:t xml:space="preserve">relatórios. Não há menção a ações que tratem da causa subjacente que levou à produção inadequada dos relatórios, como possíveis deficiências em processos, capacitação ou sistemas. Portanto, a recomendação é focada na condição, não na causa.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r/>
    </w:p>
    <w:p>
      <w:pPr>
        <w:pStyle w:val="928"/>
        <w:numPr>
          <w:ilvl w:val="0"/>
          <w:numId w:val="83"/>
        </w:numPr>
        <w:pBdr/>
        <w:spacing/>
        <w:ind/>
        <w:rPr/>
      </w:pPr>
      <w:r>
        <w:t xml:space="preserve">Ação Foco Causa: Não</w:t>
      </w:r>
      <w:r/>
    </w:p>
    <w:p>
      <w:pPr>
        <w:pStyle w:val="928"/>
        <w:numPr>
          <w:ilvl w:val="0"/>
          <w:numId w:val="83"/>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do modelo argumenta que a recomendação não trata da causa subjacente das impropriedades nos relatór</w:t>
      </w:r>
      <w:r>
        <w:t xml:space="preserve">ios, focando apenas na correção da condição atual. No entanto, a recomendação vai além de simplesmente corrigir documentos existentes, ao estabelecer diretrizes legais e princípios arquivísticos que podem prevenir futuras impropriedades. Quanto ao critério</w:t>
      </w:r>
      <w:r>
        <w:t xml:space="preserve"> </w:t>
      </w:r>
      <w:r>
        <w:t xml:space="preserve">‘Efeitos Duradouros’</w:t>
      </w:r>
      <w:r>
        <w:t xml:space="preserve">, como discordo da classificação do</w:t>
      </w:r>
      <w:r>
        <w:t xml:space="preserve"> </w:t>
      </w:r>
      <w:r>
        <w:t xml:space="preserve">‘Foco Causa’</w:t>
      </w:r>
      <w:r>
        <w:t xml:space="preserve">, a análise sobre efeitos duradouros também precisa ser reconsiderada.</w:t>
      </w:r>
      <w:r/>
    </w:p>
    <w:p>
      <w:pPr>
        <w:pStyle w:val="928"/>
        <w:numPr>
          <w:ilvl w:val="0"/>
          <w:numId w:val="84"/>
        </w:numPr>
        <w:pBdr/>
        <w:spacing/>
        <w:ind/>
        <w:rPr/>
      </w:pPr>
      <w:r>
        <w:t xml:space="preserve">Análise Foco Causa: Discordo</w:t>
      </w:r>
      <w:r/>
    </w:p>
    <w:p>
      <w:pPr>
        <w:pStyle w:val="928"/>
        <w:numPr>
          <w:ilvl w:val="0"/>
          <w:numId w:val="84"/>
        </w:numPr>
        <w:pBdr/>
        <w:spacing/>
        <w:ind/>
        <w:rPr/>
      </w:pPr>
      <w:r>
        <w:t xml:space="preserve">Análise Efeitos Duradouros: Discordo</w:t>
      </w:r>
      <w:bookmarkEnd w:id="73"/>
      <w:r/>
    </w:p>
    <w:p>
      <w:pPr>
        <w:pStyle w:val="915"/>
        <w:pBdr/>
        <w:spacing/>
        <w:ind/>
        <w:rPr/>
      </w:pPr>
      <w:r/>
      <w:bookmarkStart w:id="74" w:name="auditoria-19627-constatação-nº-685076-1"/>
      <w:r>
        <w:t xml:space="preserve">Auditoria 19627, Constatação Nº 685076 (#1)</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Ausência de discriminação das despesas administrativas estabelecidas no Plano de Trabalho de 2018, relacionadas ao cumprimento do objeto do convênio com memória de cálculo.</w:t>
      </w:r>
      <w:r/>
    </w:p>
    <w:p>
      <w:pPr>
        <w:pStyle w:val="926"/>
        <w:pBdr/>
        <w:spacing/>
        <w:ind/>
        <w:rPr/>
      </w:pPr>
      <w:r>
        <w:rPr>
          <w:b/>
          <w:bCs/>
        </w:rPr>
        <w:t xml:space="preserve">Recomendação</w:t>
      </w:r>
      <w:r>
        <w:t xml:space="preserve">: Solicitar à Irmandade da Santa Casa de Andradina (Isca) incluir no Plano de Trabalho e anexar no Transferegov a especificação e o detalhamento das despesas administrativas previstas e citadas no</w:t>
      </w:r>
      <w:r>
        <w:t xml:space="preserve"> </w:t>
      </w:r>
      <w:r>
        <w:t xml:space="preserve">‘Quadro de Detalhamento da Despesa’</w:t>
      </w:r>
      <w:r>
        <w:t xml:space="preserve">, identificando os valores, o quantitativo e a descrição de itens, os parâmetros e as justificativas para o custeio dessas despesas pelo convênio, bem como identificando se há o c</w:t>
      </w:r>
      <w:r>
        <w:t xml:space="preserve">ompartilhamento desses valores com outros convênios e incluindo memória de cálculos do rateio dessas despesas, de forma a obedecer os parágrafos de 1 a 4 do Art. 38 da Portaria Interministerial MP/MF/CGU nº 424/2016 e ao Acórdão nº 2.606/2012 TCU Plenário.</w:t>
      </w:r>
      <w:r/>
    </w:p>
    <w:p>
      <w:pPr>
        <w:pStyle w:val="926"/>
        <w:pBdr/>
        <w:spacing/>
        <w:ind/>
        <w:rPr/>
      </w:pPr>
      <w:r>
        <w:rPr>
          <w:b/>
          <w:bCs/>
        </w:rPr>
        <w:t xml:space="preserve">Análise Codificação</w:t>
      </w:r>
      <w:r>
        <w:t xml:space="preserve">: A recomendação propõe que a organização inclua no Plano de Trabalho e anexe no Transferegov a especificação e detalhamento das despesas administrativa</w:t>
      </w:r>
      <w:r>
        <w:t xml:space="preserve">s, com valores, quantitativos, descrições, parâmetros, justificativas, identificação de compartilhamento com outros convênios e memória de cálculos do rateio, para atender a normativos específicos. Isso visa corrigir diretamente a ausência de discriminação</w:t>
      </w:r>
      <w:r>
        <w:t xml:space="preserve"> das despesas administrativas, focando na condição atual de falta de documentação, sem propor ações para evitar que a causa raiz (como falhas em processos internos de controle ou capacitação) volte a ocorrer. Portanto, não há foco na causa. Como o critério</w:t>
      </w:r>
      <w:r>
        <w:t xml:space="preserve"> </w:t>
      </w:r>
      <w:r>
        <w:t xml:space="preserve">‘Foco Causa’</w:t>
      </w:r>
      <w:r>
        <w:t xml:space="preserve"> </w:t>
      </w:r>
      <w:r>
        <w:t xml:space="preserve">é</w:t>
      </w:r>
      <w:r>
        <w:t xml:space="preserve"> </w:t>
      </w:r>
      <w:r>
        <w:t xml:space="preserve">‘Não’</w:t>
      </w:r>
      <w:r>
        <w:t xml:space="preserve">, o critério</w:t>
      </w:r>
      <w:r>
        <w:t xml:space="preserve"> </w:t>
      </w:r>
      <w:r>
        <w:t xml:space="preserve">‘Efeitos Duradouros’</w:t>
      </w:r>
      <w:r>
        <w:t xml:space="preserve"> </w:t>
      </w:r>
      <w:r>
        <w:t xml:space="preserve">não se aplica.</w:t>
      </w:r>
      <w:r/>
    </w:p>
    <w:p>
      <w:pPr>
        <w:pStyle w:val="928"/>
        <w:numPr>
          <w:ilvl w:val="0"/>
          <w:numId w:val="85"/>
        </w:numPr>
        <w:pBdr/>
        <w:spacing/>
        <w:ind/>
        <w:rPr/>
      </w:pPr>
      <w:r>
        <w:t xml:space="preserve">Ação Foco Causa: Não</w:t>
      </w:r>
      <w:r/>
    </w:p>
    <w:p>
      <w:pPr>
        <w:pStyle w:val="928"/>
        <w:numPr>
          <w:ilvl w:val="0"/>
          <w:numId w:val="85"/>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do modelo argumenta que a recomendação corrige a condição atual de falta de documentação, mas não aborda a causa raiz, como falhas em processos internos ou capacitação. N</w:t>
      </w:r>
      <w:r>
        <w:t xml:space="preserve">o entanto, a recomendação exige a inclusão permanente de especificações detalhadas no Plano de Trabalho e anexos no Transferegov, o que pode ser interpretado como uma ação para prevenir a recorrência, ao estabelecer um padrão documental. Quanto ao critério</w:t>
      </w:r>
      <w:r>
        <w:t xml:space="preserve"> </w:t>
      </w:r>
      <w:r>
        <w:t xml:space="preserve">‘Efeitos Duradouros’</w:t>
      </w:r>
      <w:r>
        <w:t xml:space="preserve">, como discordo da classificação do</w:t>
      </w:r>
      <w:r>
        <w:t xml:space="preserve"> </w:t>
      </w:r>
      <w:r>
        <w:t xml:space="preserve">‘Foco Causa’</w:t>
      </w:r>
      <w:r>
        <w:t xml:space="preserve">, a análise sobre efeitos duradouros também precisa ser reconsiderada, pois a recomendação visa criar um procedimento contínuo que pode persistir independentemente de mudanças de atores.</w:t>
      </w:r>
      <w:r/>
    </w:p>
    <w:p>
      <w:pPr>
        <w:pStyle w:val="928"/>
        <w:numPr>
          <w:ilvl w:val="0"/>
          <w:numId w:val="86"/>
        </w:numPr>
        <w:pBdr/>
        <w:spacing/>
        <w:ind/>
        <w:rPr/>
      </w:pPr>
      <w:r>
        <w:t xml:space="preserve">Análise Foco Causa: Discordo</w:t>
      </w:r>
      <w:r/>
    </w:p>
    <w:p>
      <w:pPr>
        <w:pStyle w:val="928"/>
        <w:numPr>
          <w:ilvl w:val="0"/>
          <w:numId w:val="86"/>
        </w:numPr>
        <w:pBdr/>
        <w:spacing/>
        <w:ind/>
        <w:rPr/>
      </w:pPr>
      <w:r>
        <w:t xml:space="preserve">Análise Efeitos Duradouros: Discordo</w:t>
      </w:r>
      <w:bookmarkEnd w:id="74"/>
      <w:r/>
    </w:p>
    <w:p>
      <w:pPr>
        <w:pStyle w:val="915"/>
        <w:pBdr/>
        <w:spacing/>
        <w:ind/>
        <w:rPr/>
      </w:pPr>
      <w:r/>
      <w:bookmarkStart w:id="75" w:name="auditoria-19657-constatação-nº-685644-1"/>
      <w:r>
        <w:t xml:space="preserve">Auditoria 19657, Constatação Nº 685644 (#1)</w:t>
      </w:r>
      <w:r/>
    </w:p>
    <w:p>
      <w:pPr>
        <w:pStyle w:val="927"/>
        <w:pBdr/>
        <w:spacing/>
        <w:ind/>
        <w:rPr/>
      </w:pPr>
      <w:r>
        <w:rPr>
          <w:b/>
          <w:bCs/>
        </w:rPr>
        <w:t xml:space="preserve">Finalidade</w:t>
      </w:r>
      <w:r>
        <w:t xml:space="preserve">: Auditoria no PREVINE - PAA/2024</w:t>
      </w:r>
      <w:r/>
    </w:p>
    <w:p>
      <w:pPr>
        <w:pStyle w:val="926"/>
        <w:pBdr/>
        <w:spacing/>
        <w:ind/>
        <w:rPr/>
      </w:pPr>
      <w:r>
        <w:rPr>
          <w:b/>
          <w:bCs/>
        </w:rPr>
        <w:t xml:space="preserve">Constatação</w:t>
      </w:r>
      <w:r>
        <w:t xml:space="preserve">: O Município de Novo Airão não comprovou ao menos uma das ações propostas previstas na NOTA TÉCNICA Nº 14/2022-SAPS/MS, referente ao indicador 2 - Proporção de gestantes com realização de exames para sífilis e HIV.</w:t>
      </w:r>
      <w:r/>
    </w:p>
    <w:p>
      <w:pPr>
        <w:pStyle w:val="926"/>
        <w:pBdr/>
        <w:spacing/>
        <w:ind/>
        <w:rPr/>
      </w:pPr>
      <w:r>
        <w:rPr>
          <w:b/>
          <w:bCs/>
        </w:rPr>
        <w:t xml:space="preserve">Recomendação</w:t>
      </w:r>
      <w:r>
        <w:t xml:space="preserve">: Desenvolver ações e estratégias para melhoria do Indica</w:t>
      </w:r>
      <w:r>
        <w:t xml:space="preserve">dor 2, conforme Nota Técnica nº14/2022-SAPS/MS, tais como:Solicitar a primeira bateria de exames para Sífilis e HIV mesmo sem a confirmação de Gravidez, Preferir testes rápidos e criar fluxo facilitado para marcação desses exames e acompanhar as Gestantes.</w:t>
      </w:r>
      <w:r/>
    </w:p>
    <w:p>
      <w:pPr>
        <w:pStyle w:val="926"/>
        <w:pBdr/>
        <w:spacing/>
        <w:ind/>
        <w:rPr/>
      </w:pPr>
      <w:r>
        <w:rPr>
          <w:b/>
          <w:bCs/>
        </w:rPr>
        <w:t xml:space="preserve">Análise Codificação</w:t>
      </w:r>
      <w:r>
        <w:t xml:space="preserve">: A recomendação propõe ações específicas para melhorar o indicador, como solicitar exames sem confirmação de gravidez, preferir testes rápidos e criar fluxo facilitado. Essas medidas visam corrigir a condição imediata de não comprovação das ações, mas não</w:t>
      </w:r>
      <w:r>
        <w:t xml:space="preserve"> abordam explicitamente as causas subjacentes do problema, como possíveis falhas na capacitação da equipe, recursos insuficientes ou questões culturais que impedem a adesão aos exames. Portanto, o foco está mais na condição do que na causa.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r/>
    </w:p>
    <w:p>
      <w:pPr>
        <w:pStyle w:val="928"/>
        <w:numPr>
          <w:ilvl w:val="0"/>
          <w:numId w:val="87"/>
        </w:numPr>
        <w:pBdr/>
        <w:spacing/>
        <w:ind/>
        <w:rPr/>
      </w:pPr>
      <w:r>
        <w:t xml:space="preserve">Ação Foco Causa: Não</w:t>
      </w:r>
      <w:r/>
    </w:p>
    <w:p>
      <w:pPr>
        <w:pStyle w:val="928"/>
        <w:numPr>
          <w:ilvl w:val="0"/>
          <w:numId w:val="87"/>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disc</w:t>
      </w:r>
      <w:r>
        <w:t xml:space="preserve">ordo da análise original, pois as ações propostas na recomendação, como criar fluxo facilitado para marcação de exames, podem ser interpretadas como abordando causas estruturais ou processuais que levaram à não comprovação das ações. Em relação ao critério</w:t>
      </w:r>
      <w:r>
        <w:t xml:space="preserve"> </w:t>
      </w:r>
      <w:r>
        <w:t xml:space="preserve">‘Efeitos Duradouros’</w:t>
      </w:r>
      <w:r>
        <w:t xml:space="preserve">, como discordo da classificação do</w:t>
      </w:r>
      <w:r>
        <w:t xml:space="preserve"> </w:t>
      </w:r>
      <w:r>
        <w:t xml:space="preserve">‘Foco Causa’</w:t>
      </w:r>
      <w:r>
        <w:t xml:space="preserve">, a análise de</w:t>
      </w:r>
      <w:r>
        <w:t xml:space="preserve"> </w:t>
      </w:r>
      <w:r>
        <w:t xml:space="preserve">‘Não se aplica’</w:t>
      </w:r>
      <w:r>
        <w:t xml:space="preserve"> </w:t>
      </w:r>
      <w:r>
        <w:t xml:space="preserve">também é questionável, mas não é possível avaliar diretamente sem uma reclassificação adequada do primeiro critério.</w:t>
      </w:r>
      <w:r/>
    </w:p>
    <w:p>
      <w:pPr>
        <w:pStyle w:val="928"/>
        <w:numPr>
          <w:ilvl w:val="0"/>
          <w:numId w:val="88"/>
        </w:numPr>
        <w:pBdr/>
        <w:spacing/>
        <w:ind/>
        <w:rPr/>
      </w:pPr>
      <w:r>
        <w:t xml:space="preserve">Análise Foco Causa: Discordo</w:t>
      </w:r>
      <w:r/>
    </w:p>
    <w:p>
      <w:pPr>
        <w:pStyle w:val="928"/>
        <w:numPr>
          <w:ilvl w:val="0"/>
          <w:numId w:val="88"/>
        </w:numPr>
        <w:pBdr/>
        <w:spacing/>
        <w:ind/>
        <w:rPr/>
      </w:pPr>
      <w:r>
        <w:t xml:space="preserve">Análise Efeitos Duradouros: Discordo</w:t>
      </w:r>
      <w:bookmarkEnd w:id="75"/>
      <w:r/>
    </w:p>
    <w:p>
      <w:pPr>
        <w:pStyle w:val="915"/>
        <w:pBdr/>
        <w:spacing/>
        <w:ind/>
        <w:rPr/>
      </w:pPr>
      <w:r/>
      <w:bookmarkStart w:id="76" w:name="auditoria-19693-constatação-nº-686246-1"/>
      <w:r>
        <w:t xml:space="preserve">Auditoria 19693, Constatação Nº 686246 (#1)</w:t>
      </w:r>
      <w:r/>
    </w:p>
    <w:p>
      <w:pPr>
        <w:pStyle w:val="927"/>
        <w:pBdr/>
        <w:spacing/>
        <w:ind/>
        <w:rPr/>
      </w:pPr>
      <w:r>
        <w:rPr>
          <w:b/>
          <w:bCs/>
        </w:rPr>
        <w:t xml:space="preserve">Finalidade</w:t>
      </w:r>
      <w:r>
        <w:t xml:space="preserve">: Verificar a regularidade da produção inserida nos sistemas do SUS.</w:t>
      </w:r>
      <w:r/>
    </w:p>
    <w:p>
      <w:pPr>
        <w:pStyle w:val="926"/>
        <w:pBdr/>
        <w:spacing/>
        <w:ind/>
        <w:rPr/>
      </w:pPr>
      <w:r>
        <w:rPr>
          <w:b/>
          <w:bCs/>
        </w:rPr>
        <w:t xml:space="preserve">Constatação</w:t>
      </w:r>
      <w:r>
        <w:t xml:space="preserve">: Inexistência de serviço para acompanhamento, controle e análise da produção ambulatorial e hospitalar informados nos Sistemas de Informação Ambulatorial - SIA/SUS na Secretaria Municipal de Saúde de Turiúba.</w:t>
      </w:r>
      <w:r/>
    </w:p>
    <w:p>
      <w:pPr>
        <w:pStyle w:val="926"/>
        <w:pBdr/>
        <w:spacing/>
        <w:ind/>
        <w:rPr/>
      </w:pPr>
      <w:r>
        <w:rPr>
          <w:b/>
          <w:bCs/>
        </w:rPr>
        <w:t xml:space="preserve">Recomendação</w:t>
      </w:r>
      <w:r>
        <w:t xml:space="preserve">: Cumprir o que estabelece o inciso I, do Art. 15 da Lei nº</w:t>
      </w:r>
      <w:r>
        <w:t xml:space="preserve"> 8.080, de 19/09/1990 e suas atualizações, que preconiza para União, os Estados, o Distrito Federal e os Municípios, as atribuições de definição das instâncias e mecanismos de controle, avaliação e de fiscalização das ações e serviços de saúde e o inciso I</w:t>
      </w:r>
      <w:r>
        <w:t xml:space="preserve">, do Art.18, da mesma Portaria que atribui à direção municipal do Sistema de Saúde (SUS) a competência de planejar, organizar, controlar e avaliar as ações e os serviços de saúde e gerir e executar os serviços públicos de saúde, assim como o item 2.3 do Ma</w:t>
      </w:r>
      <w:r>
        <w:t xml:space="preserve">nual de Operação do Sistema de Informações Ambulatoriais (2016 e alterações) que delimita as esferas de utilização do SIA, competindo ao gestor municipal e estadual o controle e avaliação da produção ambulatorial processada e enviada para o gestor federal.</w:t>
      </w:r>
      <w:r/>
    </w:p>
    <w:p>
      <w:pPr>
        <w:pStyle w:val="926"/>
        <w:pBdr/>
        <w:spacing/>
        <w:ind/>
        <w:rPr/>
      </w:pPr>
      <w:r>
        <w:rPr>
          <w:b/>
          <w:bCs/>
        </w:rPr>
        <w:t xml:space="preserve">Análise Codificação</w:t>
      </w:r>
      <w:r>
        <w:t xml:space="preserve">: A recomendação se limita a citar dispositivos legais e normativos que estabelecem atribuições genéricas de controle, avaliação e fiscalização, sem propor ações específicas para tratar a causa da inexistência do s</w:t>
      </w:r>
      <w:r>
        <w:t xml:space="preserve">erviço de acompanhamento. Não há menção a medidas concretas como criação de estrutura, alocação de recursos, capacitação de pessoal ou implementação de processos que ataquem diretamente a raiz do problema. Portanto, a recomendação não possui foco na causa.</w:t>
      </w:r>
      <w:r/>
    </w:p>
    <w:p>
      <w:pPr>
        <w:pStyle w:val="928"/>
        <w:numPr>
          <w:ilvl w:val="0"/>
          <w:numId w:val="89"/>
        </w:numPr>
        <w:pBdr/>
        <w:spacing/>
        <w:ind/>
        <w:rPr/>
      </w:pPr>
      <w:r>
        <w:t xml:space="preserve">Ação Foco Causa: Não</w:t>
      </w:r>
      <w:r/>
    </w:p>
    <w:p>
      <w:pPr>
        <w:pStyle w:val="928"/>
        <w:numPr>
          <w:ilvl w:val="0"/>
          <w:numId w:val="89"/>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do modelo argumenta que a recomendação apenas cita dispositivos legais sem propor ações específicas para tratar a causa da inexistência do serviço de acompanhamento.</w:t>
      </w:r>
      <w:r>
        <w:t xml:space="preserve"> No entanto, a recomendação não apenas cita as leis, mas direciona explicitamente o gestor municipal a cumprir as atribuições legais de planejar, organizar, controlar e avaliar as ações de saúde, o que implica a necessidade de estabelecer estruturas e proc</w:t>
      </w:r>
      <w:r>
        <w:t xml:space="preserve">essos para o acompanhamento da produção. Isso pode ser interpretado como uma ação para tratar a causa subjacente da falta de serviço, que é a não conformidade com obrigações legais e a ausência de mecanismos de controle. Portanto, discordo da classificação</w:t>
      </w:r>
      <w:r>
        <w:t xml:space="preserve"> </w:t>
      </w:r>
      <w:r>
        <w:t xml:space="preserve">‘Não’</w:t>
      </w:r>
      <w:r>
        <w:t xml:space="preserve"> </w:t>
      </w:r>
      <w:r>
        <w:t xml:space="preserve">para</w:t>
      </w:r>
      <w:r>
        <w:t xml:space="preserve"> </w:t>
      </w:r>
      <w:r>
        <w:t xml:space="preserve">‘Foco Causa’</w:t>
      </w:r>
      <w:r>
        <w:t xml:space="preserve">. Para</w:t>
      </w:r>
      <w:r>
        <w:t xml:space="preserve"> </w:t>
      </w:r>
      <w:r>
        <w:t xml:space="preserve">‘Efeitos Duradouros’</w:t>
      </w:r>
      <w:r>
        <w:t xml:space="preserve">, como discordo da classificação anterior, a resposta</w:t>
      </w:r>
      <w:r>
        <w:t xml:space="preserve"> </w:t>
      </w:r>
      <w:r>
        <w:t xml:space="preserve">‘Não se aplica’</w:t>
      </w:r>
      <w:r>
        <w:t xml:space="preserve"> </w:t>
      </w:r>
      <w:r>
        <w:t xml:space="preserve">não é adequada, mas como a análise do modelo seguiu a lógica de que</w:t>
      </w:r>
      <w:r>
        <w:t xml:space="preserve"> </w:t>
      </w:r>
      <w:r>
        <w:t xml:space="preserve">‘Foco Causa’</w:t>
      </w:r>
      <w:r>
        <w:t xml:space="preserve"> </w:t>
      </w:r>
      <w:r>
        <w:t xml:space="preserve">é</w:t>
      </w:r>
      <w:r>
        <w:t xml:space="preserve"> </w:t>
      </w:r>
      <w:r>
        <w:t xml:space="preserve">‘Não’</w:t>
      </w:r>
      <w:r>
        <w:t xml:space="preserve">, mantenho</w:t>
      </w:r>
      <w:r>
        <w:t xml:space="preserve"> </w:t>
      </w:r>
      <w:r>
        <w:t xml:space="preserve">‘Discordo’</w:t>
      </w:r>
      <w:r>
        <w:t xml:space="preserve"> </w:t>
      </w:r>
      <w:r>
        <w:t xml:space="preserve">para consistência.</w:t>
      </w:r>
      <w:r/>
    </w:p>
    <w:p>
      <w:pPr>
        <w:pStyle w:val="928"/>
        <w:numPr>
          <w:ilvl w:val="0"/>
          <w:numId w:val="90"/>
        </w:numPr>
        <w:pBdr/>
        <w:spacing/>
        <w:ind/>
        <w:rPr/>
      </w:pPr>
      <w:r>
        <w:t xml:space="preserve">Análise Foco Causa: Discordo</w:t>
      </w:r>
      <w:r/>
    </w:p>
    <w:p>
      <w:pPr>
        <w:pStyle w:val="928"/>
        <w:numPr>
          <w:ilvl w:val="0"/>
          <w:numId w:val="90"/>
        </w:numPr>
        <w:pBdr/>
        <w:spacing/>
        <w:ind/>
        <w:rPr/>
      </w:pPr>
      <w:r>
        <w:t xml:space="preserve">Análise Efeitos Duradouros: Discordo</w:t>
      </w:r>
      <w:bookmarkEnd w:id="76"/>
      <w:r/>
    </w:p>
    <w:p>
      <w:pPr>
        <w:pStyle w:val="915"/>
        <w:pBdr/>
        <w:spacing/>
        <w:ind/>
        <w:rPr/>
      </w:pPr>
      <w:r/>
      <w:bookmarkStart w:id="77" w:name="auditoria-19778-constatação-nº-692807-1"/>
      <w:r>
        <w:t xml:space="preserve">Auditoria 19778, Constatação Nº 692807 (#1)</w:t>
      </w:r>
      <w:r/>
    </w:p>
    <w:p>
      <w:pPr>
        <w:pStyle w:val="927"/>
        <w:pBdr/>
        <w:spacing/>
        <w:ind/>
        <w:rPr/>
      </w:pPr>
      <w:r>
        <w:rPr>
          <w:b/>
          <w:bCs/>
        </w:rPr>
        <w:t xml:space="preserve">Finalidade</w:t>
      </w:r>
      <w:r>
        <w:t xml:space="preserve">: Verificar se a SMS possui controles internos capazes de assegurar adequadamente a Cadeia de Frio.</w:t>
      </w:r>
      <w:r/>
    </w:p>
    <w:p>
      <w:pPr>
        <w:pStyle w:val="926"/>
        <w:pBdr/>
        <w:spacing/>
        <w:ind/>
        <w:rPr/>
      </w:pPr>
      <w:r>
        <w:rPr>
          <w:b/>
          <w:bCs/>
        </w:rPr>
        <w:t xml:space="preserve">Constatação</w:t>
      </w:r>
      <w:r>
        <w:t xml:space="preserve">: A estrutura física da Central Municipal de Rede de Frio (CMRF) não atende aos requisitos mínimos para manutenção da cadeia de frio, conforme preconizado pelo Programa Nacional de Imunizações.</w:t>
      </w:r>
      <w:r/>
    </w:p>
    <w:p>
      <w:pPr>
        <w:pStyle w:val="926"/>
        <w:pBdr/>
        <w:spacing/>
        <w:ind/>
        <w:rPr/>
      </w:pPr>
      <w:r>
        <w:rPr>
          <w:b/>
          <w:bCs/>
        </w:rPr>
        <w:t xml:space="preserve">Recomendação</w:t>
      </w:r>
      <w:r>
        <w:t xml:space="preserve">: Realizar os devidos ajustes e reformas nas instalações físicas da edificação, com observância do disposto nos Subitens 7.1 (pág. 75/76), 8.7.2 e 8.7.3 (pág. 88 a 116), do Manual de Rede de Frio do PNI, 5ª ed. (2017), bem como nas Alíneas</w:t>
      </w:r>
      <w:r>
        <w:t xml:space="preserve"> </w:t>
      </w:r>
      <w:r>
        <w:t xml:space="preserve">“b”</w:t>
      </w:r>
      <w:r>
        <w:t xml:space="preserve"> </w:t>
      </w:r>
      <w:r>
        <w:t xml:space="preserve">e</w:t>
      </w:r>
      <w:r>
        <w:t xml:space="preserve"> </w:t>
      </w:r>
      <w:r>
        <w:t xml:space="preserve">“c”</w:t>
      </w:r>
      <w:r>
        <w:t xml:space="preserve">, Inciso II, no Art. 7º, da Seção I, o Art. 17, da Seção III, Art. 36, da Seção VI e o Art. 42, da Seção VI, do Capítulo II da RDC n.º 63, de 25 de novembro de 2011.</w:t>
      </w:r>
      <w:r/>
    </w:p>
    <w:p>
      <w:pPr>
        <w:pStyle w:val="926"/>
        <w:pBdr/>
        <w:spacing/>
        <w:ind/>
        <w:rPr/>
      </w:pPr>
      <w:r>
        <w:rPr>
          <w:b/>
          <w:bCs/>
        </w:rPr>
        <w:t xml:space="preserve">Análise Codificação</w:t>
      </w:r>
      <w:r>
        <w:t xml:space="preserve">: Em relação ao foco, a recomendação propõe ajustes e reformas na estrutura física da CMRF para adequá-la aos requisitos normativos</w:t>
      </w:r>
      <w:r>
        <w:t xml:space="preserve">, o que visa corrigir a condição atual de inadequação, mas não aborda explicitamente as causas subjacentes que levaram à não conformidade, como falhas em processos de manutenção, planejamento ou gestão. Já em relação aos efeitos duradouros, como o critério</w:t>
      </w:r>
      <w:r>
        <w:t xml:space="preserve"> </w:t>
      </w:r>
      <w:r>
        <w:t xml:space="preserve">‘Foco Causa’</w:t>
      </w:r>
      <w:r>
        <w:t xml:space="preserve"> </w:t>
      </w:r>
      <w:r>
        <w:t xml:space="preserve">não foi atendido, essa análise não se aplica.</w:t>
      </w:r>
      <w:r/>
    </w:p>
    <w:p>
      <w:pPr>
        <w:pStyle w:val="928"/>
        <w:numPr>
          <w:ilvl w:val="0"/>
          <w:numId w:val="91"/>
        </w:numPr>
        <w:pBdr/>
        <w:spacing/>
        <w:ind/>
        <w:rPr/>
      </w:pPr>
      <w:r>
        <w:t xml:space="preserve">Ação Foco Causa: Não</w:t>
      </w:r>
      <w:r/>
    </w:p>
    <w:p>
      <w:pPr>
        <w:pStyle w:val="928"/>
        <w:numPr>
          <w:ilvl w:val="0"/>
          <w:numId w:val="91"/>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de r</w:t>
      </w:r>
      <w:r>
        <w:t xml:space="preserve">ealizar ajustes e reformas na estrutura física da CMRF para adequá-la aos requisitos normativos visa diretamente corrigir a condição de inadequação identificada na constatação. Embora a análise do modelo aponte que não aborda explicitamente causas subjacen</w:t>
      </w:r>
      <w:r>
        <w:t xml:space="preserve">tes como falhas em processos de manutenção ou gestão, a recomendação trata da causa raiz do problema, que é a estrutura física inadequada, conforme evidenciado pela não conformidade com os requisitos mínimos do PNI. Portanto, a classificação do modelo para</w:t>
      </w:r>
      <w:r>
        <w:t xml:space="preserve"> </w:t>
      </w:r>
      <w:r>
        <w:t xml:space="preserve">‘Foco Causa’</w:t>
      </w:r>
      <w:r>
        <w:t xml:space="preserve"> </w:t>
      </w:r>
      <w:r>
        <w:t xml:space="preserve">como</w:t>
      </w:r>
      <w:r>
        <w:t xml:space="preserve"> </w:t>
      </w:r>
      <w:r>
        <w:t xml:space="preserve">‘Não’</w:t>
      </w:r>
      <w:r>
        <w:t xml:space="preserve"> </w:t>
      </w:r>
      <w:r>
        <w:t xml:space="preserve">é questionável, pois a ação proposta visa resolver a causa fundamental da condição encontrada. Para</w:t>
      </w:r>
      <w:r>
        <w:t xml:space="preserve"> </w:t>
      </w:r>
      <w:r>
        <w:t xml:space="preserve">‘Efeitos Duradouros’</w:t>
      </w:r>
      <w:r>
        <w:t xml:space="preserve">, como discordo da classificação de</w:t>
      </w:r>
      <w:r>
        <w:t xml:space="preserve"> </w:t>
      </w:r>
      <w:r>
        <w:t xml:space="preserve">‘Foco Causa’</w:t>
      </w:r>
      <w:r>
        <w:t xml:space="preserve">, a análise deveria considerar se os ajustes físicos, uma vez implementados, proporcionariam efeitos duradouros independentemente de mudanças de atores, o que provavelmente seria</w:t>
      </w:r>
      <w:r>
        <w:t xml:space="preserve"> </w:t>
      </w:r>
      <w:r>
        <w:t xml:space="preserve">‘Sim’</w:t>
      </w:r>
      <w:r>
        <w:t xml:space="preserve">, dado que reformas estruturais tendem a ser permanentes.</w:t>
      </w:r>
      <w:r/>
    </w:p>
    <w:p>
      <w:pPr>
        <w:pStyle w:val="928"/>
        <w:numPr>
          <w:ilvl w:val="0"/>
          <w:numId w:val="92"/>
        </w:numPr>
        <w:pBdr/>
        <w:spacing/>
        <w:ind/>
        <w:rPr/>
      </w:pPr>
      <w:r>
        <w:t xml:space="preserve">Análise Foco Causa: Discordo</w:t>
      </w:r>
      <w:r/>
    </w:p>
    <w:p>
      <w:pPr>
        <w:pStyle w:val="928"/>
        <w:numPr>
          <w:ilvl w:val="0"/>
          <w:numId w:val="92"/>
        </w:numPr>
        <w:pBdr/>
        <w:spacing/>
        <w:ind/>
        <w:rPr/>
      </w:pPr>
      <w:r>
        <w:t xml:space="preserve">Análise Efeitos Duradouros: Discordo</w:t>
      </w:r>
      <w:bookmarkEnd w:id="77"/>
      <w:r/>
    </w:p>
    <w:p>
      <w:pPr>
        <w:pStyle w:val="915"/>
        <w:pBdr/>
        <w:spacing/>
        <w:ind/>
        <w:rPr/>
      </w:pPr>
      <w:r/>
      <w:bookmarkStart w:id="78" w:name="auditoria-19780-constatação-nº-692596-1"/>
      <w:r>
        <w:t xml:space="preserve">Auditoria 19780, Constatação Nº 692596 (#1)</w:t>
      </w:r>
      <w:r/>
    </w:p>
    <w:p>
      <w:pPr>
        <w:pStyle w:val="927"/>
        <w:pBdr/>
        <w:spacing/>
        <w:ind/>
        <w:rPr/>
      </w:pPr>
      <w:r>
        <w:rPr>
          <w:b/>
          <w:bCs/>
        </w:rPr>
        <w:t xml:space="preserve">Finalidade</w:t>
      </w:r>
      <w:r>
        <w:t xml:space="preserve">: Verificar se a SMS possui controles internos capazes de assegurar adequadamente a Cadeia de Frio.</w:t>
      </w:r>
      <w:r/>
    </w:p>
    <w:p>
      <w:pPr>
        <w:pStyle w:val="926"/>
        <w:pBdr/>
        <w:spacing/>
        <w:ind/>
        <w:rPr/>
      </w:pPr>
      <w:r>
        <w:rPr>
          <w:b/>
          <w:bCs/>
        </w:rPr>
        <w:t xml:space="preserve">Constatação</w:t>
      </w:r>
      <w:r>
        <w:t xml:space="preserve">: A estrutura física da Central Municipal de Rede de Frio de Lagarto/SE não atende aos requisitos mínimos para manutenção da cadeia de frio, conforme preconizado pelo Programa Nacional de Imunizações (PNI).</w:t>
      </w:r>
      <w:r/>
    </w:p>
    <w:p>
      <w:pPr>
        <w:pStyle w:val="926"/>
        <w:pBdr/>
        <w:spacing/>
        <w:ind/>
        <w:rPr/>
      </w:pPr>
      <w:r>
        <w:rPr>
          <w:b/>
          <w:bCs/>
        </w:rPr>
        <w:t xml:space="preserve">Recomendação</w:t>
      </w:r>
      <w:r>
        <w:t xml:space="preserve">: Realiz</w:t>
      </w:r>
      <w:r>
        <w:t xml:space="preserve">ar as adequações necessárias na estrutura física da CMRF, em conformidade com o item 8 do Manual de Rede de Frio do PNI (2017) e com a Resolução - RDC ANVISA Nº 63, de 25/11/2011. A Resolução estabelece, no Capítulo II, Seção I, Art. 7º, Inciso II, Alíneas</w:t>
      </w:r>
      <w:r>
        <w:t xml:space="preserve"> </w:t>
      </w:r>
      <w:r>
        <w:t xml:space="preserve">“b”</w:t>
      </w:r>
      <w:r>
        <w:t xml:space="preserve"> </w:t>
      </w:r>
      <w:r>
        <w:t xml:space="preserve">e</w:t>
      </w:r>
      <w:r>
        <w:t xml:space="preserve"> </w:t>
      </w:r>
      <w:r>
        <w:t xml:space="preserve">“c”</w:t>
      </w:r>
      <w:r>
        <w:t xml:space="preserve">, que</w:t>
      </w:r>
      <w:r>
        <w:t xml:space="preserve"> </w:t>
      </w:r>
      <w:r>
        <w:t xml:space="preserve">“As Boas Práticas de Funcionamento determinam que o serviço de saúde deve fornecer todos os recursos necessários, incluindo ambientes identificados, equipamentos, materiais e suporte logístico”</w:t>
      </w:r>
      <w:r>
        <w:t xml:space="preserve">. Adicionalmente, o Art. 36 reforça que</w:t>
      </w:r>
      <w:r>
        <w:t xml:space="preserve"> </w:t>
      </w:r>
      <w:r>
        <w:t xml:space="preserve">“O serviço de saúde deve manter as instalações físicas dos ambientes externos e internos em boas condições de conservação, segurança, organização, conforto e limpeza”</w:t>
      </w:r>
      <w:r>
        <w:t xml:space="preserve">, enquanto o Art. 42 orienta que</w:t>
      </w:r>
      <w:r>
        <w:t xml:space="preserve"> </w:t>
      </w:r>
      <w:r>
        <w:t xml:space="preserve">“O serviço de saúde deve realizar ações de manutenção preventiva e corretiva das instalações prediais,de forma própria ou terceirizada”</w:t>
      </w:r>
      <w:r>
        <w:t xml:space="preserve">.</w:t>
      </w:r>
      <w:r/>
    </w:p>
    <w:p>
      <w:pPr>
        <w:pStyle w:val="926"/>
        <w:pBdr/>
        <w:spacing/>
        <w:ind/>
        <w:rPr/>
      </w:pPr>
      <w:r>
        <w:rPr>
          <w:b/>
          <w:bCs/>
        </w:rPr>
        <w:t xml:space="preserve">Análise Codificação</w:t>
      </w:r>
      <w:r>
        <w:t xml:space="preserve">: Em relação ao foco, a recomendação propõe adequações na estrutura física da Central Municipal de Rede de Frio para atender aos requisitos do PNI e da RDC ANVISA, o que visa corrigir a condição encont</w:t>
      </w:r>
      <w:r>
        <w:t xml:space="preserve">rada de inadequação da estrutura, mas não aborda explicitamente as causas subjacentes que levaram a essa condição (como falhas em processos de manutenção, planejamento ou gestão). Portanto, a recomendação é focada na condição, não na causa. Como o critério</w:t>
      </w:r>
      <w:r>
        <w:t xml:space="preserve"> </w:t>
      </w:r>
      <w:r>
        <w:t xml:space="preserve">‘Foco Causa’</w:t>
      </w:r>
      <w:r>
        <w:t xml:space="preserve"> </w:t>
      </w:r>
      <w:r>
        <w:t xml:space="preserve">não foi atendido, o critério</w:t>
      </w:r>
      <w:r>
        <w:t xml:space="preserve"> </w:t>
      </w:r>
      <w:r>
        <w:t xml:space="preserve">‘Efeitos Duradouros’</w:t>
      </w:r>
      <w:r>
        <w:t xml:space="preserve"> </w:t>
      </w:r>
      <w:r>
        <w:t xml:space="preserve">não se aplica.</w:t>
      </w:r>
      <w:r/>
    </w:p>
    <w:p>
      <w:pPr>
        <w:pStyle w:val="928"/>
        <w:numPr>
          <w:ilvl w:val="0"/>
          <w:numId w:val="93"/>
        </w:numPr>
        <w:pBdr/>
        <w:spacing/>
        <w:ind/>
        <w:rPr/>
      </w:pPr>
      <w:r>
        <w:t xml:space="preserve">Ação Foco Causa: Não</w:t>
      </w:r>
      <w:r/>
    </w:p>
    <w:p>
      <w:pPr>
        <w:pStyle w:val="928"/>
        <w:numPr>
          <w:ilvl w:val="0"/>
          <w:numId w:val="93"/>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do mode</w:t>
      </w:r>
      <w:r>
        <w:t xml:space="preserve">lo argumenta que a recomendação não aborda explicitamente causas subjacentes, como falhas em processos de manutenção, planejamento ou gestão, focando apenas na correção da condição física inadequada. No entanto, a recomendação cita especificamente a necess</w:t>
      </w:r>
      <w:r>
        <w:t xml:space="preserve">idade de conformidade com a RDC ANVISA, que inclui requisitos para manutenção preventiva e corretiva (Art. 42), o que pode ser interpretado como uma ação que trata da causa ao estabelecer processos sistemáticos para evitar a deterioração da estrutura. Para</w:t>
      </w:r>
      <w:r>
        <w:t xml:space="preserve"> </w:t>
      </w:r>
      <w:r>
        <w:t xml:space="preserve">‘Efeitos Duradouros’</w:t>
      </w:r>
      <w:r>
        <w:t xml:space="preserve">, como discordo da classificação de</w:t>
      </w:r>
      <w:r>
        <w:t xml:space="preserve"> </w:t>
      </w:r>
      <w:r>
        <w:t xml:space="preserve">‘Foco Causa’</w:t>
      </w:r>
      <w:r>
        <w:t xml:space="preserve">, a análise se torna relevante, pois a implementação de manutenção preventiva e adequação contínua pode gerar efeitos duradouros independentemente de mudanças de atores.</w:t>
      </w:r>
      <w:r/>
    </w:p>
    <w:p>
      <w:pPr>
        <w:pStyle w:val="928"/>
        <w:numPr>
          <w:ilvl w:val="0"/>
          <w:numId w:val="94"/>
        </w:numPr>
        <w:pBdr/>
        <w:spacing/>
        <w:ind/>
        <w:rPr/>
      </w:pPr>
      <w:r>
        <w:t xml:space="preserve">Análise Foco Causa: Discordo</w:t>
      </w:r>
      <w:r/>
    </w:p>
    <w:p>
      <w:pPr>
        <w:pStyle w:val="928"/>
        <w:numPr>
          <w:ilvl w:val="0"/>
          <w:numId w:val="94"/>
        </w:numPr>
        <w:pBdr/>
        <w:spacing/>
        <w:ind/>
        <w:rPr/>
      </w:pPr>
      <w:r>
        <w:t xml:space="preserve">Análise Efeitos Duradouros: Discordo</w:t>
      </w:r>
      <w:bookmarkEnd w:id="78"/>
      <w:bookmarkEnd w:id="79"/>
      <w:r/>
    </w:p>
    <w:p>
      <w:pPr>
        <w:pStyle w:val="914"/>
        <w:pBdr/>
        <w:spacing/>
        <w:ind/>
        <w:rPr/>
      </w:pPr>
      <w:r/>
      <w:bookmarkStart w:id="85" w:name="X62b542f63a3f55051e13ab5c056a71dccffceef"/>
      <w:r>
        <w:t xml:space="preserve">Foco: Não se aplica, Efeitos: Não se aplica, Concordância Foco: Concordo, Concordância Efeitos: Concordo</w:t>
      </w:r>
      <w:r/>
    </w:p>
    <w:p>
      <w:pPr>
        <w:pStyle w:val="915"/>
        <w:pBdr/>
        <w:spacing/>
        <w:ind/>
        <w:rPr/>
      </w:pPr>
      <w:r/>
      <w:bookmarkStart w:id="80" w:name="auditoria-19496-constatação-nº-670139-2"/>
      <w:r>
        <w:t xml:space="preserve">Auditoria 19496, Constatação Nº 670139 (#2)</w:t>
      </w:r>
      <w:r/>
    </w:p>
    <w:p>
      <w:pPr>
        <w:pStyle w:val="927"/>
        <w:pBdr/>
        <w:spacing/>
        <w:ind/>
        <w:rPr/>
      </w:pPr>
      <w:r>
        <w:rPr>
          <w:b/>
          <w:bCs/>
        </w:rPr>
        <w:t xml:space="preserve">Finalidade</w:t>
      </w:r>
      <w:r>
        <w:t xml:space="preserve">: Verificar a regularidade da execução do Programa Farmácia Popular do Brasil/PFPB</w:t>
      </w:r>
      <w:r/>
    </w:p>
    <w:p>
      <w:pPr>
        <w:pStyle w:val="926"/>
        <w:pBdr/>
        <w:spacing/>
        <w:ind/>
        <w:rPr/>
      </w:pPr>
      <w:r>
        <w:rPr>
          <w:b/>
          <w:bCs/>
        </w:rPr>
        <w:t xml:space="preserve">Constatação</w:t>
      </w:r>
      <w:r>
        <w:t xml:space="preserve">: Irregularidades nos cupons e receitas médicas disponibilizadas pela empresa.</w:t>
      </w:r>
      <w:r/>
    </w:p>
    <w:p>
      <w:pPr>
        <w:pStyle w:val="926"/>
        <w:pBdr/>
        <w:spacing/>
        <w:ind/>
        <w:rPr/>
      </w:pPr>
      <w:r>
        <w:rPr>
          <w:b/>
          <w:bCs/>
        </w:rPr>
        <w:t xml:space="preserve">Recomendação</w:t>
      </w:r>
      <w:r>
        <w:t xml:space="preserve">: Ao Departamento de Assistência Farmacêut</w:t>
      </w:r>
      <w:r>
        <w:t xml:space="preserve">ica e Insumos Estratégicos - DAF/SECTICS/MS para conhecimento da presente constatação, conforme estabelecem os artigos 12 e 34 do Decreto nº 11.358, de 01/01/2023, combinado com o Inciso VIII do art. 2º do Decreto nº 3.964, de 10/10/2001, visando à elisão </w:t>
      </w:r>
      <w:r>
        <w:t xml:space="preserve">do dano e/ou impropriedade ocorrida com recursos de origem federal, indicado Anexo VII - Proposição de Devolução - Relatório Final, do presente relatório, com os devidos acréscimos legais, observados os princípios norteadores dos processos administrativos.</w:t>
      </w:r>
      <w:r/>
    </w:p>
    <w:p>
      <w:pPr>
        <w:pStyle w:val="926"/>
        <w:pBdr/>
        <w:spacing/>
        <w:ind/>
        <w:rPr/>
      </w:pPr>
      <w:r>
        <w:rPr>
          <w:b/>
          <w:bCs/>
        </w:rPr>
        <w:t xml:space="preserve">Análise Codificação</w:t>
      </w:r>
      <w:r>
        <w:t xml:space="preserve">: A recomendação consiste apenas em encaminhar a constatação para conhecimento do Depar</w:t>
      </w:r>
      <w:r>
        <w:t xml:space="preserve">tamento de Assistência Farmacêutica e Insumos Estratégicos, sem propor ações específicas para tratar a causa das irregularidades nos cupons e receitas médicas. Não há menção a medidas corretivas, preventivas ou de melhoria que abordem a origem do problema.</w:t>
      </w:r>
      <w:r/>
    </w:p>
    <w:p>
      <w:pPr>
        <w:pStyle w:val="928"/>
        <w:numPr>
          <w:ilvl w:val="0"/>
          <w:numId w:val="95"/>
        </w:numPr>
        <w:pBdr/>
        <w:spacing/>
        <w:ind/>
        <w:rPr/>
      </w:pPr>
      <w:r>
        <w:t xml:space="preserve">Ação Foco Causa: Não se aplica</w:t>
      </w:r>
      <w:r/>
    </w:p>
    <w:p>
      <w:pPr>
        <w:pStyle w:val="928"/>
        <w:numPr>
          <w:ilvl w:val="0"/>
          <w:numId w:val="95"/>
        </w:numPr>
        <w:pBdr/>
        <w:spacing/>
        <w:ind/>
        <w:rPr/>
      </w:pPr>
      <w:r>
        <w:t xml:space="preserve">Efeitos Duradouros: Não se aplica</w:t>
      </w:r>
      <w:r/>
    </w:p>
    <w:p>
      <w:pPr>
        <w:pStyle w:val="927"/>
        <w:pBdr/>
        <w:spacing/>
        <w:ind/>
        <w:rPr/>
      </w:pPr>
      <w:r>
        <w:rPr>
          <w:b/>
          <w:bCs/>
        </w:rPr>
        <w:t xml:space="preserve">Análise Crítica</w:t>
      </w:r>
      <w:r>
        <w:t xml:space="preserve">: A análise crítica considera a adequação da classificação dos critérios</w:t>
      </w:r>
      <w:r>
        <w:t xml:space="preserve"> </w:t>
      </w:r>
      <w:r>
        <w:t xml:space="preserve">‘Foco Causa’</w:t>
      </w:r>
      <w:r>
        <w:t xml:space="preserve"> </w:t>
      </w:r>
      <w:r>
        <w:t xml:space="preserve">e</w:t>
      </w:r>
      <w:r>
        <w:t xml:space="preserve"> </w:t>
      </w:r>
      <w:r>
        <w:t xml:space="preserve">‘Efeitos Duradouros’</w:t>
      </w:r>
      <w:r>
        <w:t xml:space="preserve"> </w:t>
      </w:r>
      <w:r>
        <w:t xml:space="preserve">com base na recomendação fornecida. A recomendação limita-se a encaminhar a constatação para conhecimento do departamento competente, sem propor ações específicas para tratar a causa das irregularidades ou implementar medidas corretivas.</w:t>
      </w:r>
      <w:r/>
    </w:p>
    <w:p>
      <w:pPr>
        <w:pStyle w:val="928"/>
        <w:numPr>
          <w:ilvl w:val="0"/>
          <w:numId w:val="96"/>
        </w:numPr>
        <w:pBdr/>
        <w:spacing/>
        <w:ind/>
        <w:rPr/>
      </w:pPr>
      <w:r>
        <w:t xml:space="preserve">Análise Foco Causa: Concordo</w:t>
      </w:r>
      <w:r/>
    </w:p>
    <w:p>
      <w:pPr>
        <w:pStyle w:val="928"/>
        <w:numPr>
          <w:ilvl w:val="0"/>
          <w:numId w:val="96"/>
        </w:numPr>
        <w:pBdr/>
        <w:spacing/>
        <w:ind/>
        <w:rPr/>
      </w:pPr>
      <w:r>
        <w:t xml:space="preserve">Análise Efeitos Duradouros: Concordo</w:t>
      </w:r>
      <w:bookmarkEnd w:id="80"/>
      <w:r/>
    </w:p>
    <w:p>
      <w:pPr>
        <w:pStyle w:val="915"/>
        <w:pBdr/>
        <w:spacing/>
        <w:ind/>
        <w:rPr/>
      </w:pPr>
      <w:r/>
      <w:bookmarkStart w:id="81" w:name="auditoria-19590-constatação-nº-684816-1"/>
      <w:r>
        <w:t xml:space="preserve">Auditoria 19590, Constatação Nº 684816 (#1)</w:t>
      </w:r>
      <w:r/>
    </w:p>
    <w:p>
      <w:pPr>
        <w:pStyle w:val="927"/>
        <w:pBdr/>
        <w:spacing/>
        <w:ind/>
        <w:rPr/>
      </w:pPr>
      <w:r>
        <w:rPr>
          <w:b/>
          <w:bCs/>
        </w:rPr>
        <w:t xml:space="preserve">Finalidade</w:t>
      </w:r>
      <w:r>
        <w:t xml:space="preserve">: Verificar a implementação da Pol. Nac. ao Portador de Doença Ren. Crônica, nos estágios 4 e 5 em TRS</w:t>
      </w:r>
      <w:r/>
    </w:p>
    <w:p>
      <w:pPr>
        <w:pStyle w:val="926"/>
        <w:pBdr/>
        <w:spacing/>
        <w:ind/>
        <w:rPr/>
      </w:pPr>
      <w:r>
        <w:rPr>
          <w:b/>
          <w:bCs/>
        </w:rPr>
        <w:t xml:space="preserve">Constatação</w:t>
      </w:r>
      <w:r>
        <w:t xml:space="preserve">: O setor de hemodiálise do Sistema de Assistência Social e de Saúde (SAS) não atendeu aos parâmetros estabelecidos pela Vigilância Sanitária, quanto à manutenção da estrutura física. (Continuação da constatação n.° 684813)</w:t>
      </w:r>
      <w:r/>
    </w:p>
    <w:p>
      <w:pPr>
        <w:pStyle w:val="926"/>
        <w:pBdr/>
        <w:spacing/>
        <w:ind/>
        <w:rPr/>
      </w:pPr>
      <w:r>
        <w:rPr>
          <w:b/>
          <w:bCs/>
        </w:rPr>
        <w:t xml:space="preserve">Recomendação</w:t>
      </w:r>
      <w:r>
        <w:t xml:space="preserve">: Recomendação descrita na Constatação n.° 684813.</w:t>
      </w:r>
      <w:r/>
    </w:p>
    <w:p>
      <w:pPr>
        <w:pStyle w:val="926"/>
        <w:pBdr/>
        <w:spacing/>
        <w:ind/>
        <w:rPr/>
      </w:pPr>
      <w:r>
        <w:rPr>
          <w:b/>
          <w:bCs/>
        </w:rPr>
        <w:t xml:space="preserve">Análise Codificação</w:t>
      </w:r>
      <w:r>
        <w:t xml:space="preserve">: A recomendação não foi fornecida diretamente, sendo apenas referenciada a outra constatação (n.° 684813). Portanto, não é possível avaliar se há ações propostas para tratar a causa do problema ou se os efeitos pretendidos são duradouros.</w:t>
      </w:r>
      <w:r/>
    </w:p>
    <w:p>
      <w:pPr>
        <w:pStyle w:val="928"/>
        <w:numPr>
          <w:ilvl w:val="0"/>
          <w:numId w:val="97"/>
        </w:numPr>
        <w:pBdr/>
        <w:spacing/>
        <w:ind/>
        <w:rPr/>
      </w:pPr>
      <w:r>
        <w:t xml:space="preserve">Ação Foco Causa: Não se aplica</w:t>
      </w:r>
      <w:r/>
    </w:p>
    <w:p>
      <w:pPr>
        <w:pStyle w:val="928"/>
        <w:numPr>
          <w:ilvl w:val="0"/>
          <w:numId w:val="97"/>
        </w:numPr>
        <w:pBdr/>
        <w:spacing/>
        <w:ind/>
        <w:rPr/>
      </w:pPr>
      <w:r>
        <w:t xml:space="preserve">Efeitos Duradouros: Não se aplica</w:t>
      </w:r>
      <w:r/>
    </w:p>
    <w:p>
      <w:pPr>
        <w:pStyle w:val="927"/>
        <w:pBdr/>
        <w:spacing/>
        <w:ind/>
        <w:rPr/>
      </w:pPr>
      <w:r>
        <w:rPr>
          <w:b/>
          <w:bCs/>
        </w:rPr>
        <w:t xml:space="preserve">Análise Crítica</w:t>
      </w:r>
      <w:r>
        <w:t xml:space="preserve">: A análise do mo</w:t>
      </w:r>
      <w:r>
        <w:t xml:space="preserve">delo está correta, pois a recomendação não foi fornecida diretamente, sendo apenas referenciada a outra constatação (n.° 684813). Sem o conteúdo específico da recomendação, é impossível avaliar adequadamente os critérios de Foco Causa e Efeitos Duradouros.</w:t>
      </w:r>
      <w:r/>
    </w:p>
    <w:p>
      <w:pPr>
        <w:pStyle w:val="928"/>
        <w:numPr>
          <w:ilvl w:val="0"/>
          <w:numId w:val="98"/>
        </w:numPr>
        <w:pBdr/>
        <w:spacing/>
        <w:ind/>
        <w:rPr/>
      </w:pPr>
      <w:r>
        <w:t xml:space="preserve">Análise Foco Causa: Concordo</w:t>
      </w:r>
      <w:r/>
    </w:p>
    <w:p>
      <w:pPr>
        <w:pStyle w:val="928"/>
        <w:numPr>
          <w:ilvl w:val="0"/>
          <w:numId w:val="98"/>
        </w:numPr>
        <w:pBdr/>
        <w:spacing/>
        <w:ind/>
        <w:rPr/>
      </w:pPr>
      <w:r>
        <w:t xml:space="preserve">Análise Efeitos Duradouros: Concordo</w:t>
      </w:r>
      <w:bookmarkEnd w:id="81"/>
      <w:r/>
    </w:p>
    <w:p>
      <w:pPr>
        <w:pStyle w:val="915"/>
        <w:pBdr/>
        <w:spacing/>
        <w:ind/>
        <w:rPr/>
      </w:pPr>
      <w:r/>
      <w:bookmarkStart w:id="82" w:name="auditoria-19590-constatação-nº-687133-1"/>
      <w:r>
        <w:t xml:space="preserve">Auditoria 19590, Constatação Nº 687133 (#1)</w:t>
      </w:r>
      <w:r/>
    </w:p>
    <w:p>
      <w:pPr>
        <w:pStyle w:val="927"/>
        <w:pBdr/>
        <w:spacing/>
        <w:ind/>
        <w:rPr/>
      </w:pPr>
      <w:r>
        <w:rPr>
          <w:b/>
          <w:bCs/>
        </w:rPr>
        <w:t xml:space="preserve">Finalidade</w:t>
      </w:r>
      <w:r>
        <w:t xml:space="preserve">: Verificar a implementação da Pol. Nac. ao Portador de Doença Ren. Crônica, nos estágios 4 e 5 em TRS</w:t>
      </w:r>
      <w:r/>
    </w:p>
    <w:p>
      <w:pPr>
        <w:pStyle w:val="926"/>
        <w:pBdr/>
        <w:spacing/>
        <w:ind/>
        <w:rPr/>
      </w:pPr>
      <w:r>
        <w:rPr>
          <w:b/>
          <w:bCs/>
        </w:rPr>
        <w:t xml:space="preserve">Constatação</w:t>
      </w:r>
      <w:r>
        <w:t xml:space="preserve">: A diálise peritoneal (DP), modalidade de Terapia Renal Substitutiva (TRS), está disponível de maneira limitada e insuficiente aos usuários do SUS no município de Campina Grande/PB. (Continuação da constatação n.° 684803)</w:t>
      </w:r>
      <w:r/>
    </w:p>
    <w:p>
      <w:pPr>
        <w:pStyle w:val="926"/>
        <w:pBdr/>
        <w:spacing/>
        <w:ind/>
        <w:rPr/>
      </w:pPr>
      <w:r>
        <w:rPr>
          <w:b/>
          <w:bCs/>
        </w:rPr>
        <w:t xml:space="preserve">Recomendação</w:t>
      </w:r>
      <w:r>
        <w:t xml:space="preserve">: Recomendação descrita na Constatação n.° 684803.</w:t>
      </w:r>
      <w:r/>
    </w:p>
    <w:p>
      <w:pPr>
        <w:pStyle w:val="926"/>
        <w:pBdr/>
        <w:spacing/>
        <w:ind/>
        <w:rPr/>
      </w:pPr>
      <w:r>
        <w:rPr>
          <w:b/>
          <w:bCs/>
        </w:rPr>
        <w:t xml:space="preserve">Análise Codificação</w:t>
      </w:r>
      <w:r>
        <w:t xml:space="preserve">: A recomendação não foi fornecida diretamente, sendo apenas referenciada a partir de outra constatação. Portanto, não é possível avaliar se há ações propostas para tratar a causa do problema ou se os efeitos pretendidos são duradouros.</w:t>
      </w:r>
      <w:r/>
    </w:p>
    <w:p>
      <w:pPr>
        <w:pStyle w:val="928"/>
        <w:numPr>
          <w:ilvl w:val="0"/>
          <w:numId w:val="99"/>
        </w:numPr>
        <w:pBdr/>
        <w:spacing/>
        <w:ind/>
        <w:rPr/>
      </w:pPr>
      <w:r>
        <w:t xml:space="preserve">Ação Foco Causa: Não se aplica</w:t>
      </w:r>
      <w:r/>
    </w:p>
    <w:p>
      <w:pPr>
        <w:pStyle w:val="928"/>
        <w:numPr>
          <w:ilvl w:val="0"/>
          <w:numId w:val="99"/>
        </w:numPr>
        <w:pBdr/>
        <w:spacing/>
        <w:ind/>
        <w:rPr/>
      </w:pPr>
      <w:r>
        <w:t xml:space="preserve">Efeitos Duradouros: Não se aplica</w:t>
      </w:r>
      <w:r/>
    </w:p>
    <w:p>
      <w:pPr>
        <w:pStyle w:val="927"/>
        <w:pBdr/>
        <w:spacing/>
        <w:ind/>
        <w:rPr/>
      </w:pPr>
      <w:r>
        <w:rPr>
          <w:b/>
          <w:bCs/>
        </w:rPr>
        <w:t xml:space="preserve">Análise Crítica</w:t>
      </w:r>
      <w:r>
        <w:t xml:space="preserve">: A análise do modelo está correta, pois a recomendação não foi fornecida diretamente, apenas referenciada a partir de outra constatação. Sem o conteúdo específico da recomendação, é impossível avaliar adequadamente os critérios de</w:t>
      </w:r>
      <w:r>
        <w:t xml:space="preserve"> </w:t>
      </w:r>
      <w:r>
        <w:t xml:space="preserve">‘Foco Causa’</w:t>
      </w:r>
      <w:r>
        <w:t xml:space="preserve"> </w:t>
      </w:r>
      <w:r>
        <w:t xml:space="preserve">e</w:t>
      </w:r>
      <w:r>
        <w:t xml:space="preserve"> </w:t>
      </w:r>
      <w:r>
        <w:t xml:space="preserve">‘Efeitos Duradouros’</w:t>
      </w:r>
      <w:r>
        <w:t xml:space="preserve">.</w:t>
      </w:r>
      <w:r/>
    </w:p>
    <w:p>
      <w:pPr>
        <w:pStyle w:val="928"/>
        <w:numPr>
          <w:ilvl w:val="0"/>
          <w:numId w:val="100"/>
        </w:numPr>
        <w:pBdr/>
        <w:spacing/>
        <w:ind/>
        <w:rPr/>
      </w:pPr>
      <w:r>
        <w:t xml:space="preserve">Análise Foco Causa: Concordo</w:t>
      </w:r>
      <w:r/>
    </w:p>
    <w:p>
      <w:pPr>
        <w:pStyle w:val="928"/>
        <w:numPr>
          <w:ilvl w:val="0"/>
          <w:numId w:val="100"/>
        </w:numPr>
        <w:pBdr/>
        <w:spacing/>
        <w:ind/>
        <w:rPr/>
      </w:pPr>
      <w:r>
        <w:t xml:space="preserve">Análise Efeitos Duradouros: Concordo</w:t>
      </w:r>
      <w:bookmarkEnd w:id="82"/>
      <w:r/>
    </w:p>
    <w:p>
      <w:pPr>
        <w:pStyle w:val="915"/>
        <w:pBdr/>
        <w:spacing/>
        <w:ind/>
        <w:rPr/>
      </w:pPr>
      <w:r/>
      <w:bookmarkStart w:id="83" w:name="auditoria-19591-constatação-nº-682488-1"/>
      <w:r>
        <w:t xml:space="preserve">Auditoria 19591, Constatação Nº 682488 (#1)</w:t>
      </w:r>
      <w:r/>
    </w:p>
    <w:p>
      <w:pPr>
        <w:pStyle w:val="927"/>
        <w:pBdr/>
        <w:spacing/>
        <w:ind/>
        <w:rPr/>
      </w:pPr>
      <w:r>
        <w:rPr>
          <w:b/>
          <w:bCs/>
        </w:rPr>
        <w:t xml:space="preserve">Finalidade</w:t>
      </w:r>
      <w:r>
        <w:t xml:space="preserve">: Verificar a implementação da Política Nac. de Atenção ao Portador de Doença Renal. Estágios 4 e 5</w:t>
      </w:r>
      <w:r/>
    </w:p>
    <w:p>
      <w:pPr>
        <w:pStyle w:val="926"/>
        <w:pBdr/>
        <w:spacing/>
        <w:ind/>
        <w:rPr/>
      </w:pPr>
      <w:r>
        <w:rPr>
          <w:b/>
          <w:bCs/>
        </w:rPr>
        <w:t xml:space="preserve">Constatação</w:t>
      </w:r>
      <w:r>
        <w:t xml:space="preserve">: A gestão estadual não cumpre adequadamente as </w:t>
      </w:r>
      <w:r>
        <w:t xml:space="preserve">responsabilidades previstas na Assistência Farmacêutica Especializada ao portador de Doença Renal Crônica (DRC), com foco no estágio 5-D, no que se refere a programação, aquisição e disponibilização de medicamentos. (Continuação da constatação n.º 677630).</w:t>
      </w:r>
      <w:r/>
    </w:p>
    <w:p>
      <w:pPr>
        <w:pStyle w:val="926"/>
        <w:pBdr/>
        <w:spacing/>
        <w:ind/>
        <w:rPr/>
      </w:pPr>
      <w:r>
        <w:rPr>
          <w:b/>
          <w:bCs/>
        </w:rPr>
        <w:t xml:space="preserve">Recomendação</w:t>
      </w:r>
      <w:r>
        <w:t xml:space="preserve">: Recomendação descrita na Constatação n.° 677630.</w:t>
      </w:r>
      <w:r/>
    </w:p>
    <w:p>
      <w:pPr>
        <w:pStyle w:val="926"/>
        <w:pBdr/>
        <w:spacing/>
        <w:ind/>
        <w:rPr/>
      </w:pPr>
      <w:r>
        <w:rPr>
          <w:b/>
          <w:bCs/>
        </w:rPr>
        <w:t xml:space="preserve">Análise Codificação</w:t>
      </w:r>
      <w:r>
        <w:t xml:space="preserve">: A recomendação não foi fornecida diretamente, sendo apenas referenciada a partir de outra constatação. Portanto, não é possível avaliar se há foco na causa ou efeitos duradouros, pois a recomendação em si não está presente.</w:t>
      </w:r>
      <w:r/>
    </w:p>
    <w:p>
      <w:pPr>
        <w:pStyle w:val="928"/>
        <w:numPr>
          <w:ilvl w:val="0"/>
          <w:numId w:val="101"/>
        </w:numPr>
        <w:pBdr/>
        <w:spacing/>
        <w:ind/>
        <w:rPr/>
      </w:pPr>
      <w:r>
        <w:t xml:space="preserve">Ação Foco Causa: Não se aplica</w:t>
      </w:r>
      <w:r/>
    </w:p>
    <w:p>
      <w:pPr>
        <w:pStyle w:val="928"/>
        <w:numPr>
          <w:ilvl w:val="0"/>
          <w:numId w:val="101"/>
        </w:numPr>
        <w:pBdr/>
        <w:spacing/>
        <w:ind/>
        <w:rPr/>
      </w:pPr>
      <w:r>
        <w:t xml:space="preserve">Efeitos Duradouros: Não se aplica</w:t>
      </w:r>
      <w:r/>
    </w:p>
    <w:p>
      <w:pPr>
        <w:pStyle w:val="927"/>
        <w:pBdr/>
        <w:spacing/>
        <w:ind/>
        <w:rPr/>
      </w:pPr>
      <w:r>
        <w:rPr>
          <w:b/>
          <w:bCs/>
        </w:rPr>
        <w:t xml:space="preserve">Análise Crítica</w:t>
      </w:r>
      <w:r>
        <w:t xml:space="preserve">: A análise do modelo está correta, pois a recomendação não foi fornecida diretamente, apenas referenciada a partir de outra constatação (n.° 677630). Sem o conteúdo específico da recomendação, é impossível avaliar os critérios</w:t>
      </w:r>
      <w:r>
        <w:t xml:space="preserve"> </w:t>
      </w:r>
      <w:r>
        <w:t xml:space="preserve">‘Foco Causa’</w:t>
      </w:r>
      <w:r>
        <w:t xml:space="preserve"> </w:t>
      </w:r>
      <w:r>
        <w:t xml:space="preserve">e</w:t>
      </w:r>
      <w:r>
        <w:t xml:space="preserve"> </w:t>
      </w:r>
      <w:r>
        <w:t xml:space="preserve">‘Efeitos Duradouros’</w:t>
      </w:r>
      <w:r>
        <w:t xml:space="preserve"> </w:t>
      </w:r>
      <w:r>
        <w:t xml:space="preserve">de forma fundamentada.</w:t>
      </w:r>
      <w:r/>
    </w:p>
    <w:p>
      <w:pPr>
        <w:pStyle w:val="928"/>
        <w:numPr>
          <w:ilvl w:val="0"/>
          <w:numId w:val="102"/>
        </w:numPr>
        <w:pBdr/>
        <w:spacing/>
        <w:ind/>
        <w:rPr/>
      </w:pPr>
      <w:r>
        <w:t xml:space="preserve">Análise Foco Causa: Concordo</w:t>
      </w:r>
      <w:r/>
    </w:p>
    <w:p>
      <w:pPr>
        <w:pStyle w:val="928"/>
        <w:numPr>
          <w:ilvl w:val="0"/>
          <w:numId w:val="102"/>
        </w:numPr>
        <w:pBdr/>
        <w:spacing/>
        <w:ind/>
        <w:rPr/>
      </w:pPr>
      <w:r>
        <w:t xml:space="preserve">Análise Efeitos Duradouros: Concordo</w:t>
      </w:r>
      <w:bookmarkEnd w:id="83"/>
      <w:r/>
    </w:p>
    <w:p>
      <w:pPr>
        <w:pStyle w:val="915"/>
        <w:pBdr/>
        <w:spacing/>
        <w:ind/>
        <w:rPr/>
      </w:pPr>
      <w:r/>
      <w:bookmarkStart w:id="84" w:name="auditoria-19886-constatação-nº-702258-1"/>
      <w:r>
        <w:t xml:space="preserve">Auditoria 19886, Constatação Nº 702258 (#1)</w:t>
      </w:r>
      <w:r/>
    </w:p>
    <w:p>
      <w:pPr>
        <w:pStyle w:val="927"/>
        <w:pBdr/>
        <w:spacing/>
        <w:ind/>
        <w:rPr/>
      </w:pPr>
      <w:r>
        <w:rPr>
          <w:b/>
          <w:bCs/>
        </w:rPr>
        <w:t xml:space="preserve">Finalidade</w:t>
      </w:r>
      <w:r>
        <w:t xml:space="preserve">: Verificar a regularidade do tratamento em oncologia do EAS vinculado ao SUS</w:t>
      </w:r>
      <w:r/>
    </w:p>
    <w:p>
      <w:pPr>
        <w:pStyle w:val="926"/>
        <w:pBdr/>
        <w:spacing/>
        <w:ind/>
        <w:rPr/>
      </w:pPr>
      <w:r>
        <w:rPr>
          <w:b/>
          <w:bCs/>
        </w:rPr>
        <w:t xml:space="preserve">Constatação</w:t>
      </w:r>
      <w:r>
        <w:t xml:space="preserve">: De acordo com a amostra </w:t>
      </w:r>
      <w:r>
        <w:t xml:space="preserve">analisada, 41 (quarenta e uma) APACs com códigos 03.04.05 (quimioterapia adjuvante - profilática) não possuem a AIH de cirurgia oncológica e as que possuem ultrapassam o período 60 dias para o início da quimioterapia, estando em desacordo com a legislação.</w:t>
      </w:r>
      <w:r/>
    </w:p>
    <w:p>
      <w:pPr>
        <w:pStyle w:val="926"/>
        <w:pBdr/>
        <w:spacing/>
        <w:ind/>
        <w:rPr/>
      </w:pPr>
      <w:r>
        <w:rPr>
          <w:b/>
          <w:bCs/>
        </w:rPr>
        <w:t xml:space="preserve">Recomendação</w:t>
      </w:r>
      <w:r>
        <w:t xml:space="preserve">: Atentar para o preconizado na página 108 do Manual de bases técnicas da Oncologia - SIA/SUS - Sistema de Informações Ambulatoriais, 30º edição, Brasil: Ministério da Saúde/ SAES, 2022 que diz que a quimioterapia adjuvante deve ser iniciada, no máx</w:t>
      </w:r>
      <w:r>
        <w:t xml:space="preserve">imo, entre 30 a 60 dias do pós-operatório, e tem por finalidade aumentar o intervalo livre de doença e a sobrevida global dos doentes. É de longa duração (de 6 a 12 meses para quimioterapia não hormonal e 60 meses para a hormonioterapia do câncer de mama).</w:t>
      </w:r>
      <w:r/>
    </w:p>
    <w:p>
      <w:pPr>
        <w:pStyle w:val="926"/>
        <w:pBdr/>
        <w:spacing/>
        <w:ind/>
        <w:rPr/>
      </w:pPr>
      <w:r>
        <w:rPr>
          <w:b/>
          <w:bCs/>
        </w:rPr>
        <w:t xml:space="preserve">Análise Codificação</w:t>
      </w:r>
      <w:r>
        <w:t xml:space="preserve">: A recomendação consiste apenas em citar o que está p</w:t>
      </w:r>
      <w:r>
        <w:t xml:space="preserve">reconizado no manual técnico, sem propor ações específicas para tratar a causa da condição encontrada (APACs sem AIH de cirurgia oncológica ou que ultrapassam o período de 60 dias). Não há uma recomendação de fato que indique medidas a serem implementadas.</w:t>
      </w:r>
      <w:r/>
    </w:p>
    <w:p>
      <w:pPr>
        <w:pStyle w:val="928"/>
        <w:numPr>
          <w:ilvl w:val="0"/>
          <w:numId w:val="103"/>
        </w:numPr>
        <w:pBdr/>
        <w:spacing/>
        <w:ind/>
        <w:rPr/>
      </w:pPr>
      <w:r>
        <w:t xml:space="preserve">Ação Foco Causa: Não se aplica</w:t>
      </w:r>
      <w:r/>
    </w:p>
    <w:p>
      <w:pPr>
        <w:pStyle w:val="928"/>
        <w:numPr>
          <w:ilvl w:val="0"/>
          <w:numId w:val="103"/>
        </w:numPr>
        <w:pBdr/>
        <w:spacing/>
        <w:ind/>
        <w:rPr/>
      </w:pPr>
      <w:r>
        <w:t xml:space="preserve">Efeitos Duradouros: Não se aplica</w:t>
      </w:r>
      <w:r/>
    </w:p>
    <w:p>
      <w:pPr>
        <w:pStyle w:val="927"/>
        <w:pBdr/>
        <w:spacing/>
        <w:ind/>
        <w:rPr/>
      </w:pPr>
      <w:r>
        <w:rPr>
          <w:b/>
          <w:bCs/>
        </w:rPr>
        <w:t xml:space="preserve">Análise Crítica</w:t>
      </w:r>
      <w:r>
        <w:t xml:space="preserve">: A análise do modelo está correta ao identificar que a recomendação não propõe ações específicas para tratar a causa da condição encontrada, limitando-se a citar o manual técnico sem indicar medidas concretas de implementação.</w:t>
      </w:r>
      <w:r/>
    </w:p>
    <w:p>
      <w:pPr>
        <w:pStyle w:val="928"/>
        <w:numPr>
          <w:ilvl w:val="0"/>
          <w:numId w:val="104"/>
        </w:numPr>
        <w:pBdr/>
        <w:spacing/>
        <w:ind/>
        <w:rPr/>
      </w:pPr>
      <w:r>
        <w:t xml:space="preserve">Análise Foco Causa: Concordo</w:t>
      </w:r>
      <w:r/>
    </w:p>
    <w:p>
      <w:pPr>
        <w:pStyle w:val="928"/>
        <w:numPr>
          <w:ilvl w:val="0"/>
          <w:numId w:val="104"/>
        </w:numPr>
        <w:pBdr/>
        <w:spacing/>
        <w:ind/>
        <w:rPr/>
      </w:pPr>
      <w:r>
        <w:t xml:space="preserve">Análise Efeitos Duradouros: Concordo</w:t>
      </w:r>
      <w:bookmarkEnd w:id="84"/>
      <w:bookmarkEnd w:id="85"/>
      <w:r/>
    </w:p>
    <w:p>
      <w:pPr>
        <w:pStyle w:val="914"/>
        <w:pBdr/>
        <w:spacing/>
        <w:ind/>
        <w:rPr/>
      </w:pPr>
      <w:r/>
      <w:bookmarkStart w:id="93" w:name="X310aaa7de10299e172a60e3ad4d8245247a6692"/>
      <w:r>
        <w:t xml:space="preserve">Foco: Sim, Efeitos: Não, Concordância Foco: Concordo, Concordância Efeitos: Discordo</w:t>
      </w:r>
      <w:r/>
    </w:p>
    <w:p>
      <w:pPr>
        <w:pStyle w:val="915"/>
        <w:pBdr/>
        <w:spacing/>
        <w:ind/>
        <w:rPr/>
      </w:pPr>
      <w:r/>
      <w:bookmarkStart w:id="86" w:name="auditoria-19461-constatação-nº-666982-3"/>
      <w:r>
        <w:t xml:space="preserve">Auditoria 19461, Constatação Nº 666982 (#3)</w:t>
      </w:r>
      <w:r/>
    </w:p>
    <w:p>
      <w:pPr>
        <w:pStyle w:val="927"/>
        <w:pBdr/>
        <w:spacing/>
        <w:ind/>
        <w:rPr/>
      </w:pPr>
      <w:r>
        <w:rPr>
          <w:b/>
          <w:bCs/>
        </w:rPr>
        <w:t xml:space="preserve">Finalidade</w:t>
      </w:r>
      <w:r>
        <w:t xml:space="preserve">: verificar a regularidade no faturamento das APACs nos procedimentos de quimioterapia do HSVP</w:t>
      </w:r>
      <w:r/>
    </w:p>
    <w:p>
      <w:pPr>
        <w:pStyle w:val="926"/>
        <w:pBdr/>
        <w:spacing/>
        <w:ind/>
        <w:rPr/>
      </w:pPr>
      <w:r>
        <w:rPr>
          <w:b/>
          <w:bCs/>
        </w:rPr>
        <w:t xml:space="preserve">Constatação</w:t>
      </w:r>
      <w:r>
        <w:t xml:space="preserve">: As atas da Comissão de Revisão de Prontuário do Hospital São Vicente de Paulo não incluem as irregularidades verificadas no preenchimento do documento de Controle de Frequência Individual - CFI de quimioterapia, no período auditado.</w:t>
      </w:r>
      <w:r/>
    </w:p>
    <w:p>
      <w:pPr>
        <w:pStyle w:val="926"/>
        <w:pBdr/>
        <w:spacing/>
        <w:ind/>
        <w:rPr/>
      </w:pPr>
      <w:r>
        <w:rPr>
          <w:b/>
          <w:bCs/>
        </w:rPr>
        <w:t xml:space="preserve">Recomendação</w:t>
      </w:r>
      <w:r>
        <w:t xml:space="preserve">: Assegurar que a Comissão de Revisão de Prontuário do HSVP cumpra conforme suas competências com o disposto nas alíneas</w:t>
      </w:r>
      <w:r>
        <w:t xml:space="preserve"> </w:t>
      </w:r>
      <w:r>
        <w:t xml:space="preserve">“a”</w:t>
      </w:r>
      <w:r>
        <w:t xml:space="preserve">,</w:t>
      </w:r>
      <w:r>
        <w:t xml:space="preserve"> </w:t>
      </w:r>
      <w:r>
        <w:t xml:space="preserve">“b”</w:t>
      </w:r>
      <w:r>
        <w:t xml:space="preserve">, do art. 5º, da Resolução CFM nº 1638, de 10/07/2002.</w:t>
      </w:r>
      <w:r/>
    </w:p>
    <w:p>
      <w:pPr>
        <w:pStyle w:val="926"/>
        <w:pBdr/>
        <w:spacing/>
        <w:ind/>
        <w:rPr/>
      </w:pPr>
      <w:r>
        <w:rPr>
          <w:b/>
          <w:bCs/>
        </w:rPr>
        <w:t xml:space="preserve">Análise Codificação</w:t>
      </w:r>
      <w:r>
        <w:t xml:space="preserve">: A recomendação propõe que a Comissão de Revisão de Prontuário cumpra suas competências conforme a resolução, o que sugere uma ação para garantir que irregularidades sejam incluídas nas atas no futuro, abo</w:t>
      </w:r>
      <w:r>
        <w:t xml:space="preserve">rdando a causa do problema relacionada ao não cumprimento de normas. No entanto, os efeitos pretendidos dependem da adesão contínua à resolução e podem ser afetados por mudanças nos atores envolvidos, como membros da comissão, tornando-os menos duradouros.</w:t>
      </w:r>
      <w:r/>
    </w:p>
    <w:p>
      <w:pPr>
        <w:pStyle w:val="928"/>
        <w:numPr>
          <w:ilvl w:val="0"/>
          <w:numId w:val="105"/>
        </w:numPr>
        <w:pBdr/>
        <w:spacing/>
        <w:ind/>
        <w:rPr/>
      </w:pPr>
      <w:r>
        <w:t xml:space="preserve">Ação Foco Causa: Sim</w:t>
      </w:r>
      <w:r/>
    </w:p>
    <w:p>
      <w:pPr>
        <w:pStyle w:val="928"/>
        <w:numPr>
          <w:ilvl w:val="0"/>
          <w:numId w:val="105"/>
        </w:numPr>
        <w:pBdr/>
        <w:spacing/>
        <w:ind/>
        <w:rPr/>
      </w:pPr>
      <w:r>
        <w:t xml:space="preserve">Efeitos Duradouros: Não</w:t>
      </w:r>
      <w:r/>
    </w:p>
    <w:p>
      <w:pPr>
        <w:pStyle w:val="927"/>
        <w:pBdr/>
        <w:spacing/>
        <w:ind/>
        <w:rPr/>
      </w:pPr>
      <w:r>
        <w:rPr>
          <w:b/>
          <w:bCs/>
        </w:rPr>
        <w:t xml:space="preserve">Análise Crítica</w:t>
      </w:r>
      <w:r>
        <w:t xml:space="preserve">: A análise do modelo identificou corretamente que a recomendação aborda a causa do p</w:t>
      </w:r>
      <w:r>
        <w:t xml:space="preserve">roblema ao propor o cumprimento das competências da Comissão de Revisão de Prontuário conforme a resolução, mas a avaliação sobre os efeitos duradouros merece revisão, pois a implementação de normas institucionais tende a criar estruturas mais permanentes.</w:t>
      </w:r>
      <w:r/>
    </w:p>
    <w:p>
      <w:pPr>
        <w:pStyle w:val="928"/>
        <w:numPr>
          <w:ilvl w:val="0"/>
          <w:numId w:val="106"/>
        </w:numPr>
        <w:pBdr/>
        <w:spacing/>
        <w:ind/>
        <w:rPr/>
      </w:pPr>
      <w:r>
        <w:t xml:space="preserve">Análise Foco Causa: Concordo</w:t>
      </w:r>
      <w:r/>
    </w:p>
    <w:p>
      <w:pPr>
        <w:pStyle w:val="928"/>
        <w:numPr>
          <w:ilvl w:val="0"/>
          <w:numId w:val="106"/>
        </w:numPr>
        <w:pBdr/>
        <w:spacing/>
        <w:ind/>
        <w:rPr/>
      </w:pPr>
      <w:r>
        <w:t xml:space="preserve">Análise Efeitos Duradouros: Discordo</w:t>
      </w:r>
      <w:bookmarkEnd w:id="86"/>
      <w:r/>
    </w:p>
    <w:p>
      <w:pPr>
        <w:pStyle w:val="915"/>
        <w:pBdr/>
        <w:spacing/>
        <w:ind/>
        <w:rPr/>
      </w:pPr>
      <w:r/>
      <w:bookmarkStart w:id="87" w:name="auditoria-19538-constatação-nº-675868-1"/>
      <w:r>
        <w:t xml:space="preserve">Auditoria 19538, Constatação Nº 675868 (#1)</w:t>
      </w:r>
      <w:r/>
    </w:p>
    <w:p>
      <w:pPr>
        <w:pStyle w:val="927"/>
        <w:pBdr/>
        <w:spacing/>
        <w:ind/>
        <w:rPr/>
      </w:pPr>
      <w:r>
        <w:rPr>
          <w:b/>
          <w:bCs/>
        </w:rPr>
        <w:t xml:space="preserve">Finalidade</w:t>
      </w:r>
      <w:r>
        <w:t xml:space="preserve">: Avaliar a gestão da SMS quanto aos indicadores de desempenho do programa Previne Brasil.</w:t>
      </w:r>
      <w:r/>
    </w:p>
    <w:p>
      <w:pPr>
        <w:pStyle w:val="926"/>
        <w:pBdr/>
        <w:spacing/>
        <w:ind/>
        <w:rPr/>
      </w:pPr>
      <w:r>
        <w:rPr>
          <w:b/>
          <w:bCs/>
        </w:rPr>
        <w:t xml:space="preserve">Constatação</w:t>
      </w:r>
      <w:r>
        <w:t xml:space="preserve">: A população adscrita por equipe não atende o recomendado na PNAB.</w:t>
      </w:r>
      <w:r/>
    </w:p>
    <w:p>
      <w:pPr>
        <w:pStyle w:val="926"/>
        <w:pBdr/>
        <w:spacing/>
        <w:ind/>
        <w:rPr/>
      </w:pPr>
      <w:r>
        <w:rPr>
          <w:b/>
          <w:bCs/>
        </w:rPr>
        <w:t xml:space="preserve">Recomendação</w:t>
      </w:r>
      <w:r>
        <w:t xml:space="preserve">: 1 - Organizar as equipes da Atenção Básica para garantir o atendimento da população adscrita do município oferecido pel</w:t>
      </w:r>
      <w:r>
        <w:t xml:space="preserve">as equipes de saúde da família para que venham ter estrutura e cobertura mínimas, conforme preconizado no Capítulo I das Disposições Gerais da Atenção Básica à Saúde, 2 - Cumprir o que esta disposto no anexo único da Portaria GM/MS nº 2.979, de 12/11/2019.</w:t>
      </w:r>
      <w:r/>
    </w:p>
    <w:p>
      <w:pPr>
        <w:pStyle w:val="926"/>
        <w:pBdr/>
        <w:spacing/>
        <w:ind/>
        <w:rPr/>
      </w:pPr>
      <w:r>
        <w:rPr>
          <w:b/>
          <w:bCs/>
        </w:rPr>
        <w:t xml:space="preserve">Análise Codificação</w:t>
      </w:r>
      <w:r>
        <w:t xml:space="preserve">: A recomendação propõe a organização das equipes para garantir o atendimento da população adscrita conforme normas, o que indica uma ação para tratar a causa subjacent</w:t>
      </w:r>
      <w:r>
        <w:t xml:space="preserve">e da não conformidade, como realocação ou ajuste estrutural. No entanto, não especifica se os efeitos pretendidos, como a estrutura e cobertura adequadas, seriam mantidos independentemente de mudanças nos atores envolvidos, tornando incerta a durabilidade.</w:t>
      </w:r>
      <w:r/>
    </w:p>
    <w:p>
      <w:pPr>
        <w:pStyle w:val="928"/>
        <w:numPr>
          <w:ilvl w:val="0"/>
          <w:numId w:val="107"/>
        </w:numPr>
        <w:pBdr/>
        <w:spacing/>
        <w:ind/>
        <w:rPr/>
      </w:pPr>
      <w:r>
        <w:t xml:space="preserve">Ação Foco Causa: Sim</w:t>
      </w:r>
      <w:r/>
    </w:p>
    <w:p>
      <w:pPr>
        <w:pStyle w:val="928"/>
        <w:numPr>
          <w:ilvl w:val="0"/>
          <w:numId w:val="107"/>
        </w:numPr>
        <w:pBdr/>
        <w:spacing/>
        <w:ind/>
        <w:rPr/>
      </w:pPr>
      <w:r>
        <w:t xml:space="preserve">Efeitos Duradouros: Não</w:t>
      </w:r>
      <w:r/>
    </w:p>
    <w:p>
      <w:pPr>
        <w:pStyle w:val="927"/>
        <w:pBdr/>
        <w:spacing/>
        <w:ind/>
        <w:rPr/>
      </w:pPr>
      <w:r>
        <w:rPr>
          <w:b/>
          <w:bCs/>
        </w:rPr>
        <w:t xml:space="preserve">Análise Crítica</w:t>
      </w:r>
      <w:r>
        <w:t xml:space="preserve">: A análise do modelo identificou corretamente que a recomendação aborda a causa subjacente ao propor a organização da</w:t>
      </w:r>
      <w:r>
        <w:t xml:space="preserve">s equipes para atender às normas, mas foi imprecisa ao avaliar a durabilidade dos efeitos, pois a implementação de estruturas e coberturas conforme a PNAB e portarias tende a criar mudanças sistêmicas que persistem independentemente de mudanças de pessoal.</w:t>
      </w:r>
      <w:r/>
    </w:p>
    <w:p>
      <w:pPr>
        <w:pStyle w:val="928"/>
        <w:numPr>
          <w:ilvl w:val="0"/>
          <w:numId w:val="108"/>
        </w:numPr>
        <w:pBdr/>
        <w:spacing/>
        <w:ind/>
        <w:rPr/>
      </w:pPr>
      <w:r>
        <w:t xml:space="preserve">Análise Foco Causa: Concordo</w:t>
      </w:r>
      <w:r/>
    </w:p>
    <w:p>
      <w:pPr>
        <w:pStyle w:val="928"/>
        <w:numPr>
          <w:ilvl w:val="0"/>
          <w:numId w:val="108"/>
        </w:numPr>
        <w:pBdr/>
        <w:spacing/>
        <w:ind/>
        <w:rPr/>
      </w:pPr>
      <w:r>
        <w:t xml:space="preserve">Análise Efeitos Duradouros: Discordo</w:t>
      </w:r>
      <w:bookmarkEnd w:id="87"/>
      <w:r/>
    </w:p>
    <w:p>
      <w:pPr>
        <w:pStyle w:val="915"/>
        <w:pBdr/>
        <w:spacing/>
        <w:ind/>
        <w:rPr/>
      </w:pPr>
      <w:r/>
      <w:bookmarkStart w:id="88" w:name="auditoria-19566-constatação-nº-682438-1"/>
      <w:r>
        <w:t xml:space="preserve">Auditoria 19566, Constatação Nº 682438 (#1)</w:t>
      </w:r>
      <w:r/>
    </w:p>
    <w:p>
      <w:pPr>
        <w:pStyle w:val="927"/>
        <w:pBdr/>
        <w:spacing/>
        <w:ind/>
        <w:rPr/>
      </w:pPr>
      <w:r>
        <w:rPr>
          <w:b/>
          <w:bCs/>
        </w:rPr>
        <w:t xml:space="preserve">Finalidade</w:t>
      </w:r>
      <w:r>
        <w:t xml:space="preserve">: Verificar a implementação da Política Nacional de Atenção ao Portador de Doença Renal</w:t>
      </w:r>
      <w:r/>
    </w:p>
    <w:p>
      <w:pPr>
        <w:pStyle w:val="926"/>
        <w:pBdr/>
        <w:spacing/>
        <w:ind/>
        <w:rPr/>
      </w:pPr>
      <w:r>
        <w:rPr>
          <w:b/>
          <w:bCs/>
        </w:rPr>
        <w:t xml:space="preserve">Constatação</w:t>
      </w:r>
      <w:r>
        <w:t xml:space="preserve">: Não foi possível comprovar que os pacientes em tratamento na Clinefro, tiveram acesso a realização de exames de imagem em tempo oportuno.</w:t>
      </w:r>
      <w:r/>
    </w:p>
    <w:p>
      <w:pPr>
        <w:pStyle w:val="926"/>
        <w:pBdr/>
        <w:spacing/>
        <w:ind/>
        <w:rPr/>
      </w:pPr>
      <w:r>
        <w:rPr>
          <w:b/>
          <w:bCs/>
        </w:rPr>
        <w:t xml:space="preserve">Recomendação</w:t>
      </w:r>
      <w:r>
        <w:t xml:space="preserve">: Desenvolver mecanismos de gestão, controle, monitoramento e de avaliação das ações destinadas à organização e à</w:t>
      </w:r>
      <w:r>
        <w:t xml:space="preserve"> implementação das políticas estruturantes para o fortalecimento e a qualificação da atenção especializada à saúde, bem como prestar cooperação técnica na implantação e na implementação de normas pelas equipes das Secretarias de Saúde, de instrumentos e de</w:t>
      </w:r>
      <w:r>
        <w:t xml:space="preserve"> métodos da atenção especializada à saúde que fortaleçam a gestão e a regulação assistencial do SUS, na forma do disposto nos incisos V e VI do art. 26 do Decreto 11.798, de 28 de novembro de 2023, que aprovou a estrutura regimental do Ministério da Saúde.</w:t>
      </w:r>
      <w:r/>
    </w:p>
    <w:p>
      <w:pPr>
        <w:pStyle w:val="926"/>
        <w:pBdr/>
        <w:spacing/>
        <w:ind/>
        <w:rPr/>
      </w:pPr>
      <w:r>
        <w:rPr>
          <w:b/>
          <w:bCs/>
        </w:rPr>
        <w:t xml:space="preserve">Análise Codificação</w:t>
      </w:r>
      <w:r>
        <w:t xml:space="preserve">: A recomendação propõe o desenvolvimento de mecanismos de gestão, controle, monitoramento e avaliação para fortalecer a atenção especializada, o que aborda a causa subjacente da falta de acesso oportuno a exames, como</w:t>
      </w:r>
      <w:r>
        <w:t xml:space="preserve"> deficiências na gestão e regulação. No entanto, os efeitos pretendidos dependem de ações contínuas e podem não ser duradouros se houver mudanças nos atores envolvidos, pois a implementação e manutenção desses mecanismos exigem comprometimento consistente.</w:t>
      </w:r>
      <w:r/>
    </w:p>
    <w:p>
      <w:pPr>
        <w:pStyle w:val="928"/>
        <w:numPr>
          <w:ilvl w:val="0"/>
          <w:numId w:val="109"/>
        </w:numPr>
        <w:pBdr/>
        <w:spacing/>
        <w:ind/>
        <w:rPr/>
      </w:pPr>
      <w:r>
        <w:t xml:space="preserve">Ação Foco Causa: Sim</w:t>
      </w:r>
      <w:r/>
    </w:p>
    <w:p>
      <w:pPr>
        <w:pStyle w:val="928"/>
        <w:numPr>
          <w:ilvl w:val="0"/>
          <w:numId w:val="109"/>
        </w:numPr>
        <w:pBdr/>
        <w:spacing/>
        <w:ind/>
        <w:rPr/>
      </w:pPr>
      <w:r>
        <w:t xml:space="preserve">Efeitos Duradouros: Não</w:t>
      </w:r>
      <w:r/>
    </w:p>
    <w:p>
      <w:pPr>
        <w:pStyle w:val="927"/>
        <w:pBdr/>
        <w:spacing/>
        <w:ind/>
        <w:rPr/>
      </w:pPr>
      <w:r>
        <w:rPr>
          <w:b/>
          <w:bCs/>
        </w:rPr>
        <w:t xml:space="preserve">Análise Crítica</w:t>
      </w:r>
      <w:r>
        <w:t xml:space="preserve">: A análise do modelo identificou corretamente que a recomendação aborda causas estruturais, mas a avaliação sobre a durabilidade dos efeitos merece uma revisão mais aprofundada.</w:t>
      </w:r>
      <w:r/>
    </w:p>
    <w:p>
      <w:pPr>
        <w:pStyle w:val="928"/>
        <w:numPr>
          <w:ilvl w:val="0"/>
          <w:numId w:val="110"/>
        </w:numPr>
        <w:pBdr/>
        <w:spacing/>
        <w:ind/>
        <w:rPr/>
      </w:pPr>
      <w:r>
        <w:t xml:space="preserve">Análise Foco Causa: Concordo</w:t>
      </w:r>
      <w:r/>
    </w:p>
    <w:p>
      <w:pPr>
        <w:pStyle w:val="928"/>
        <w:numPr>
          <w:ilvl w:val="0"/>
          <w:numId w:val="110"/>
        </w:numPr>
        <w:pBdr/>
        <w:spacing/>
        <w:ind/>
        <w:rPr/>
      </w:pPr>
      <w:r>
        <w:t xml:space="preserve">Análise Efeitos Duradouros: Discordo</w:t>
      </w:r>
      <w:bookmarkEnd w:id="88"/>
      <w:r/>
    </w:p>
    <w:p>
      <w:pPr>
        <w:pStyle w:val="915"/>
        <w:pBdr/>
        <w:spacing/>
        <w:ind/>
        <w:rPr/>
      </w:pPr>
      <w:r/>
      <w:bookmarkStart w:id="89" w:name="auditoria-19610-constatação-nº-674164-1"/>
      <w:r>
        <w:t xml:space="preserve">Auditoria 19610, Constatação Nº 674164 (#1)</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Registro de afastamento do trabalho na folha de frequência sem que esteja acompanhado de atestado médico ou justificativa da ocorrência.</w:t>
      </w:r>
      <w:r/>
    </w:p>
    <w:p>
      <w:pPr>
        <w:pStyle w:val="926"/>
        <w:pBdr/>
        <w:spacing/>
        <w:ind/>
        <w:rPr/>
      </w:pPr>
      <w:r>
        <w:rPr>
          <w:b/>
          <w:bCs/>
        </w:rPr>
        <w:t xml:space="preserve">Recomendação</w:t>
      </w:r>
      <w:r>
        <w:t xml:space="preserve">: Orientar os DSEI para que anotem em registro manual, mecânico ou eletrônico, o motivo da ausência dos trabalhadores.</w:t>
      </w:r>
      <w:r/>
    </w:p>
    <w:p>
      <w:pPr>
        <w:pStyle w:val="926"/>
        <w:pBdr/>
        <w:spacing/>
        <w:ind/>
        <w:rPr/>
      </w:pPr>
      <w:r>
        <w:rPr>
          <w:b/>
          <w:bCs/>
        </w:rPr>
        <w:t xml:space="preserve">Análise Codificação</w:t>
      </w:r>
      <w:r>
        <w:t xml:space="preserve">: A recomendação propõe a criação de um registro para documentar o motivo das ausências, o que visa abordar a causa do problema, que é a falta de documentação adequ</w:t>
      </w:r>
      <w:r>
        <w:t xml:space="preserve">ada para afastamentos. No entanto, os efeitos pretendidos dependem da ação contínua dos atores envolvidos, como os DSEI, para manter o registro, e podem não persistir se houver mudanças nesses atores, pois não há menção a sistemas ou políticas permanentes.</w:t>
      </w:r>
      <w:r/>
    </w:p>
    <w:p>
      <w:pPr>
        <w:pStyle w:val="928"/>
        <w:numPr>
          <w:ilvl w:val="0"/>
          <w:numId w:val="111"/>
        </w:numPr>
        <w:pBdr/>
        <w:spacing/>
        <w:ind/>
        <w:rPr/>
      </w:pPr>
      <w:r>
        <w:t xml:space="preserve">Ação Foco Causa: Sim</w:t>
      </w:r>
      <w:r/>
    </w:p>
    <w:p>
      <w:pPr>
        <w:pStyle w:val="928"/>
        <w:numPr>
          <w:ilvl w:val="0"/>
          <w:numId w:val="111"/>
        </w:numPr>
        <w:pBdr/>
        <w:spacing/>
        <w:ind/>
        <w:rPr/>
      </w:pPr>
      <w:r>
        <w:t xml:space="preserve">Efeitos Duradouros: Não</w:t>
      </w:r>
      <w:r/>
    </w:p>
    <w:p>
      <w:pPr>
        <w:pStyle w:val="927"/>
        <w:pBdr/>
        <w:spacing/>
        <w:ind/>
        <w:rPr/>
      </w:pPr>
      <w:r>
        <w:rPr>
          <w:b/>
          <w:bCs/>
        </w:rPr>
        <w:t xml:space="preserve">Análise Crítica</w:t>
      </w:r>
      <w:r>
        <w:t xml:space="preserve">: A análise fornecida avalia corretamente que a recomendação aborda a causa</w:t>
      </w:r>
      <w:r>
        <w:t xml:space="preserve"> subjacente da falta de documentação para afastamentos, mas discordo da conclusão sobre os efeitos duradouros, pois a implementação de um registro estruturado pode estabelecer uma prática institucional que persiste independentemente de mudanças de pessoal.</w:t>
      </w:r>
      <w:r/>
    </w:p>
    <w:p>
      <w:pPr>
        <w:pStyle w:val="928"/>
        <w:numPr>
          <w:ilvl w:val="0"/>
          <w:numId w:val="112"/>
        </w:numPr>
        <w:pBdr/>
        <w:spacing/>
        <w:ind/>
        <w:rPr/>
      </w:pPr>
      <w:r>
        <w:t xml:space="preserve">Análise Foco Causa: Concordo</w:t>
      </w:r>
      <w:r/>
    </w:p>
    <w:p>
      <w:pPr>
        <w:pStyle w:val="928"/>
        <w:numPr>
          <w:ilvl w:val="0"/>
          <w:numId w:val="112"/>
        </w:numPr>
        <w:pBdr/>
        <w:spacing/>
        <w:ind/>
        <w:rPr/>
      </w:pPr>
      <w:r>
        <w:t xml:space="preserve">Análise Efeitos Duradouros: Discordo</w:t>
      </w:r>
      <w:bookmarkEnd w:id="89"/>
      <w:r/>
    </w:p>
    <w:p>
      <w:pPr>
        <w:pStyle w:val="915"/>
        <w:pBdr/>
        <w:spacing/>
        <w:ind/>
        <w:rPr/>
      </w:pPr>
      <w:r/>
      <w:bookmarkStart w:id="90" w:name="auditoria-19612-constatação-nº-674784-1"/>
      <w:r>
        <w:t xml:space="preserve">Auditoria 19612, Constatação Nº 674784 (#1)</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Empresas participantes de processo licitatório possuem o mesmo Sócio Administrador.</w:t>
      </w:r>
      <w:r/>
    </w:p>
    <w:p>
      <w:pPr>
        <w:pStyle w:val="926"/>
        <w:pBdr/>
        <w:spacing/>
        <w:ind/>
        <w:rPr/>
      </w:pPr>
      <w:r>
        <w:rPr>
          <w:b/>
          <w:bCs/>
        </w:rPr>
        <w:t xml:space="preserve">Recomendação</w:t>
      </w:r>
      <w:r>
        <w:t xml:space="preserve">: Avaliar a necessidade de encaminhamento de r</w:t>
      </w:r>
      <w:r>
        <w:t xml:space="preserve">epresentação ao Ministério Público Federal e ao Tribunal de Contas da União para julgamento da conduta de montagem de processo de cotação de preço posterior a celebração do contrato, nos termos do Art. 58 da Portaria Interministerial MP/MF/CGU nº 424/2016.</w:t>
      </w:r>
      <w:r/>
    </w:p>
    <w:p>
      <w:pPr>
        <w:pStyle w:val="926"/>
        <w:pBdr/>
        <w:spacing/>
        <w:ind/>
        <w:rPr/>
      </w:pPr>
      <w:r>
        <w:rPr>
          <w:b/>
          <w:bCs/>
        </w:rPr>
        <w:t xml:space="preserve">Análise Codificação</w:t>
      </w:r>
      <w:r>
        <w:t xml:space="preserve">: A recomendação propõe encaminhar a situação para órgãos de controle para julgamento da conduta de montagem de processo de cotação de preço após a celebração do contrato, o que indica uma ação voltada para investigar e possivelmente sancionar a c</w:t>
      </w:r>
      <w:r>
        <w:t xml:space="preserve">ausa subjacente do problema, como práticas irregulares na licitação. No entanto, os efeitos pretendidos dependem de ações externas e podem não ser duradouros se os atores mudarem, pois não há menção a mudanças estruturais internas que perpetuem a correção.</w:t>
      </w:r>
      <w:r/>
    </w:p>
    <w:p>
      <w:pPr>
        <w:pStyle w:val="928"/>
        <w:numPr>
          <w:ilvl w:val="0"/>
          <w:numId w:val="113"/>
        </w:numPr>
        <w:pBdr/>
        <w:spacing/>
        <w:ind/>
        <w:rPr/>
      </w:pPr>
      <w:r>
        <w:t xml:space="preserve">Ação Foco Causa: Sim</w:t>
      </w:r>
      <w:r/>
    </w:p>
    <w:p>
      <w:pPr>
        <w:pStyle w:val="928"/>
        <w:numPr>
          <w:ilvl w:val="0"/>
          <w:numId w:val="113"/>
        </w:numPr>
        <w:pBdr/>
        <w:spacing/>
        <w:ind/>
        <w:rPr/>
      </w:pPr>
      <w:r>
        <w:t xml:space="preserve">Efeitos Duradouros: Não</w:t>
      </w:r>
      <w:r/>
    </w:p>
    <w:p>
      <w:pPr>
        <w:pStyle w:val="927"/>
        <w:pBdr/>
        <w:spacing/>
        <w:ind/>
        <w:rPr/>
      </w:pPr>
      <w:r>
        <w:rPr>
          <w:b/>
          <w:bCs/>
        </w:rPr>
        <w:t xml:space="preserve">Análise Crítica</w:t>
      </w:r>
      <w:r>
        <w:t xml:space="preserve">: A análise do modelo identificou corretamente que a recomendação trata da causa do problema ao propor encaminhamento para órgãos de controle, mas a avaliação sobre efeitos duradouros requer uma interpretação mais precisa do critério.</w:t>
      </w:r>
      <w:r/>
    </w:p>
    <w:p>
      <w:pPr>
        <w:pStyle w:val="928"/>
        <w:numPr>
          <w:ilvl w:val="0"/>
          <w:numId w:val="114"/>
        </w:numPr>
        <w:pBdr/>
        <w:spacing/>
        <w:ind/>
        <w:rPr/>
      </w:pPr>
      <w:r>
        <w:t xml:space="preserve">Análise Foco Causa: Concordo</w:t>
      </w:r>
      <w:r/>
    </w:p>
    <w:p>
      <w:pPr>
        <w:pStyle w:val="928"/>
        <w:numPr>
          <w:ilvl w:val="0"/>
          <w:numId w:val="114"/>
        </w:numPr>
        <w:pBdr/>
        <w:spacing/>
        <w:ind/>
        <w:rPr/>
      </w:pPr>
      <w:r>
        <w:t xml:space="preserve">Análise Efeitos Duradouros: Discordo</w:t>
      </w:r>
      <w:bookmarkEnd w:id="90"/>
      <w:r/>
    </w:p>
    <w:p>
      <w:pPr>
        <w:pStyle w:val="915"/>
        <w:pBdr/>
        <w:spacing/>
        <w:ind/>
        <w:rPr/>
      </w:pPr>
      <w:r/>
      <w:bookmarkStart w:id="91" w:name="auditoria-19869-constatação-nº-703643-1"/>
      <w:r>
        <w:t xml:space="preserve">Auditoria 19869, Constatação Nº 703643 (#1)</w:t>
      </w:r>
      <w:r/>
    </w:p>
    <w:p>
      <w:pPr>
        <w:pStyle w:val="927"/>
        <w:pBdr/>
        <w:spacing/>
        <w:ind/>
        <w:rPr/>
      </w:pPr>
      <w:r>
        <w:rPr>
          <w:b/>
          <w:bCs/>
        </w:rPr>
        <w:t xml:space="preserve">Finalidade</w:t>
      </w:r>
      <w:r>
        <w:t xml:space="preserve">: Verificar a regularidade na inserção da produção no SIA/SUS</w:t>
      </w:r>
      <w:r/>
    </w:p>
    <w:p>
      <w:pPr>
        <w:pStyle w:val="926"/>
        <w:pBdr/>
        <w:spacing/>
        <w:ind/>
        <w:rPr/>
      </w:pPr>
      <w:r>
        <w:rPr>
          <w:b/>
          <w:bCs/>
        </w:rPr>
        <w:t xml:space="preserve">Constatação</w:t>
      </w:r>
      <w:r>
        <w:t xml:space="preserve">: As informações do Hospital Municipal Raimundo Rodrigues Siqueira no Cadastro Nacional dos Estabelecimentos de Saúde (Cnes) estão desatualizadas.</w:t>
      </w:r>
      <w:r/>
    </w:p>
    <w:p>
      <w:pPr>
        <w:pStyle w:val="926"/>
        <w:pBdr/>
        <w:spacing/>
        <w:ind/>
        <w:rPr/>
      </w:pPr>
      <w:r>
        <w:rPr>
          <w:b/>
          <w:bCs/>
        </w:rPr>
        <w:t xml:space="preserve">Recomendação</w:t>
      </w:r>
      <w:r>
        <w:t xml:space="preserve">: 1. Adotar, juntamente com a direção do HMRRS, providências no sentido de atualizar as informações do sistema Cnes conforme preconiza o disposto nos art. 364 e 370 da Portaria de C</w:t>
      </w:r>
      <w:r>
        <w:t xml:space="preserve">onsolidação GM/MS nº 1/2017. 2. Fiscalizar, auditar, validar ou alterar, quando necessário, o cadastro dos estabelecimentos de saúde integrantes do SUS que estejam sob seu comando, conforme estabelece o art. 369 da Portaria de Consolidação GM/MS nº 1/2017.</w:t>
      </w:r>
      <w:r/>
    </w:p>
    <w:p>
      <w:pPr>
        <w:pStyle w:val="926"/>
        <w:pBdr/>
        <w:spacing/>
        <w:ind/>
        <w:rPr/>
      </w:pPr>
      <w:r>
        <w:rPr>
          <w:b/>
          <w:bCs/>
        </w:rPr>
        <w:t xml:space="preserve">Análise Codificação</w:t>
      </w:r>
      <w:r>
        <w:t xml:space="preserve">: A recomendaçã</w:t>
      </w:r>
      <w:r>
        <w:t xml:space="preserve">o propõe ações para atualizar e manter as informações no sistema CNES, incluindo a adoção de providências com a direção do hospital e a fiscalização contínua do cadastro, o que sugere um foco na causa do problema (falta de processos para manter dados atual</w:t>
      </w:r>
      <w:r>
        <w:t xml:space="preserve">izados). No entanto, as ações descritas são genéricas e não especificam medidas institucionais duradouras, como a criação de políticas ou procedimentos permanentes, tornando incerto se os efeitos pretendidos persistiriam com mudanças nos atores envolvidos.</w:t>
      </w:r>
      <w:r/>
    </w:p>
    <w:p>
      <w:pPr>
        <w:pStyle w:val="928"/>
        <w:numPr>
          <w:ilvl w:val="0"/>
          <w:numId w:val="115"/>
        </w:numPr>
        <w:pBdr/>
        <w:spacing/>
        <w:ind/>
        <w:rPr/>
      </w:pPr>
      <w:r>
        <w:t xml:space="preserve">Ação Foco Causa: Sim</w:t>
      </w:r>
      <w:r/>
    </w:p>
    <w:p>
      <w:pPr>
        <w:pStyle w:val="928"/>
        <w:numPr>
          <w:ilvl w:val="0"/>
          <w:numId w:val="115"/>
        </w:numPr>
        <w:pBdr/>
        <w:spacing/>
        <w:ind/>
        <w:rPr/>
      </w:pPr>
      <w:r>
        <w:t xml:space="preserve">Efeitos Duradouros: Não</w:t>
      </w:r>
      <w:r/>
    </w:p>
    <w:p>
      <w:pPr>
        <w:pStyle w:val="927"/>
        <w:pBdr/>
        <w:spacing/>
        <w:ind/>
        <w:rPr/>
      </w:pPr>
      <w:r>
        <w:rPr>
          <w:b/>
          <w:bCs/>
        </w:rPr>
        <w:t xml:space="preserve">Análise Crítica</w:t>
      </w:r>
      <w:r>
        <w:t xml:space="preserve">: A análise do model</w:t>
      </w:r>
      <w:r>
        <w:t xml:space="preserve">o identifica corretamente que a recomendação aborda a causa subjacente (falta de processos para manter dados atualizados) e questiona a durabilidade dos efeitos devido à falta de especificidade em medidas institucionais. No entanto, a avaliação do critério</w:t>
      </w:r>
      <w:r>
        <w:t xml:space="preserve"> </w:t>
      </w:r>
      <w:r>
        <w:t xml:space="preserve">‘Efeitos Duradouros’</w:t>
      </w:r>
      <w:r>
        <w:t xml:space="preserve"> </w:t>
      </w:r>
      <w:r>
        <w:t xml:space="preserve">merece uma revisão mais aprofundada.</w:t>
      </w:r>
      <w:r/>
    </w:p>
    <w:p>
      <w:pPr>
        <w:pStyle w:val="928"/>
        <w:numPr>
          <w:ilvl w:val="0"/>
          <w:numId w:val="116"/>
        </w:numPr>
        <w:pBdr/>
        <w:spacing/>
        <w:ind/>
        <w:rPr/>
      </w:pPr>
      <w:r>
        <w:t xml:space="preserve">Análise Foco Causa: Concordo</w:t>
      </w:r>
      <w:r/>
    </w:p>
    <w:p>
      <w:pPr>
        <w:pStyle w:val="928"/>
        <w:numPr>
          <w:ilvl w:val="0"/>
          <w:numId w:val="116"/>
        </w:numPr>
        <w:pBdr/>
        <w:spacing/>
        <w:ind/>
        <w:rPr/>
      </w:pPr>
      <w:r>
        <w:t xml:space="preserve">Análise Efeitos Duradouros: Discordo</w:t>
      </w:r>
      <w:bookmarkEnd w:id="91"/>
      <w:r/>
    </w:p>
    <w:p>
      <w:pPr>
        <w:pStyle w:val="915"/>
        <w:pBdr/>
        <w:spacing/>
        <w:ind/>
        <w:rPr/>
      </w:pPr>
      <w:r/>
      <w:bookmarkStart w:id="92" w:name="auditoria-19892-constatação-nº-704024-1"/>
      <w:r>
        <w:t xml:space="preserve">Auditoria 19892, Constatação Nº 704024 (#1)</w:t>
      </w:r>
      <w:r/>
    </w:p>
    <w:p>
      <w:pPr>
        <w:pStyle w:val="927"/>
        <w:pBdr/>
        <w:spacing/>
        <w:ind/>
        <w:rPr/>
      </w:pPr>
      <w:r>
        <w:rPr>
          <w:b/>
          <w:bCs/>
        </w:rPr>
        <w:t xml:space="preserve">Finalidade</w:t>
      </w:r>
      <w:r>
        <w:t xml:space="preserve">: Realizar auditoria de oncologia, SIA e SIH, na Santa Casa de Misericórdia de Patos de Minas/MG</w:t>
      </w:r>
      <w:r/>
    </w:p>
    <w:p>
      <w:pPr>
        <w:pStyle w:val="926"/>
        <w:pBdr/>
        <w:spacing/>
        <w:ind/>
        <w:rPr/>
      </w:pPr>
      <w:r>
        <w:rPr>
          <w:b/>
          <w:bCs/>
        </w:rPr>
        <w:t xml:space="preserve">Constatação</w:t>
      </w:r>
      <w:r>
        <w:t xml:space="preserve">: A Santa Casa de Misericórdia de Patos de Minas/MG iniciou o tratamento clínico em oncológia (quimioterapia ou radioterapia) antes da autorização formal da APAC pelo Gestor.</w:t>
      </w:r>
      <w:r/>
    </w:p>
    <w:p>
      <w:pPr>
        <w:pStyle w:val="926"/>
        <w:pBdr/>
        <w:spacing/>
        <w:ind/>
        <w:rPr/>
      </w:pPr>
      <w:r>
        <w:rPr>
          <w:b/>
          <w:bCs/>
        </w:rPr>
        <w:t xml:space="preserve">Recomendação</w:t>
      </w:r>
      <w:r>
        <w:t xml:space="preserve">: Cumprir as determinações do Manual de Bases Técnicas</w:t>
      </w:r>
      <w:r>
        <w:t xml:space="preserve"> da Oncologia SIA/SUS (30ª edição, 2022), o qual versa que nos procedimentos que exigem autorização prévia, o profissional responsável pelo usuário emite o Laudo para Solicitação/Autorização de Procedimentos Ambulatoriais conhecido genericamente como APAC.</w:t>
      </w:r>
      <w:r/>
    </w:p>
    <w:p>
      <w:pPr>
        <w:pStyle w:val="926"/>
        <w:pBdr/>
        <w:spacing/>
        <w:ind/>
        <w:rPr/>
      </w:pPr>
      <w:r>
        <w:rPr>
          <w:b/>
          <w:bCs/>
        </w:rPr>
        <w:t xml:space="preserve">Análise Codificação</w:t>
      </w:r>
      <w:r>
        <w:t xml:space="preserve">: A recomendação enfatiza o cumprimento de um procedimento normativo específico para garantir que a autorização formal (APAC) seja obtida antes do início do tratamento, abordando diretamente a causa do problema, que é a não conformid</w:t>
      </w:r>
      <w:r>
        <w:t xml:space="preserve">ade com as regras estabelecidas. No entanto, os efeitos pretendidos dependem da adesão contínua ao manual por parte dos profissionais, e mudanças na equipe ou interpretações poderiam afetar a sustentabilidade, tornando os efeitos não totalmente duradouros.</w:t>
      </w:r>
      <w:r/>
    </w:p>
    <w:p>
      <w:pPr>
        <w:pStyle w:val="928"/>
        <w:numPr>
          <w:ilvl w:val="0"/>
          <w:numId w:val="117"/>
        </w:numPr>
        <w:pBdr/>
        <w:spacing/>
        <w:ind/>
        <w:rPr/>
      </w:pPr>
      <w:r>
        <w:t xml:space="preserve">Ação Foco Causa: Sim</w:t>
      </w:r>
      <w:r/>
    </w:p>
    <w:p>
      <w:pPr>
        <w:pStyle w:val="928"/>
        <w:numPr>
          <w:ilvl w:val="0"/>
          <w:numId w:val="117"/>
        </w:numPr>
        <w:pBdr/>
        <w:spacing/>
        <w:ind/>
        <w:rPr/>
      </w:pPr>
      <w:r>
        <w:t xml:space="preserve">Efeitos Duradouros: Não</w:t>
      </w:r>
      <w:r/>
    </w:p>
    <w:p>
      <w:pPr>
        <w:pStyle w:val="927"/>
        <w:pBdr/>
        <w:spacing/>
        <w:ind/>
        <w:rPr/>
      </w:pPr>
      <w:r>
        <w:rPr>
          <w:b/>
          <w:bCs/>
        </w:rPr>
        <w:t xml:space="preserve">Análise Crítica</w:t>
      </w:r>
      <w:r>
        <w:t xml:space="preserve">: A análise do modelo identificou corretamente que a recomendação aborda a causa do problema, que é a não conformidade com as regras estabele</w:t>
      </w:r>
      <w:r>
        <w:t xml:space="preserve">cidas, mas avaliou incorretamente os efeitos duradouros ao considerar que dependem apenas da adesão contínua dos profissionais, sem levar em conta que a implementação do procedimento normativo como prática institucional pode gerar efeitos mais permanentes.</w:t>
      </w:r>
      <w:r/>
    </w:p>
    <w:p>
      <w:pPr>
        <w:pStyle w:val="928"/>
        <w:numPr>
          <w:ilvl w:val="0"/>
          <w:numId w:val="118"/>
        </w:numPr>
        <w:pBdr/>
        <w:spacing/>
        <w:ind/>
        <w:rPr/>
      </w:pPr>
      <w:r>
        <w:t xml:space="preserve">Análise Foco Causa: Concordo</w:t>
      </w:r>
      <w:r/>
    </w:p>
    <w:p>
      <w:pPr>
        <w:pStyle w:val="928"/>
        <w:numPr>
          <w:ilvl w:val="0"/>
          <w:numId w:val="118"/>
        </w:numPr>
        <w:pBdr/>
        <w:spacing/>
        <w:ind/>
        <w:rPr/>
      </w:pPr>
      <w:r>
        <w:t xml:space="preserve">Análise Efeitos Duradouros: Discordo</w:t>
      </w:r>
      <w:bookmarkEnd w:id="92"/>
      <w:bookmarkEnd w:id="93"/>
      <w:r/>
    </w:p>
    <w:p>
      <w:pPr>
        <w:pStyle w:val="914"/>
        <w:pBdr/>
        <w:spacing/>
        <w:ind/>
        <w:rPr/>
      </w:pPr>
      <w:r/>
      <w:bookmarkStart w:id="99" w:name="X110375a53eb2a627959cea8c218d00dc9d418c1"/>
      <w:r>
        <w:t xml:space="preserve">Foco: Sim, Efeitos: Não, Concordância Foco: Concordo, Concordância Efeitos: Concordo</w:t>
      </w:r>
      <w:r/>
    </w:p>
    <w:p>
      <w:pPr>
        <w:pStyle w:val="915"/>
        <w:pBdr/>
        <w:spacing/>
        <w:ind/>
        <w:rPr/>
      </w:pPr>
      <w:r/>
      <w:bookmarkStart w:id="94" w:name="auditoria-19462-constatação-nº-671393-1"/>
      <w:r>
        <w:t xml:space="preserve">Auditoria 19462, Constatação Nº 671393 (#1)</w:t>
      </w:r>
      <w:r/>
    </w:p>
    <w:p>
      <w:pPr>
        <w:pStyle w:val="927"/>
        <w:pBdr/>
        <w:spacing/>
        <w:ind/>
        <w:rPr/>
      </w:pPr>
      <w:r>
        <w:rPr>
          <w:b/>
          <w:bCs/>
        </w:rPr>
        <w:t xml:space="preserve">Finalidade</w:t>
      </w:r>
      <w:r>
        <w:t xml:space="preserve">: Avaliar acuidade das informações prestada, Munic. de Capixaba, ref. PROGRAMA PREVINE . A.P.S</w:t>
      </w:r>
      <w:r/>
    </w:p>
    <w:p>
      <w:pPr>
        <w:pStyle w:val="926"/>
        <w:pBdr/>
        <w:spacing/>
        <w:ind/>
        <w:rPr/>
      </w:pPr>
      <w:r>
        <w:rPr>
          <w:b/>
          <w:bCs/>
        </w:rPr>
        <w:t xml:space="preserve">Constatação</w:t>
      </w:r>
      <w:r>
        <w:t xml:space="preserve">: O município não realiza o p</w:t>
      </w:r>
      <w:r>
        <w:t xml:space="preserve">reenchimento adequado dos prontuários físicos, os quais deveriam seguir o padrão de acordo com as orientações do guia de qualificação CDS (Coleta de Dados Simplificada), como meio de suporte para os dados consolidados no SISAB, por indicador de desempenho.</w:t>
      </w:r>
      <w:r/>
    </w:p>
    <w:p>
      <w:pPr>
        <w:pStyle w:val="926"/>
        <w:pBdr/>
        <w:spacing/>
        <w:ind/>
        <w:rPr/>
      </w:pPr>
      <w:r>
        <w:rPr>
          <w:b/>
          <w:bCs/>
        </w:rPr>
        <w:t xml:space="preserve">Recomendação</w:t>
      </w:r>
      <w:r>
        <w:t xml:space="preserve">: Utilizar, </w:t>
      </w:r>
      <w:r>
        <w:t xml:space="preserve">de forma efetiva, para fins de qualificação dos registros das informações relacionadas aos indicadores pactuados, os instrumentos orientativos disponibilizados pelo Ministério da Saúde no SISAB referentes aos Guias de Qualificação dos Indicadores, em atend</w:t>
      </w:r>
      <w:r>
        <w:t xml:space="preserve">imento ao contido no Manual Instrutivo do Previne Brasil, item 2.2.2.1 - Registro das informações, 1ª ed., p. 37, 2021, concomitante com a PRC nº 02/2017, Anexo I do Anexo XXII, incisos X e XV, item 4, sobre Atribuições dos profissionais da Atenção Básica.</w:t>
      </w:r>
      <w:r/>
    </w:p>
    <w:p>
      <w:pPr>
        <w:pStyle w:val="926"/>
        <w:pBdr/>
        <w:spacing/>
        <w:ind/>
        <w:rPr/>
      </w:pPr>
      <w:r>
        <w:rPr>
          <w:b/>
          <w:bCs/>
        </w:rPr>
        <w:t xml:space="preserve">Análise Codificação</w:t>
      </w:r>
      <w:r>
        <w:t xml:space="preserve">: A recomendação sugere a utilização de instrumentos orientativos para qualificar os registros, o que aborda a causa do problema, que é a falta </w:t>
      </w:r>
      <w:r>
        <w:t xml:space="preserve">de adesão às diretrizes estabelecidas. No entanto, não propõe ações específicas para garantir que os efeitos perdurem independentemente de mudanças nos atores envolvidos, como a implementação de sistemas de monitoramento contínuo ou treinamentos regulares.</w:t>
      </w:r>
      <w:r/>
    </w:p>
    <w:p>
      <w:pPr>
        <w:pStyle w:val="928"/>
        <w:numPr>
          <w:ilvl w:val="0"/>
          <w:numId w:val="119"/>
        </w:numPr>
        <w:pBdr/>
        <w:spacing/>
        <w:ind/>
        <w:rPr/>
      </w:pPr>
      <w:r>
        <w:t xml:space="preserve">Ação Foco Causa: Sim</w:t>
      </w:r>
      <w:r/>
    </w:p>
    <w:p>
      <w:pPr>
        <w:pStyle w:val="928"/>
        <w:numPr>
          <w:ilvl w:val="0"/>
          <w:numId w:val="119"/>
        </w:numPr>
        <w:pBdr/>
        <w:spacing/>
        <w:ind/>
        <w:rPr/>
      </w:pPr>
      <w:r>
        <w:t xml:space="preserve">Efeitos Duradouros: Não</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sugere a utilização de instrumentos orientativos para qualificar os registros, o que aborda a causa do problema, que é a falta de adesão às diretrizes estabelecidas. Quanto ao critério</w:t>
      </w:r>
      <w:r>
        <w:t xml:space="preserve"> </w:t>
      </w:r>
      <w:r>
        <w:t xml:space="preserve">‘Efeitos Duradouros’</w:t>
      </w:r>
      <w:r>
        <w:t xml:space="preserve">, a recomendação não propõe ações específicas para garantir que os efeitos perdurem independentemente de mudanças nos atores envolvidos, como a implementação de sistemas de monitoramento contínuo ou treinamentos regulares.</w:t>
      </w:r>
      <w:r/>
    </w:p>
    <w:p>
      <w:pPr>
        <w:pStyle w:val="928"/>
        <w:numPr>
          <w:ilvl w:val="0"/>
          <w:numId w:val="120"/>
        </w:numPr>
        <w:pBdr/>
        <w:spacing/>
        <w:ind/>
        <w:rPr/>
      </w:pPr>
      <w:r>
        <w:t xml:space="preserve">Análise Foco Causa: Concordo</w:t>
      </w:r>
      <w:r/>
    </w:p>
    <w:p>
      <w:pPr>
        <w:pStyle w:val="928"/>
        <w:numPr>
          <w:ilvl w:val="0"/>
          <w:numId w:val="120"/>
        </w:numPr>
        <w:pBdr/>
        <w:spacing/>
        <w:ind/>
        <w:rPr/>
      </w:pPr>
      <w:r>
        <w:t xml:space="preserve">Análise Efeitos Duradouros: Concordo</w:t>
      </w:r>
      <w:bookmarkEnd w:id="94"/>
      <w:r/>
    </w:p>
    <w:p>
      <w:pPr>
        <w:pStyle w:val="915"/>
        <w:pBdr/>
        <w:spacing/>
        <w:ind/>
        <w:rPr/>
      </w:pPr>
      <w:r/>
      <w:bookmarkStart w:id="95" w:name="auditoria-19611-constatação-nº-674396-1"/>
      <w:r>
        <w:t xml:space="preserve">Auditoria 19611, Constatação Nº 674396 (#1)</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Contratação e pagamento de serviços referentes à Sistema Integrado de Gestão, sem que restasse comprovada a necessidade da contratação e a efetiva prestação dos serviços.</w:t>
      </w:r>
      <w:r/>
    </w:p>
    <w:p>
      <w:pPr>
        <w:pStyle w:val="926"/>
        <w:pBdr/>
        <w:spacing/>
        <w:ind/>
        <w:rPr/>
      </w:pPr>
      <w:r>
        <w:rPr>
          <w:b/>
          <w:bCs/>
        </w:rPr>
        <w:t xml:space="preserve">Recomendação</w:t>
      </w:r>
      <w:r>
        <w:t xml:space="preserve">: Orientar os fiscais técnicos do convênio e/ou gestor do concedente, que atuam no processo de execução, a</w:t>
      </w:r>
      <w:r>
        <w:t xml:space="preserve"> realizar a conferência da documentação comprobatória do processo de contratação por meio de dispensa, inexigibilidade e cotação de preços pela convenente inserida no sistema, em conformidade ao previsto no art. 45, da Portaria Interministerial MP/MF/CGU n</w:t>
      </w:r>
      <w:r>
        <w:t xml:space="preserve">º 424/2016; art. 12 da Portaria de Consolidação Sesai/MS nº 1/2020; §2º do art. 54, art. 56 e art. 77 da Portaria MP/MF/CGU nº 424/2016, no sentido de evitar desobediência aos normativos e cometimento de irregularidades nos atos praticados pela convenente.</w:t>
      </w:r>
      <w:r/>
    </w:p>
    <w:p>
      <w:pPr>
        <w:pStyle w:val="926"/>
        <w:pBdr/>
        <w:spacing/>
        <w:ind/>
        <w:rPr/>
      </w:pPr>
      <w:r>
        <w:rPr>
          <w:b/>
          <w:bCs/>
        </w:rPr>
        <w:t xml:space="preserve">Análise Codificação</w:t>
      </w:r>
      <w:r>
        <w:t xml:space="preserve">: A recomendação propõe orientar fiscais e gestores a conferir documentação comprobatória para evit</w:t>
      </w:r>
      <w:r>
        <w:t xml:space="preserve">ar desobediência a normativos e irregularidades, focando na causa do problema, que é a falta de verificação adequada. No entanto, os efeitos pretendidos dependem da ação contínua desses atores específicos e podem não persistir se houver mudanças na equipe.</w:t>
      </w:r>
      <w:r/>
    </w:p>
    <w:p>
      <w:pPr>
        <w:pStyle w:val="928"/>
        <w:numPr>
          <w:ilvl w:val="0"/>
          <w:numId w:val="121"/>
        </w:numPr>
        <w:pBdr/>
        <w:spacing/>
        <w:ind/>
        <w:rPr/>
      </w:pPr>
      <w:r>
        <w:t xml:space="preserve">Ação Foco Causa: Sim</w:t>
      </w:r>
      <w:r/>
    </w:p>
    <w:p>
      <w:pPr>
        <w:pStyle w:val="928"/>
        <w:numPr>
          <w:ilvl w:val="0"/>
          <w:numId w:val="121"/>
        </w:numPr>
        <w:pBdr/>
        <w:spacing/>
        <w:ind/>
        <w:rPr/>
      </w:pPr>
      <w:r>
        <w:t xml:space="preserve">Efeitos Duradouros: Não</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propõe uma ação que visa prevenir a reincidência da irregularidade ao estabelecer um processo de verificação documental, o que caracteriza um foco na causa. Quanto ao critério</w:t>
      </w:r>
      <w:r>
        <w:t xml:space="preserve"> </w:t>
      </w:r>
      <w:r>
        <w:t xml:space="preserve">‘Efeitos Duradouros’</w:t>
      </w:r>
      <w:r>
        <w:t xml:space="preserve">, a ação sugerida depende da execução contínua por fiscais e gestores específicos, sem estabelecer mecanismos institucionais permanentes, o que limita a durabilidade dos efeitos.</w:t>
      </w:r>
      <w:r/>
    </w:p>
    <w:p>
      <w:pPr>
        <w:pStyle w:val="928"/>
        <w:numPr>
          <w:ilvl w:val="0"/>
          <w:numId w:val="122"/>
        </w:numPr>
        <w:pBdr/>
        <w:spacing/>
        <w:ind/>
        <w:rPr/>
      </w:pPr>
      <w:r>
        <w:t xml:space="preserve">Análise Foco Causa: Concordo</w:t>
      </w:r>
      <w:r/>
    </w:p>
    <w:p>
      <w:pPr>
        <w:pStyle w:val="928"/>
        <w:numPr>
          <w:ilvl w:val="0"/>
          <w:numId w:val="122"/>
        </w:numPr>
        <w:pBdr/>
        <w:spacing/>
        <w:ind/>
        <w:rPr/>
      </w:pPr>
      <w:r>
        <w:t xml:space="preserve">Análise Efeitos Duradouros: Concordo</w:t>
      </w:r>
      <w:bookmarkEnd w:id="95"/>
      <w:r/>
    </w:p>
    <w:p>
      <w:pPr>
        <w:pStyle w:val="915"/>
        <w:pBdr/>
        <w:spacing/>
        <w:ind/>
        <w:rPr/>
      </w:pPr>
      <w:r/>
      <w:bookmarkStart w:id="96" w:name="auditoria-19614-constatação-nº-676589-2"/>
      <w:r>
        <w:t xml:space="preserve">Auditoria 19614, Constatação Nº 676589 (#2)</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Funcionários celetistas contratados para prestação de serviços na área da saúde indígena também recebem pagamentos pelo convênio por contratos firmados como pessoa jurídica de sua titularidade.</w:t>
      </w:r>
      <w:r/>
    </w:p>
    <w:p>
      <w:pPr>
        <w:pStyle w:val="926"/>
        <w:pBdr/>
        <w:spacing/>
        <w:ind/>
        <w:rPr/>
      </w:pPr>
      <w:r>
        <w:rPr>
          <w:b/>
          <w:bCs/>
        </w:rPr>
        <w:t xml:space="preserve">Recomendação</w:t>
      </w:r>
      <w:r>
        <w:t xml:space="preserve">: Orientar os fiscais técnicos do convênio e/ou gestor do concedente, que atuam no processo de execução, a realizar a conferência da documentação comprobatória do p</w:t>
      </w:r>
      <w:r>
        <w:t xml:space="preserve">rocesso de contratação por meio de dispensa, inexigibilidade e cotação de preços pela convenente inserida no sistema com o objetivo de evitar conflitos de intersse, em conformidade ao previsto no art. 45, da Portaria Interministerial MP/MF/CGU nº 424/2016.</w:t>
      </w:r>
      <w:r/>
    </w:p>
    <w:p>
      <w:pPr>
        <w:pStyle w:val="926"/>
        <w:pBdr/>
        <w:spacing/>
        <w:ind/>
        <w:rPr/>
      </w:pPr>
      <w:r>
        <w:rPr>
          <w:b/>
          <w:bCs/>
        </w:rPr>
        <w:t xml:space="preserve">Análise Codificação</w:t>
      </w:r>
      <w:r>
        <w:t xml:space="preserve">: A recomendação propõe a orientação para conferência documental em processos de contratação, visando prevenir conflitos de interesses, o que aborda a c</w:t>
      </w:r>
      <w:r>
        <w:t xml:space="preserve">ausa subjacente de falta de controle e verificação. No entanto, os efeitos pretendidos dependem da continuidade das ações dos fiscais e gestores, podendo variar com mudanças de pessoal, não garantindo efeitos duradouros independentes dos atores envolvidos.</w:t>
      </w:r>
      <w:r/>
    </w:p>
    <w:p>
      <w:pPr>
        <w:pStyle w:val="928"/>
        <w:numPr>
          <w:ilvl w:val="0"/>
          <w:numId w:val="123"/>
        </w:numPr>
        <w:pBdr/>
        <w:spacing/>
        <w:ind/>
        <w:rPr/>
      </w:pPr>
      <w:r>
        <w:t xml:space="preserve">Ação Foco Causa: Sim</w:t>
      </w:r>
      <w:r/>
    </w:p>
    <w:p>
      <w:pPr>
        <w:pStyle w:val="928"/>
        <w:numPr>
          <w:ilvl w:val="0"/>
          <w:numId w:val="123"/>
        </w:numPr>
        <w:pBdr/>
        <w:spacing/>
        <w:ind/>
        <w:rPr/>
      </w:pPr>
      <w:r>
        <w:t xml:space="preserve">Efeitos Duradouros: Não</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propõe uma ação de orientação para conferência documental que visa prevenir a ocorrência de conflitos de interesses, abordando assim a causa subjacente de falta de controle e verificação nos processos de contratação. Quanto ao critério</w:t>
      </w:r>
      <w:r>
        <w:t xml:space="preserve"> </w:t>
      </w:r>
      <w:r>
        <w:t xml:space="preserve">‘Efeitos Duradouros’</w:t>
      </w:r>
      <w:r>
        <w:t xml:space="preserve">, a recomendação depende da ação contínua de fiscais e gestores, e mudanças nesses atores podem afetar a implementação, não garantindo efeitos independentes de pessoas específicas.</w:t>
      </w:r>
      <w:r/>
    </w:p>
    <w:p>
      <w:pPr>
        <w:pStyle w:val="928"/>
        <w:numPr>
          <w:ilvl w:val="0"/>
          <w:numId w:val="124"/>
        </w:numPr>
        <w:pBdr/>
        <w:spacing/>
        <w:ind/>
        <w:rPr/>
      </w:pPr>
      <w:r>
        <w:t xml:space="preserve">Análise Foco Causa: Concordo</w:t>
      </w:r>
      <w:r/>
    </w:p>
    <w:p>
      <w:pPr>
        <w:pStyle w:val="928"/>
        <w:numPr>
          <w:ilvl w:val="0"/>
          <w:numId w:val="124"/>
        </w:numPr>
        <w:pBdr/>
        <w:spacing/>
        <w:ind/>
        <w:rPr/>
      </w:pPr>
      <w:r>
        <w:t xml:space="preserve">Análise Efeitos Duradouros: Concordo</w:t>
      </w:r>
      <w:bookmarkEnd w:id="96"/>
      <w:r/>
    </w:p>
    <w:p>
      <w:pPr>
        <w:pStyle w:val="915"/>
        <w:pBdr/>
        <w:spacing/>
        <w:ind/>
        <w:rPr/>
      </w:pPr>
      <w:r/>
      <w:bookmarkStart w:id="97" w:name="auditoria-19627-constatação-nº-685177-2"/>
      <w:r>
        <w:t xml:space="preserve">Auditoria 19627, Constatação Nº 685177 (#2)</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Ausência de resultados nos relatórios trimestrais de monitoramento do Eixo Controle Social no Transferegov.</w:t>
      </w:r>
      <w:r/>
    </w:p>
    <w:p>
      <w:pPr>
        <w:pStyle w:val="926"/>
        <w:pBdr/>
        <w:spacing/>
        <w:ind/>
        <w:rPr/>
      </w:pPr>
      <w:r>
        <w:rPr>
          <w:b/>
          <w:bCs/>
        </w:rPr>
        <w:t xml:space="preserve">Recomendação</w:t>
      </w:r>
      <w:r>
        <w:t xml:space="preserve">: À Sesai: Determinar à CGPO que apoie, oriente e s</w:t>
      </w:r>
      <w:r>
        <w:t xml:space="preserve">upervisione os fiscais de acompanhamento, nos processos monitoramento, bem como na inserção de dados junto ao Transferegov, atendendo à Portaria de Consolidação Sesai/MS nº 1/2020, especificamente o inciso I, do art. 10; e os incisos II, IV e V do art. 12.</w:t>
      </w:r>
      <w:r/>
    </w:p>
    <w:p>
      <w:pPr>
        <w:pStyle w:val="926"/>
        <w:pBdr/>
        <w:spacing/>
        <w:ind/>
        <w:rPr/>
      </w:pPr>
      <w:r>
        <w:rPr>
          <w:b/>
          <w:bCs/>
        </w:rPr>
        <w:t xml:space="preserve">Análise Codificação</w:t>
      </w:r>
      <w:r>
        <w:t xml:space="preserve">: A recomendação propõe ações de apoio, orientação e sup</w:t>
      </w:r>
      <w:r>
        <w:t xml:space="preserve">ervisão aos fiscais de acompanhamento para garantir a inserção adequada de dados no Transferegov, o que visa tratar a causa do problema (falta de capacitação ou suporte adequado) que levou à ausência de resultados nos relatórios. Em relação aos efeitos dur</w:t>
      </w:r>
      <w:r>
        <w:t xml:space="preserve">adouros, as ações de orientação e supervisão podem estabelecer processos contínuos, mas dependem da atuação dos fiscais e da CGPO, podendo ser afetados por mudanças de pessoal, o que limita a permanência dos efeitos sem mudanças estruturais mais profundas.</w:t>
      </w:r>
      <w:r/>
    </w:p>
    <w:p>
      <w:pPr>
        <w:pStyle w:val="928"/>
        <w:numPr>
          <w:ilvl w:val="0"/>
          <w:numId w:val="125"/>
        </w:numPr>
        <w:pBdr/>
        <w:spacing/>
        <w:ind/>
        <w:rPr/>
      </w:pPr>
      <w:r>
        <w:t xml:space="preserve">Ação Foco Causa: Sim</w:t>
      </w:r>
      <w:r/>
    </w:p>
    <w:p>
      <w:pPr>
        <w:pStyle w:val="928"/>
        <w:numPr>
          <w:ilvl w:val="0"/>
          <w:numId w:val="125"/>
        </w:numPr>
        <w:pBdr/>
        <w:spacing/>
        <w:ind/>
        <w:rPr/>
      </w:pPr>
      <w:r>
        <w:t xml:space="preserve">Efeitos Duradouros: Não</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propõe ações de apoio, orientação e supervisão para tratar a causa subjacente da ausência de resultados nos relatórios, que pode ser falta de capacitação ou suporte adequado. Quanto ao critério</w:t>
      </w:r>
      <w:r>
        <w:t xml:space="preserve"> </w:t>
      </w:r>
      <w:r>
        <w:t xml:space="preserve">‘Efeitos Duradouros’</w:t>
      </w:r>
      <w:r>
        <w:t xml:space="preserve">, embora as ações possam estabelecer processos contínuos, sua dependência de atores específicos (fiscais e CGPO) e a ausência de mudanças estruturais mais profundas limitam a durabilidade dos efeitos frente a mudanças de pessoal.</w:t>
      </w:r>
      <w:r/>
    </w:p>
    <w:p>
      <w:pPr>
        <w:pStyle w:val="928"/>
        <w:numPr>
          <w:ilvl w:val="0"/>
          <w:numId w:val="126"/>
        </w:numPr>
        <w:pBdr/>
        <w:spacing/>
        <w:ind/>
        <w:rPr/>
      </w:pPr>
      <w:r>
        <w:t xml:space="preserve">Análise Foco Causa: Concordo</w:t>
      </w:r>
      <w:r/>
    </w:p>
    <w:p>
      <w:pPr>
        <w:pStyle w:val="928"/>
        <w:numPr>
          <w:ilvl w:val="0"/>
          <w:numId w:val="126"/>
        </w:numPr>
        <w:pBdr/>
        <w:spacing/>
        <w:ind/>
        <w:rPr/>
      </w:pPr>
      <w:r>
        <w:t xml:space="preserve">Análise Efeitos Duradouros: Concordo</w:t>
      </w:r>
      <w:bookmarkEnd w:id="97"/>
      <w:r/>
    </w:p>
    <w:p>
      <w:pPr>
        <w:pStyle w:val="915"/>
        <w:pBdr/>
        <w:spacing/>
        <w:ind/>
        <w:rPr/>
      </w:pPr>
      <w:r/>
      <w:bookmarkStart w:id="98" w:name="auditoria-19790-constatação-nº-694458-1"/>
      <w:r>
        <w:t xml:space="preserve">Auditoria 19790, Constatação Nº 694458 (#1)</w:t>
      </w:r>
      <w:r/>
    </w:p>
    <w:p>
      <w:pPr>
        <w:pStyle w:val="927"/>
        <w:pBdr/>
        <w:spacing/>
        <w:ind/>
        <w:rPr/>
      </w:pPr>
      <w:r>
        <w:rPr>
          <w:b/>
          <w:bCs/>
        </w:rPr>
        <w:t xml:space="preserve">Finalidade</w:t>
      </w:r>
      <w:r>
        <w:t xml:space="preserve">: Avaliar se a Atenção Primária exerce as atribuições de coordenadora da Rede de At. Psicossocial-RAPS</w:t>
      </w:r>
      <w:r/>
    </w:p>
    <w:p>
      <w:pPr>
        <w:pStyle w:val="926"/>
        <w:pBdr/>
        <w:spacing/>
        <w:ind/>
        <w:rPr/>
      </w:pPr>
      <w:r>
        <w:rPr>
          <w:b/>
          <w:bCs/>
        </w:rPr>
        <w:t xml:space="preserve">Constatação</w:t>
      </w:r>
      <w:r>
        <w:t xml:space="preserve">: As UBSs visitadas não desenvolveram atividades no território favorecendo o combate a estigmas e preconceitos relacionados a pessoas com problemas de saúde mental, nos exercícios de 2022 e 2023.</w:t>
      </w:r>
      <w:r/>
    </w:p>
    <w:p>
      <w:pPr>
        <w:pStyle w:val="926"/>
        <w:pBdr/>
        <w:spacing/>
        <w:ind/>
        <w:rPr/>
      </w:pPr>
      <w:r>
        <w:rPr>
          <w:b/>
          <w:bCs/>
        </w:rPr>
        <w:t xml:space="preserve">Recomendação</w:t>
      </w:r>
      <w:r>
        <w:t xml:space="preserve">: Realizar e desenvolver atividades individuais e em grupo voltadas para o combate a estigmas e preconceitos relacionados a pess</w:t>
      </w:r>
      <w:r>
        <w:t xml:space="preserve">oas com problemas de saúde mental como forma de garantir a inclusão social e o combate à discriminação, observando o que estipula o Inciso III, Art. 2°, do Anexo V - Rede de Atenção Psicossocial (RAPS), da Portaria de Consolidação GM/MS n.° 3 de 28/9/2017.</w:t>
      </w:r>
      <w:r/>
    </w:p>
    <w:p>
      <w:pPr>
        <w:pStyle w:val="926"/>
        <w:pBdr/>
        <w:spacing/>
        <w:ind/>
        <w:rPr/>
      </w:pPr>
      <w:r>
        <w:rPr>
          <w:b/>
          <w:bCs/>
        </w:rPr>
        <w:t xml:space="preserve">Análise Codificação</w:t>
      </w:r>
      <w:r>
        <w:t xml:space="preserve">: </w:t>
      </w:r>
      <w:r>
        <w:t xml:space="preserve">Em relação ao foco, a recomendação propõe a realização de atividades específicas (individuais e em grupo) para combater estigmas e preconceitos, o que representa uma ação direta para tratar a causa do problema identificado (falta de desenvolvimento dessas </w:t>
      </w:r>
      <w:r>
        <w:t xml:space="preserve">atividades). No entanto, a recomendação não estabelece mecanismos permanentes ou mudanças estruturais que garantam a continuidade das atividades independentemente dos atores envolvidos, focando mais na execução imediata do que em criar sistemas duradouros.</w:t>
      </w:r>
      <w:r/>
    </w:p>
    <w:p>
      <w:pPr>
        <w:pStyle w:val="928"/>
        <w:numPr>
          <w:ilvl w:val="0"/>
          <w:numId w:val="127"/>
        </w:numPr>
        <w:pBdr/>
        <w:spacing/>
        <w:ind/>
        <w:rPr/>
      </w:pPr>
      <w:r>
        <w:t xml:space="preserve">Ação Foco Causa: Sim</w:t>
      </w:r>
      <w:r/>
    </w:p>
    <w:p>
      <w:pPr>
        <w:pStyle w:val="928"/>
        <w:numPr>
          <w:ilvl w:val="0"/>
          <w:numId w:val="127"/>
        </w:numPr>
        <w:pBdr/>
        <w:spacing/>
        <w:ind/>
        <w:rPr/>
      </w:pPr>
      <w:r>
        <w:t xml:space="preserve">Efeitos Duradouros: Não</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propõe a realização de atividades para combater estigmas e preconceitos, o que aborda diretamente a causa da constatação (falta dessas atividades). Quanto ao critério</w:t>
      </w:r>
      <w:r>
        <w:t xml:space="preserve"> </w:t>
      </w:r>
      <w:r>
        <w:t xml:space="preserve">‘Efeitos Duradouros’</w:t>
      </w:r>
      <w:r>
        <w:t xml:space="preserve">, a recomendação foca na execução de atividades sem estabelecer mecanismos permanentes ou mudanças estruturais que assegurem continuidade independentemente de mudanças nos atores envolvidos.</w:t>
      </w:r>
      <w:r/>
    </w:p>
    <w:p>
      <w:pPr>
        <w:pStyle w:val="928"/>
        <w:numPr>
          <w:ilvl w:val="0"/>
          <w:numId w:val="128"/>
        </w:numPr>
        <w:pBdr/>
        <w:spacing/>
        <w:ind/>
        <w:rPr/>
      </w:pPr>
      <w:r>
        <w:t xml:space="preserve">Análise Foco Causa: Concordo</w:t>
      </w:r>
      <w:r/>
    </w:p>
    <w:p>
      <w:pPr>
        <w:pStyle w:val="928"/>
        <w:numPr>
          <w:ilvl w:val="0"/>
          <w:numId w:val="128"/>
        </w:numPr>
        <w:pBdr/>
        <w:spacing/>
        <w:ind/>
        <w:rPr/>
      </w:pPr>
      <w:r>
        <w:t xml:space="preserve">Análise Efeitos Duradouros: Concordo</w:t>
      </w:r>
      <w:bookmarkEnd w:id="98"/>
      <w:bookmarkEnd w:id="99"/>
      <w:r/>
    </w:p>
    <w:p>
      <w:pPr>
        <w:pStyle w:val="914"/>
        <w:pBdr/>
        <w:spacing/>
        <w:ind/>
        <w:rPr/>
      </w:pPr>
      <w:r/>
      <w:bookmarkStart w:id="110" w:name="Xdcc393d8522af989599f55467f8208a067e306e"/>
      <w:r>
        <w:t xml:space="preserve">Foco: Sim, Efeitos: Sim, Concordância Foco: Concordo, Concordância Efeitos: Discordo</w:t>
      </w:r>
      <w:r/>
    </w:p>
    <w:p>
      <w:pPr>
        <w:pStyle w:val="915"/>
        <w:pBdr/>
        <w:spacing/>
        <w:ind/>
        <w:rPr/>
      </w:pPr>
      <w:r/>
      <w:bookmarkStart w:id="100" w:name="auditoria-19197-constatação-nº-654791-1"/>
      <w:r>
        <w:t xml:space="preserve">Auditoria 19197, Constatação Nº 654791 (#1)</w:t>
      </w:r>
      <w:r/>
    </w:p>
    <w:p>
      <w:pPr>
        <w:pStyle w:val="927"/>
        <w:pBdr/>
        <w:spacing/>
        <w:ind/>
        <w:rPr/>
      </w:pPr>
      <w:r>
        <w:rPr>
          <w:b/>
          <w:bCs/>
        </w:rPr>
        <w:t xml:space="preserve">Finalidade</w:t>
      </w:r>
      <w:r>
        <w:t xml:space="preserve">: Verificar a regularidade nos proc. de adesão às Atas de Registro de Preços p/ aq. de OPME pelo HFI</w:t>
      </w:r>
      <w:r/>
    </w:p>
    <w:p>
      <w:pPr>
        <w:pStyle w:val="926"/>
        <w:pBdr/>
        <w:spacing/>
        <w:ind/>
        <w:rPr/>
      </w:pPr>
      <w:r>
        <w:rPr>
          <w:b/>
          <w:bCs/>
        </w:rPr>
        <w:t xml:space="preserve">Constatação</w:t>
      </w:r>
      <w:r>
        <w:t xml:space="preserve">: Disponibilização de processos financeiros de forma incompleta.</w:t>
      </w:r>
      <w:r/>
    </w:p>
    <w:p>
      <w:pPr>
        <w:pStyle w:val="926"/>
        <w:pBdr/>
        <w:spacing/>
        <w:ind/>
        <w:rPr/>
      </w:pPr>
      <w:r>
        <w:rPr>
          <w:b/>
          <w:bCs/>
        </w:rPr>
        <w:t xml:space="preserve">Recomendação</w:t>
      </w:r>
      <w:r>
        <w:t xml:space="preserve">: Disponibilizar toda informação necessária ao desempenho das atividades de controle, avaliação e auditoria, facilitando- lhes o acesso a documentos, pessoas e instalações, em cumprimento ao disposto no art. 11 do Decreto nº 1.651/1995.</w:t>
      </w:r>
      <w:r/>
    </w:p>
    <w:p>
      <w:pPr>
        <w:pStyle w:val="926"/>
        <w:pBdr/>
        <w:spacing/>
        <w:ind/>
        <w:rPr/>
      </w:pPr>
      <w:r>
        <w:rPr>
          <w:b/>
          <w:bCs/>
        </w:rPr>
        <w:t xml:space="preserve">Análise Codificação</w:t>
      </w:r>
      <w:r>
        <w:t xml:space="preserve">: A recomendação propõe a disponibilização completa de informações necessárias para atividades de controle, avaliação e auditoria, o que constitui uma ação para tratar a causa do problema (disponibilização incompleta de processos financeiros),</w:t>
      </w:r>
      <w:r>
        <w:t xml:space="preserve"> visando prevenir sua recorrência. Quanto aos efeitos duradouros, a implementação de um processo estruturado de disponibilização de informações tende a persistir independentemente de mudanças nos atores envolvidos, pois se baseia em um procedimento formal.</w:t>
      </w:r>
      <w:r/>
    </w:p>
    <w:p>
      <w:pPr>
        <w:pStyle w:val="928"/>
        <w:numPr>
          <w:ilvl w:val="0"/>
          <w:numId w:val="129"/>
        </w:numPr>
        <w:pBdr/>
        <w:spacing/>
        <w:ind/>
        <w:rPr/>
      </w:pPr>
      <w:r>
        <w:t xml:space="preserve">Ação Foco Causa: Sim</w:t>
      </w:r>
      <w:r/>
    </w:p>
    <w:p>
      <w:pPr>
        <w:pStyle w:val="928"/>
        <w:numPr>
          <w:ilvl w:val="0"/>
          <w:numId w:val="129"/>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aborda diretamente a causa da disponibilização incompleta ao propor a disponibilização completa de informações, o que é correto. Para</w:t>
      </w:r>
      <w:r>
        <w:t xml:space="preserve"> </w:t>
      </w:r>
      <w:r>
        <w:t xml:space="preserve">‘Efeitos Duradouros’</w:t>
      </w:r>
      <w:r>
        <w:t xml:space="preserve">, a recomendação se baseia em um procedimento formal que pode persistir com mudanças de pessoal, mas a análise não considera que a implementação depende de adesão contínua e pode não ser sustentada sem mecanismos adicionais.</w:t>
      </w:r>
      <w:r/>
    </w:p>
    <w:p>
      <w:pPr>
        <w:pStyle w:val="928"/>
        <w:numPr>
          <w:ilvl w:val="0"/>
          <w:numId w:val="130"/>
        </w:numPr>
        <w:pBdr/>
        <w:spacing/>
        <w:ind/>
        <w:rPr/>
      </w:pPr>
      <w:r>
        <w:t xml:space="preserve">Análise Foco Causa: Concordo</w:t>
      </w:r>
      <w:r/>
    </w:p>
    <w:p>
      <w:pPr>
        <w:pStyle w:val="928"/>
        <w:numPr>
          <w:ilvl w:val="0"/>
          <w:numId w:val="130"/>
        </w:numPr>
        <w:pBdr/>
        <w:spacing/>
        <w:ind/>
        <w:rPr/>
      </w:pPr>
      <w:r>
        <w:t xml:space="preserve">Análise Efeitos Duradouros: Discordo</w:t>
      </w:r>
      <w:bookmarkEnd w:id="100"/>
      <w:r/>
    </w:p>
    <w:p>
      <w:pPr>
        <w:pStyle w:val="915"/>
        <w:pBdr/>
        <w:spacing/>
        <w:ind/>
        <w:rPr/>
      </w:pPr>
      <w:r/>
      <w:bookmarkStart w:id="101" w:name="auditoria-19431-constatação-nº-663754-1"/>
      <w:r>
        <w:t xml:space="preserve">Auditoria 19431, Constatação Nº 663754 (#1)</w:t>
      </w:r>
      <w:r/>
    </w:p>
    <w:p>
      <w:pPr>
        <w:pStyle w:val="927"/>
        <w:pBdr/>
        <w:spacing/>
        <w:ind/>
        <w:rPr/>
      </w:pPr>
      <w:r>
        <w:rPr>
          <w:b/>
          <w:bCs/>
        </w:rPr>
        <w:t xml:space="preserve">Finalidade</w:t>
      </w:r>
      <w:r>
        <w:t xml:space="preserve">: Verificar a regularidade da execução do Programa Farmácia Popular do Brasil/PFPB</w:t>
      </w:r>
      <w:r/>
    </w:p>
    <w:p>
      <w:pPr>
        <w:pStyle w:val="926"/>
        <w:pBdr/>
        <w:spacing/>
        <w:ind/>
        <w:rPr/>
      </w:pPr>
      <w:r>
        <w:rPr>
          <w:b/>
          <w:bCs/>
        </w:rPr>
        <w:t xml:space="preserve">Constatação</w:t>
      </w:r>
      <w:r>
        <w:t xml:space="preserve">: Registro de dispensação de medicamentos pelo Programa Farmácia Popular do Brasil sem a comprovação das aquisições por meio de notas fiscais, no período de janeiro de 2018 a março de 2020.</w:t>
      </w:r>
      <w:r/>
    </w:p>
    <w:p>
      <w:pPr>
        <w:pStyle w:val="926"/>
        <w:pBdr/>
        <w:spacing/>
        <w:ind/>
        <w:rPr/>
      </w:pPr>
      <w:r>
        <w:rPr>
          <w:b/>
          <w:bCs/>
        </w:rPr>
        <w:t xml:space="preserve">Recomendação</w:t>
      </w:r>
      <w:r>
        <w:t xml:space="preserve">: 1- Manter os documentos fiscais de aquisição dos medicamentos e/ou fraldas geriátricas do PFPB, por um prazo de 10 (dez) anos, com arquivamento de 2 (duas) cópias, mantidas em locais distintos, uma em meio físico e </w:t>
      </w:r>
      <w:r>
        <w:t xml:space="preserve">outra em arquivo digitalizado, conforme estabelecido no inciso II e nos § 1º e § 2º do artigo 22 do Anexo LXXVII da Portaria de Consolidação GM/MS nº 5 de 28/09/2017, alterado pelo artigo 1º da Portaria GM/MS nº 2898 de 03/11/2021. 2- Comercializar e dispe</w:t>
      </w:r>
      <w:r>
        <w:t xml:space="preserve">nsar medicamentos e/ou fraldas geriátricas por meio eletrônico, em tempo real, com base no código de barras da embalagem do medicamento e das fraldas geriátricas. E o código de barras informado no sistema autorizador de vendas deverá ser igual ao código de</w:t>
      </w:r>
      <w:r>
        <w:t xml:space="preserve"> barras da embalagem do medicamento e/ou fraldas geriátricas dispensado ao beneficiário, de acordo com o disposto no artigo 16, Parágrafo Único, do Anexo LXXVII da Portaria de Consolidação GM/MS nº 5 de 28/09/2017, alterado pelo artigo 1º da Portaria GM/MS</w:t>
      </w:r>
      <w:r>
        <w:t xml:space="preserve"> nº 2898 de 03/11/2021. 3- Comercializar e dispensar medicamentos e/ou fraldas geriátricas em observância às regras de execução do Programa Farmácia Popular do Brasil, a fim de não incorrer em práticas irregulares, conforme preconizado no inciso I do artig</w:t>
      </w:r>
      <w:r>
        <w:t xml:space="preserve">o 37 do Anexo LXXVII, da Portaria de Consolidação GM/MS nº 5 de 28/09/2017, alterado pelo artigo 1º da Portaria GM/MS nº 2898 de 03/11/2021. 4- Comercializar e dispensar medicamentos e/ou fraldas geriátricas seguindo as normas de procedimento constantes no</w:t>
      </w:r>
      <w:r>
        <w:t xml:space="preserve"> </w:t>
      </w:r>
      <w:r>
        <w:t xml:space="preserve">“Manual de Orientações às Farmácias e Drogarias Credenciadas no Aqui Tem Farmácia Popular”</w:t>
      </w:r>
      <w:r>
        <w:t xml:space="preserve"> </w:t>
      </w:r>
      <w:r>
        <w:t xml:space="preserve">na página eletrônica do PFPB, conforme estabelece o § 2º do artigo 62 do Anexo LXXVII da Portaria de Consolidação GM/MS nº 5 de 28/09/2017.</w:t>
      </w:r>
      <w:r/>
    </w:p>
    <w:p>
      <w:pPr>
        <w:pStyle w:val="926"/>
        <w:pBdr/>
        <w:spacing/>
        <w:ind/>
        <w:rPr/>
      </w:pPr>
      <w:r>
        <w:rPr>
          <w:b/>
          <w:bCs/>
        </w:rPr>
        <w:t xml:space="preserve">Análise Codificação</w:t>
      </w:r>
      <w:r>
        <w:t xml:space="preserve">: A recomendação 1 tr</w:t>
      </w:r>
      <w:r>
        <w:t xml:space="preserve">ata da manutenção de documentos fiscais, que é uma medida de controle para evitar a repetição da condição encontrada (ausência de comprovação de aquisições), focando na causa do problema ao estabelecer procedimentos de arquivamento. A recomendação 2 propõe</w:t>
      </w:r>
      <w:r>
        <w:t xml:space="preserve"> a dispensação eletrônica em tempo real com validação por código de barras, o que ataca diretamente a causa da irregularidade ao implementar um sistema de controle que previne dispensação sem comprovação. Ambas as ações têm efeitos duradouros, pois os proc</w:t>
      </w:r>
      <w:r>
        <w:t xml:space="preserve">edimentos de arquivamento e o sistema eletrônico de controle permanecem independentemente de mudanças nos atores envolvidos. As recomendações 3 e 4 são genéricas e focam no cumprimento de normas existentes, sem propor ações específicas para tratar a causa.</w:t>
      </w:r>
      <w:r/>
    </w:p>
    <w:p>
      <w:pPr>
        <w:pStyle w:val="928"/>
        <w:numPr>
          <w:ilvl w:val="0"/>
          <w:numId w:val="131"/>
        </w:numPr>
        <w:pBdr/>
        <w:spacing/>
        <w:ind/>
        <w:rPr/>
      </w:pPr>
      <w:r>
        <w:t xml:space="preserve">Ação Foco Causa: Sim</w:t>
      </w:r>
      <w:r/>
    </w:p>
    <w:p>
      <w:pPr>
        <w:pStyle w:val="928"/>
        <w:numPr>
          <w:ilvl w:val="0"/>
          <w:numId w:val="131"/>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concordo que as recomendações 1 e 2 abordam a causa do problema, mas discordo da avaliação sobre os</w:t>
      </w:r>
      <w:r>
        <w:t xml:space="preserve"> </w:t>
      </w:r>
      <w:r>
        <w:t xml:space="preserve">‘Efeitos Duradouros’</w:t>
      </w:r>
      <w:r>
        <w:t xml:space="preserve"> </w:t>
      </w:r>
      <w:r>
        <w:t xml:space="preserve">para a recomendação 2, que depende de implementação e manutenção contínua. As recomendações 3 e 4 são corretamente classificadas como não focadas na causa.</w:t>
      </w:r>
      <w:r/>
    </w:p>
    <w:p>
      <w:pPr>
        <w:pStyle w:val="928"/>
        <w:numPr>
          <w:ilvl w:val="0"/>
          <w:numId w:val="132"/>
        </w:numPr>
        <w:pBdr/>
        <w:spacing/>
        <w:ind/>
        <w:rPr/>
      </w:pPr>
      <w:r>
        <w:t xml:space="preserve">Análise Foco Causa: Concordo</w:t>
      </w:r>
      <w:r/>
    </w:p>
    <w:p>
      <w:pPr>
        <w:pStyle w:val="928"/>
        <w:numPr>
          <w:ilvl w:val="0"/>
          <w:numId w:val="132"/>
        </w:numPr>
        <w:pBdr/>
        <w:spacing/>
        <w:ind/>
        <w:rPr/>
      </w:pPr>
      <w:r>
        <w:t xml:space="preserve">Análise Efeitos Duradouros: Discordo</w:t>
      </w:r>
      <w:bookmarkEnd w:id="101"/>
      <w:r/>
    </w:p>
    <w:p>
      <w:pPr>
        <w:pStyle w:val="915"/>
        <w:pBdr/>
        <w:spacing/>
        <w:ind/>
        <w:rPr/>
      </w:pPr>
      <w:r/>
      <w:bookmarkStart w:id="102" w:name="auditoria-19544-constatação-nº-676958-1"/>
      <w:r>
        <w:t xml:space="preserve">Auditoria 19544, Constatação Nº 676958 (#1)</w:t>
      </w:r>
      <w:r/>
    </w:p>
    <w:p>
      <w:pPr>
        <w:pStyle w:val="927"/>
        <w:pBdr/>
        <w:spacing/>
        <w:ind/>
        <w:rPr/>
      </w:pPr>
      <w:r>
        <w:rPr>
          <w:b/>
          <w:bCs/>
        </w:rPr>
        <w:t xml:space="preserve">Finalidade</w:t>
      </w:r>
      <w:r>
        <w:t xml:space="preserve">: Avaliar acuidade das informações prestada pelo Munic. de Feijó, ref. ao Prog. Previne Brasil. A.P</w:t>
      </w:r>
      <w:r/>
    </w:p>
    <w:p>
      <w:pPr>
        <w:pStyle w:val="926"/>
        <w:pBdr/>
        <w:spacing/>
        <w:ind/>
        <w:rPr/>
      </w:pPr>
      <w:r>
        <w:rPr>
          <w:b/>
          <w:bCs/>
        </w:rPr>
        <w:t xml:space="preserve">Constatação</w:t>
      </w:r>
      <w:r>
        <w:t xml:space="preserve">: Não atendimento aos critérios do quantitativo potencial de pessoas cadastradas por equipe - de acordo com a classificação geográfica do município (IBGE).</w:t>
      </w:r>
      <w:r/>
    </w:p>
    <w:p>
      <w:pPr>
        <w:pStyle w:val="926"/>
        <w:pBdr/>
        <w:spacing/>
        <w:ind/>
        <w:rPr/>
      </w:pPr>
      <w:r>
        <w:rPr>
          <w:b/>
          <w:bCs/>
        </w:rPr>
        <w:t xml:space="preserve">Recomendação</w:t>
      </w:r>
      <w:r>
        <w:t xml:space="preserve">: Adotar medidas a fim de dar cumprimento ao estabelecido na Seção II - Da Captação Ponderada do Título II - Do Custeio da Atenção Primária à Saúde da PRC nº 06/2017, Anexo I do Anexo XCIX, que trata da Metodologia de Cálculo da Captação Ponderada.</w:t>
      </w:r>
      <w:r/>
    </w:p>
    <w:p>
      <w:pPr>
        <w:pStyle w:val="926"/>
        <w:pBdr/>
        <w:spacing/>
        <w:ind/>
        <w:rPr/>
      </w:pPr>
      <w:r>
        <w:rPr>
          <w:b/>
          <w:bCs/>
        </w:rPr>
        <w:t xml:space="preserve">Análise Codificação</w:t>
      </w:r>
      <w:r>
        <w:t xml:space="preserve">: A recomendação propõe a adoção de medidas para cumprir a metodologia de cálc</w:t>
      </w:r>
      <w:r>
        <w:t xml:space="preserve">ulo da captação ponderada estabelecida na PRC nº 06/2017, focando na implementação de um procedimento normativo específico. Isso aborda a causa subjacente do problema, que é a não conformidade com os critérios de quantitativo potencial, ao estabelecer um p</w:t>
      </w:r>
      <w:r>
        <w:t xml:space="preserve">rocesso estruturado para o cálculo. Quanto aos efeitos duradouros, a implementação dessa metodologia cria um mecanismo permanente de cálculo, que permanece válido independentemente de mudanças nos atores envolvidos, garantindo continuidade na conformidade.</w:t>
      </w:r>
      <w:r/>
    </w:p>
    <w:p>
      <w:pPr>
        <w:pStyle w:val="928"/>
        <w:numPr>
          <w:ilvl w:val="0"/>
          <w:numId w:val="133"/>
        </w:numPr>
        <w:pBdr/>
        <w:spacing/>
        <w:ind/>
        <w:rPr/>
      </w:pPr>
      <w:r>
        <w:t xml:space="preserve">Ação Foco Causa: Sim</w:t>
      </w:r>
      <w:r/>
    </w:p>
    <w:p>
      <w:pPr>
        <w:pStyle w:val="928"/>
        <w:numPr>
          <w:ilvl w:val="0"/>
          <w:numId w:val="133"/>
        </w:numPr>
        <w:pBdr/>
        <w:spacing/>
        <w:ind/>
        <w:rPr/>
      </w:pPr>
      <w:r>
        <w:t xml:space="preserve">Efeitos Duradouros: Sim</w:t>
      </w:r>
      <w:r/>
    </w:p>
    <w:p>
      <w:pPr>
        <w:pStyle w:val="927"/>
        <w:pBdr/>
        <w:spacing/>
        <w:ind/>
        <w:rPr/>
      </w:pPr>
      <w:r>
        <w:rPr>
          <w:b/>
          <w:bCs/>
        </w:rPr>
        <w:t xml:space="preserve">Análise Crítica</w:t>
      </w:r>
      <w:r>
        <w:t xml:space="preserve">: A análise do modelo identificou corretamente que a recomendação ab</w:t>
      </w:r>
      <w:r>
        <w:t xml:space="preserve">orda a causa subjacente ao propor a implementação de uma metodologia normativa específica, mas pode ter superestimado os efeitos duradouros ao assumir automaticamente que a implementação garante permanência sem considerar possíveis lacunas na recomendação.</w:t>
      </w:r>
      <w:r/>
    </w:p>
    <w:p>
      <w:pPr>
        <w:pStyle w:val="928"/>
        <w:numPr>
          <w:ilvl w:val="0"/>
          <w:numId w:val="134"/>
        </w:numPr>
        <w:pBdr/>
        <w:spacing/>
        <w:ind/>
        <w:rPr/>
      </w:pPr>
      <w:r>
        <w:t xml:space="preserve">Análise Foco Causa: Concordo</w:t>
      </w:r>
      <w:r/>
    </w:p>
    <w:p>
      <w:pPr>
        <w:pStyle w:val="928"/>
        <w:numPr>
          <w:ilvl w:val="0"/>
          <w:numId w:val="134"/>
        </w:numPr>
        <w:pBdr/>
        <w:spacing/>
        <w:ind/>
        <w:rPr/>
      </w:pPr>
      <w:r>
        <w:t xml:space="preserve">Análise Efeitos Duradouros: Discordo</w:t>
      </w:r>
      <w:bookmarkEnd w:id="102"/>
      <w:r/>
    </w:p>
    <w:p>
      <w:pPr>
        <w:pStyle w:val="915"/>
        <w:pBdr/>
        <w:spacing/>
        <w:ind/>
        <w:rPr/>
      </w:pPr>
      <w:r/>
      <w:bookmarkStart w:id="103" w:name="auditoria-19595-constatação-nº-674275-1"/>
      <w:r>
        <w:t xml:space="preserve">Auditoria 19595, Constatação Nº 674275 (#1)</w:t>
      </w:r>
      <w:r/>
    </w:p>
    <w:p>
      <w:pPr>
        <w:pStyle w:val="927"/>
        <w:pBdr/>
        <w:spacing/>
        <w:ind/>
        <w:rPr/>
      </w:pPr>
      <w:r>
        <w:rPr>
          <w:b/>
          <w:bCs/>
        </w:rPr>
        <w:t xml:space="preserve">Finalidade</w:t>
      </w:r>
      <w:r>
        <w:t xml:space="preserve">: Avaliar os indicadores de desempenho do programa Previne Brasil no município de Pontal do Paraná.</w:t>
      </w:r>
      <w:r/>
    </w:p>
    <w:p>
      <w:pPr>
        <w:pStyle w:val="926"/>
        <w:pBdr/>
        <w:spacing/>
        <w:ind/>
        <w:rPr/>
      </w:pPr>
      <w:r>
        <w:rPr>
          <w:b/>
          <w:bCs/>
        </w:rPr>
        <w:t xml:space="preserve">Constatação</w:t>
      </w:r>
      <w:r>
        <w:t xml:space="preserve">: O município não adotou as ações propostas no</w:t>
      </w:r>
      <w:r>
        <w:t xml:space="preserve"> </w:t>
      </w:r>
      <w:r>
        <w:t xml:space="preserve">“Documento Orientador”</w:t>
      </w:r>
      <w:r>
        <w:t xml:space="preserve"> </w:t>
      </w:r>
      <w:r>
        <w:t xml:space="preserve">para o indicador 1 - Proporção de gestantes com pelo menos 6 (seis) consultas pré-natal realizadas, sendo a primeira até a 12ª semana de gestação, no exercício de 2022.</w:t>
      </w:r>
      <w:r/>
    </w:p>
    <w:p>
      <w:pPr>
        <w:pStyle w:val="926"/>
        <w:pBdr/>
        <w:spacing/>
        <w:ind/>
        <w:rPr/>
      </w:pPr>
      <w:r>
        <w:rPr>
          <w:b/>
          <w:bCs/>
        </w:rPr>
        <w:t xml:space="preserve">Recomendação</w:t>
      </w:r>
      <w:r>
        <w:t xml:space="preserve">: 1. Capacitar os profissi</w:t>
      </w:r>
      <w:r>
        <w:t xml:space="preserve">onais de saúde que atuam na APS, destacando a importância da abordagem integral realizada pela equipe para melhorar a qualidade das ações de pré-natal das gestantes, e à necessidade de produzir respostas adequadas e oportunas com o objetivo de melhorar o a</w:t>
      </w:r>
      <w:r>
        <w:t xml:space="preserve">cesso e a qualidade dos cuidados ofertados a essa população, de acordo com o item 5 da Nota Técnica nº 13/2022-SAPS/MS e com o Manual Instrutivo do Previne Brasil, página 40; 2. Atender ao disposto no artigo 12-C da Portaria de Consolidação nº 6, de 28/9/2</w:t>
      </w:r>
      <w:r>
        <w:t xml:space="preserve">017, que estabelece que o cálculo do incentivo financeiro do pagamento por desempenho será efetuado considerando os resultados de indicadores alcançados pelas eSF e eAP homologadas, conforme método de cálculo definido em ato do Ministro de Estado da Saúde.</w:t>
      </w:r>
      <w:r/>
    </w:p>
    <w:p>
      <w:pPr>
        <w:pStyle w:val="926"/>
        <w:pBdr/>
        <w:spacing/>
        <w:ind/>
        <w:rPr/>
      </w:pPr>
      <w:r>
        <w:rPr>
          <w:b/>
          <w:bCs/>
        </w:rPr>
        <w:t xml:space="preserve">Análise Codificação</w:t>
      </w:r>
      <w:r>
        <w:t xml:space="preserve">: Em relação</w:t>
      </w:r>
      <w:r>
        <w:t xml:space="preserve"> ao foco, a recomendação 1 propõe capacitar profissionais de saúde para melhorar a abordagem integral e a qualidade do pré-natal, o que pode abordar causas subjacentes, como falta de conhecimento ou práticas inadequadas, que levaram à não adoção das ações </w:t>
      </w:r>
      <w:r>
        <w:t xml:space="preserve">do Documento Orientador. A recomendação 2, por sua vez, foca em assegurar o cumprimento de normas de cálculo de incentivo financeiro, o que é mais relacionado à condição específica de conformidade com a portaria. Considerando a recomendação como um todo, h</w:t>
      </w:r>
      <w:r>
        <w:t xml:space="preserve">á elementos que tratam de causas, especialmente na capacitação. Quanto aos efeitos duradouros, a capacitação visa mudanças sustentáveis nas práticas profissionais, que podem persistir independentemente de mudanças nos atores, desde que integradas à rotina.</w:t>
      </w:r>
      <w:r/>
    </w:p>
    <w:p>
      <w:pPr>
        <w:pStyle w:val="928"/>
        <w:numPr>
          <w:ilvl w:val="0"/>
          <w:numId w:val="135"/>
        </w:numPr>
        <w:pBdr/>
        <w:spacing/>
        <w:ind/>
        <w:rPr/>
      </w:pPr>
      <w:r>
        <w:t xml:space="preserve">Ação Foco Causa: Sim</w:t>
      </w:r>
      <w:r/>
    </w:p>
    <w:p>
      <w:pPr>
        <w:pStyle w:val="928"/>
        <w:numPr>
          <w:ilvl w:val="0"/>
          <w:numId w:val="135"/>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do modelo identificou corretamente que a recomendação 1 aborda causas subjacentes, como falta de conhecimento ou práticas inadequadas, que podem ter levado à não adoção das ações do Documento Orientador. No entanto, a recomendação 2 é claram</w:t>
      </w:r>
      <w:r>
        <w:t xml:space="preserve">ente focada na condição imediata de conformidade com a portaria, sem tratar causas profundas. Considerando a recomendação como um todo, há elementos que tratam de causas, mas a análise poderia ser mais precisa ao diferenciar as duas partes. Para o critério</w:t>
      </w:r>
      <w:r>
        <w:t xml:space="preserve"> </w:t>
      </w:r>
      <w:r>
        <w:t xml:space="preserve">‘Efeitos Duradouros’</w:t>
      </w:r>
      <w:r>
        <w:t xml:space="preserve">, a análise do modelo assumiu que a capacitação geraria mudanças sustentáveis, mas isso depende da implementação e manutenção contínua, o que não é garantido apenas pela recomendação.</w:t>
      </w:r>
      <w:r/>
    </w:p>
    <w:p>
      <w:pPr>
        <w:pStyle w:val="928"/>
        <w:numPr>
          <w:ilvl w:val="0"/>
          <w:numId w:val="136"/>
        </w:numPr>
        <w:pBdr/>
        <w:spacing/>
        <w:ind/>
        <w:rPr/>
      </w:pPr>
      <w:r>
        <w:t xml:space="preserve">Análise Foco Causa: Concordo</w:t>
      </w:r>
      <w:r/>
    </w:p>
    <w:p>
      <w:pPr>
        <w:pStyle w:val="928"/>
        <w:numPr>
          <w:ilvl w:val="0"/>
          <w:numId w:val="136"/>
        </w:numPr>
        <w:pBdr/>
        <w:spacing/>
        <w:ind/>
        <w:rPr/>
      </w:pPr>
      <w:r>
        <w:t xml:space="preserve">Análise Efeitos Duradouros: Discordo</w:t>
      </w:r>
      <w:bookmarkEnd w:id="103"/>
      <w:r/>
    </w:p>
    <w:p>
      <w:pPr>
        <w:pStyle w:val="915"/>
        <w:pBdr/>
        <w:spacing/>
        <w:ind/>
        <w:rPr/>
      </w:pPr>
      <w:r/>
      <w:bookmarkStart w:id="104" w:name="auditoria-19605-constatação-nº-681287-2"/>
      <w:r>
        <w:t xml:space="preserve">Auditoria 19605, Constatação Nº 681287 (#2)</w:t>
      </w:r>
      <w:r/>
    </w:p>
    <w:p>
      <w:pPr>
        <w:pStyle w:val="927"/>
        <w:pBdr/>
        <w:spacing/>
        <w:ind/>
        <w:rPr/>
      </w:pPr>
      <w:r>
        <w:rPr>
          <w:b/>
          <w:bCs/>
        </w:rPr>
        <w:t xml:space="preserve">Finalidade</w:t>
      </w:r>
      <w:r>
        <w:t xml:space="preserve">: Verificar a implementação da Política Nacional de Atenção ao Portador de Doença Renal</w:t>
      </w:r>
      <w:r/>
    </w:p>
    <w:p>
      <w:pPr>
        <w:pStyle w:val="926"/>
        <w:pBdr/>
        <w:spacing/>
        <w:ind/>
        <w:rPr/>
      </w:pPr>
      <w:r>
        <w:rPr>
          <w:b/>
          <w:bCs/>
        </w:rPr>
        <w:t xml:space="preserve">Constatação</w:t>
      </w:r>
      <w:r>
        <w:t xml:space="preserve">: A Central de Notificação, Captação e Distribuição de Órgãos e Tecidos do Estado do Piauí (CNCDO/PI) enfrenta dificuldades estruturais que impossibilitam o pleno cumprimento de suas funções institucionais.</w:t>
      </w:r>
      <w:r/>
    </w:p>
    <w:p>
      <w:pPr>
        <w:pStyle w:val="926"/>
        <w:pBdr/>
        <w:spacing/>
        <w:ind/>
        <w:rPr/>
      </w:pPr>
      <w:r>
        <w:rPr>
          <w:b/>
          <w:bCs/>
        </w:rPr>
        <w:t xml:space="preserve">Recomendação</w:t>
      </w:r>
      <w:r>
        <w:t xml:space="preserve">: Estruturar a Central de Transplante do estado do Piauí para garantir seu adequado funcionamento, assegurando os recursos necessários para: qualificação da fila de espera, fornecimento de insumos, aquisição de equipamentos para ampliar a capacidad</w:t>
      </w:r>
      <w:r>
        <w:t xml:space="preserve">e de realização de protocolos de morte encefálica e realização de campanhas educativas sobre doação de órgãos. Conforme previsto no art. 7º, inciso II, da Seção II do Capítulo I do Anexo I da Portaria de Consolidação GM/MS n.º 4, de 28 de setembro de 2017.</w:t>
      </w:r>
      <w:r/>
    </w:p>
    <w:p>
      <w:pPr>
        <w:pStyle w:val="926"/>
        <w:pBdr/>
        <w:spacing/>
        <w:ind/>
        <w:rPr/>
      </w:pPr>
      <w:r>
        <w:rPr>
          <w:b/>
          <w:bCs/>
        </w:rPr>
        <w:t xml:space="preserve">Análise Codificação</w:t>
      </w:r>
      <w:r>
        <w:t xml:space="preserve">: Em relação ao foco, a recomendação propõe ações estruturais como qualificação da fila de espera,</w:t>
      </w:r>
      <w:r>
        <w:t xml:space="preserve"> fornecimento de insumos, aquisição de equipamentos e realização de campanhas educativas, que visam tratar as causas das dificuldades estruturais enfrentadas pela Central de Transplante, não apenas corrigir sintomas imediatos. Já em relação aos efeitos pre</w:t>
      </w:r>
      <w:r>
        <w:t xml:space="preserve">tendidos pela recomendação, as ações estruturais e de capacitação institucional tendem a produzir melhorias duradouras que permaneceriam mesmo com mudanças nos atores envolvidos, pois estão focadas em fortalecer a infraestrutura e processos da instituição.</w:t>
      </w:r>
      <w:r/>
    </w:p>
    <w:p>
      <w:pPr>
        <w:pStyle w:val="928"/>
        <w:numPr>
          <w:ilvl w:val="0"/>
          <w:numId w:val="137"/>
        </w:numPr>
        <w:pBdr/>
        <w:spacing/>
        <w:ind/>
        <w:rPr/>
      </w:pPr>
      <w:r>
        <w:t xml:space="preserve">Ação Foco Causa: Sim</w:t>
      </w:r>
      <w:r/>
    </w:p>
    <w:p>
      <w:pPr>
        <w:pStyle w:val="928"/>
        <w:numPr>
          <w:ilvl w:val="0"/>
          <w:numId w:val="137"/>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propõe ações estruturais que visam tratar as causas subjacentes das dificuldades enfrentadas pela Central de Transplante, como a falta de recursos e infraestrutura, o que está correto. Quanto ao critério</w:t>
      </w:r>
      <w:r>
        <w:t xml:space="preserve"> </w:t>
      </w:r>
      <w:r>
        <w:t xml:space="preserve">‘Efeitos Duradouros’</w:t>
      </w:r>
      <w:r>
        <w:t xml:space="preserve">, as ações estruturai</w:t>
      </w:r>
      <w:r>
        <w:t xml:space="preserve">s e de capacitação institucional têm o potencial de gerar melhorias sustentáveis, mas a análise original pode ter superestimado a durabilidade, pois mudanças na gestão ou cortes orçamentários futuros poderiam comprometer a continuidade, tornando a resposta</w:t>
      </w:r>
      <w:r>
        <w:t xml:space="preserve"> </w:t>
      </w:r>
      <w:r>
        <w:t xml:space="preserve">‘Sim’</w:t>
      </w:r>
      <w:r>
        <w:t xml:space="preserve"> </w:t>
      </w:r>
      <w:r>
        <w:t xml:space="preserve">questionável.</w:t>
      </w:r>
      <w:r/>
    </w:p>
    <w:p>
      <w:pPr>
        <w:pStyle w:val="928"/>
        <w:numPr>
          <w:ilvl w:val="0"/>
          <w:numId w:val="138"/>
        </w:numPr>
        <w:pBdr/>
        <w:spacing/>
        <w:ind/>
        <w:rPr/>
      </w:pPr>
      <w:r>
        <w:t xml:space="preserve">Análise Foco Causa: Concordo</w:t>
      </w:r>
      <w:r/>
    </w:p>
    <w:p>
      <w:pPr>
        <w:pStyle w:val="928"/>
        <w:numPr>
          <w:ilvl w:val="0"/>
          <w:numId w:val="138"/>
        </w:numPr>
        <w:pBdr/>
        <w:spacing/>
        <w:ind/>
        <w:rPr/>
      </w:pPr>
      <w:r>
        <w:t xml:space="preserve">Análise Efeitos Duradouros: Discordo</w:t>
      </w:r>
      <w:bookmarkEnd w:id="104"/>
      <w:r/>
    </w:p>
    <w:p>
      <w:pPr>
        <w:pStyle w:val="915"/>
        <w:pBdr/>
        <w:spacing/>
        <w:ind/>
        <w:rPr/>
      </w:pPr>
      <w:r/>
      <w:bookmarkStart w:id="105" w:name="auditoria-19658-constatação-nº-684758-1"/>
      <w:r>
        <w:t xml:space="preserve">Auditoria 19658, Constatação Nº 684758 (#1)</w:t>
      </w:r>
      <w:r/>
    </w:p>
    <w:p>
      <w:pPr>
        <w:pStyle w:val="927"/>
        <w:pBdr/>
        <w:spacing/>
        <w:ind/>
        <w:rPr/>
      </w:pPr>
      <w:r>
        <w:rPr>
          <w:b/>
          <w:bCs/>
        </w:rPr>
        <w:t xml:space="preserve">Finalidade</w:t>
      </w:r>
      <w:r>
        <w:t xml:space="preserve">: Avaliar o desempenho dos municípios com os maiores Indicadores Sintéticos Finais (ISFs), no PREVINE.</w:t>
      </w:r>
      <w:r/>
    </w:p>
    <w:p>
      <w:pPr>
        <w:pStyle w:val="926"/>
        <w:pBdr/>
        <w:spacing/>
        <w:ind/>
        <w:rPr/>
      </w:pPr>
      <w:r>
        <w:rPr>
          <w:b/>
          <w:bCs/>
        </w:rPr>
        <w:t xml:space="preserve">Constatação</w:t>
      </w:r>
      <w:r>
        <w:t xml:space="preserve">: Os dados consolidados no SISAB, por indicador de desempenho, não são suportados em sua integralidade pelas informações constantes dos prontuários dos pacientes.</w:t>
      </w:r>
      <w:r/>
    </w:p>
    <w:p>
      <w:pPr>
        <w:pStyle w:val="926"/>
        <w:pBdr/>
        <w:spacing/>
        <w:ind/>
        <w:rPr/>
      </w:pPr>
      <w:r>
        <w:rPr>
          <w:b/>
          <w:bCs/>
        </w:rPr>
        <w:t xml:space="preserve">Recomendação</w:t>
      </w:r>
      <w:r>
        <w:t xml:space="preserve">: </w:t>
      </w:r>
      <w:r>
        <w:t xml:space="preserve">Alimentar, analisar e verificar a qualidade e a consistência dos dados inseridos nos sistemas nacionais de informação, conforme estabelecido no art. 10, inciso XVII, do Anexo XXII, Política Nacional da Atenção Básica, da Portaria de Consolidação nº 2/2017.</w:t>
      </w:r>
      <w:r/>
    </w:p>
    <w:p>
      <w:pPr>
        <w:pStyle w:val="926"/>
        <w:pBdr/>
        <w:spacing/>
        <w:ind/>
        <w:rPr/>
      </w:pPr>
      <w:r>
        <w:rPr>
          <w:b/>
          <w:bCs/>
        </w:rPr>
        <w:t xml:space="preserve">Análise Codificação</w:t>
      </w:r>
      <w:r>
        <w:t xml:space="preserve">: Em relação ao foco, a recomendação propõe ações como</w:t>
      </w:r>
      <w:r>
        <w:t xml:space="preserve"> </w:t>
      </w:r>
      <w:r>
        <w:t xml:space="preserve">‘alimentar, analisar e verificar a qualidade e a consistência dos dados’</w:t>
      </w:r>
      <w:r>
        <w:t xml:space="preserve">, que visam tratar a causa do problema (dados inconsistentes nos sistemas) e não apenas corrigir a condição atual de dados não suportados pelos prontuári</w:t>
      </w:r>
      <w:r>
        <w:t xml:space="preserve">os. Já em relação aos efeitos pretendidos pela recomendação, as ações sugeridas (como verificação contínua da qualidade dos dados) estabelecem processos que podem persistir independentemente de mudanças nos atores envolvidos, promovendo efeitos duradouros.</w:t>
      </w:r>
      <w:r/>
    </w:p>
    <w:p>
      <w:pPr>
        <w:pStyle w:val="928"/>
        <w:numPr>
          <w:ilvl w:val="0"/>
          <w:numId w:val="139"/>
        </w:numPr>
        <w:pBdr/>
        <w:spacing/>
        <w:ind/>
        <w:rPr/>
      </w:pPr>
      <w:r>
        <w:t xml:space="preserve">Ação Foco Causa: Sim</w:t>
      </w:r>
      <w:r/>
    </w:p>
    <w:p>
      <w:pPr>
        <w:pStyle w:val="928"/>
        <w:numPr>
          <w:ilvl w:val="0"/>
          <w:numId w:val="139"/>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propõe ações que visam melhorar a qualidade e consistência dos dados inseridos nos sistemas, o que pode ser interpretado como um tratamento da causa raiz do probl</w:t>
      </w:r>
      <w:r>
        <w:t xml:space="preserve">ema (dados inconsistentes), em vez de apenas corrigir a condição atual. No entanto, a recomendação é genérica e não especifica ações diretas para evitar a recorrência, como revisão de processos de entrada de dados ou capacitação de pessoal. Para o critério</w:t>
      </w:r>
      <w:r>
        <w:t xml:space="preserve"> </w:t>
      </w:r>
      <w:r>
        <w:t xml:space="preserve">‘Efeitos Duradouros’</w:t>
      </w:r>
      <w:r>
        <w:t xml:space="preserve">, ações como verificação contínua da qualidade dos dados podem estabelecer processos duradouros, mas a falta de detalhamento sobre implementação e sustentabilidade torna a avaliação incerta.</w:t>
      </w:r>
      <w:r/>
    </w:p>
    <w:p>
      <w:pPr>
        <w:pStyle w:val="928"/>
        <w:numPr>
          <w:ilvl w:val="0"/>
          <w:numId w:val="140"/>
        </w:numPr>
        <w:pBdr/>
        <w:spacing/>
        <w:ind/>
        <w:rPr/>
      </w:pPr>
      <w:r>
        <w:t xml:space="preserve">Análise Foco Causa: Concordo</w:t>
      </w:r>
      <w:r/>
    </w:p>
    <w:p>
      <w:pPr>
        <w:pStyle w:val="928"/>
        <w:numPr>
          <w:ilvl w:val="0"/>
          <w:numId w:val="140"/>
        </w:numPr>
        <w:pBdr/>
        <w:spacing/>
        <w:ind/>
        <w:rPr/>
      </w:pPr>
      <w:r>
        <w:t xml:space="preserve">Análise Efeitos Duradouros: Discordo</w:t>
      </w:r>
      <w:bookmarkEnd w:id="105"/>
      <w:r/>
    </w:p>
    <w:p>
      <w:pPr>
        <w:pStyle w:val="915"/>
        <w:pBdr/>
        <w:spacing/>
        <w:ind/>
        <w:rPr/>
      </w:pPr>
      <w:r/>
      <w:bookmarkStart w:id="106" w:name="auditoria-19660-constatação-nº-685147-1"/>
      <w:r>
        <w:t xml:space="preserve">Auditoria 19660, Constatação Nº 685147 (#1)</w:t>
      </w:r>
      <w:r/>
    </w:p>
    <w:p>
      <w:pPr>
        <w:pStyle w:val="927"/>
        <w:pBdr/>
        <w:spacing/>
        <w:ind/>
        <w:rPr/>
      </w:pPr>
      <w:r>
        <w:rPr>
          <w:b/>
          <w:bCs/>
        </w:rPr>
        <w:t xml:space="preserve">Finalidade</w:t>
      </w:r>
      <w:r>
        <w:t xml:space="preserve">: Auditoria PREVINE 2024</w:t>
      </w:r>
      <w:r/>
    </w:p>
    <w:p>
      <w:pPr>
        <w:pStyle w:val="926"/>
        <w:pBdr/>
        <w:spacing/>
        <w:ind/>
        <w:rPr/>
      </w:pPr>
      <w:r>
        <w:rPr>
          <w:b/>
          <w:bCs/>
        </w:rPr>
        <w:t xml:space="preserve">Constatação</w:t>
      </w:r>
      <w:r>
        <w:t xml:space="preserve">: A Equipe de Saúd</w:t>
      </w:r>
      <w:r>
        <w:t xml:space="preserve">e da Família (INE 16489) do Centro de Saúde Noeme Tereza de Jesus não possuía a composição mínima obrigatória exigida na legislação, bem como a SEMSA não comprovou o cumprimento, por parte das equipes, da carga horária ora contratada, no exercício de 2022.</w:t>
      </w:r>
      <w:r/>
    </w:p>
    <w:p>
      <w:pPr>
        <w:pStyle w:val="926"/>
        <w:pBdr/>
        <w:spacing/>
        <w:ind/>
        <w:rPr/>
      </w:pPr>
      <w:r>
        <w:rPr>
          <w:b/>
          <w:bCs/>
        </w:rPr>
        <w:t xml:space="preserve">Recomendação</w:t>
      </w:r>
      <w:r>
        <w:t xml:space="preserve">: A SEMS</w:t>
      </w:r>
      <w:r>
        <w:t xml:space="preserve">A deverá adotar providências com vistas ao cumprimento da composição das eSF, assim como, quanto ao cumprimento da obrigatoriedade da carga horária de 40 (quarenta) horas semanais para todos os profissionais de saúde membros das equipes, conforme determina</w:t>
      </w:r>
      <w:r>
        <w:t xml:space="preserve">do na Política Nacional da Atenção Básica (PNAB), Tópico 3.4 - Tipos de Equipes - Item 1, Inciso IX, do Art. 10, e Anexo 1, do Anexo XXII, da Portaria de Consolidação GM/MS nº 02, de 28 de setembro de 2017; e Portaria SAPS/MS nº 60, de 26 de novembro de 20</w:t>
      </w:r>
      <w:r>
        <w:t xml:space="preserve">20. Ademais, quanto ao registro de frequência dos profissionais das eSF, é fundamental o aperfeiçoamento dos mecanismos de controle ora utilizados, de modo que sugestiona-se a adoção de um Sistema de Ponto Eletrônico, ou ferramenta afim, para a efetiva ges</w:t>
      </w:r>
      <w:r>
        <w:t xml:space="preserve">tão dos aspectos de carga horária e preenchimento/homologação das frequências dos profissionais. Outrossim, faz-se necessária a adoção de providências administrativas, no âmbito desta secretaria, quanto aos casos de descumprimento de carga horária obrigató</w:t>
      </w:r>
      <w:r>
        <w:t xml:space="preserve">ria identificados, em atendimento aos Inciso V, do Art. 6º, Alínea a, do Art. 13, do Decreto-Lei nº 200, de 25 de fevereiro de 1967; e Art. 37, da Constituição Federal do Brasil, promulgada em 05 de outubro de 1988. Cabe informar que os fatos ora descritos</w:t>
      </w:r>
      <w:r>
        <w:t xml:space="preserve"> serão levados ao conhecimento da área finalística para providências a seu cargo, conforme o Anexo C do Capítulo III, da Portaria de Consolidação GM/MS nº 06, de 28 de setembro de 2017 e Inciso IV, do Art. 2º da Portaria GM/MS nº 885, de 4 de maio de 2021.</w:t>
      </w:r>
      <w:r/>
    </w:p>
    <w:p>
      <w:pPr>
        <w:pStyle w:val="926"/>
        <w:pBdr/>
        <w:spacing/>
        <w:ind/>
        <w:rPr/>
      </w:pPr>
      <w:r>
        <w:rPr>
          <w:b/>
          <w:bCs/>
        </w:rPr>
        <w:t xml:space="preserve">Análise Codificação</w:t>
      </w:r>
      <w:r>
        <w:t xml:space="preserve">: Em relação ao foco, a recomendação propõe ações que vão</w:t>
      </w:r>
      <w:r>
        <w:t xml:space="preserve"> além da simples correção da condição encontrada (falta de composição mínima e controle de carga horária), incluindo a implementação de sistemas de controle (ponto eletrônico) e providências administrativas que visam prevenir a recorrência do problema, tra</w:t>
      </w:r>
      <w:r>
        <w:t xml:space="preserve">tando assim da causa. Já em relação aos efeitos pretendidos pela recomendação, a adoção de sistemas de controle estruturados e procedimentos administrativos permanentes tende a produzir efeitos duradouros, independentemente da mudança de atores envolvidos.</w:t>
      </w:r>
      <w:r/>
    </w:p>
    <w:p>
      <w:pPr>
        <w:pStyle w:val="928"/>
        <w:numPr>
          <w:ilvl w:val="0"/>
          <w:numId w:val="141"/>
        </w:numPr>
        <w:pBdr/>
        <w:spacing/>
        <w:ind/>
        <w:rPr/>
      </w:pPr>
      <w:r>
        <w:t xml:space="preserve">Ação Foco Causa: Sim</w:t>
      </w:r>
      <w:r/>
    </w:p>
    <w:p>
      <w:pPr>
        <w:pStyle w:val="928"/>
        <w:numPr>
          <w:ilvl w:val="0"/>
          <w:numId w:val="141"/>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inclui ações que visam prevenir a recorrência do problema, como a implementação de sistemas de controle e providências administrativas, o que justifica a classificação como</w:t>
      </w:r>
      <w:r>
        <w:t xml:space="preserve"> </w:t>
      </w:r>
      <w:r>
        <w:t xml:space="preserve">‘Sim’</w:t>
      </w:r>
      <w:r>
        <w:t xml:space="preserve">. No entanto, para o critério</w:t>
      </w:r>
      <w:r>
        <w:t xml:space="preserve"> </w:t>
      </w:r>
      <w:r>
        <w:t xml:space="preserve">‘Efeitos Duradouros’</w:t>
      </w:r>
      <w:r>
        <w:t xml:space="preserve">, a recomendação não especifica claramente a criação de políticas ou procedimentos permanentes que garantam a sustentabilidade das mudanças independentemente da rotatividade de pessoal, tornando a classificação</w:t>
      </w:r>
      <w:r>
        <w:t xml:space="preserve"> </w:t>
      </w:r>
      <w:r>
        <w:t xml:space="preserve">‘Sim’</w:t>
      </w:r>
      <w:r>
        <w:t xml:space="preserve"> </w:t>
      </w:r>
      <w:r>
        <w:t xml:space="preserve">questionável.</w:t>
      </w:r>
      <w:r/>
    </w:p>
    <w:p>
      <w:pPr>
        <w:pStyle w:val="928"/>
        <w:numPr>
          <w:ilvl w:val="0"/>
          <w:numId w:val="142"/>
        </w:numPr>
        <w:pBdr/>
        <w:spacing/>
        <w:ind/>
        <w:rPr/>
      </w:pPr>
      <w:r>
        <w:t xml:space="preserve">Análise Foco Causa: Concordo</w:t>
      </w:r>
      <w:r/>
    </w:p>
    <w:p>
      <w:pPr>
        <w:pStyle w:val="928"/>
        <w:numPr>
          <w:ilvl w:val="0"/>
          <w:numId w:val="142"/>
        </w:numPr>
        <w:pBdr/>
        <w:spacing/>
        <w:ind/>
        <w:rPr/>
      </w:pPr>
      <w:r>
        <w:t xml:space="preserve">Análise Efeitos Duradouros: Discordo</w:t>
      </w:r>
      <w:bookmarkEnd w:id="106"/>
      <w:r/>
    </w:p>
    <w:p>
      <w:pPr>
        <w:pStyle w:val="915"/>
        <w:pBdr/>
        <w:spacing/>
        <w:ind/>
        <w:rPr/>
      </w:pPr>
      <w:r/>
      <w:bookmarkStart w:id="107" w:name="auditoria-19683-constatação-nº-697245-2"/>
      <w:r>
        <w:t xml:space="preserve">Auditoria 19683, Constatação Nº 697245 (#2)</w:t>
      </w:r>
      <w:r/>
    </w:p>
    <w:p>
      <w:pPr>
        <w:pStyle w:val="927"/>
        <w:pBdr/>
        <w:spacing/>
        <w:ind/>
        <w:rPr/>
      </w:pPr>
      <w:r>
        <w:rPr>
          <w:b/>
          <w:bCs/>
        </w:rPr>
        <w:t xml:space="preserve">Finalidade</w:t>
      </w:r>
      <w:r>
        <w:t xml:space="preserve">: Realizar auditoria no Convênio 878444/2018 com a Santa Casa de Misericórdia de Sabará</w:t>
      </w:r>
      <w:r/>
    </w:p>
    <w:p>
      <w:pPr>
        <w:pStyle w:val="926"/>
        <w:pBdr/>
        <w:spacing/>
        <w:ind/>
        <w:rPr/>
      </w:pPr>
      <w:r>
        <w:rPr>
          <w:b/>
          <w:bCs/>
        </w:rPr>
        <w:t xml:space="preserve">Constatação</w:t>
      </w:r>
      <w:r>
        <w:t xml:space="preserve">: Ausência de critérios para as contratações dos profissionais do Apoio à Gestão Administrativa do Convênio nº 878444/2018 (DSEI Altamira).</w:t>
      </w:r>
      <w:r/>
    </w:p>
    <w:p>
      <w:pPr>
        <w:pStyle w:val="926"/>
        <w:pBdr/>
        <w:spacing/>
        <w:ind/>
        <w:rPr/>
      </w:pPr>
      <w:r>
        <w:rPr>
          <w:b/>
          <w:bCs/>
        </w:rPr>
        <w:t xml:space="preserve">Recomendação</w:t>
      </w:r>
      <w:r>
        <w:t xml:space="preserve">: Estabelecer critérios para a definição das despesas necessári</w:t>
      </w:r>
      <w:r>
        <w:t xml:space="preserve">as a serem contratadas para a gestão administrativa da convenente, bem como a observância do valor salarial de cada cargo, solicitando da convenente também a instituição de controle de frequência dos funcionários e o acompanhamento das atividades realizada</w:t>
      </w:r>
      <w:r>
        <w:t xml:space="preserve">s pela equipe, conforme preconizado o art. 74, do Decreto-Lei 5.452, de 1º de maio de 1943, e no § 2º, art. 63, da 4.320/64, que dispõe que a liquidação da despesa por fornecimentos feitos ou serviços prestados terá por base a prestação efetiva do serviço.</w:t>
      </w:r>
      <w:r/>
    </w:p>
    <w:p>
      <w:pPr>
        <w:pStyle w:val="926"/>
        <w:pBdr/>
        <w:spacing/>
        <w:ind/>
        <w:rPr/>
      </w:pPr>
      <w:r>
        <w:rPr>
          <w:b/>
          <w:bCs/>
        </w:rPr>
        <w:t xml:space="preserve">Análise Codificação</w:t>
      </w:r>
      <w:r>
        <w:t xml:space="preserve">: Em r</w:t>
      </w:r>
      <w:r>
        <w:t xml:space="preserve">elação ao foco, a recomendação propõe estabelecer critérios para contratações e definir despesas necessárias, o que visa tratar a causa raiz da ausência de critérios que gerou a condição encontrada, sendo portanto uma ação preventiva de longo prazo. Já em </w:t>
      </w:r>
      <w:r>
        <w:t xml:space="preserve">relação aos efeitos pretendidos pela recomendação, a instituição de critérios formais e controles permanentes (como controle de frequência) tende a persistir independentemente de mudanças nos atores envolvidos, pois se baseia em procedimentos estruturados.</w:t>
      </w:r>
      <w:r/>
    </w:p>
    <w:p>
      <w:pPr>
        <w:pStyle w:val="928"/>
        <w:numPr>
          <w:ilvl w:val="0"/>
          <w:numId w:val="143"/>
        </w:numPr>
        <w:pBdr/>
        <w:spacing/>
        <w:ind/>
        <w:rPr/>
      </w:pPr>
      <w:r>
        <w:t xml:space="preserve">Ação Foco Causa: Sim</w:t>
      </w:r>
      <w:r/>
    </w:p>
    <w:p>
      <w:pPr>
        <w:pStyle w:val="928"/>
        <w:numPr>
          <w:ilvl w:val="0"/>
          <w:numId w:val="143"/>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estabelece critérios para contratações e define despesas necessárias, o que aborda diretamente a causa da ausência de critérios, sendo uma ação preventiva. Para o critério</w:t>
      </w:r>
      <w:r>
        <w:t xml:space="preserve"> </w:t>
      </w:r>
      <w:r>
        <w:t xml:space="preserve">‘Efeitos Duradouros’</w:t>
      </w:r>
      <w:r>
        <w:t xml:space="preserve">, a implementação de critérios formais e controles de frequência cria estruturas que podem persistir além de mudanças de pessoal, mas a dependência de solicitações à convenente e a natureza específica do convênio podem limitar a durabilidade universal.</w:t>
      </w:r>
      <w:r/>
    </w:p>
    <w:p>
      <w:pPr>
        <w:pStyle w:val="928"/>
        <w:numPr>
          <w:ilvl w:val="0"/>
          <w:numId w:val="144"/>
        </w:numPr>
        <w:pBdr/>
        <w:spacing/>
        <w:ind/>
        <w:rPr/>
      </w:pPr>
      <w:r>
        <w:t xml:space="preserve">Análise Foco Causa: Concordo</w:t>
      </w:r>
      <w:r/>
    </w:p>
    <w:p>
      <w:pPr>
        <w:pStyle w:val="928"/>
        <w:numPr>
          <w:ilvl w:val="0"/>
          <w:numId w:val="144"/>
        </w:numPr>
        <w:pBdr/>
        <w:spacing/>
        <w:ind/>
        <w:rPr/>
      </w:pPr>
      <w:r>
        <w:t xml:space="preserve">Análise Efeitos Duradouros: Discordo</w:t>
      </w:r>
      <w:bookmarkEnd w:id="107"/>
      <w:r/>
    </w:p>
    <w:p>
      <w:pPr>
        <w:pStyle w:val="915"/>
        <w:pBdr/>
        <w:spacing/>
        <w:ind/>
        <w:rPr/>
      </w:pPr>
      <w:r/>
      <w:bookmarkStart w:id="108" w:name="auditoria-19779-constatação-nº-691475-1"/>
      <w:r>
        <w:t xml:space="preserve">Auditoria 19779, Constatação Nº 691475 (#1)</w:t>
      </w:r>
      <w:r/>
    </w:p>
    <w:p>
      <w:pPr>
        <w:pStyle w:val="927"/>
        <w:pBdr/>
        <w:spacing/>
        <w:ind/>
        <w:rPr/>
      </w:pPr>
      <w:r>
        <w:rPr>
          <w:b/>
          <w:bCs/>
        </w:rPr>
        <w:t xml:space="preserve">Finalidade</w:t>
      </w:r>
      <w:r>
        <w:t xml:space="preserve">: Verificar se a SMS possui controles internos capazes de assegurar adequadamente a Cadeia de Frio.</w:t>
      </w:r>
      <w:r/>
    </w:p>
    <w:p>
      <w:pPr>
        <w:pStyle w:val="926"/>
        <w:pBdr/>
        <w:spacing/>
        <w:ind/>
        <w:rPr/>
      </w:pPr>
      <w:r>
        <w:rPr>
          <w:b/>
          <w:bCs/>
        </w:rPr>
        <w:t xml:space="preserve">Constatação</w:t>
      </w:r>
      <w:r>
        <w:t xml:space="preserve">: O processo de inspeção na entrada/saída não é capaz de assegurar a preservação da integridade física e das condições de temperatura adequadas dos imunobiológicos mantendo a eficácia destes.</w:t>
      </w:r>
      <w:r/>
    </w:p>
    <w:p>
      <w:pPr>
        <w:pStyle w:val="926"/>
        <w:pBdr/>
        <w:spacing/>
        <w:ind/>
        <w:rPr/>
      </w:pPr>
      <w:r>
        <w:rPr>
          <w:b/>
          <w:bCs/>
        </w:rPr>
        <w:t xml:space="preserve">Recomendação</w:t>
      </w:r>
      <w:r>
        <w:t xml:space="preserve">: Elabor</w:t>
      </w:r>
      <w:r>
        <w:t xml:space="preserve">ar POP específico para as atividades de inspeção de entrada e saída com descrição suficientemente detalhadas das atividades, contemplando instrumentos de suporte para as atividades e ações a serem tomadas em caso perda de integridade física e das condições</w:t>
      </w:r>
      <w:r>
        <w:t xml:space="preserve"> de temperatura de forma a atender o disposto nos Incisos I, II e III, Art. 56 , Seção VI, da Resolução de Diretoria Colegiada - RDC N.º 430, de 08/10/2020, o qual cita que cada operação de recebimento deve verificar e registrar: I - as condições de transp</w:t>
      </w:r>
      <w:r>
        <w:t xml:space="preserve">orte e armazenagem aplicáveis, incluindo requerimentos especiais de temperatura, umidade ou exposição a luz; II - os números de lote, data de validade, e quantidades recebidas frente aos pedidos efetuados e notas fiscais recebidas; e III - a integridade da</w:t>
      </w:r>
      <w:r>
        <w:t xml:space="preserve"> carga e com o item 6.16.2 Caixa térmica do Manual de Rede de Frio do Programa Nacional de Imunizações / Ministério da Saúde - 5ª edição, que orienta que todas as instâncias de Rede de Frio que transportam estes insumos, a validação dos processos que serão</w:t>
      </w:r>
      <w:r>
        <w:t xml:space="preserve"> adotados para o transporte dos imunobiológicos, testando e qualificando o método de embalagem para promover a garantia da conservação do imunobiológico na faixa de temperatura adequada, a depender do produto e da instância (+2°C a +8°C, ou -25°C a -15°C).</w:t>
      </w:r>
      <w:r/>
    </w:p>
    <w:p>
      <w:pPr>
        <w:pStyle w:val="926"/>
        <w:pBdr/>
        <w:spacing/>
        <w:ind/>
        <w:rPr/>
      </w:pPr>
      <w:r>
        <w:rPr>
          <w:b/>
          <w:bCs/>
        </w:rPr>
        <w:t xml:space="preserve">Análise Codificação</w:t>
      </w:r>
      <w:r>
        <w:t xml:space="preserve">: Em relação ao foco, a recomendação propõe a elaboração de um Procedimento Operacional Padrão (POP) específico para as ativi</w:t>
      </w:r>
      <w:r>
        <w:t xml:space="preserve">dades de inspeção de entrada e saída, com descrição detalhada das atividades, instrumentos de suporte e ações a serem tomadas em caso de perda de integridade física ou de temperatura. Esta ação visa estabelecer um processo estruturado e documentado para ga</w:t>
      </w:r>
      <w:r>
        <w:t xml:space="preserve">rantir a preservação da integridade física e das condições de temperatura dos imunobiológicos, tratando assim a causa do problema, que é a falta de um processo formalizado e adequado para as inspeções. Já em relação aos efeitos pretendidos pela recomendaçã</w:t>
      </w:r>
      <w:r>
        <w:t xml:space="preserve">o, o POP, uma vez implementado, estabelece um procedimento padrão que permanece válido independentemente de mudanças nos atores envolvidos, pois se trata de uma documentação formal que guia as atividades de forma consistente, promovendo efeitos duradouros.</w:t>
      </w:r>
      <w:r/>
    </w:p>
    <w:p>
      <w:pPr>
        <w:pStyle w:val="928"/>
        <w:numPr>
          <w:ilvl w:val="0"/>
          <w:numId w:val="145"/>
        </w:numPr>
        <w:pBdr/>
        <w:spacing/>
        <w:ind/>
        <w:rPr/>
      </w:pPr>
      <w:r>
        <w:t xml:space="preserve">Ação Foco Causa: Sim</w:t>
      </w:r>
      <w:r/>
    </w:p>
    <w:p>
      <w:pPr>
        <w:pStyle w:val="928"/>
        <w:numPr>
          <w:ilvl w:val="0"/>
          <w:numId w:val="145"/>
        </w:numPr>
        <w:pBdr/>
        <w:spacing/>
        <w:ind/>
        <w:rPr/>
      </w:pPr>
      <w:r>
        <w:t xml:space="preserve">Efeitos Duradouros: Sim</w:t>
      </w:r>
      <w:r/>
    </w:p>
    <w:p>
      <w:pPr>
        <w:pStyle w:val="927"/>
        <w:pBdr/>
        <w:spacing/>
        <w:ind/>
        <w:rPr/>
      </w:pPr>
      <w:r>
        <w:rPr>
          <w:b/>
          <w:bCs/>
        </w:rPr>
        <w:t xml:space="preserve">Análise Crítica</w:t>
      </w:r>
      <w:r>
        <w:t xml:space="preserve">: A análise do modelo identificou corretamente que a recomendação </w:t>
      </w:r>
      <w:r>
        <w:t xml:space="preserve">propõe a criação de um POP para estruturar o processo de inspeção, tratando a causa raiz da falta de procedimentos formalizados. No entanto, a avaliação sobre efeitos duradouros merece uma análise mais aprofundada sobre a sustentabilidade da implementação.</w:t>
      </w:r>
      <w:r/>
    </w:p>
    <w:p>
      <w:pPr>
        <w:pStyle w:val="928"/>
        <w:numPr>
          <w:ilvl w:val="0"/>
          <w:numId w:val="146"/>
        </w:numPr>
        <w:pBdr/>
        <w:spacing/>
        <w:ind/>
        <w:rPr/>
      </w:pPr>
      <w:r>
        <w:t xml:space="preserve">Análise Foco Causa: Concordo</w:t>
      </w:r>
      <w:r/>
    </w:p>
    <w:p>
      <w:pPr>
        <w:pStyle w:val="928"/>
        <w:numPr>
          <w:ilvl w:val="0"/>
          <w:numId w:val="146"/>
        </w:numPr>
        <w:pBdr/>
        <w:spacing/>
        <w:ind/>
        <w:rPr/>
      </w:pPr>
      <w:r>
        <w:t xml:space="preserve">Análise Efeitos Duradouros: Discordo</w:t>
      </w:r>
      <w:bookmarkEnd w:id="108"/>
      <w:r/>
    </w:p>
    <w:p>
      <w:pPr>
        <w:pStyle w:val="915"/>
        <w:pBdr/>
        <w:spacing/>
        <w:ind/>
        <w:rPr/>
      </w:pPr>
      <w:r/>
      <w:bookmarkStart w:id="109" w:name="auditoria-19809-constatação-nº-694568-1"/>
      <w:r>
        <w:t xml:space="preserve">Auditoria 19809, Constatação Nº 694568 (#1)</w:t>
      </w:r>
      <w:r/>
    </w:p>
    <w:p>
      <w:pPr>
        <w:pStyle w:val="927"/>
        <w:pBdr/>
        <w:spacing/>
        <w:ind/>
        <w:rPr/>
      </w:pPr>
      <w:r>
        <w:rPr>
          <w:b/>
          <w:bCs/>
        </w:rPr>
        <w:t xml:space="preserve">Finalidade</w:t>
      </w:r>
      <w:r>
        <w:t xml:space="preserve">: Verificar se a Atenção Primária à Saúde está exercendo as atribuições de coordenadora da RAPS</w:t>
      </w:r>
      <w:r/>
    </w:p>
    <w:p>
      <w:pPr>
        <w:pStyle w:val="926"/>
        <w:pBdr/>
        <w:spacing/>
        <w:ind/>
        <w:rPr/>
      </w:pPr>
      <w:r>
        <w:rPr>
          <w:b/>
          <w:bCs/>
        </w:rPr>
        <w:t xml:space="preserve">Constatação</w:t>
      </w:r>
      <w:r>
        <w:t xml:space="preserve">: As UBSs visitadas não realizam acolhimento em casos de urgência ou emergência de pacientes de saúde mental.</w:t>
      </w:r>
      <w:r/>
    </w:p>
    <w:p>
      <w:pPr>
        <w:pStyle w:val="926"/>
        <w:pBdr/>
        <w:spacing/>
        <w:ind/>
        <w:rPr/>
      </w:pPr>
      <w:r>
        <w:rPr>
          <w:b/>
          <w:bCs/>
        </w:rPr>
        <w:t xml:space="preserve">Recomendação</w:t>
      </w:r>
      <w:r>
        <w:t xml:space="preserve">: Adotar as seguintes medidas visando atender o estabelecido no Inciso XVII, Subitem 4.1, Item 4; e na Alínea a, Inciso VI, Item 5, Anexo 1 do Anexo XXII </w:t>
      </w:r>
      <w:r>
        <w:t xml:space="preserve">da Portaria de Consolidação GM/MS nº 2, de 28/09/2017: - Elaborar e implementar protocolos e fluxos de atendimento nas UBSs para o primeiro atendimento às urgências e/ou emergências dos pacientes de saúde mental, acolhimento, organização do escopo de ações</w:t>
      </w:r>
      <w:r>
        <w:t xml:space="preserve"> e do processo de trabalho de acordo com demandas e necessidades da população adstrita; - Capacitar os profissionais das UBSs quanto ao uso dos protocolos, diretrizes clínicas, linhas de cuidado e fluxos de encaminhamento dos pacientes de saúde mental para</w:t>
      </w:r>
      <w:r>
        <w:t xml:space="preserve"> outros pontos de atenção da RAPS; e - Estruturar a RAPS no município de Cuiabá, de modo a implementar estratégias para que as equipes das UBSs acompanhem o percurso dos pacientes de saúde mental após referenciamento, assegurando a continuidade do cuidado.</w:t>
      </w:r>
      <w:r/>
    </w:p>
    <w:p>
      <w:pPr>
        <w:pStyle w:val="926"/>
        <w:pBdr/>
        <w:spacing/>
        <w:ind/>
        <w:rPr/>
      </w:pPr>
      <w:r>
        <w:rPr>
          <w:b/>
          <w:bCs/>
        </w:rPr>
        <w:t xml:space="preserve">Análise Codificação</w:t>
      </w:r>
      <w:r>
        <w:t xml:space="preserve">: Em</w:t>
      </w:r>
      <w:r>
        <w:t xml:space="preserve"> relação ao foco, a recomendação propõe ações que tratam da causa do problema, como a elaboração e implementação de protocolos e fluxos de atendimento, capacitação de profissionais e estruturação da RAPS, visando prevenir a recorrência da condição encontra</w:t>
      </w:r>
      <w:r>
        <w:t xml:space="preserve">da. Já em relação aos efeitos pretendidos pela recomendação, as ações sugeridas (protocolos, capacitação e estruturação da RAPS) são institucionais e permanecem mesmo com mudanças de atores envolvidos, pois se baseiam em sistemas e processos estabelecidos.</w:t>
      </w:r>
      <w:r/>
    </w:p>
    <w:p>
      <w:pPr>
        <w:pStyle w:val="928"/>
        <w:numPr>
          <w:ilvl w:val="0"/>
          <w:numId w:val="147"/>
        </w:numPr>
        <w:pBdr/>
        <w:spacing/>
        <w:ind/>
        <w:rPr/>
      </w:pPr>
      <w:r>
        <w:t xml:space="preserve">Ação Foco Causa: Sim</w:t>
      </w:r>
      <w:r/>
    </w:p>
    <w:p>
      <w:pPr>
        <w:pStyle w:val="928"/>
        <w:numPr>
          <w:ilvl w:val="0"/>
          <w:numId w:val="147"/>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propõe ações que efetivamente tratam das causas subjacentes da constatação, como a falta de protocolos, capacitação e estruturação da RAPS. Quanto ao critério</w:t>
      </w:r>
      <w:r>
        <w:t xml:space="preserve"> </w:t>
      </w:r>
      <w:r>
        <w:t xml:space="preserve">‘Efeitos Duradouros’</w:t>
      </w:r>
      <w:r>
        <w:t xml:space="preserve">, as ações sugeridas são institucionais e baseadas em sistemas, mas a implementação e manutenção dependem de fatores como recursos, priorização política e adesão contínua, o que pode variar com mudanças de atores.</w:t>
      </w:r>
      <w:r/>
    </w:p>
    <w:p>
      <w:pPr>
        <w:pStyle w:val="928"/>
        <w:numPr>
          <w:ilvl w:val="0"/>
          <w:numId w:val="148"/>
        </w:numPr>
        <w:pBdr/>
        <w:spacing/>
        <w:ind/>
        <w:rPr/>
      </w:pPr>
      <w:r>
        <w:t xml:space="preserve">Análise Foco Causa: Concordo</w:t>
      </w:r>
      <w:r/>
    </w:p>
    <w:p>
      <w:pPr>
        <w:pStyle w:val="928"/>
        <w:numPr>
          <w:ilvl w:val="0"/>
          <w:numId w:val="148"/>
        </w:numPr>
        <w:pBdr/>
        <w:spacing/>
        <w:ind/>
        <w:rPr/>
      </w:pPr>
      <w:r>
        <w:t xml:space="preserve">Análise Efeitos Duradouros: Discordo</w:t>
      </w:r>
      <w:bookmarkEnd w:id="109"/>
      <w:bookmarkEnd w:id="110"/>
      <w:r/>
    </w:p>
    <w:p>
      <w:pPr>
        <w:pStyle w:val="914"/>
        <w:pBdr/>
        <w:spacing/>
        <w:ind/>
        <w:rPr/>
      </w:pPr>
      <w:r/>
      <w:bookmarkStart w:id="121" w:name="Xfe34d267705ff70dfa4996add6a5ef6292216fc"/>
      <w:r>
        <w:t xml:space="preserve">Foco: Sim, Efeitos: Sim, Concordância Foco: Concordo, Concordância Efeitos: Concordo</w:t>
      </w:r>
      <w:r/>
    </w:p>
    <w:p>
      <w:pPr>
        <w:pStyle w:val="915"/>
        <w:pBdr/>
        <w:spacing/>
        <w:ind/>
        <w:rPr/>
      </w:pPr>
      <w:r/>
      <w:bookmarkStart w:id="111" w:name="auditoria-19197-constatação-nº-658344-3"/>
      <w:r>
        <w:t xml:space="preserve">Auditoria 19197, Constatação Nº 658344 (#3)</w:t>
      </w:r>
      <w:r/>
    </w:p>
    <w:p>
      <w:pPr>
        <w:pStyle w:val="927"/>
        <w:pBdr/>
        <w:spacing/>
        <w:ind/>
        <w:rPr/>
      </w:pPr>
      <w:r>
        <w:rPr>
          <w:b/>
          <w:bCs/>
        </w:rPr>
        <w:t xml:space="preserve">Finalidade</w:t>
      </w:r>
      <w:r>
        <w:t xml:space="preserve">: Verificar a regularidade nos proc. de adesão às Atas de Registro de Preços p/ aq. de OPME pelo HFI</w:t>
      </w:r>
      <w:r/>
    </w:p>
    <w:p>
      <w:pPr>
        <w:pStyle w:val="926"/>
        <w:pBdr/>
        <w:spacing/>
        <w:ind/>
        <w:rPr/>
      </w:pPr>
      <w:r>
        <w:rPr>
          <w:b/>
          <w:bCs/>
        </w:rPr>
        <w:t xml:space="preserve">Constatação</w:t>
      </w:r>
      <w:r>
        <w:t xml:space="preserve">: Fragilidade na atuação do controle interno da Unidade</w:t>
      </w:r>
      <w:r/>
    </w:p>
    <w:p>
      <w:pPr>
        <w:pStyle w:val="926"/>
        <w:pBdr/>
        <w:spacing/>
        <w:ind/>
        <w:rPr/>
      </w:pPr>
      <w:r>
        <w:rPr>
          <w:b/>
          <w:bCs/>
        </w:rPr>
        <w:t xml:space="preserve">Recomendação</w:t>
      </w:r>
      <w:r>
        <w:t xml:space="preserve">: Promover o fortalecime</w:t>
      </w:r>
      <w:r>
        <w:t xml:space="preserve">nto Núcleo de Controle Interno do HFI, de forma que sua atuação esteja em conformidade com o disposto no art. 14 da Seção I Dos Princípios da Gestão de Riscos do Capítulo III DA GESTÃO DE RISCOS da Instrução Normativa Conjunta MP- CGU nº 01, de 10/05/2016;</w:t>
      </w:r>
      <w:r/>
    </w:p>
    <w:p>
      <w:pPr>
        <w:pStyle w:val="926"/>
        <w:pBdr/>
        <w:spacing/>
        <w:ind/>
        <w:rPr/>
      </w:pPr>
      <w:r>
        <w:rPr>
          <w:b/>
          <w:bCs/>
        </w:rPr>
        <w:t xml:space="preserve">Análise Codificação</w:t>
      </w:r>
      <w:r>
        <w:t xml:space="preserve">: Em relação ao foco, a recomendação propõe o f</w:t>
      </w:r>
      <w:r>
        <w:t xml:space="preserve">ortalecimento do Núcleo de Controle Interno para garantir conformidade com normas específicas, o que visa tratar a causa subjacente da fragilidade na atuação do controle interno, em vez de apenas corrigir a condição atual. Já em relação aos efeitos pretend</w:t>
      </w:r>
      <w:r>
        <w:t xml:space="preserve">idos pela recomendação, o fortalecimento institucional do núcleo, baseado em princípios normativos, tende a produzir efeitos duradouros que persistem independentemente de mudanças nos atores envolvidos, pois está ancorado em estruturas e processos formais.</w:t>
      </w:r>
      <w:r/>
    </w:p>
    <w:p>
      <w:pPr>
        <w:pStyle w:val="928"/>
        <w:numPr>
          <w:ilvl w:val="0"/>
          <w:numId w:val="149"/>
        </w:numPr>
        <w:pBdr/>
        <w:spacing/>
        <w:ind/>
        <w:rPr/>
      </w:pPr>
      <w:r>
        <w:t xml:space="preserve">Ação Foco Causa: Sim</w:t>
      </w:r>
      <w:r/>
    </w:p>
    <w:p>
      <w:pPr>
        <w:pStyle w:val="928"/>
        <w:numPr>
          <w:ilvl w:val="0"/>
          <w:numId w:val="149"/>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propõe fortalecer o Núcleo de Controle Interno para garantir conformidade com normas, o que aborda a causa subjacente da fragilidade identificada. Para o critério</w:t>
      </w:r>
      <w:r>
        <w:t xml:space="preserve"> </w:t>
      </w:r>
      <w:r>
        <w:t xml:space="preserve">‘Efeitos Duradouros’</w:t>
      </w:r>
      <w:r>
        <w:t xml:space="preserve">, o fortalecimento institucional baseado em princípios normativos sugere que os efeitos podem persistir independentemente de mudanças de pessoal, pois se baseia em estruturas formais.</w:t>
      </w:r>
      <w:r/>
    </w:p>
    <w:p>
      <w:pPr>
        <w:pStyle w:val="928"/>
        <w:numPr>
          <w:ilvl w:val="0"/>
          <w:numId w:val="150"/>
        </w:numPr>
        <w:pBdr/>
        <w:spacing/>
        <w:ind/>
        <w:rPr/>
      </w:pPr>
      <w:r>
        <w:t xml:space="preserve">Análise Foco Causa: Concordo</w:t>
      </w:r>
      <w:r/>
    </w:p>
    <w:p>
      <w:pPr>
        <w:pStyle w:val="928"/>
        <w:numPr>
          <w:ilvl w:val="0"/>
          <w:numId w:val="150"/>
        </w:numPr>
        <w:pBdr/>
        <w:spacing/>
        <w:ind/>
        <w:rPr/>
      </w:pPr>
      <w:r>
        <w:t xml:space="preserve">Análise Efeitos Duradouros: Concordo</w:t>
      </w:r>
      <w:bookmarkEnd w:id="111"/>
      <w:r/>
    </w:p>
    <w:p>
      <w:pPr>
        <w:pStyle w:val="915"/>
        <w:pBdr/>
        <w:spacing/>
        <w:ind/>
        <w:rPr/>
      </w:pPr>
      <w:r/>
      <w:bookmarkStart w:id="112" w:name="auditoria-19293-constatação-nº-683527-1"/>
      <w:r>
        <w:t xml:space="preserve">Auditoria 19293, Constatação Nº 683527 (#1)</w:t>
      </w:r>
      <w:r/>
    </w:p>
    <w:p>
      <w:pPr>
        <w:pStyle w:val="927"/>
        <w:pBdr/>
        <w:spacing/>
        <w:ind/>
        <w:rPr/>
      </w:pPr>
      <w:r>
        <w:rPr>
          <w:b/>
          <w:bCs/>
        </w:rPr>
        <w:t xml:space="preserve">Finalidade</w:t>
      </w:r>
      <w:r>
        <w:t xml:space="preserve">: Verificar a execução da</w:t>
      </w:r>
      <w:r>
        <w:t xml:space="preserve"> </w:t>
      </w:r>
      <w:r>
        <w:t xml:space="preserve">“Auditoria 2”</w:t>
      </w:r>
      <w:r>
        <w:t xml:space="preserve"> </w:t>
      </w:r>
      <w:r>
        <w:t xml:space="preserve">do Plano de Ação da SES do Tocantins, apresentado em 2022.</w:t>
      </w:r>
      <w:r/>
    </w:p>
    <w:p>
      <w:pPr>
        <w:pStyle w:val="926"/>
        <w:pBdr/>
        <w:spacing/>
        <w:ind/>
        <w:rPr/>
      </w:pPr>
      <w:r>
        <w:rPr>
          <w:b/>
          <w:bCs/>
        </w:rPr>
        <w:t xml:space="preserve">Constatação</w:t>
      </w:r>
      <w:r>
        <w:t xml:space="preserve">: Não comprovação de cumprimento da carga horária de 18,62% dos servidores cedidos com ônus para a Secretaria de Estado da Saúde do Tocantins (SES/TO).</w:t>
      </w:r>
      <w:r/>
    </w:p>
    <w:p>
      <w:pPr>
        <w:pStyle w:val="926"/>
        <w:pBdr/>
        <w:spacing/>
        <w:ind/>
        <w:rPr/>
      </w:pPr>
      <w:r>
        <w:rPr>
          <w:b/>
          <w:bCs/>
        </w:rPr>
        <w:t xml:space="preserve">Recomendação</w:t>
      </w:r>
      <w:r>
        <w:t xml:space="preserve">: Qualificar as informações dos profissionais cedidos no Sistema de Cadastro Nacional dos Estabelecimentos de Saúde, para que sejam registradas a cessão dos servidores, assim como a carga horária que os mesmos cumprem. Estabelecer, junto às</w:t>
      </w:r>
      <w:r>
        <w:t xml:space="preserve"> entidades para as quais são cedidos servidores, medidas de monitoramento do cumprimento da carga horária referente ao cargo que o servidor ocupa na SES/TO. Tais medidas fazem-se necessárias para que haja o cumprimento dos artigos 19 e 132 da Lei Estadual </w:t>
      </w:r>
      <w:r>
        <w:t xml:space="preserve">n.º 1.818, de 23/8/2007, os quais preveem, respectivamente, a obrigatoriedade do cumprimento da carga horária referente a cargo que ocupam, e que a conduta do servidor público deve pautar-se pela legalidade, moralidade na Administração Pública, verdade, pe</w:t>
      </w:r>
      <w:r>
        <w:t xml:space="preserve">lo bem comum, pela celeridade, responsabilidade e eficácia de seus atos e disciplina; e o atendimento ao item 3.2, Auditoria 2, Plano de Ação da SES/TO, de 28/9/2022, que prevê a readequação aos critérios de cessão de servidores com ônus para a Secretaria.</w:t>
      </w:r>
      <w:r/>
    </w:p>
    <w:p>
      <w:pPr>
        <w:pStyle w:val="926"/>
        <w:pBdr/>
        <w:spacing/>
        <w:ind/>
        <w:rPr/>
      </w:pPr>
      <w:r>
        <w:rPr>
          <w:b/>
          <w:bCs/>
        </w:rPr>
        <w:t xml:space="preserve">Análise Codificação</w:t>
      </w:r>
      <w:r>
        <w:t xml:space="preserve">: Em relação ao foco, a recomendação propõe </w:t>
      </w:r>
      <w:r>
        <w:t xml:space="preserve">ações que tratam da causa do problema, como qualificar informações no sistema de cadastro e estabelecer medidas de monitoramento, visando prevenir a reincidência da não comprovação da carga horária. Já em relação aos efeitos pretendidos pela recomendação, </w:t>
      </w:r>
      <w:r>
        <w:t xml:space="preserve">as ações sugeridas, como a qualificação de informações em sistema nacional e o estabelecimento de medidas de monitoramento, criam estruturas e processos que podem persistir independentemente de mudanças nos atores envolvidos, promovendo efeitos duradouros.</w:t>
      </w:r>
      <w:r/>
    </w:p>
    <w:p>
      <w:pPr>
        <w:pStyle w:val="928"/>
        <w:numPr>
          <w:ilvl w:val="0"/>
          <w:numId w:val="151"/>
        </w:numPr>
        <w:pBdr/>
        <w:spacing/>
        <w:ind/>
        <w:rPr/>
      </w:pPr>
      <w:r>
        <w:t xml:space="preserve">Ação Foco Causa: Sim</w:t>
      </w:r>
      <w:r/>
    </w:p>
    <w:p>
      <w:pPr>
        <w:pStyle w:val="928"/>
        <w:numPr>
          <w:ilvl w:val="0"/>
          <w:numId w:val="151"/>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efetivamente propõe ações que visam tratar a causa raiz do problema, que é a falta de registro adequado e monitoramento da carga horária dos servidores cedidos. Quanto ao critério</w:t>
      </w:r>
      <w:r>
        <w:t xml:space="preserve"> </w:t>
      </w:r>
      <w:r>
        <w:t xml:space="preserve">‘Efeitos Duradouros’</w:t>
      </w:r>
      <w:r>
        <w:t xml:space="preserve">, as ações sugeridas criam estruturas e processos sistêmicos que podem perdurar independentemente de mudanças nos atores envolvidos.</w:t>
      </w:r>
      <w:r/>
    </w:p>
    <w:p>
      <w:pPr>
        <w:pStyle w:val="928"/>
        <w:numPr>
          <w:ilvl w:val="0"/>
          <w:numId w:val="152"/>
        </w:numPr>
        <w:pBdr/>
        <w:spacing/>
        <w:ind/>
        <w:rPr/>
      </w:pPr>
      <w:r>
        <w:t xml:space="preserve">Análise Foco Causa: Concordo</w:t>
      </w:r>
      <w:r/>
    </w:p>
    <w:p>
      <w:pPr>
        <w:pStyle w:val="928"/>
        <w:numPr>
          <w:ilvl w:val="0"/>
          <w:numId w:val="152"/>
        </w:numPr>
        <w:pBdr/>
        <w:spacing/>
        <w:ind/>
        <w:rPr/>
      </w:pPr>
      <w:r>
        <w:t xml:space="preserve">Análise Efeitos Duradouros: Concordo</w:t>
      </w:r>
      <w:bookmarkEnd w:id="112"/>
      <w:r/>
    </w:p>
    <w:p>
      <w:pPr>
        <w:pStyle w:val="915"/>
        <w:pBdr/>
        <w:spacing/>
        <w:ind/>
        <w:rPr/>
      </w:pPr>
      <w:r/>
      <w:bookmarkStart w:id="113" w:name="auditoria-19294-constatação-nº-687240-1"/>
      <w:r>
        <w:t xml:space="preserve">Auditoria 19294, Constatação Nº 687240 (#1)</w:t>
      </w:r>
      <w:r/>
    </w:p>
    <w:p>
      <w:pPr>
        <w:pStyle w:val="927"/>
        <w:pBdr/>
        <w:spacing/>
        <w:ind/>
        <w:rPr/>
      </w:pPr>
      <w:r>
        <w:rPr>
          <w:b/>
          <w:bCs/>
        </w:rPr>
        <w:t xml:space="preserve">Finalidade</w:t>
      </w:r>
      <w:r>
        <w:t xml:space="preserve">: Verificar a implementação da</w:t>
      </w:r>
      <w:r>
        <w:t xml:space="preserve"> </w:t>
      </w:r>
      <w:r>
        <w:t xml:space="preserve">“Auditoria 5”</w:t>
      </w:r>
      <w:r>
        <w:t xml:space="preserve"> </w:t>
      </w:r>
      <w:r>
        <w:t xml:space="preserve">do Plano de Ação da SES do Tocantins, elaborado em 2022.</w:t>
      </w:r>
      <w:r/>
    </w:p>
    <w:p>
      <w:pPr>
        <w:pStyle w:val="926"/>
        <w:pBdr/>
        <w:spacing/>
        <w:ind/>
        <w:rPr/>
      </w:pPr>
      <w:r>
        <w:rPr>
          <w:b/>
          <w:bCs/>
        </w:rPr>
        <w:t xml:space="preserve">Constatação</w:t>
      </w:r>
      <w:r>
        <w:t xml:space="preserve">: Os pagamentos referentes ao sistema informatizado de gestão hospitalar (Contrato n.º 260/2014 - Soul MV - MV Sistemas Ltda.) não foram realizados conforme previsão contratual.</w:t>
      </w:r>
      <w:r/>
    </w:p>
    <w:p>
      <w:pPr>
        <w:pStyle w:val="926"/>
        <w:pBdr/>
        <w:spacing/>
        <w:ind/>
        <w:rPr/>
      </w:pPr>
      <w:r>
        <w:rPr>
          <w:b/>
          <w:bCs/>
        </w:rPr>
        <w:t xml:space="preserve">Recomendação</w:t>
      </w:r>
      <w:r>
        <w:t xml:space="preserve">: Realizar a revisão do ato administrativo referente ao Contrato nº 260/2014, com a devida apuração e adequada complementação para o saneamento quanto à inexecução contratual, conforme estabelecido no artigo 53, da Lei n.º 9.784 de 29/1/1999.</w:t>
      </w:r>
      <w:r/>
    </w:p>
    <w:p>
      <w:pPr>
        <w:pStyle w:val="926"/>
        <w:pBdr/>
        <w:spacing/>
        <w:ind/>
        <w:rPr/>
      </w:pPr>
      <w:r>
        <w:rPr>
          <w:b/>
          <w:bCs/>
        </w:rPr>
        <w:t xml:space="preserve">Análise Codificação</w:t>
      </w:r>
      <w:r>
        <w:t xml:space="preserve">: Em relação ao foco, a recomendação propõe a revisão do ato administrativo do</w:t>
      </w:r>
      <w:r>
        <w:t xml:space="preserve"> contrato com apuração e complementação para saneamento da inexecução contratual, o que visa tratar a causa do problema (inexecução contratual) por meio de um procedimento administrativo formal, e não apenas corrigir a condição imediata de pagamentos irreg</w:t>
      </w:r>
      <w:r>
        <w:t xml:space="preserve">ulares. Já em relação aos efeitos pretendidos pela recomendação, a implementação de um ato administrativo revisado e saneado estabelece um marco formal que permanece válido independentemente de mudanças nos atores envolvidos, conferindo efeitos duradouros.</w:t>
      </w:r>
      <w:r/>
    </w:p>
    <w:p>
      <w:pPr>
        <w:pStyle w:val="928"/>
        <w:numPr>
          <w:ilvl w:val="0"/>
          <w:numId w:val="153"/>
        </w:numPr>
        <w:pBdr/>
        <w:spacing/>
        <w:ind/>
        <w:rPr/>
      </w:pPr>
      <w:r>
        <w:t xml:space="preserve">Ação Foco Causa: Sim</w:t>
      </w:r>
      <w:r/>
    </w:p>
    <w:p>
      <w:pPr>
        <w:pStyle w:val="928"/>
        <w:numPr>
          <w:ilvl w:val="0"/>
          <w:numId w:val="153"/>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propõe uma rev</w:t>
      </w:r>
      <w:r>
        <w:t xml:space="preserve">isão do ato administrativo com apuração e complementação para saneamento da inexecução contratual, o que sugere uma abordagem para tratar a causa subjacente (inexecução contratual) e não apenas a condição imediata de pagamentos irregulares. Para o critério</w:t>
      </w:r>
      <w:r>
        <w:t xml:space="preserve"> </w:t>
      </w:r>
      <w:r>
        <w:t xml:space="preserve">‘Efeitos Duradouros’</w:t>
      </w:r>
      <w:r>
        <w:t xml:space="preserve">, a implementação de um ato administrativo revisado e saneado estabelece um marco formal que pode persistir independentemente de mudanças nos atores, indicando efeitos duradouros.</w:t>
      </w:r>
      <w:r/>
    </w:p>
    <w:p>
      <w:pPr>
        <w:pStyle w:val="928"/>
        <w:numPr>
          <w:ilvl w:val="0"/>
          <w:numId w:val="154"/>
        </w:numPr>
        <w:pBdr/>
        <w:spacing/>
        <w:ind/>
        <w:rPr/>
      </w:pPr>
      <w:r>
        <w:t xml:space="preserve">Análise Foco Causa: Concordo</w:t>
      </w:r>
      <w:r/>
    </w:p>
    <w:p>
      <w:pPr>
        <w:pStyle w:val="928"/>
        <w:numPr>
          <w:ilvl w:val="0"/>
          <w:numId w:val="154"/>
        </w:numPr>
        <w:pBdr/>
        <w:spacing/>
        <w:ind/>
        <w:rPr/>
      </w:pPr>
      <w:r>
        <w:t xml:space="preserve">Análise Efeitos Duradouros: Concordo</w:t>
      </w:r>
      <w:bookmarkEnd w:id="113"/>
      <w:r/>
    </w:p>
    <w:p>
      <w:pPr>
        <w:pStyle w:val="915"/>
        <w:pBdr/>
        <w:spacing/>
        <w:ind/>
        <w:rPr/>
      </w:pPr>
      <w:r/>
      <w:bookmarkStart w:id="114" w:name="auditoria-19711-constatação-nº-691914-2"/>
      <w:r>
        <w:t xml:space="preserve">Auditoria 19711, Constatação Nº 691914 (#2)</w:t>
      </w:r>
      <w:r/>
    </w:p>
    <w:p>
      <w:pPr>
        <w:pStyle w:val="927"/>
        <w:pBdr/>
        <w:spacing/>
        <w:ind/>
        <w:rPr/>
      </w:pPr>
      <w:r>
        <w:rPr>
          <w:b/>
          <w:bCs/>
        </w:rPr>
        <w:t xml:space="preserve">Finalidade</w:t>
      </w:r>
      <w:r>
        <w:t xml:space="preserve">: Verificar a regularidade da produção inserida nos sistemas do SUS no município de Patos/PB.</w:t>
      </w:r>
      <w:r/>
    </w:p>
    <w:p>
      <w:pPr>
        <w:pStyle w:val="926"/>
        <w:pBdr/>
        <w:spacing/>
        <w:ind/>
        <w:rPr/>
      </w:pPr>
      <w:r>
        <w:rPr>
          <w:b/>
          <w:bCs/>
        </w:rPr>
        <w:t xml:space="preserve">Constatação</w:t>
      </w:r>
      <w:r>
        <w:t xml:space="preserve">: Não há definição das instâncias e mecanismos de controle, avaliação e de fiscalização das ações e serviços de saúde.</w:t>
      </w:r>
      <w:r/>
    </w:p>
    <w:p>
      <w:pPr>
        <w:pStyle w:val="926"/>
        <w:pBdr/>
        <w:spacing/>
        <w:ind/>
        <w:rPr/>
      </w:pPr>
      <w:r>
        <w:rPr>
          <w:b/>
          <w:bCs/>
        </w:rPr>
        <w:t xml:space="preserve">Recomendação</w:t>
      </w:r>
      <w:r>
        <w:t xml:space="preserve">: A SMS de Patos deve executar as seguintes ações: a) Informatizar e padronizar a coleta de dados no Sistema de Informações Ambulatoriais - SIA/SUS, garantindo que todos os dados sejam registrados de maneira consistente e completa; b) Criação </w:t>
      </w:r>
      <w:r>
        <w:t xml:space="preserve">de mecanismos de acompanhamento e controle que permitam o monitoramento contínuo dos dados de produção ambulatorial, facilitando a identificação de tendências e a tomada de decisões baseadas em evidências; c) Capacitação das equipes de gestão e operação pa</w:t>
      </w:r>
      <w:r>
        <w:t xml:space="preserve">ra assegurar que todos os envolvidos compreendam a importância do registro preciso dos dados e estejam aptos a utilizá-los de maneira eficaz; d) Auditorias regulares e revisões periódicas dos dados inseridos no sistema, para verificar a sua precisão e inte</w:t>
      </w:r>
      <w:r>
        <w:t xml:space="preserve">gridade, corrigindo eventuais falhas ou omissões de maneira proativa. Essas ações visam atender o art. 18 da Lei nº 8.080/1990, que atribui a competência à direção municipal do Sistema de Saúde (SUS) o controle e avaliação das ações e os serviços de saúde.</w:t>
      </w:r>
      <w:r/>
    </w:p>
    <w:p>
      <w:pPr>
        <w:pStyle w:val="926"/>
        <w:pBdr/>
        <w:spacing/>
        <w:ind/>
        <w:rPr/>
      </w:pPr>
      <w:r>
        <w:rPr>
          <w:b/>
          <w:bCs/>
        </w:rPr>
        <w:t xml:space="preserve">Análise Codificação</w:t>
      </w:r>
      <w:r>
        <w:t xml:space="preserve">: Em relação ao foco, a recomendação propõe ações que tratam da causa do problema, como a informatizaç</w:t>
      </w:r>
      <w:r>
        <w:t xml:space="preserve">ão e padronização da coleta de dados, criação de mecanismos de acompanhamento, capacitação das equipes e auditorias regulares, visando resolver a falta de definição de instâncias e mecanismos de controle. Já em relação aos efeitos pretendidos pela recomend</w:t>
      </w:r>
      <w:r>
        <w:t xml:space="preserve">ação, as ações sugeridas, como sistemas informatizados, mecanismos de controle estruturados e processos de capacitação e auditoria, tendem a permanecer mesmo com mudanças nos atores envolvidos, pois são baseados em processos e sistemas institucionalizados.</w:t>
      </w:r>
      <w:r/>
    </w:p>
    <w:p>
      <w:pPr>
        <w:pStyle w:val="928"/>
        <w:numPr>
          <w:ilvl w:val="0"/>
          <w:numId w:val="155"/>
        </w:numPr>
        <w:pBdr/>
        <w:spacing/>
        <w:ind/>
        <w:rPr/>
      </w:pPr>
      <w:r>
        <w:t xml:space="preserve">Ação Foco Causa: Sim</w:t>
      </w:r>
      <w:r/>
    </w:p>
    <w:p>
      <w:pPr>
        <w:pStyle w:val="928"/>
        <w:numPr>
          <w:ilvl w:val="0"/>
          <w:numId w:val="155"/>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aborda diretamente a causa raiz da c</w:t>
      </w:r>
      <w:r>
        <w:t xml:space="preserve">onstatação, que é a ausência de definição de instâncias e mecanismos de controle, avaliação e fiscalização, por meio de ações como informatização, padronização, criação de mecanismos de acompanhamento, capacitação e auditorias regulares. Quanto ao critério</w:t>
      </w:r>
      <w:r>
        <w:t xml:space="preserve"> </w:t>
      </w:r>
      <w:r>
        <w:t xml:space="preserve">‘Efeitos Duradouros’</w:t>
      </w:r>
      <w:r>
        <w:t xml:space="preserve">, as ações propostas, como sistemas informatizados, mecanismos estruturados e processos de capacitação, são institucionalizadas e não dependem de indivíduos específicos, promovendo sustentabilidade.</w:t>
      </w:r>
      <w:r/>
    </w:p>
    <w:p>
      <w:pPr>
        <w:pStyle w:val="928"/>
        <w:numPr>
          <w:ilvl w:val="0"/>
          <w:numId w:val="156"/>
        </w:numPr>
        <w:pBdr/>
        <w:spacing/>
        <w:ind/>
        <w:rPr/>
      </w:pPr>
      <w:r>
        <w:t xml:space="preserve">Análise Foco Causa: Concordo</w:t>
      </w:r>
      <w:r/>
    </w:p>
    <w:p>
      <w:pPr>
        <w:pStyle w:val="928"/>
        <w:numPr>
          <w:ilvl w:val="0"/>
          <w:numId w:val="156"/>
        </w:numPr>
        <w:pBdr/>
        <w:spacing/>
        <w:ind/>
        <w:rPr/>
      </w:pPr>
      <w:r>
        <w:t xml:space="preserve">Análise Efeitos Duradouros: Concordo</w:t>
      </w:r>
      <w:bookmarkEnd w:id="114"/>
      <w:r/>
    </w:p>
    <w:p>
      <w:pPr>
        <w:pStyle w:val="915"/>
        <w:pBdr/>
        <w:spacing/>
        <w:ind/>
        <w:rPr/>
      </w:pPr>
      <w:r/>
      <w:bookmarkStart w:id="115" w:name="auditoria-19717-constatação-nº-689033-1"/>
      <w:r>
        <w:t xml:space="preserve">Auditoria 19717, Constatação Nº 689033 (#1)</w:t>
      </w:r>
      <w:r/>
    </w:p>
    <w:p>
      <w:pPr>
        <w:pStyle w:val="927"/>
        <w:pBdr/>
        <w:spacing/>
        <w:ind/>
        <w:rPr/>
      </w:pPr>
      <w:r>
        <w:rPr>
          <w:b/>
          <w:bCs/>
        </w:rPr>
        <w:t xml:space="preserve">Finalidade</w:t>
      </w:r>
      <w:r>
        <w:t xml:space="preserve">: Verificar indícios de irregularidades no do Programa Farmácia Popular do Brasil/PFPB</w:t>
      </w:r>
      <w:r/>
    </w:p>
    <w:p>
      <w:pPr>
        <w:pStyle w:val="926"/>
        <w:pBdr/>
        <w:spacing/>
        <w:ind/>
        <w:rPr/>
      </w:pPr>
      <w:r>
        <w:rPr>
          <w:b/>
          <w:bCs/>
        </w:rPr>
        <w:t xml:space="preserve">Constatação</w:t>
      </w:r>
      <w:r>
        <w:t xml:space="preserve">: O estabelecimento auditado não apresentou documentos que permitissem identificar a posição do estoque em 31/12/2018.</w:t>
      </w:r>
      <w:r/>
    </w:p>
    <w:p>
      <w:pPr>
        <w:pStyle w:val="926"/>
        <w:pBdr/>
        <w:spacing/>
        <w:ind/>
        <w:rPr/>
      </w:pPr>
      <w:r>
        <w:rPr>
          <w:b/>
          <w:bCs/>
        </w:rPr>
        <w:t xml:space="preserve">Recomendação</w:t>
      </w:r>
      <w:r>
        <w:t xml:space="preserve">: Apresentar todos os documentos solicitados pelos órgãos de controle do SUS em o</w:t>
      </w:r>
      <w:r>
        <w:t xml:space="preserve">bservância à determinação contida no Art. 11 do Decreto nº 1.651, de 28/09/1995 e no Art. 36 do Anexo LXXVII da Portaria de Consolidação GM/MS nº 05, de 28/09/2017 e, em caso de restabelecimento da conexão ao Sistema de Informação do PFPB, manter por um pr</w:t>
      </w:r>
      <w:r>
        <w:t xml:space="preserve">azo de 10 (dez) anos para apresentação, sempre que necessário, as vias assinadas dos cupons vinculados, do documento fiscal, da prescrição médica, laudo ou atestado médico e do documento oficial apresentado no ato da compra, em ordem cronológica de emissão</w:t>
      </w:r>
      <w:r>
        <w:t xml:space="preserve">, com arquivamento de 2 (duas) cópias, uma em meio físico e outra em meio magnético e/ou arquivo digitalizado em atendimento ao Art. 22 do Anexo LXXVII da Portaria de Consolidação GM/MS nº 05, de 28/09/2017, alterado pela PRT GM/MS nº 2.898, de 03/11/2021.</w:t>
      </w:r>
      <w:r/>
    </w:p>
    <w:p>
      <w:pPr>
        <w:pStyle w:val="926"/>
        <w:pBdr/>
        <w:spacing/>
        <w:ind/>
        <w:rPr/>
      </w:pPr>
      <w:r>
        <w:rPr>
          <w:b/>
          <w:bCs/>
        </w:rPr>
        <w:t xml:space="preserve">Análise Codificação</w:t>
      </w:r>
      <w:r>
        <w:t xml:space="preserve">: A recomendação propõe a apresentação imediata dos documentos solicitados e estabelece procedimentos para manutenção e arquivamento adequado dos documentos por um períod</w:t>
      </w:r>
      <w:r>
        <w:t xml:space="preserve">o de 10 anos, incluindo cópias física e digital. Essas ações visam garantir a disponibilidade e rastreabilidade dos documentos no futuro, abordando a causa do problema (falta de documentação adequada) ao implementar um sistema de gestão documental que prev</w:t>
      </w:r>
      <w:r>
        <w:t xml:space="preserve">ine a reincidência da condição encontrada. Os efeitos pretendidos, como a organização e preservação dos documentos, são duradouros, pois independem de mudanças nos atores envolvidos, uma vez que os procedimentos estão formalizados e baseados em normativos.</w:t>
      </w:r>
      <w:r/>
    </w:p>
    <w:p>
      <w:pPr>
        <w:pStyle w:val="928"/>
        <w:numPr>
          <w:ilvl w:val="0"/>
          <w:numId w:val="157"/>
        </w:numPr>
        <w:pBdr/>
        <w:spacing/>
        <w:ind/>
        <w:rPr/>
      </w:pPr>
      <w:r>
        <w:t xml:space="preserve">Ação Foco Causa: Sim</w:t>
      </w:r>
      <w:r/>
    </w:p>
    <w:p>
      <w:pPr>
        <w:pStyle w:val="928"/>
        <w:numPr>
          <w:ilvl w:val="0"/>
          <w:numId w:val="157"/>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aborda diretamente a causa do problema ao propor a apresentação imediata dos documentos e estabelecer um sistema de gestão documental que previne a reincidência da falta de documentação. Para o critério</w:t>
      </w:r>
      <w:r>
        <w:t xml:space="preserve"> </w:t>
      </w:r>
      <w:r>
        <w:t xml:space="preserve">‘Efeitos Duradouros’</w:t>
      </w:r>
      <w:r>
        <w:t xml:space="preserve">, a recomendação estabelece procedimentos formalizados e baseados em normativos, que devem persistir independentemente de mudanças nos atores envolvidos, garantindo efeitos duradouros.</w:t>
      </w:r>
      <w:r/>
    </w:p>
    <w:p>
      <w:pPr>
        <w:pStyle w:val="928"/>
        <w:numPr>
          <w:ilvl w:val="0"/>
          <w:numId w:val="158"/>
        </w:numPr>
        <w:pBdr/>
        <w:spacing/>
        <w:ind/>
        <w:rPr/>
      </w:pPr>
      <w:r>
        <w:t xml:space="preserve">Análise Foco Causa: Concordo</w:t>
      </w:r>
      <w:r/>
    </w:p>
    <w:p>
      <w:pPr>
        <w:pStyle w:val="928"/>
        <w:numPr>
          <w:ilvl w:val="0"/>
          <w:numId w:val="158"/>
        </w:numPr>
        <w:pBdr/>
        <w:spacing/>
        <w:ind/>
        <w:rPr/>
      </w:pPr>
      <w:r>
        <w:t xml:space="preserve">Análise Efeitos Duradouros: Concordo</w:t>
      </w:r>
      <w:bookmarkEnd w:id="115"/>
      <w:r/>
    </w:p>
    <w:p>
      <w:pPr>
        <w:pStyle w:val="915"/>
        <w:pBdr/>
        <w:spacing/>
        <w:ind/>
        <w:rPr/>
      </w:pPr>
      <w:r/>
      <w:bookmarkStart w:id="116" w:name="auditoria-19763-constatação-nº-692943-1"/>
      <w:r>
        <w:t xml:space="preserve">Auditoria 19763, Constatação Nº 692943 (#1)</w:t>
      </w:r>
      <w:r/>
    </w:p>
    <w:p>
      <w:pPr>
        <w:pStyle w:val="927"/>
        <w:pBdr/>
        <w:spacing/>
        <w:ind/>
        <w:rPr/>
      </w:pPr>
      <w:r>
        <w:rPr>
          <w:b/>
          <w:bCs/>
        </w:rPr>
        <w:t xml:space="preserve">Finalidade</w:t>
      </w:r>
      <w:r>
        <w:t xml:space="preserve">: Verificar se as Centrais Municipais de Rede de Frios (CMRFs) possuem controles internos</w:t>
      </w:r>
      <w:r/>
    </w:p>
    <w:p>
      <w:pPr>
        <w:pStyle w:val="926"/>
        <w:pBdr/>
        <w:spacing/>
        <w:ind/>
        <w:rPr/>
      </w:pPr>
      <w:r>
        <w:rPr>
          <w:b/>
          <w:bCs/>
        </w:rPr>
        <w:t xml:space="preserve">Constatação</w:t>
      </w:r>
      <w:r>
        <w:t xml:space="preserve">: A SMS não possui rotina estabelecida para verificação diária do perfeito funcionamento das câmaras frias da CMRF.</w:t>
      </w:r>
      <w:r/>
    </w:p>
    <w:p>
      <w:pPr>
        <w:pStyle w:val="926"/>
        <w:pBdr/>
        <w:spacing/>
        <w:ind/>
        <w:rPr/>
      </w:pPr>
      <w:r>
        <w:rPr>
          <w:b/>
          <w:bCs/>
        </w:rPr>
        <w:t xml:space="preserve">Recomendação</w:t>
      </w:r>
      <w:r>
        <w:t xml:space="preserve">: Considerando o que det</w:t>
      </w:r>
      <w:r>
        <w:t xml:space="preserve">erminam itens 6.6.2, 6.13 e 7.1 do Manual de Rede Frio do PNI, 5ª edição/2017; e o inciso XVIII do art.23 e o art.51 da RDC Anvisa nº 63/2011, recomenda-se: - Elaboração e Implementar Procedimentos Operacionais Padrão (POPs): Desenvolver procedimentos escr</w:t>
      </w:r>
      <w:r>
        <w:t xml:space="preserve">itos para o monitoramento das câmaras frias, incluindo a verificação diária de todos os parâmetros relevantes; - Treinamento da Equipe Técnica: Capacitar a equipe técnica da CMRF sobre a importância do monitoramento adequado e sobre a execução dos novos pr</w:t>
      </w:r>
      <w:r>
        <w:t xml:space="preserve">ocedimentos operacionais padrão. Essas recomendações visam garantir a integridade e a segurança dos imunobiológicos armazenados, assegurando que a CMRF atenda às normas regulatórias e minimize o risco de perdas devido a falhas nos sistemas de refrigeração.</w:t>
      </w:r>
      <w:r/>
    </w:p>
    <w:p>
      <w:pPr>
        <w:pStyle w:val="926"/>
        <w:pBdr/>
        <w:spacing/>
        <w:ind/>
        <w:rPr/>
      </w:pPr>
      <w:r>
        <w:rPr>
          <w:b/>
          <w:bCs/>
        </w:rPr>
        <w:t xml:space="preserve">Análise Codificação</w:t>
      </w:r>
      <w:r>
        <w:t xml:space="preserve">: Em relação ao foco, a recomendação propõ</w:t>
      </w:r>
      <w:r>
        <w:t xml:space="preserve">e a elaboração e implementação de POPs para o monitoramento das câmaras frias e o treinamento da equipe, ações que visam estabelecer uma rotina estruturada e permanente para verificação do funcionamento das câmaras, tratando assim a causa da ausência de ro</w:t>
      </w:r>
      <w:r>
        <w:t xml:space="preserve">tina estabelecida. Já em relação aos efeitos pretendidos pela recomendação, a criação de POPs e a capacitação da equipe estabelecem processos e conhecimentos que permanecem independentemente de mudanças nos atores envolvidos, garantindo efeitos duradouros.</w:t>
      </w:r>
      <w:r/>
    </w:p>
    <w:p>
      <w:pPr>
        <w:pStyle w:val="928"/>
        <w:numPr>
          <w:ilvl w:val="0"/>
          <w:numId w:val="159"/>
        </w:numPr>
        <w:pBdr/>
        <w:spacing/>
        <w:ind/>
        <w:rPr/>
      </w:pPr>
      <w:r>
        <w:t xml:space="preserve">Ação Foco Causa: Sim</w:t>
      </w:r>
      <w:r/>
    </w:p>
    <w:p>
      <w:pPr>
        <w:pStyle w:val="928"/>
        <w:numPr>
          <w:ilvl w:val="0"/>
          <w:numId w:val="159"/>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aborda diretamente a causa da constatação, que é a ausência de rotina estabelecida para verificação diária das câmaras frias, por meio da elaboração e implementação de POPs e treinamento da equipe. Quanto ao critério</w:t>
      </w:r>
      <w:r>
        <w:t xml:space="preserve"> </w:t>
      </w:r>
      <w:r>
        <w:t xml:space="preserve">‘Efeitos Duradouros’</w:t>
      </w:r>
      <w:r>
        <w:t xml:space="preserve">, a implementação de POPs e treinamento estabelece processos e conhecimentos que podem persistir mesmo com mudanças na equipe, garantindo efeitos duradouros.</w:t>
      </w:r>
      <w:r/>
    </w:p>
    <w:p>
      <w:pPr>
        <w:pStyle w:val="928"/>
        <w:numPr>
          <w:ilvl w:val="0"/>
          <w:numId w:val="160"/>
        </w:numPr>
        <w:pBdr/>
        <w:spacing/>
        <w:ind/>
        <w:rPr/>
      </w:pPr>
      <w:r>
        <w:t xml:space="preserve">Análise Foco Causa: Concordo</w:t>
      </w:r>
      <w:r/>
    </w:p>
    <w:p>
      <w:pPr>
        <w:pStyle w:val="928"/>
        <w:numPr>
          <w:ilvl w:val="0"/>
          <w:numId w:val="160"/>
        </w:numPr>
        <w:pBdr/>
        <w:spacing/>
        <w:ind/>
        <w:rPr/>
      </w:pPr>
      <w:r>
        <w:t xml:space="preserve">Análise Efeitos Duradouros: Concordo</w:t>
      </w:r>
      <w:bookmarkEnd w:id="116"/>
      <w:r/>
    </w:p>
    <w:p>
      <w:pPr>
        <w:pStyle w:val="915"/>
        <w:pBdr/>
        <w:spacing/>
        <w:ind/>
        <w:rPr/>
      </w:pPr>
      <w:r/>
      <w:bookmarkStart w:id="117" w:name="auditoria-19780-constatação-nº-692351-1"/>
      <w:r>
        <w:t xml:space="preserve">Auditoria 19780, Constatação Nº 692351 (#1)</w:t>
      </w:r>
      <w:r/>
    </w:p>
    <w:p>
      <w:pPr>
        <w:pStyle w:val="927"/>
        <w:pBdr/>
        <w:spacing/>
        <w:ind/>
        <w:rPr/>
      </w:pPr>
      <w:r>
        <w:rPr>
          <w:b/>
          <w:bCs/>
        </w:rPr>
        <w:t xml:space="preserve">Finalidade</w:t>
      </w:r>
      <w:r>
        <w:t xml:space="preserve">: Verificar se a SMS possui controles internos capazes de assegurar adequadamente a Cadeia de Frio.</w:t>
      </w:r>
      <w:r/>
    </w:p>
    <w:p>
      <w:pPr>
        <w:pStyle w:val="926"/>
        <w:pBdr/>
        <w:spacing/>
        <w:ind/>
        <w:rPr/>
      </w:pPr>
      <w:r>
        <w:rPr>
          <w:b/>
          <w:bCs/>
        </w:rPr>
        <w:t xml:space="preserve">Constatação</w:t>
      </w:r>
      <w:r>
        <w:t xml:space="preserve">: O transporte dos imunobiológicos distribuídos pela Central Municipal de Rede de Frio de Lagarto/SE para as Salas de Vacinação não é realizado integralmente de acordo com as orientações preconizadas pelo PNI.</w:t>
      </w:r>
      <w:r/>
    </w:p>
    <w:p>
      <w:pPr>
        <w:pStyle w:val="926"/>
        <w:pBdr/>
        <w:spacing/>
        <w:ind/>
        <w:rPr/>
      </w:pPr>
      <w:r>
        <w:rPr>
          <w:b/>
          <w:bCs/>
        </w:rPr>
        <w:t xml:space="preserve">Recomendação</w:t>
      </w:r>
      <w:r>
        <w:t xml:space="preserve">: Estabelecer procedimentos formais para monitoramento contínuo dos imunobiológicos durante o transporte, com registros dos controles necessários a assegurar a preservação da integr</w:t>
      </w:r>
      <w:r>
        <w:t xml:space="preserve">idade física e das condições de temperatura adequadas para manutenção da sua eficácia, em conformidade com o disposto no Art. 84, Seção IX, RDC ANVISA Nº 430, de 08/10/2020, e com o disposto no item 4.6.4 do Manual de Rede de Frio do PNI (5ª edição, 2017).</w:t>
      </w:r>
      <w:r/>
    </w:p>
    <w:p>
      <w:pPr>
        <w:pStyle w:val="926"/>
        <w:pBdr/>
        <w:spacing/>
        <w:ind/>
        <w:rPr/>
      </w:pPr>
      <w:r>
        <w:rPr>
          <w:b/>
          <w:bCs/>
        </w:rPr>
        <w:t xml:space="preserve">Análise Codificação</w:t>
      </w:r>
      <w:r>
        <w:t xml:space="preserve">: Em relação ao foco, a recomendação propõe a criação de procedimentos formais para monitoramento contínuo durante o transporte, o que visa tratar a causa raiz do problema (falta de procedimentos padronizados) e não apenas corrigir condições es</w:t>
      </w:r>
      <w:r>
        <w:t xml:space="preserve">pecíficas observadas. Já em relação aos efeitos pretendidos pela recomendação, a implementação de procedimentos formais criaria uma estrutura permanente de controle que permaneceria efetiva mesmo com mudanças nos profissionais responsáveis pelo transporte.</w:t>
      </w:r>
      <w:r/>
    </w:p>
    <w:p>
      <w:pPr>
        <w:pStyle w:val="928"/>
        <w:numPr>
          <w:ilvl w:val="0"/>
          <w:numId w:val="161"/>
        </w:numPr>
        <w:pBdr/>
        <w:spacing/>
        <w:ind/>
        <w:rPr/>
      </w:pPr>
      <w:r>
        <w:t xml:space="preserve">Ação Foco Causa: Sim</w:t>
      </w:r>
      <w:r/>
    </w:p>
    <w:p>
      <w:pPr>
        <w:pStyle w:val="928"/>
        <w:numPr>
          <w:ilvl w:val="0"/>
          <w:numId w:val="161"/>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estabelece procedimentos formais para monitoramento contínuo, o que efetivamente visa tratar a causa raiz (ausência de procedimentos padronizados) e não apenas corrigir condições específicas. Quanto ao critério</w:t>
      </w:r>
      <w:r>
        <w:t xml:space="preserve"> </w:t>
      </w:r>
      <w:r>
        <w:t xml:space="preserve">‘Efeitos Duradouros’</w:t>
      </w:r>
      <w:r>
        <w:t xml:space="preserve">, a implementação de procedimentos formais cria uma estrutura permanente que independe de indivíduos específicos, garantindo continuidade.</w:t>
      </w:r>
      <w:r/>
    </w:p>
    <w:p>
      <w:pPr>
        <w:pStyle w:val="928"/>
        <w:numPr>
          <w:ilvl w:val="0"/>
          <w:numId w:val="162"/>
        </w:numPr>
        <w:pBdr/>
        <w:spacing/>
        <w:ind/>
        <w:rPr/>
      </w:pPr>
      <w:r>
        <w:t xml:space="preserve">Análise Foco Causa: Concordo</w:t>
      </w:r>
      <w:r/>
    </w:p>
    <w:p>
      <w:pPr>
        <w:pStyle w:val="928"/>
        <w:numPr>
          <w:ilvl w:val="0"/>
          <w:numId w:val="162"/>
        </w:numPr>
        <w:pBdr/>
        <w:spacing/>
        <w:ind/>
        <w:rPr/>
      </w:pPr>
      <w:r>
        <w:t xml:space="preserve">Análise Efeitos Duradouros: Concordo</w:t>
      </w:r>
      <w:bookmarkEnd w:id="117"/>
      <w:r/>
    </w:p>
    <w:p>
      <w:pPr>
        <w:pStyle w:val="915"/>
        <w:pBdr/>
        <w:spacing/>
        <w:ind/>
        <w:rPr/>
      </w:pPr>
      <w:r/>
      <w:bookmarkStart w:id="118" w:name="auditoria-19803-constatação-nº-693818-1"/>
      <w:r>
        <w:t xml:space="preserve">Auditoria 19803, Constatação Nº 693818 (#1)</w:t>
      </w:r>
      <w:r/>
    </w:p>
    <w:p>
      <w:pPr>
        <w:pStyle w:val="927"/>
        <w:pBdr/>
        <w:spacing/>
        <w:ind/>
        <w:rPr/>
      </w:pPr>
      <w:r>
        <w:rPr>
          <w:b/>
          <w:bCs/>
        </w:rPr>
        <w:t xml:space="preserve">Finalidade</w:t>
      </w:r>
      <w:r>
        <w:t xml:space="preserve">: Auditoria na PNSMAD - 2024</w:t>
      </w:r>
      <w:r/>
    </w:p>
    <w:p>
      <w:pPr>
        <w:pStyle w:val="926"/>
        <w:pBdr/>
        <w:spacing/>
        <w:ind/>
        <w:rPr/>
      </w:pPr>
      <w:r>
        <w:rPr>
          <w:b/>
          <w:bCs/>
        </w:rPr>
        <w:t xml:space="preserve">Constatação</w:t>
      </w:r>
      <w:r>
        <w:t xml:space="preserve">: As Unidades Básicas de Saúde visitadas não realizam, de forma sistemática, ações de prevenção e promoção relacionadas à temática da saúde mental.</w:t>
      </w:r>
      <w:r/>
    </w:p>
    <w:p>
      <w:pPr>
        <w:pStyle w:val="926"/>
        <w:pBdr/>
        <w:spacing/>
        <w:ind/>
        <w:rPr/>
      </w:pPr>
      <w:r>
        <w:rPr>
          <w:b/>
          <w:bCs/>
        </w:rPr>
        <w:t xml:space="preserve">Recomendação</w:t>
      </w:r>
      <w:r>
        <w:t xml:space="preserve">: Desenvolver, de forma sistemática, ações de prevenção e promoção relacionadas à temática da saúde mental, ações de redução </w:t>
      </w:r>
      <w:r>
        <w:t xml:space="preserve">de danos e cuidado para pessoas com necessidades decorrentes do uso de crack, álcool e outras drogas, de modo a oportunizar um cuidado integral, em cumprimento ao disciplinado no artigo 6º, § 1º, do Anexo V, da Portaria de Consolidação n.° 3, de 28/9/2017.</w:t>
      </w:r>
      <w:r/>
    </w:p>
    <w:p>
      <w:pPr>
        <w:pStyle w:val="926"/>
        <w:pBdr/>
        <w:spacing/>
        <w:ind/>
        <w:rPr/>
      </w:pPr>
      <w:r>
        <w:rPr>
          <w:b/>
          <w:bCs/>
        </w:rPr>
        <w:t xml:space="preserve">Análise Codificação</w:t>
      </w:r>
      <w:r>
        <w:t xml:space="preserve">: Em relação ao foco,</w:t>
      </w:r>
      <w:r>
        <w:t xml:space="preserve"> a recomendação propõe o desenvolvimento sistemático de ações de prevenção, promoção e cuidado, o que visa implementar um processo contínuo para tratar a causa subjacente da falta de ações sistemáticas, em vez de apenas corrigir uma condição pontual. Já em</w:t>
      </w:r>
      <w:r>
        <w:t xml:space="preserve"> relação aos efeitos pretendidos pela recomendação, a implementação de ações sistemáticas estabelece estruturas e processos que podem persistir independentemente de mudanças nos atores envolvidos, como profissionais de saúde, promovendo efeitos duradouros.</w:t>
      </w:r>
      <w:r/>
    </w:p>
    <w:p>
      <w:pPr>
        <w:pStyle w:val="928"/>
        <w:numPr>
          <w:ilvl w:val="0"/>
          <w:numId w:val="163"/>
        </w:numPr>
        <w:pBdr/>
        <w:spacing/>
        <w:ind/>
        <w:rPr/>
      </w:pPr>
      <w:r>
        <w:t xml:space="preserve">Ação Foco Causa: Sim</w:t>
      </w:r>
      <w:r/>
    </w:p>
    <w:p>
      <w:pPr>
        <w:pStyle w:val="928"/>
        <w:numPr>
          <w:ilvl w:val="0"/>
          <w:numId w:val="163"/>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propõe o desenvolvimento sistemático de ações de prevenção e promoção, o que sugere uma abordagem para tratar a causa da falta de ações sistemáticas, e não apenas a condição imediata. Para o critério</w:t>
      </w:r>
      <w:r>
        <w:t xml:space="preserve"> </w:t>
      </w:r>
      <w:r>
        <w:t xml:space="preserve">‘Efeitos Duradouros’</w:t>
      </w:r>
      <w:r>
        <w:t xml:space="preserve">, a implementação de ações sistemáticas visa estabelecer processos contínuos que podem persistir independentemente de mudanças de pessoal, indicando efeitos duradouros.</w:t>
      </w:r>
      <w:r/>
    </w:p>
    <w:p>
      <w:pPr>
        <w:pStyle w:val="928"/>
        <w:numPr>
          <w:ilvl w:val="0"/>
          <w:numId w:val="164"/>
        </w:numPr>
        <w:pBdr/>
        <w:spacing/>
        <w:ind/>
        <w:rPr/>
      </w:pPr>
      <w:r>
        <w:t xml:space="preserve">Análise Foco Causa: Concordo</w:t>
      </w:r>
      <w:r/>
    </w:p>
    <w:p>
      <w:pPr>
        <w:pStyle w:val="928"/>
        <w:numPr>
          <w:ilvl w:val="0"/>
          <w:numId w:val="164"/>
        </w:numPr>
        <w:pBdr/>
        <w:spacing/>
        <w:ind/>
        <w:rPr/>
      </w:pPr>
      <w:r>
        <w:t xml:space="preserve">Análise Efeitos Duradouros: Concordo</w:t>
      </w:r>
      <w:bookmarkEnd w:id="118"/>
      <w:r/>
    </w:p>
    <w:p>
      <w:pPr>
        <w:pStyle w:val="915"/>
        <w:pBdr/>
        <w:spacing/>
        <w:ind/>
        <w:rPr/>
      </w:pPr>
      <w:r/>
      <w:bookmarkStart w:id="119" w:name="auditoria-19827-constatação-nº-693967-1"/>
      <w:r>
        <w:t xml:space="preserve">Auditoria 19827, Constatação Nº 693967 (#1)</w:t>
      </w:r>
      <w:r/>
    </w:p>
    <w:p>
      <w:pPr>
        <w:pStyle w:val="927"/>
        <w:pBdr/>
        <w:spacing/>
        <w:ind/>
        <w:rPr/>
      </w:pPr>
      <w:r>
        <w:rPr>
          <w:b/>
          <w:bCs/>
        </w:rPr>
        <w:t xml:space="preserve">Finalidade</w:t>
      </w:r>
      <w:r>
        <w:t xml:space="preserve">: Verificar a regularidade da produção inserida nos sistemas do SUS.</w:t>
      </w:r>
      <w:r/>
    </w:p>
    <w:p>
      <w:pPr>
        <w:pStyle w:val="926"/>
        <w:pBdr/>
        <w:spacing/>
        <w:ind/>
        <w:rPr/>
      </w:pPr>
      <w:r>
        <w:rPr>
          <w:b/>
          <w:bCs/>
        </w:rPr>
        <w:t xml:space="preserve">Constatação</w:t>
      </w:r>
      <w:r>
        <w:t xml:space="preserve">: A análise realizada, sobre o período de janeiro a dezembro de 2022, demonstrou que a capacidade profissional para a realização do procedimento de Consulta Médica em Atenção Especializada (Código Sigtap: 03.01.01.007-2) foi insuficiente.</w:t>
      </w:r>
      <w:r/>
    </w:p>
    <w:p>
      <w:pPr>
        <w:pStyle w:val="926"/>
        <w:pBdr/>
        <w:spacing/>
        <w:ind/>
        <w:rPr/>
      </w:pPr>
      <w:r>
        <w:rPr>
          <w:b/>
          <w:bCs/>
        </w:rPr>
        <w:t xml:space="preserve">Recomendação</w:t>
      </w:r>
      <w:r>
        <w:t xml:space="preserve">: Utilizar como referência o desejável de atendimento de no máximo 3 pacientes por hora/ por médico, conforme recomenda o Item 4 do Anexo</w:t>
      </w:r>
      <w:r>
        <w:t xml:space="preserve"> I Resolução CFM nº 2.077/2014. Fiscalizar, auditar, validar ou alterar, quando necessário, o cadastro dos estabelecimentos de saúde integrantes do SUS que estejam sob seu comando conforme estabelece o art. 369 da Portaria de Consolidação GM/MS nº 01/2017.</w:t>
      </w:r>
      <w:r/>
    </w:p>
    <w:p>
      <w:pPr>
        <w:pStyle w:val="926"/>
        <w:pBdr/>
        <w:spacing/>
        <w:ind/>
        <w:rPr/>
      </w:pPr>
      <w:r>
        <w:rPr>
          <w:b/>
          <w:bCs/>
        </w:rPr>
        <w:t xml:space="preserve">Análise Codificação</w:t>
      </w:r>
      <w:r>
        <w:t xml:space="preserve">: Em relação ao foco, a r</w:t>
      </w:r>
      <w:r>
        <w:t xml:space="preserve">ecomendação propõe fiscalizar, auditar, validar ou alterar o cadastro dos estabelecimentos de saúde para garantir que a capacidade profissional seja adequada, o que aborda a causa do problema (cadastro inadequado ou falta de fiscalização que leva à capacid</w:t>
      </w:r>
      <w:r>
        <w:t xml:space="preserve">ade insuficiente). Já em relação aos efeitos pretendidos pela recomendação, as ações de fiscalização e ajuste de cadastro criam um mecanismo contínuo que permanece mesmo com mudanças nos atores envolvidos, pois estabelecem processos formais de verificação.</w:t>
      </w:r>
      <w:r/>
    </w:p>
    <w:p>
      <w:pPr>
        <w:pStyle w:val="928"/>
        <w:numPr>
          <w:ilvl w:val="0"/>
          <w:numId w:val="165"/>
        </w:numPr>
        <w:pBdr/>
        <w:spacing/>
        <w:ind/>
        <w:rPr/>
      </w:pPr>
      <w:r>
        <w:t xml:space="preserve">Ação Foco Causa: Sim</w:t>
      </w:r>
      <w:r/>
    </w:p>
    <w:p>
      <w:pPr>
        <w:pStyle w:val="928"/>
        <w:numPr>
          <w:ilvl w:val="0"/>
          <w:numId w:val="165"/>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propõe ações que visam corrigir a capacidade profissional insuficiente através de fiscalização e ajuste de cadastro, o que aborda a causa subjacente (cadastro inadequado ou falta de fiscalização). Para o critério</w:t>
      </w:r>
      <w:r>
        <w:t xml:space="preserve"> </w:t>
      </w:r>
      <w:r>
        <w:t xml:space="preserve">‘Efeitos Duradouros’</w:t>
      </w:r>
      <w:r>
        <w:t xml:space="preserve">, as ações estabelecem processos contínuos que podem persistir independentemente de mudanças nos atores, desde que os procedimentos sejam institucionalizados.</w:t>
      </w:r>
      <w:r/>
    </w:p>
    <w:p>
      <w:pPr>
        <w:pStyle w:val="928"/>
        <w:numPr>
          <w:ilvl w:val="0"/>
          <w:numId w:val="166"/>
        </w:numPr>
        <w:pBdr/>
        <w:spacing/>
        <w:ind/>
        <w:rPr/>
      </w:pPr>
      <w:r>
        <w:t xml:space="preserve">Análise Foco Causa: Concordo</w:t>
      </w:r>
      <w:r/>
    </w:p>
    <w:p>
      <w:pPr>
        <w:pStyle w:val="928"/>
        <w:numPr>
          <w:ilvl w:val="0"/>
          <w:numId w:val="166"/>
        </w:numPr>
        <w:pBdr/>
        <w:spacing/>
        <w:ind/>
        <w:rPr/>
      </w:pPr>
      <w:r>
        <w:t xml:space="preserve">Análise Efeitos Duradouros: Concordo</w:t>
      </w:r>
      <w:bookmarkEnd w:id="119"/>
      <w:r/>
    </w:p>
    <w:p>
      <w:pPr>
        <w:pStyle w:val="915"/>
        <w:pBdr/>
        <w:spacing/>
        <w:ind/>
        <w:rPr/>
      </w:pPr>
      <w:r/>
      <w:bookmarkStart w:id="120" w:name="auditoria-19848-constatação-nº-701969-1"/>
      <w:r>
        <w:t xml:space="preserve">Auditoria 19848, Constatação Nº 701969 (#1)</w:t>
      </w:r>
      <w:r/>
    </w:p>
    <w:p>
      <w:pPr>
        <w:pStyle w:val="927"/>
        <w:pBdr/>
        <w:spacing/>
        <w:ind/>
        <w:rPr/>
      </w:pPr>
      <w:r>
        <w:rPr>
          <w:b/>
          <w:bCs/>
        </w:rPr>
        <w:t xml:space="preserve">Finalidade</w:t>
      </w:r>
      <w:r>
        <w:t xml:space="preserve">: Verificar a gestão e o gerenciamento dos Centros de Referência em Saúde do Trabalhador - CERESTs</w:t>
      </w:r>
      <w:r/>
    </w:p>
    <w:p>
      <w:pPr>
        <w:pStyle w:val="926"/>
        <w:pBdr/>
        <w:spacing/>
        <w:ind/>
        <w:rPr/>
      </w:pPr>
      <w:r>
        <w:rPr>
          <w:b/>
          <w:bCs/>
        </w:rPr>
        <w:t xml:space="preserve">Constatação</w:t>
      </w:r>
      <w:r>
        <w:t xml:space="preserve">: O Conselho Municipal de Saúde-CMS de Aracati/CE não comprovou a fiscalização dos recursos federais que foram destinados ao município para os anos de 2023 e 2024.</w:t>
      </w:r>
      <w:r/>
    </w:p>
    <w:p>
      <w:pPr>
        <w:pStyle w:val="926"/>
        <w:pBdr/>
        <w:spacing/>
        <w:ind/>
        <w:rPr/>
      </w:pPr>
      <w:r>
        <w:rPr>
          <w:b/>
          <w:bCs/>
        </w:rPr>
        <w:t xml:space="preserve">Recomendação</w:t>
      </w:r>
      <w:r>
        <w:t xml:space="preserve">: Providenciar que o Conselho Municipal de Saúde de Aracati/CE, como órgão colegiado do Sistema Único de Saúde integrante da estrutura organizacional desta secretaria, promova e registre, nas atas das reuniões, nas deliberações e em relatórios e</w:t>
      </w:r>
      <w:r>
        <w:t xml:space="preserve">specíficos, a fiscalização dos recursos federais que foram repassados do Fundo Nacional de Saúde para o Fundo Municipal de Saúde, de acordo com o disposto no § 2º, art. 1.097, Capítulo V, da Portaria de Consolidação GM/MS n.º 06, de 28 de setembro de 2017.</w:t>
      </w:r>
      <w:r/>
    </w:p>
    <w:p>
      <w:pPr>
        <w:pStyle w:val="926"/>
        <w:pBdr/>
        <w:spacing/>
        <w:ind/>
        <w:rPr/>
      </w:pPr>
      <w:r>
        <w:rPr>
          <w:b/>
          <w:bCs/>
        </w:rPr>
        <w:t xml:space="preserve">Análise Codificação</w:t>
      </w:r>
      <w:r>
        <w:t xml:space="preserve">: Em relação ao foco, a recomendação propõe a implementação de um proc</w:t>
      </w:r>
      <w:r>
        <w:t xml:space="preserve">esso formal de registro e documentação da fiscalização dos recursos, o que visa estabelecer um mecanismo permanente para garantir que a fiscalização seja realizada e documentada adequadamente, tratando assim da causa subjacente da falta de comprovação. Já </w:t>
      </w:r>
      <w:r>
        <w:t xml:space="preserve">em relação aos efeitos pretendidos pela recomendação, a criação de registros sistemáticos nas atas e relatórios assegura que a fiscalização continue a ser documentada independentemente de mudanças nos membros do conselho, proporcionando efeitos duradouros.</w:t>
      </w:r>
      <w:r/>
    </w:p>
    <w:p>
      <w:pPr>
        <w:pStyle w:val="928"/>
        <w:numPr>
          <w:ilvl w:val="0"/>
          <w:numId w:val="167"/>
        </w:numPr>
        <w:pBdr/>
        <w:spacing/>
        <w:ind/>
        <w:rPr/>
      </w:pPr>
      <w:r>
        <w:t xml:space="preserve">Ação Foco Causa: Sim</w:t>
      </w:r>
      <w:r/>
    </w:p>
    <w:p>
      <w:pPr>
        <w:pStyle w:val="928"/>
        <w:numPr>
          <w:ilvl w:val="0"/>
          <w:numId w:val="167"/>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estabelece um processo formal de registro e documentação da fiscalização, o que aborda a causa da falta de comprovação ao criar um mecanismo sistemático para garantir que a fiscalização seja realizada e documentada. Para o critério</w:t>
      </w:r>
      <w:r>
        <w:t xml:space="preserve"> </w:t>
      </w:r>
      <w:r>
        <w:t xml:space="preserve">‘Efeitos Duradouros’</w:t>
      </w:r>
      <w:r>
        <w:t xml:space="preserve">, a implementação de registros permanentes nas atas e relatórios assegura que a prática continue independentemente de mudanças nos membros do conselho, promovendo sustentabilidade.</w:t>
      </w:r>
      <w:r/>
    </w:p>
    <w:p>
      <w:pPr>
        <w:pStyle w:val="928"/>
        <w:numPr>
          <w:ilvl w:val="0"/>
          <w:numId w:val="168"/>
        </w:numPr>
        <w:pBdr/>
        <w:spacing/>
        <w:ind/>
        <w:rPr/>
      </w:pPr>
      <w:r>
        <w:t xml:space="preserve">Análise Foco Causa: Concordo</w:t>
      </w:r>
      <w:r/>
    </w:p>
    <w:p>
      <w:pPr>
        <w:pStyle w:val="928"/>
        <w:numPr>
          <w:ilvl w:val="0"/>
          <w:numId w:val="168"/>
        </w:numPr>
        <w:pBdr/>
        <w:spacing/>
        <w:ind/>
        <w:rPr/>
      </w:pPr>
      <w:r>
        <w:t xml:space="preserve">Análise Efeitos Duradouros: Concordo</w:t>
      </w:r>
      <w:bookmarkEnd w:id="120"/>
      <w:bookmarkEnd w:id="121"/>
      <w:r/>
    </w:p>
    <w:p>
      <w:pPr>
        <w:pStyle w:val="914"/>
        <w:pBdr/>
        <w:spacing/>
        <w:ind/>
        <w:rPr/>
      </w:pPr>
      <w:r/>
      <w:bookmarkStart w:id="132" w:name="Xde6634f9482e595102477c9c57d29c91e4f33d4"/>
      <w:r>
        <w:t xml:space="preserve">Foco: Sim, Efeitos: Sim, Concordância Foco: Discordo, Concordância Efeitos: Concordo</w:t>
      </w:r>
      <w:r/>
    </w:p>
    <w:p>
      <w:pPr>
        <w:pStyle w:val="915"/>
        <w:pBdr/>
        <w:spacing/>
        <w:ind/>
        <w:rPr/>
      </w:pPr>
      <w:r/>
      <w:bookmarkStart w:id="122" w:name="auditoria-19238-constatação-nº-654962-1"/>
      <w:r>
        <w:t xml:space="preserve">Auditoria 19238, Constatação Nº 654962 (#1)</w:t>
      </w:r>
      <w:r/>
    </w:p>
    <w:p>
      <w:pPr>
        <w:pStyle w:val="927"/>
        <w:pBdr/>
        <w:spacing/>
        <w:ind/>
        <w:rPr/>
      </w:pPr>
      <w:r>
        <w:rPr>
          <w:b/>
          <w:bCs/>
        </w:rPr>
        <w:t xml:space="preserve">Finalidade</w:t>
      </w:r>
      <w:r>
        <w:t xml:space="preserve">: Monitorar as recomendações da Auditoria nº 16936 ref a execução da PNAISP</w:t>
      </w:r>
      <w:r/>
    </w:p>
    <w:p>
      <w:pPr>
        <w:pStyle w:val="926"/>
        <w:pBdr/>
        <w:spacing/>
        <w:ind/>
        <w:rPr/>
      </w:pPr>
      <w:r>
        <w:rPr>
          <w:b/>
          <w:bCs/>
        </w:rPr>
        <w:t xml:space="preserve">Constatação</w:t>
      </w:r>
      <w:r>
        <w:t xml:space="preserve">: Nos RAG de 2020 e 2021 estão registradas as ações relativas à execução da PNAISP, enquanto o RAG de 2019 não contempla a execução de nenhuma ação voltada à essa política.</w:t>
      </w:r>
      <w:r/>
    </w:p>
    <w:p>
      <w:pPr>
        <w:pStyle w:val="926"/>
        <w:pBdr/>
        <w:spacing/>
        <w:ind/>
        <w:rPr/>
      </w:pPr>
      <w:r>
        <w:rPr>
          <w:b/>
          <w:bCs/>
        </w:rPr>
        <w:t xml:space="preserve">Recomendação</w:t>
      </w:r>
      <w:r>
        <w:t xml:space="preserve">: Utilizar o Relatório Anual de Gestão-RAG para apresentar os resultados alcançados com a execução da PAS, tais como: as metas da PAS prevista</w:t>
      </w:r>
      <w:r>
        <w:t xml:space="preserve">s e executadas; a análise da execução orçamentária; e as recomendações necessárias, incluindo eventuais redirecionamentos do Plano de Saúde conforme determinam os incisos II, III e IV do parágrafo 1º do art. 99 da Portaria de Consolidação GM/MS nº 01/2017.</w:t>
      </w:r>
      <w:r/>
    </w:p>
    <w:p>
      <w:pPr>
        <w:pStyle w:val="926"/>
        <w:pBdr/>
        <w:spacing/>
        <w:ind/>
        <w:rPr/>
      </w:pPr>
      <w:r>
        <w:rPr>
          <w:b/>
          <w:bCs/>
        </w:rPr>
        <w:t xml:space="preserve">Análise Codificação</w:t>
      </w:r>
      <w:r>
        <w:t xml:space="preserve">: Em relação ao foco, a recomendação sugere a utilização do RAG para apresentar resultados e análises da execução da PAS, o que visa estabelecer um processo contínuo de monitoramento e transparência, abordando a causa subjacente da falta de registro con</w:t>
      </w:r>
      <w:r>
        <w:t xml:space="preserve">sistente nos RAGs. Já em relação aos efeitos pretendidos pela recomendação, a implementação de um sistema padronizado de relatórios tende a criar uma estrutura que persiste independentemente de mudanças nos atores envolvidos, promovendo efeitos duradouros.</w:t>
      </w:r>
      <w:r/>
    </w:p>
    <w:p>
      <w:pPr>
        <w:pStyle w:val="928"/>
        <w:numPr>
          <w:ilvl w:val="0"/>
          <w:numId w:val="169"/>
        </w:numPr>
        <w:pBdr/>
        <w:spacing/>
        <w:ind/>
        <w:rPr/>
      </w:pPr>
      <w:r>
        <w:t xml:space="preserve">Ação Foco Causa: Sim</w:t>
      </w:r>
      <w:r/>
    </w:p>
    <w:p>
      <w:pPr>
        <w:pStyle w:val="928"/>
        <w:numPr>
          <w:ilvl w:val="0"/>
          <w:numId w:val="169"/>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propõe a utilização do RAG para apresentar resultad</w:t>
      </w:r>
      <w:r>
        <w:t xml:space="preserve">os da PAS, o que pode ser visto como uma medida para garantir o registro consistente, mas não aborda diretamente as causas que levaram à inconsistência nos registros anteriores, como falta de capacitação, recursos ou processos definidos. Quanto ao critério</w:t>
      </w:r>
      <w:r>
        <w:t xml:space="preserve"> </w:t>
      </w:r>
      <w:r>
        <w:t xml:space="preserve">‘Efeitos Duradouros’</w:t>
      </w:r>
      <w:r>
        <w:t xml:space="preserve">, a recomendação estabelece um processo padronizado que pode persistir com mudanças de atores, mas sua efetividade depende da implementação e adesão contínua.</w:t>
      </w:r>
      <w:r/>
    </w:p>
    <w:p>
      <w:pPr>
        <w:pStyle w:val="928"/>
        <w:numPr>
          <w:ilvl w:val="0"/>
          <w:numId w:val="170"/>
        </w:numPr>
        <w:pBdr/>
        <w:spacing/>
        <w:ind/>
        <w:rPr/>
      </w:pPr>
      <w:r>
        <w:t xml:space="preserve">Análise Foco Causa: Discordo</w:t>
      </w:r>
      <w:r/>
    </w:p>
    <w:p>
      <w:pPr>
        <w:pStyle w:val="928"/>
        <w:numPr>
          <w:ilvl w:val="0"/>
          <w:numId w:val="170"/>
        </w:numPr>
        <w:pBdr/>
        <w:spacing/>
        <w:ind/>
        <w:rPr/>
      </w:pPr>
      <w:r>
        <w:t xml:space="preserve">Análise Efeitos Duradouros: Concordo</w:t>
      </w:r>
      <w:bookmarkEnd w:id="122"/>
      <w:r/>
    </w:p>
    <w:p>
      <w:pPr>
        <w:pStyle w:val="915"/>
        <w:pBdr/>
        <w:spacing/>
        <w:ind/>
        <w:rPr/>
      </w:pPr>
      <w:r/>
      <w:bookmarkStart w:id="123" w:name="auditoria-19475-constatação-nº-666128-1"/>
      <w:r>
        <w:t xml:space="preserve">Auditoria 19475, Constatação Nº 666128 (#1)</w:t>
      </w:r>
      <w:r/>
    </w:p>
    <w:p>
      <w:pPr>
        <w:pStyle w:val="927"/>
        <w:pBdr/>
        <w:spacing/>
        <w:ind/>
        <w:rPr/>
      </w:pPr>
      <w:r>
        <w:rPr>
          <w:b/>
          <w:bCs/>
        </w:rPr>
        <w:t xml:space="preserve">Finalidade</w:t>
      </w:r>
      <w:r>
        <w:t xml:space="preserve">: Verificar a regularidade da gestão e funcionamento do Serviço de Atendimento Móvel de Urgência 192.</w:t>
      </w:r>
      <w:r/>
    </w:p>
    <w:p>
      <w:pPr>
        <w:pStyle w:val="926"/>
        <w:pBdr/>
        <w:spacing/>
        <w:ind/>
        <w:rPr/>
      </w:pPr>
      <w:r>
        <w:rPr>
          <w:b/>
          <w:bCs/>
        </w:rPr>
        <w:t xml:space="preserve">Constatação</w:t>
      </w:r>
      <w:r>
        <w:t xml:space="preserve">: A prestação de contas, dos recursos alusivos ao SAMU 192 de Boa Vista, contemplada no Relatório Anual de Gestão (RAG) de 2022, não corresponde com os recursos e despesas ora apresentadas pela SMSA de Boa Vista.</w:t>
      </w:r>
      <w:r/>
    </w:p>
    <w:p>
      <w:pPr>
        <w:pStyle w:val="926"/>
        <w:pBdr/>
        <w:spacing/>
        <w:ind/>
        <w:rPr/>
      </w:pPr>
      <w:r>
        <w:rPr>
          <w:b/>
          <w:bCs/>
        </w:rPr>
        <w:t xml:space="preserve">Recomendação</w:t>
      </w:r>
      <w:r>
        <w:t xml:space="preserve">: Recomenda-se à SMSA de Boa Vista que: Proceda os ajustes necessários no RAG referente ao período auditado, quanto a prestação de contas dos recursos para custeio do componente SAMU 192 de Boa Vista -RR. Estabele</w:t>
      </w:r>
      <w:r>
        <w:t xml:space="preserve">ça procedimentos (Check list, POP, etc) que assegurem que a prestação de contas dos recursos Federais, Estaduais, bem como a contrapartida municipal, seja prestada no instrumento legal preconizado pela legislação vigente, o Relatório Anual de Gestão (RAG).</w:t>
      </w:r>
      <w:r/>
    </w:p>
    <w:p>
      <w:pPr>
        <w:pStyle w:val="926"/>
        <w:pBdr/>
        <w:spacing/>
        <w:ind/>
        <w:rPr/>
      </w:pPr>
      <w:r>
        <w:rPr>
          <w:b/>
          <w:bCs/>
        </w:rPr>
        <w:t xml:space="preserve">Análise Codificação</w:t>
      </w:r>
      <w:r>
        <w:t xml:space="preserve">: Em relação ao foco, a recomendação possui duas partes distintas: a primeira trata da correção imediata da condição en</w:t>
      </w:r>
      <w:r>
        <w:t xml:space="preserve">contrada (ajustes no RAG), sendo portanto focada na condição; a segunda parte propõe a criação de procedimentos (checklist, POP) para assegurar que a prestação de contas seja feita corretamente no futuro, o que constitui uma ação voltada para a causa do pr</w:t>
      </w:r>
      <w:r>
        <w:t xml:space="preserve">oblema. Já em relação aos efeitos duradouros, os procedimentos estabelecidos (checklist, POP) criam mecanismos formais que permanecerão independentemente de mudanças nos atores envolvidos, garantindo continuidade no processo correto de prestação de contas.</w:t>
      </w:r>
      <w:r/>
    </w:p>
    <w:p>
      <w:pPr>
        <w:pStyle w:val="928"/>
        <w:numPr>
          <w:ilvl w:val="0"/>
          <w:numId w:val="171"/>
        </w:numPr>
        <w:pBdr/>
        <w:spacing/>
        <w:ind/>
        <w:rPr/>
      </w:pPr>
      <w:r>
        <w:t xml:space="preserve">Ação Foco Causa: Sim</w:t>
      </w:r>
      <w:r/>
    </w:p>
    <w:p>
      <w:pPr>
        <w:pStyle w:val="928"/>
        <w:numPr>
          <w:ilvl w:val="0"/>
          <w:numId w:val="171"/>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w:t>
      </w:r>
      <w:r>
        <w:t xml:space="preserve"> do modelo identificou corretamente que a recomendação possui uma parte focada na causa (estabelecimento de procedimentos para assegurar prestação de contas correta no futuro) e outra focada na condição (ajustes no RAG). No entanto, a classificação binária</w:t>
      </w:r>
      <w:r>
        <w:t xml:space="preserve"> </w:t>
      </w:r>
      <w:r>
        <w:t xml:space="preserve">‘Sim’</w:t>
      </w:r>
      <w:r>
        <w:t xml:space="preserve"> </w:t>
      </w:r>
      <w:r>
        <w:t xml:space="preserve">ou</w:t>
      </w:r>
      <w:r>
        <w:t xml:space="preserve"> </w:t>
      </w:r>
      <w:r>
        <w:t xml:space="preserve">‘Não’</w:t>
      </w:r>
      <w:r>
        <w:t xml:space="preserve"> </w:t>
      </w:r>
      <w:r>
        <w:t xml:space="preserve">não capta adequadamente essa dualidade, pois a recomendação contém ambos os focos. Quanto ao critério</w:t>
      </w:r>
      <w:r>
        <w:t xml:space="preserve"> </w:t>
      </w:r>
      <w:r>
        <w:t xml:space="preserve">‘Efeitos Duradouros’</w:t>
      </w:r>
      <w:r>
        <w:t xml:space="preserve">, a análise está correta ao considerar que os procedimentos formais criados (checklist, POP) tendem a persistir independentemente de mudanças de pessoal.</w:t>
      </w:r>
      <w:r/>
    </w:p>
    <w:p>
      <w:pPr>
        <w:pStyle w:val="928"/>
        <w:numPr>
          <w:ilvl w:val="0"/>
          <w:numId w:val="172"/>
        </w:numPr>
        <w:pBdr/>
        <w:spacing/>
        <w:ind/>
        <w:rPr/>
      </w:pPr>
      <w:r>
        <w:t xml:space="preserve">Análise Foco Causa: Discordo</w:t>
      </w:r>
      <w:r/>
    </w:p>
    <w:p>
      <w:pPr>
        <w:pStyle w:val="928"/>
        <w:numPr>
          <w:ilvl w:val="0"/>
          <w:numId w:val="172"/>
        </w:numPr>
        <w:pBdr/>
        <w:spacing/>
        <w:ind/>
        <w:rPr/>
      </w:pPr>
      <w:r>
        <w:t xml:space="preserve">Análise Efeitos Duradouros: Concordo</w:t>
      </w:r>
      <w:bookmarkEnd w:id="123"/>
      <w:r/>
    </w:p>
    <w:p>
      <w:pPr>
        <w:pStyle w:val="915"/>
        <w:pBdr/>
        <w:spacing/>
        <w:ind/>
        <w:rPr/>
      </w:pPr>
      <w:r/>
      <w:bookmarkStart w:id="124" w:name="auditoria-19499-constatação-nº-675036-1"/>
      <w:r>
        <w:t xml:space="preserve">Auditoria 19499, Constatação Nº 675036 (#1)</w:t>
      </w:r>
      <w:r/>
    </w:p>
    <w:p>
      <w:pPr>
        <w:pStyle w:val="927"/>
        <w:pBdr/>
        <w:spacing/>
        <w:ind/>
        <w:rPr/>
      </w:pPr>
      <w:r>
        <w:rPr>
          <w:b/>
          <w:bCs/>
        </w:rPr>
        <w:t xml:space="preserve">Finalidade</w:t>
      </w:r>
      <w:r>
        <w:t xml:space="preserve">: Avaliar os indicadores de desempenho do programa Previne Brasil no município de Santa Cecília/SC</w:t>
      </w:r>
      <w:r/>
    </w:p>
    <w:p>
      <w:pPr>
        <w:pStyle w:val="926"/>
        <w:pBdr/>
        <w:spacing/>
        <w:ind/>
        <w:rPr/>
      </w:pPr>
      <w:r>
        <w:rPr>
          <w:b/>
          <w:bCs/>
        </w:rPr>
        <w:t xml:space="preserve">Constatação</w:t>
      </w:r>
      <w:r>
        <w:t xml:space="preserve">: O Município não adotou as ações como forma de atingir a meta para o indicador 7 - Percentual de diabéticos com solicitação de hemoglobina glicada.</w:t>
      </w:r>
      <w:r/>
    </w:p>
    <w:p>
      <w:pPr>
        <w:pStyle w:val="926"/>
        <w:pBdr/>
        <w:spacing/>
        <w:ind/>
        <w:rPr/>
      </w:pPr>
      <w:r>
        <w:rPr>
          <w:b/>
          <w:bCs/>
        </w:rPr>
        <w:t xml:space="preserve">Recomendação</w:t>
      </w:r>
      <w:r>
        <w:t xml:space="preserve">: Estabelecer ações ele</w:t>
      </w:r>
      <w:r>
        <w:t xml:space="preserve">ncadas no Documento Orientador do Previne Brasil para alcançar a meta proposta para o indicador nº 7 e realizar registros das ações programadas e realizadas, para atendimento ao disposto na Nota Técnica nº 23 DESF-SAPS/MS e na Portaria GM/MS nº 2.979/2019.</w:t>
      </w:r>
      <w:r/>
    </w:p>
    <w:p>
      <w:pPr>
        <w:pStyle w:val="926"/>
        <w:pBdr/>
        <w:spacing/>
        <w:ind/>
        <w:rPr/>
      </w:pPr>
      <w:r>
        <w:rPr>
          <w:b/>
          <w:bCs/>
        </w:rPr>
        <w:t xml:space="preserve">Análise Codificação</w:t>
      </w:r>
      <w:r>
        <w:t xml:space="preserve">: A recomendação propõe a adoção de ações específicas do Documento Orientador para alcançar a meta do indicador, o que sugere um foco em resolver a causa subjacente da não consecução da meta, como possíveis lacu</w:t>
      </w:r>
      <w:r>
        <w:t xml:space="preserve">nas na implementação de diretrizes. Quanto aos efeitos duradouros, a implementação dessas ações e registros pode estabelecer processos contínuos que persistem independentemente de mudanças nos atores envolvidos, desde que integrados às práticas municipais.</w:t>
      </w:r>
      <w:r/>
    </w:p>
    <w:p>
      <w:pPr>
        <w:pStyle w:val="928"/>
        <w:numPr>
          <w:ilvl w:val="0"/>
          <w:numId w:val="173"/>
        </w:numPr>
        <w:pBdr/>
        <w:spacing/>
        <w:ind/>
        <w:rPr/>
      </w:pPr>
      <w:r>
        <w:t xml:space="preserve">Ação Foco Causa: Sim</w:t>
      </w:r>
      <w:r/>
    </w:p>
    <w:p>
      <w:pPr>
        <w:pStyle w:val="928"/>
        <w:numPr>
          <w:ilvl w:val="0"/>
          <w:numId w:val="173"/>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estabelece ações para alcançar a meta do indicador, mas não aborda explicitamente a causa raiz da não consecução (como falta de capacitação ou recursos). Para</w:t>
      </w:r>
      <w:r>
        <w:t xml:space="preserve"> </w:t>
      </w:r>
      <w:r>
        <w:t xml:space="preserve">‘Efeitos Duradouros’</w:t>
      </w:r>
      <w:r>
        <w:t xml:space="preserve">, a implementação de processos e registros pode ser duradoura, mas depende da integração contínua.</w:t>
      </w:r>
      <w:r/>
    </w:p>
    <w:p>
      <w:pPr>
        <w:pStyle w:val="928"/>
        <w:numPr>
          <w:ilvl w:val="0"/>
          <w:numId w:val="174"/>
        </w:numPr>
        <w:pBdr/>
        <w:spacing/>
        <w:ind/>
        <w:rPr/>
      </w:pPr>
      <w:r>
        <w:t xml:space="preserve">Análise Foco Causa: Discordo</w:t>
      </w:r>
      <w:r/>
    </w:p>
    <w:p>
      <w:pPr>
        <w:pStyle w:val="928"/>
        <w:numPr>
          <w:ilvl w:val="0"/>
          <w:numId w:val="174"/>
        </w:numPr>
        <w:pBdr/>
        <w:spacing/>
        <w:ind/>
        <w:rPr/>
      </w:pPr>
      <w:r>
        <w:t xml:space="preserve">Análise Efeitos Duradouros: Concordo</w:t>
      </w:r>
      <w:bookmarkEnd w:id="124"/>
      <w:r/>
    </w:p>
    <w:p>
      <w:pPr>
        <w:pStyle w:val="915"/>
        <w:pBdr/>
        <w:spacing/>
        <w:ind/>
        <w:rPr/>
      </w:pPr>
      <w:r/>
      <w:bookmarkStart w:id="125" w:name="auditoria-19511-constatação-nº-677209-1"/>
      <w:r>
        <w:t xml:space="preserve">Auditoria 19511, Constatação Nº 677209 (#1)</w:t>
      </w:r>
      <w:r/>
    </w:p>
    <w:p>
      <w:pPr>
        <w:pStyle w:val="927"/>
        <w:pBdr/>
        <w:spacing/>
        <w:ind/>
        <w:rPr/>
      </w:pPr>
      <w:r>
        <w:rPr>
          <w:b/>
          <w:bCs/>
        </w:rPr>
        <w:t xml:space="preserve">Finalidade</w:t>
      </w:r>
      <w:r>
        <w:t xml:space="preserve">: Verificar regularidade de recebimento, armazenamento, saída, dispensação e utilização das OPME</w:t>
      </w:r>
      <w:r/>
    </w:p>
    <w:p>
      <w:pPr>
        <w:pStyle w:val="926"/>
        <w:pBdr/>
        <w:spacing/>
        <w:ind/>
        <w:rPr/>
      </w:pPr>
      <w:r>
        <w:rPr>
          <w:b/>
          <w:bCs/>
        </w:rPr>
        <w:t xml:space="preserve">Constatação</w:t>
      </w:r>
      <w:r>
        <w:t xml:space="preserve">: Os exames de imagem para controle da utilização das OPME cardiovasculares implantadas nos pacientes submetidos à intervenção cirúrgica no Hospital Federal da Lagoa (HFL) não foram anexados em todos os prontuários analisados.</w:t>
      </w:r>
      <w:r/>
    </w:p>
    <w:p>
      <w:pPr>
        <w:pStyle w:val="926"/>
        <w:pBdr/>
        <w:spacing/>
        <w:ind/>
        <w:rPr/>
      </w:pPr>
      <w:r>
        <w:rPr>
          <w:b/>
          <w:bCs/>
        </w:rPr>
        <w:t xml:space="preserve">Recomendação</w:t>
      </w:r>
      <w:r>
        <w:t xml:space="preserve">: Estabelecer medidas que assegurem a atuação da Comissão de Gestão de OPME do Hospital Federal da Lagoa, recém-criada pela Portaria HFL nº 299, de 12 de dezembro de 2023 (SEI 0037846087).</w:t>
      </w:r>
      <w:r/>
    </w:p>
    <w:p>
      <w:pPr>
        <w:pStyle w:val="926"/>
        <w:pBdr/>
        <w:spacing/>
        <w:ind/>
        <w:rPr/>
      </w:pPr>
      <w:r>
        <w:rPr>
          <w:b/>
          <w:bCs/>
        </w:rPr>
        <w:t xml:space="preserve">Análise Codificação</w:t>
      </w:r>
      <w:r>
        <w:t xml:space="preserve">: Em relação ao foco, a recomendação propõe estabelecer medidas para assegurar a atuação de uma comissão espec</w:t>
      </w:r>
      <w:r>
        <w:t xml:space="preserve">ífica (Comissão de Gestão de OPME), o que visa abordar a causa subjacente da falta de anexação dos exames de imagem nos prontuários, ao criar uma estrutura organizacional permanente para supervisionar e melhorar os processos relacionados a OPME. Já em rela</w:t>
      </w:r>
      <w:r>
        <w:t xml:space="preserve">ção aos efeitos pretendidos pela recomendação, a criação e atuação de uma comissão formal tendem a produzir efeitos duradouros, pois a estrutura permanece mesmo com mudanças nos indivíduos envolvidos, assegurando continuidade na gestão e controle das OPME.</w:t>
      </w:r>
      <w:r/>
    </w:p>
    <w:p>
      <w:pPr>
        <w:pStyle w:val="928"/>
        <w:numPr>
          <w:ilvl w:val="0"/>
          <w:numId w:val="175"/>
        </w:numPr>
        <w:pBdr/>
        <w:spacing/>
        <w:ind/>
        <w:rPr/>
      </w:pPr>
      <w:r>
        <w:t xml:space="preserve">Ação Foco Causa: Sim</w:t>
      </w:r>
      <w:r/>
    </w:p>
    <w:p>
      <w:pPr>
        <w:pStyle w:val="928"/>
        <w:numPr>
          <w:ilvl w:val="0"/>
          <w:numId w:val="175"/>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estabelece medidas para assegurar a atuação de uma comissão específica, o que pode </w:t>
      </w:r>
      <w:r>
        <w:t xml:space="preserve">ser interpretado como uma ação para tratar a causa organizacional do problema (falta de estrutura de gestão para OPME), mas não aborda diretamente a causa imediata da falta de anexação dos exames (como falhas processuais ou de treinamento). Para o critério</w:t>
      </w:r>
      <w:r>
        <w:t xml:space="preserve"> </w:t>
      </w:r>
      <w:r>
        <w:t xml:space="preserve">‘Efeitos Duradouros’</w:t>
      </w:r>
      <w:r>
        <w:t xml:space="preserve">, a criação de uma comissão formal tende a gerar efeitos duradouros, pois a estrutura institucional persiste independentemente de mudanças de pessoal.</w:t>
      </w:r>
      <w:r/>
    </w:p>
    <w:p>
      <w:pPr>
        <w:pStyle w:val="928"/>
        <w:numPr>
          <w:ilvl w:val="0"/>
          <w:numId w:val="176"/>
        </w:numPr>
        <w:pBdr/>
        <w:spacing/>
        <w:ind/>
        <w:rPr/>
      </w:pPr>
      <w:r>
        <w:t xml:space="preserve">Análise Foco Causa: Discordo</w:t>
      </w:r>
      <w:r/>
    </w:p>
    <w:p>
      <w:pPr>
        <w:pStyle w:val="928"/>
        <w:numPr>
          <w:ilvl w:val="0"/>
          <w:numId w:val="176"/>
        </w:numPr>
        <w:pBdr/>
        <w:spacing/>
        <w:ind/>
        <w:rPr/>
      </w:pPr>
      <w:r>
        <w:t xml:space="preserve">Análise Efeitos Duradouros: Concordo</w:t>
      </w:r>
      <w:bookmarkEnd w:id="125"/>
      <w:r/>
    </w:p>
    <w:p>
      <w:pPr>
        <w:pStyle w:val="915"/>
        <w:pBdr/>
        <w:spacing/>
        <w:ind/>
        <w:rPr/>
      </w:pPr>
      <w:r/>
      <w:bookmarkStart w:id="126" w:name="auditoria-19565-constatação-nº-677635-1"/>
      <w:r>
        <w:t xml:space="preserve">Auditoria 19565, Constatação Nº 677635 (#1)</w:t>
      </w:r>
      <w:r/>
    </w:p>
    <w:p>
      <w:pPr>
        <w:pStyle w:val="927"/>
        <w:pBdr/>
        <w:spacing/>
        <w:ind/>
        <w:rPr/>
      </w:pPr>
      <w:r>
        <w:rPr>
          <w:b/>
          <w:bCs/>
        </w:rPr>
        <w:t xml:space="preserve">Finalidade</w:t>
      </w:r>
      <w:r>
        <w:t xml:space="preserve">: Verificar a gestão e o funcionamento do serviço de Atendimento Móvel de Urgência (SAMU 192).</w:t>
      </w:r>
      <w:r/>
    </w:p>
    <w:p>
      <w:pPr>
        <w:pStyle w:val="926"/>
        <w:pBdr/>
        <w:spacing/>
        <w:ind/>
        <w:rPr/>
      </w:pPr>
      <w:r>
        <w:rPr>
          <w:b/>
          <w:bCs/>
        </w:rPr>
        <w:t xml:space="preserve">Constatação</w:t>
      </w:r>
      <w:r>
        <w:t xml:space="preserve">: Estado crítico dos equipamentos de proteção individual para os motociclistas do SAMU 192 Teresina.</w:t>
      </w:r>
      <w:r/>
    </w:p>
    <w:p>
      <w:pPr>
        <w:pStyle w:val="926"/>
        <w:pBdr/>
        <w:spacing/>
        <w:ind/>
        <w:rPr/>
      </w:pPr>
      <w:r>
        <w:rPr>
          <w:b/>
          <w:bCs/>
        </w:rPr>
        <w:t xml:space="preserve">Recomendação</w:t>
      </w:r>
      <w:r>
        <w:t xml:space="preserve">: a) Substituição ou reparo dos EPIs danificados, a</w:t>
      </w:r>
      <w:r>
        <w:t xml:space="preserve">ssegurando a integridade e segurança dos profissionais envolvidos nas operações de motolâncias do SAMU Teresina, conforme determina o item 6.5.1. c) da NR 6 - Equipamentos de Proteção Individual, do Ministério do Trabalho e Emprego, que estabelece a obriga</w:t>
      </w:r>
      <w:r>
        <w:t xml:space="preserve">toriedade do fornecimento gratuito de EPI adequado ao risco, em perfeito estado de conservação e funcionamento. b) Manter uma reserva de EPIs em estoque para realizar as substituições necessárias, assegurando a disponibilidade contínua desses equipamentos.</w:t>
      </w:r>
      <w:r/>
    </w:p>
    <w:p>
      <w:pPr>
        <w:pStyle w:val="926"/>
        <w:pBdr/>
        <w:spacing/>
        <w:ind/>
        <w:rPr/>
      </w:pPr>
      <w:r>
        <w:rPr>
          <w:b/>
          <w:bCs/>
        </w:rPr>
        <w:t xml:space="preserve">Análise Codificação</w:t>
      </w:r>
      <w:r>
        <w:t xml:space="preserve">: Em relação ao foco, a recomendação</w:t>
      </w:r>
      <w:r>
        <w:t xml:space="preserve"> </w:t>
      </w:r>
      <w:r>
        <w:t xml:space="preserve">‘a’</w:t>
      </w:r>
      <w:r>
        <w:t xml:space="preserve"> </w:t>
      </w:r>
      <w:r>
        <w:t xml:space="preserve">trata da correção imediata da condição encontrada (substituição ou reparo dos EPIs danificados), sendo portanto focada na condição. A recomendação</w:t>
      </w:r>
      <w:r>
        <w:t xml:space="preserve"> </w:t>
      </w:r>
      <w:r>
        <w:t xml:space="preserve">‘b’</w:t>
      </w:r>
      <w:r>
        <w:t xml:space="preserve"> </w:t>
      </w:r>
      <w:r>
        <w:t xml:space="preserve">propõe a manutenção de estoque de reserva, que é uma ação preventiva para evitar a reocorrência da falta de EPIs em condições adequadas, tratando assim da</w:t>
      </w:r>
      <w:r>
        <w:t xml:space="preserve"> causa do problema (falta de disponibilidade contínua). Quanto aos efeitos duradouros, a manutenção de estoque de reserva como procedimento institucional permanece independente de mudanças nos atores envolvidos, garantindo disponibilidade contínua de EPIs.</w:t>
      </w:r>
      <w:r/>
    </w:p>
    <w:p>
      <w:pPr>
        <w:pStyle w:val="928"/>
        <w:numPr>
          <w:ilvl w:val="0"/>
          <w:numId w:val="177"/>
        </w:numPr>
        <w:pBdr/>
        <w:spacing/>
        <w:ind/>
        <w:rPr/>
      </w:pPr>
      <w:r>
        <w:t xml:space="preserve">Ação Foco Causa: Sim</w:t>
      </w:r>
      <w:r/>
    </w:p>
    <w:p>
      <w:pPr>
        <w:pStyle w:val="928"/>
        <w:numPr>
          <w:ilvl w:val="0"/>
          <w:numId w:val="177"/>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do modelo identificou corretamente que a recomendação</w:t>
      </w:r>
      <w:r>
        <w:t xml:space="preserve"> </w:t>
      </w:r>
      <w:r>
        <w:t xml:space="preserve">‘b’</w:t>
      </w:r>
      <w:r>
        <w:t xml:space="preserve"> </w:t>
      </w:r>
      <w:r>
        <w:t xml:space="preserve">trata da causa do problema, mas atribuiu</w:t>
      </w:r>
      <w:r>
        <w:t xml:space="preserve"> </w:t>
      </w:r>
      <w:r>
        <w:t xml:space="preserve">‘Sim’</w:t>
      </w:r>
      <w:r>
        <w:t xml:space="preserve"> </w:t>
      </w:r>
      <w:r>
        <w:t xml:space="preserve">ao critério geral baseando-se apenas nela, desconsiderando que a recomendação</w:t>
      </w:r>
      <w:r>
        <w:t xml:space="preserve"> </w:t>
      </w:r>
      <w:r>
        <w:t xml:space="preserve">‘a’</w:t>
      </w:r>
      <w:r>
        <w:t xml:space="preserve"> </w:t>
      </w:r>
      <w:r>
        <w:t xml:space="preserve">é focada na condição. Quanto ao critério</w:t>
      </w:r>
      <w:r>
        <w:t xml:space="preserve"> </w:t>
      </w:r>
      <w:r>
        <w:t xml:space="preserve">‘Efeitos Duradouros’</w:t>
      </w:r>
      <w:r>
        <w:t xml:space="preserve">, a análise está correta, pois a recomendação</w:t>
      </w:r>
      <w:r>
        <w:t xml:space="preserve"> </w:t>
      </w:r>
      <w:r>
        <w:t xml:space="preserve">‘b’</w:t>
      </w:r>
      <w:r>
        <w:t xml:space="preserve"> </w:t>
      </w:r>
      <w:r>
        <w:t xml:space="preserve">estabelece um procedimento institucional que independe de mudanças de pessoal.</w:t>
      </w:r>
      <w:r/>
    </w:p>
    <w:p>
      <w:pPr>
        <w:pStyle w:val="928"/>
        <w:numPr>
          <w:ilvl w:val="0"/>
          <w:numId w:val="178"/>
        </w:numPr>
        <w:pBdr/>
        <w:spacing/>
        <w:ind/>
        <w:rPr/>
      </w:pPr>
      <w:r>
        <w:t xml:space="preserve">Análise Foco Causa: Discordo</w:t>
      </w:r>
      <w:r/>
    </w:p>
    <w:p>
      <w:pPr>
        <w:pStyle w:val="928"/>
        <w:numPr>
          <w:ilvl w:val="0"/>
          <w:numId w:val="178"/>
        </w:numPr>
        <w:pBdr/>
        <w:spacing/>
        <w:ind/>
        <w:rPr/>
      </w:pPr>
      <w:r>
        <w:t xml:space="preserve">Análise Efeitos Duradouros: Concordo</w:t>
      </w:r>
      <w:bookmarkEnd w:id="126"/>
      <w:r/>
    </w:p>
    <w:p>
      <w:pPr>
        <w:pStyle w:val="915"/>
        <w:pBdr/>
        <w:spacing/>
        <w:ind/>
        <w:rPr/>
      </w:pPr>
      <w:r/>
      <w:bookmarkStart w:id="127" w:name="auditoria-19610-constatação-nº-674211-3"/>
      <w:r>
        <w:t xml:space="preserve">Auditoria 19610, Constatação Nº 674211 (#3)</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Ausência dos relatórios mensais de acompanhamento do Subeixo de Educação Permanente no Transferegov, bem como impropriedades relacionadas ao acompanhamento.</w:t>
      </w:r>
      <w:r/>
    </w:p>
    <w:p>
      <w:pPr>
        <w:pStyle w:val="926"/>
        <w:pBdr/>
        <w:spacing/>
        <w:ind/>
        <w:rPr/>
      </w:pPr>
      <w:r>
        <w:rPr>
          <w:b/>
          <w:bCs/>
        </w:rPr>
        <w:t xml:space="preserve">Recomendação</w:t>
      </w:r>
      <w:r>
        <w:t xml:space="preserve">: Determinar às unidades de acompanhamento que elaborem relatórios mensais com base nas informações fidedignas relacionadas nos mapas de produção apresentados; e adotando medidas de natureza preventiva ou corretiva na hipótese do nã</w:t>
      </w:r>
      <w:r>
        <w:t xml:space="preserve">o cumprimento do disposto no objeto do convênio e/ou Plano de Ação, atendendo à Portaria de Consolidação Sesai/MS nº 1 /2020, especificamente os §§3º e 4º do art. 4º; inciso VI do art. 11; inciso V e parágrafo único do art. 12; e incisos I e II do art. 14.</w:t>
      </w:r>
      <w:r/>
    </w:p>
    <w:p>
      <w:pPr>
        <w:pStyle w:val="926"/>
        <w:pBdr/>
        <w:spacing/>
        <w:ind/>
        <w:rPr/>
      </w:pPr>
      <w:r>
        <w:rPr>
          <w:b/>
          <w:bCs/>
        </w:rPr>
        <w:t xml:space="preserve">Análise Codificação</w:t>
      </w:r>
      <w:r>
        <w:t xml:space="preserve">: Em relação ao foco, a recomendação propõe a elaboração de relatórios mensais baseados em informações fidedignas e a adoção de medidas preventiva</w:t>
      </w:r>
      <w:r>
        <w:t xml:space="preserve">s ou corretivas em caso de não cumprimento do convênio, indicando ações que visam prevenir a reincidência da ausência de relatórios e impropriedades no acompanhamento, tratando assim da causa do problema. Já em relação aos efeitos pretendidos pela recomend</w:t>
      </w:r>
      <w:r>
        <w:t xml:space="preserve">ação, as medidas propostas, como a elaboração sistemática de relatórios e a aplicação de ações preventivas/corretivas, são procedimentos institucionais que devem permanecer independentemente de mudanças nos atores envolvidos, garantindo efeitos duradouros.</w:t>
      </w:r>
      <w:r/>
    </w:p>
    <w:p>
      <w:pPr>
        <w:pStyle w:val="928"/>
        <w:numPr>
          <w:ilvl w:val="0"/>
          <w:numId w:val="179"/>
        </w:numPr>
        <w:pBdr/>
        <w:spacing/>
        <w:ind/>
        <w:rPr/>
      </w:pPr>
      <w:r>
        <w:t xml:space="preserve">Ação Foco Causa: Sim</w:t>
      </w:r>
      <w:r/>
    </w:p>
    <w:p>
      <w:pPr>
        <w:pStyle w:val="928"/>
        <w:numPr>
          <w:ilvl w:val="0"/>
          <w:numId w:val="179"/>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aborda tanto ações corretivas imediatas quanto preventivas, mas a análise do modelo pode ter superestimado o foco na causa raiz. Quanto ao critério</w:t>
      </w:r>
      <w:r>
        <w:t xml:space="preserve"> </w:t>
      </w:r>
      <w:r>
        <w:t xml:space="preserve">‘Efeitos Duradouros’</w:t>
      </w:r>
      <w:r>
        <w:t xml:space="preserve">, a implementação de procedimentos sistemáticos sugere durabilidade, mas dependem da adesão contínua das unidades.</w:t>
      </w:r>
      <w:r/>
    </w:p>
    <w:p>
      <w:pPr>
        <w:pStyle w:val="928"/>
        <w:numPr>
          <w:ilvl w:val="0"/>
          <w:numId w:val="180"/>
        </w:numPr>
        <w:pBdr/>
        <w:spacing/>
        <w:ind/>
        <w:rPr/>
      </w:pPr>
      <w:r>
        <w:t xml:space="preserve">Análise Foco Causa: Discordo</w:t>
      </w:r>
      <w:r/>
    </w:p>
    <w:p>
      <w:pPr>
        <w:pStyle w:val="928"/>
        <w:numPr>
          <w:ilvl w:val="0"/>
          <w:numId w:val="180"/>
        </w:numPr>
        <w:pBdr/>
        <w:spacing/>
        <w:ind/>
        <w:rPr/>
      </w:pPr>
      <w:r>
        <w:t xml:space="preserve">Análise Efeitos Duradouros: Concordo</w:t>
      </w:r>
      <w:bookmarkEnd w:id="127"/>
      <w:r/>
    </w:p>
    <w:p>
      <w:pPr>
        <w:pStyle w:val="915"/>
        <w:pBdr/>
        <w:spacing/>
        <w:ind/>
        <w:rPr/>
      </w:pPr>
      <w:r/>
      <w:bookmarkStart w:id="128" w:name="auditoria-19611-constatação-nº-674426-1"/>
      <w:r>
        <w:t xml:space="preserve">Auditoria 19611, Constatação Nº 674426 (#1)</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Irregularidade na contratação de empresas com atividades idênticas para atendimento ao Convênio nº 878454/2018.</w:t>
      </w:r>
      <w:r/>
    </w:p>
    <w:p>
      <w:pPr>
        <w:pStyle w:val="926"/>
        <w:pBdr/>
        <w:spacing/>
        <w:ind/>
        <w:rPr/>
      </w:pPr>
      <w:r>
        <w:rPr>
          <w:b/>
          <w:bCs/>
        </w:rPr>
        <w:t xml:space="preserve">Recomendação</w:t>
      </w:r>
      <w:r>
        <w:t xml:space="preserve">: Orientar os fiscais técnicos do convênio e/ou gestor do concedente, que atuam no pro</w:t>
      </w:r>
      <w:r>
        <w:t xml:space="preserve">cesso de execução, a realizar aconferência da documentação referente à contratualização realizada pela convenente e inserida no sistema, no sentido de evitar desobediência aos normativos e cometimento de irregularidades nos atos praticados pela convenente.</w:t>
      </w:r>
      <w:r/>
    </w:p>
    <w:p>
      <w:pPr>
        <w:pStyle w:val="926"/>
        <w:pBdr/>
        <w:spacing/>
        <w:ind/>
        <w:rPr/>
      </w:pPr>
      <w:r>
        <w:rPr>
          <w:b/>
          <w:bCs/>
        </w:rPr>
        <w:t xml:space="preserve">Análise Codificação</w:t>
      </w:r>
      <w:r>
        <w:t xml:space="preserve">: Em relação ao foco, a recomend</w:t>
      </w:r>
      <w:r>
        <w:t xml:space="preserve">ação propõe que fiscais e gestores realizem conferência da documentação de contratualização para evitar desobediência a normativos e irregularidades, o que visa prevenir a reocorrência da condição irregular identificada, tratando assim da causa do problema</w:t>
      </w:r>
      <w:r>
        <w:t xml:space="preserve">. Já em relação aos efeitos pretendidos pela recomendação, a ação de conferência documental, se implementada como processo contínuo, pode gerar efeitos duradouros independentemente de mudanças nos atores envolvidos, pois estabelece um controle sistemático.</w:t>
      </w:r>
      <w:r/>
    </w:p>
    <w:p>
      <w:pPr>
        <w:pStyle w:val="928"/>
        <w:numPr>
          <w:ilvl w:val="0"/>
          <w:numId w:val="181"/>
        </w:numPr>
        <w:pBdr/>
        <w:spacing/>
        <w:ind/>
        <w:rPr/>
      </w:pPr>
      <w:r>
        <w:t xml:space="preserve">Ação Foco Causa: Sim</w:t>
      </w:r>
      <w:r/>
    </w:p>
    <w:p>
      <w:pPr>
        <w:pStyle w:val="928"/>
        <w:numPr>
          <w:ilvl w:val="0"/>
          <w:numId w:val="181"/>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propõ</w:t>
      </w:r>
      <w:r>
        <w:t xml:space="preserve">e uma ação de conferência documental que, embora possa prevenir a reocorrência, não aborda diretamente a causa raiz da irregularidade, que pode envolver falhas em processos de contratação, falta de capacitação ou deficiências normativas. Quanto ao critério</w:t>
      </w:r>
      <w:r>
        <w:t xml:space="preserve"> </w:t>
      </w:r>
      <w:r>
        <w:t xml:space="preserve">‘Efeitos Duradouros’</w:t>
      </w:r>
      <w:r>
        <w:t xml:space="preserve">, a ação de conferência, se implementada como processo contínuo, pode sim gerar efeitos duradouros, mas depende da institucionalização do processo para ser sustentável.</w:t>
      </w:r>
      <w:r/>
    </w:p>
    <w:p>
      <w:pPr>
        <w:pStyle w:val="928"/>
        <w:numPr>
          <w:ilvl w:val="0"/>
          <w:numId w:val="182"/>
        </w:numPr>
        <w:pBdr/>
        <w:spacing/>
        <w:ind/>
        <w:rPr/>
      </w:pPr>
      <w:r>
        <w:t xml:space="preserve">Análise Foco Causa: Discordo</w:t>
      </w:r>
      <w:r/>
    </w:p>
    <w:p>
      <w:pPr>
        <w:pStyle w:val="928"/>
        <w:numPr>
          <w:ilvl w:val="0"/>
          <w:numId w:val="182"/>
        </w:numPr>
        <w:pBdr/>
        <w:spacing/>
        <w:ind/>
        <w:rPr/>
      </w:pPr>
      <w:r>
        <w:t xml:space="preserve">Análise Efeitos Duradouros: Concordo</w:t>
      </w:r>
      <w:bookmarkEnd w:id="128"/>
      <w:r/>
    </w:p>
    <w:p>
      <w:pPr>
        <w:pStyle w:val="915"/>
        <w:pBdr/>
        <w:spacing/>
        <w:ind/>
        <w:rPr/>
      </w:pPr>
      <w:r/>
      <w:bookmarkStart w:id="129" w:name="auditoria-19617-constatação-nº-675250-1"/>
      <w:r>
        <w:t xml:space="preserve">Auditoria 19617, Constatação Nº 675250 (#1)</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Contratação de empresas que possuem os mesmos Sócios-Administradores.</w:t>
      </w:r>
      <w:r/>
    </w:p>
    <w:p>
      <w:pPr>
        <w:pStyle w:val="926"/>
        <w:pBdr/>
        <w:spacing/>
        <w:ind/>
        <w:rPr/>
      </w:pPr>
      <w:r>
        <w:rPr>
          <w:b/>
          <w:bCs/>
        </w:rPr>
        <w:t xml:space="preserve">Recomendação</w:t>
      </w:r>
      <w:r>
        <w:t xml:space="preserve">: Orientar os fiscais técnicos do convênio e/ou gestor do concedente, que atuam no processo de execução, a realizar a confe</w:t>
      </w:r>
      <w:r>
        <w:t xml:space="preserve">rência da documentação comprobatória do processo de contratação por meio de dispensa, inexigibilidade e cotação de preços pela convenente inserida no sistema, em conformidade ao previsto no art. 45, da Portaria Interministerial MP/MF/CGU nº 424/2016; art. </w:t>
      </w:r>
      <w:r>
        <w:t xml:space="preserve">12 da Portaria de Consolidação Sesai/MS nº 1/2020; §2º do art. 54, art. 56 e art. 77 da Portaria Interministerial MP/MF/CGU nº 424/2016, no sentido de evitar desobediência aos normativos e cometimento de irregularidades nos atos praticados pela convenente.</w:t>
      </w:r>
      <w:r/>
    </w:p>
    <w:p>
      <w:pPr>
        <w:pStyle w:val="926"/>
        <w:pBdr/>
        <w:spacing/>
        <w:ind/>
        <w:rPr/>
      </w:pPr>
      <w:r>
        <w:rPr>
          <w:b/>
          <w:bCs/>
        </w:rPr>
        <w:t xml:space="preserve">Análise Codificação</w:t>
      </w:r>
      <w:r>
        <w:t xml:space="preserve">: Em relação ao foco, a recomendação propõe orientar fiscais e gestores </w:t>
      </w:r>
      <w:r>
        <w:t xml:space="preserve">a conferir documentação comprobatória para evitar desobediência a normativos e irregularidades, o que visa prevenir a reincidência do problema de contratação de empresas com os mesmos sócios-administradores, tratando assim da causa subjacente (falta de ver</w:t>
      </w:r>
      <w:r>
        <w:t xml:space="preserve">ificação adequada). Já em relação aos efeitos pretendidos pela recomendação, a orientação para conferência documental estabelece um procedimento que deve permanecer válido independentemente de mudanças nos fiscais ou gestores, indicando efeitos duradouros.</w:t>
      </w:r>
      <w:r/>
    </w:p>
    <w:p>
      <w:pPr>
        <w:pStyle w:val="928"/>
        <w:numPr>
          <w:ilvl w:val="0"/>
          <w:numId w:val="183"/>
        </w:numPr>
        <w:pBdr/>
        <w:spacing/>
        <w:ind/>
        <w:rPr/>
      </w:pPr>
      <w:r>
        <w:t xml:space="preserve">Ação Foco Causa: Sim</w:t>
      </w:r>
      <w:r/>
    </w:p>
    <w:p>
      <w:pPr>
        <w:pStyle w:val="928"/>
        <w:numPr>
          <w:ilvl w:val="0"/>
          <w:numId w:val="183"/>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propõe uma ação de orientaçã</w:t>
      </w:r>
      <w:r>
        <w:t xml:space="preserve">o para conferência documental que visa prevenir a reincidência do problema, mas não aborda diretamente a causa raiz da contratação de empresas com os mesmos sócios-administradores, que pode envolver falhas sistêmicas ou intencionalidade. Quanto ao critério</w:t>
      </w:r>
      <w:r>
        <w:t xml:space="preserve"> </w:t>
      </w:r>
      <w:r>
        <w:t xml:space="preserve">‘Efeitos Duradouros’</w:t>
      </w:r>
      <w:r>
        <w:t xml:space="preserve">, a orientação estabelece um procedimento que pode ser mantido com mudanças de pessoal, mas sua efetividade depende da adesão contínua e de possíveis atualizações normativas.</w:t>
      </w:r>
      <w:r/>
    </w:p>
    <w:p>
      <w:pPr>
        <w:pStyle w:val="928"/>
        <w:numPr>
          <w:ilvl w:val="0"/>
          <w:numId w:val="184"/>
        </w:numPr>
        <w:pBdr/>
        <w:spacing/>
        <w:ind/>
        <w:rPr/>
      </w:pPr>
      <w:r>
        <w:t xml:space="preserve">Análise Foco Causa: Discordo</w:t>
      </w:r>
      <w:r/>
    </w:p>
    <w:p>
      <w:pPr>
        <w:pStyle w:val="928"/>
        <w:numPr>
          <w:ilvl w:val="0"/>
          <w:numId w:val="184"/>
        </w:numPr>
        <w:pBdr/>
        <w:spacing/>
        <w:ind/>
        <w:rPr/>
      </w:pPr>
      <w:r>
        <w:t xml:space="preserve">Análise Efeitos Duradouros: Concordo</w:t>
      </w:r>
      <w:bookmarkEnd w:id="129"/>
      <w:r/>
    </w:p>
    <w:p>
      <w:pPr>
        <w:pStyle w:val="915"/>
        <w:pBdr/>
        <w:spacing/>
        <w:ind/>
        <w:rPr/>
      </w:pPr>
      <w:r/>
      <w:bookmarkStart w:id="130" w:name="auditoria-19811-constatação-nº-695637-1"/>
      <w:r>
        <w:t xml:space="preserve">Auditoria 19811, Constatação Nº 695637 (#1)</w:t>
      </w:r>
      <w:r/>
    </w:p>
    <w:p>
      <w:pPr>
        <w:pStyle w:val="927"/>
        <w:pBdr/>
        <w:spacing/>
        <w:ind/>
        <w:rPr/>
      </w:pPr>
      <w:r>
        <w:rPr>
          <w:b/>
          <w:bCs/>
        </w:rPr>
        <w:t xml:space="preserve">Finalidade</w:t>
      </w:r>
      <w:r>
        <w:t xml:space="preserve">: Verificar se a At. Primária exerce as atribuições de coordenadora da Rede de Atenção Psicossocial</w:t>
      </w:r>
      <w:r/>
    </w:p>
    <w:p>
      <w:pPr>
        <w:pStyle w:val="926"/>
        <w:pBdr/>
        <w:spacing/>
        <w:ind/>
        <w:rPr/>
      </w:pPr>
      <w:r>
        <w:rPr>
          <w:b/>
          <w:bCs/>
        </w:rPr>
        <w:t xml:space="preserve">Constatação</w:t>
      </w:r>
      <w:r>
        <w:t xml:space="preserve">: As UBSs visitadas não realizam ações contínuas de prevenção e promoção relacionados à temática da saúde mental.</w:t>
      </w:r>
      <w:r/>
    </w:p>
    <w:p>
      <w:pPr>
        <w:pStyle w:val="926"/>
        <w:pBdr/>
        <w:spacing/>
        <w:ind/>
        <w:rPr/>
      </w:pPr>
      <w:r>
        <w:rPr>
          <w:b/>
          <w:bCs/>
        </w:rPr>
        <w:t xml:space="preserve">Recomendação</w:t>
      </w:r>
      <w:r>
        <w:t xml:space="preserve">: À SMS para monitorar a realização de ações e registros adequados de atividades de educação em saúde mental. O monitoramento pela SMS das ações e registros de educação em saúde mental assegura a qualificação contínua dos profissionais, promove p</w:t>
      </w:r>
      <w:r>
        <w:t xml:space="preserve">ráticas baseadas em evidências e sensibiliza a comunidade, fortalecendo a atenção psicossocial e a proteção dos direitos dos usuários, portanto recomendar à SMS que cumpra o Anexo V, art. 6° §1° da Portaria de Consolidação n.° 3, de 28 de setembro de 2017.</w:t>
      </w:r>
      <w:r/>
    </w:p>
    <w:p>
      <w:pPr>
        <w:pStyle w:val="926"/>
        <w:pBdr/>
        <w:spacing/>
        <w:ind/>
        <w:rPr/>
      </w:pPr>
      <w:r>
        <w:rPr>
          <w:b/>
          <w:bCs/>
        </w:rPr>
        <w:t xml:space="preserve">Análise Codificação</w:t>
      </w:r>
      <w:r>
        <w:t xml:space="preserve">: Em relação ao foco, a recomendação propõe que a SMS monitore ações e registros de educação em saúde mental, o que vi</w:t>
      </w:r>
      <w:r>
        <w:t xml:space="preserve">sa assegurar a qualificação contínua dos profissionais e promover práticas baseadas em evidências. Isso aborda a causa subjacente da falta de ações contínuas, que pode ser a ausência de supervisão e monitoramento sistemático, focando em prevenir a recorrên</w:t>
      </w:r>
      <w:r>
        <w:t xml:space="preserve">cia do problema. Já em relação aos efeitos pretendidos pela recomendação, o monitoramento estabelece um processo contínuo que deve persistir independentemente de mudanças nos atores envolvidos, como profissionais ou gestores, promovendo efeitos duradouros.</w:t>
      </w:r>
      <w:r/>
    </w:p>
    <w:p>
      <w:pPr>
        <w:pStyle w:val="928"/>
        <w:numPr>
          <w:ilvl w:val="0"/>
          <w:numId w:val="185"/>
        </w:numPr>
        <w:pBdr/>
        <w:spacing/>
        <w:ind/>
        <w:rPr/>
      </w:pPr>
      <w:r>
        <w:t xml:space="preserve">Ação Foco Causa: Sim</w:t>
      </w:r>
      <w:r/>
    </w:p>
    <w:p>
      <w:pPr>
        <w:pStyle w:val="928"/>
        <w:numPr>
          <w:ilvl w:val="0"/>
          <w:numId w:val="185"/>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do modelo argumenta que o monitoramento pela SMS </w:t>
      </w:r>
      <w:r>
        <w:t xml:space="preserve">aborda a causa subjacente da falta de ações contínuas, que seria a ausência de supervisão e monitoramento sistemático. No entanto, a constatação específica é a não realização de ações contínuas de prevenção e promoção em saúde mental pelas UBSs, e a recome</w:t>
      </w:r>
      <w:r>
        <w:t xml:space="preserve">ndação foca no monitoramento dessas ações e registros, o que pode ser visto como uma medida para verificar e assegurar a conformidade, mas não necessariamente trata a causa raiz (como falta de capacitação, recursos ou diretrizes claras). Quanto ao critério</w:t>
      </w:r>
      <w:r>
        <w:t xml:space="preserve"> </w:t>
      </w:r>
      <w:r>
        <w:t xml:space="preserve">‘Efeitos Duradouros’</w:t>
      </w:r>
      <w:r>
        <w:t xml:space="preserve">, a análise do modelo afirma que o monitoramento estabelece um processo contínuo independente de mudanças nos atores, o que é plausível se o monitoramento for institucionalizado.</w:t>
      </w:r>
      <w:r/>
    </w:p>
    <w:p>
      <w:pPr>
        <w:pStyle w:val="928"/>
        <w:numPr>
          <w:ilvl w:val="0"/>
          <w:numId w:val="186"/>
        </w:numPr>
        <w:pBdr/>
        <w:spacing/>
        <w:ind/>
        <w:rPr/>
      </w:pPr>
      <w:r>
        <w:t xml:space="preserve">Análise Foco Causa: Discordo</w:t>
      </w:r>
      <w:r/>
    </w:p>
    <w:p>
      <w:pPr>
        <w:pStyle w:val="928"/>
        <w:numPr>
          <w:ilvl w:val="0"/>
          <w:numId w:val="186"/>
        </w:numPr>
        <w:pBdr/>
        <w:spacing/>
        <w:ind/>
        <w:rPr/>
      </w:pPr>
      <w:r>
        <w:t xml:space="preserve">Análise Efeitos Duradouros: Concordo</w:t>
      </w:r>
      <w:bookmarkEnd w:id="130"/>
      <w:r/>
    </w:p>
    <w:p>
      <w:pPr>
        <w:pStyle w:val="915"/>
        <w:pBdr/>
        <w:spacing/>
        <w:ind/>
        <w:rPr/>
      </w:pPr>
      <w:r/>
      <w:bookmarkStart w:id="131" w:name="auditoria-19834-constatação-nº-701469-1"/>
      <w:r>
        <w:t xml:space="preserve">Auditoria 19834, Constatação Nº 701469 (#1)</w:t>
      </w:r>
      <w:r/>
    </w:p>
    <w:p>
      <w:pPr>
        <w:pStyle w:val="927"/>
        <w:pBdr/>
        <w:spacing/>
        <w:ind/>
        <w:rPr/>
      </w:pPr>
      <w:r>
        <w:rPr>
          <w:b/>
          <w:bCs/>
        </w:rPr>
        <w:t xml:space="preserve">Finalidade</w:t>
      </w:r>
      <w:r>
        <w:t xml:space="preserve">: Realizar auditoria financeira e administrativa no Hospital de Cataguases/Sta Casa de Misericórdia</w:t>
      </w:r>
      <w:r/>
    </w:p>
    <w:p>
      <w:pPr>
        <w:pStyle w:val="926"/>
        <w:pBdr/>
        <w:spacing/>
        <w:ind/>
        <w:rPr/>
      </w:pPr>
      <w:r>
        <w:rPr>
          <w:b/>
          <w:bCs/>
        </w:rPr>
        <w:t xml:space="preserve">Constatação</w:t>
      </w:r>
      <w:r>
        <w:t xml:space="preserve">: Não existem auditorias clínicas periódicas r</w:t>
      </w:r>
      <w:r>
        <w:t xml:space="preserve">ealizadas pela Secretaria Municipal de Saúde (SMS) de Cataguases e nem auditorias internas no Hospital de Cataguases para avaliar a qualidade e eficiência dos serviços médicos no setor de hemodiálise e em outros serviços/especialidades do Hospital em tela.</w:t>
      </w:r>
      <w:r/>
    </w:p>
    <w:p>
      <w:pPr>
        <w:pStyle w:val="926"/>
        <w:pBdr/>
        <w:spacing/>
        <w:ind/>
        <w:rPr/>
      </w:pPr>
      <w:r>
        <w:rPr>
          <w:b/>
          <w:bCs/>
        </w:rPr>
        <w:t xml:space="preserve">Recomendação</w:t>
      </w:r>
      <w:r>
        <w:t xml:space="preserve">: Ao Hospital de Cataguases adotar ações gerenciais estruturadas para garantir a efetiva atuação do Núcleo Interno de Regulação (N</w:t>
      </w:r>
      <w:r>
        <w:t xml:space="preserve">IR), conforme protocolos clínicos e padrões éticos, de forma integrada com esta Secretaria Municipal de Saúde (SMS). Essa atuação conjunta visa qualificar o gerenciamento de leitos e fluxos de pacientes, assegurando maior segurança e efetividade no cuidado</w:t>
      </w:r>
      <w:r>
        <w:t xml:space="preserve">. Tal recomendação está alinhada à Portaria de Consolidação nº 2, de 28 de setembro de 2017, que institui a Política Nacional de Atenção Hospitalar (PNHOSP) e define o NIR como unidade técnico-administrativa responsável pela gestão de leitos, consultas, ex</w:t>
      </w:r>
      <w:r>
        <w:t xml:space="preserve">ames e articulação com a rede de atenção à saúde. Reforça-se, ainda, que essa portaria determina a implantação do NIR nos hospitais e estabelece que sua atuação deve se dar em interface com as Centrais de Regulação, pautada por protocolos preestabelecidos.</w:t>
      </w:r>
      <w:r/>
    </w:p>
    <w:p>
      <w:pPr>
        <w:pStyle w:val="926"/>
        <w:pBdr/>
        <w:spacing/>
        <w:ind/>
        <w:rPr/>
      </w:pPr>
      <w:r>
        <w:rPr>
          <w:b/>
          <w:bCs/>
        </w:rPr>
        <w:t xml:space="preserve">Análise Codificação</w:t>
      </w:r>
      <w:r>
        <w:t xml:space="preserve">: Em relação ao foco, a recomendação propõe a adoção de ações gerenciais estruturadas p</w:t>
      </w:r>
      <w:r>
        <w:t xml:space="preserve">ara garantir a efetiva atuação do Núcleo Interno de Regulação (NIR), o que visa tratar a causa do problema (ausência de auditorias clínicas periódicas e internas) ao estabelecer um mecanismo permanente de gestão e regulação baseado em protocolos. Já em rel</w:t>
      </w:r>
      <w:r>
        <w:t xml:space="preserve">ação aos efeitos pretendidos pela recomendação, a implementação do NIR com base em protocolos clínicos e padrões éticos cria uma estrutura organizacional que deve persistir independentemente de mudanças nos atores envolvidos, promovendo efeitos duradouros.</w:t>
      </w:r>
      <w:r/>
    </w:p>
    <w:p>
      <w:pPr>
        <w:pStyle w:val="928"/>
        <w:numPr>
          <w:ilvl w:val="0"/>
          <w:numId w:val="187"/>
        </w:numPr>
        <w:pBdr/>
        <w:spacing/>
        <w:ind/>
        <w:rPr/>
      </w:pPr>
      <w:r>
        <w:t xml:space="preserve">Ação Foco Causa: Sim</w:t>
      </w:r>
      <w:r/>
    </w:p>
    <w:p>
      <w:pPr>
        <w:pStyle w:val="928"/>
        <w:numPr>
          <w:ilvl w:val="0"/>
          <w:numId w:val="187"/>
        </w:numPr>
        <w:pBdr/>
        <w:spacing/>
        <w:ind/>
        <w:rPr/>
      </w:pPr>
      <w:r>
        <w:t xml:space="preserve">Efeitos Duradouros: Sim</w:t>
      </w:r>
      <w:r/>
    </w:p>
    <w:p>
      <w:pPr>
        <w:pStyle w:val="927"/>
        <w:pBdr/>
        <w:spacing/>
        <w:ind/>
        <w:rPr/>
      </w:pPr>
      <w:r>
        <w:rPr>
          <w:b/>
          <w:bCs/>
        </w:rPr>
        <w:t xml:space="preserve">Análise Crítica</w:t>
      </w:r>
      <w:r>
        <w:t xml:space="preserve">: A análise do modelo identifica corretamente que a recomendação aborda a causa subjacente ao </w:t>
      </w:r>
      <w:r>
        <w:t xml:space="preserve">estabelecer um mecanismo permanente de gestão através do NIR, mas superestima a relação direta com a constatação específica sobre auditorias clínicas. Quanto aos efeitos duradouros, a avaliação é adequada considerando a natureza estrutural da recomendação.</w:t>
      </w:r>
      <w:r/>
    </w:p>
    <w:p>
      <w:pPr>
        <w:pStyle w:val="928"/>
        <w:numPr>
          <w:ilvl w:val="0"/>
          <w:numId w:val="188"/>
        </w:numPr>
        <w:pBdr/>
        <w:spacing/>
        <w:ind/>
        <w:rPr/>
      </w:pPr>
      <w:r>
        <w:t xml:space="preserve">Análise Foco Causa: Discordo</w:t>
      </w:r>
      <w:r/>
    </w:p>
    <w:p>
      <w:pPr>
        <w:pStyle w:val="928"/>
        <w:numPr>
          <w:ilvl w:val="0"/>
          <w:numId w:val="188"/>
        </w:numPr>
        <w:pBdr/>
        <w:spacing/>
        <w:ind/>
        <w:rPr/>
      </w:pPr>
      <w:r>
        <w:t xml:space="preserve">Análise Efeitos Duradouros: Concordo</w:t>
      </w:r>
      <w:bookmarkEnd w:id="131"/>
      <w:bookmarkEnd w:id="132"/>
      <w:r/>
    </w:p>
    <w:p>
      <w:pPr>
        <w:pStyle w:val="914"/>
        <w:pBdr/>
        <w:spacing/>
        <w:ind/>
        <w:rPr/>
      </w:pPr>
      <w:r/>
      <w:bookmarkStart w:id="143" w:name="X796d4b1be607b0ca9b03522a2c1cc8957e60c8f"/>
      <w:r>
        <w:t xml:space="preserve">Foco: Sim, Efeitos: Sim, Concordância Foco: Discordo, Concordância Efeitos: Não se aplica</w:t>
      </w:r>
      <w:r/>
    </w:p>
    <w:p>
      <w:pPr>
        <w:pStyle w:val="915"/>
        <w:pBdr/>
        <w:spacing/>
        <w:ind/>
        <w:rPr/>
      </w:pPr>
      <w:r/>
      <w:bookmarkStart w:id="133" w:name="auditoria-19378-constatação-nº-662383-1"/>
      <w:r>
        <w:t xml:space="preserve">Auditoria 19378, Constatação Nº 662383 (#1)</w:t>
      </w:r>
      <w:r/>
    </w:p>
    <w:p>
      <w:pPr>
        <w:pStyle w:val="927"/>
        <w:pBdr/>
        <w:spacing/>
        <w:ind/>
        <w:rPr/>
      </w:pPr>
      <w:r>
        <w:rPr>
          <w:b/>
          <w:bCs/>
        </w:rPr>
        <w:t xml:space="preserve">Finalidade</w:t>
      </w:r>
      <w:r>
        <w:t xml:space="preserve">: Apurar a regularidade da produção inserida nos sistemas do SUS com incremento nos tetos PAB e MAC</w:t>
      </w:r>
      <w:r/>
    </w:p>
    <w:p>
      <w:pPr>
        <w:pStyle w:val="926"/>
        <w:pBdr/>
        <w:spacing/>
        <w:ind/>
        <w:rPr/>
      </w:pPr>
      <w:r>
        <w:rPr>
          <w:b/>
          <w:bCs/>
        </w:rPr>
        <w:t xml:space="preserve">Constatação</w:t>
      </w:r>
      <w:r>
        <w:t xml:space="preserve">: Os instrumentos de gestão do SUS da Secretaria Municipal de Saúde de Paulo Ramos não demo</w:t>
      </w:r>
      <w:r>
        <w:t xml:space="preserve">nstram qualquer informação relativa aos procedimentos de média e alta complexidade que conforme o Sistema de Informação Ambulatorial (SIA) demonstram quantidades excessivas nos procedimentos informados no exercício de 2020, em relação ao exercício de 2021.</w:t>
      </w:r>
      <w:r/>
    </w:p>
    <w:p>
      <w:pPr>
        <w:pStyle w:val="926"/>
        <w:pBdr/>
        <w:spacing/>
        <w:ind/>
        <w:rPr/>
      </w:pPr>
      <w:r>
        <w:rPr>
          <w:b/>
          <w:bCs/>
        </w:rPr>
        <w:t xml:space="preserve">Recomendação</w:t>
      </w:r>
      <w:r>
        <w:t xml:space="preserve">: Cumprir com o que estabel</w:t>
      </w:r>
      <w:r>
        <w:t xml:space="preserve">ecem os Arts. 95, 96, 97 e 99, todos da Portaria de Consolidação GM/MS nº 1, de 28/09/2017, que preveem que os instrumentos para o planejamento no âmbito do SUS, o Plano de Saúde (PS), as Programações Anuais de Saúde (PAS) e o Relatório Anual de Gestão (RA</w:t>
      </w:r>
      <w:r>
        <w:t xml:space="preserve">G) que se interligam compondo um processo cíclico de planejamento para operacionalização integrada, solidária e sistêmica do SUS, onde o PS se configura como base para a execução, o acompanhamento, a avaliação da gestão do sistema de saúde e contempla toda</w:t>
      </w:r>
      <w:r>
        <w:t xml:space="preserve">s as áreas da atenção à saúde, de modo a garantir a integralidade dessa atenção; que a PAS é o instrumento que operacionaliza as intenções expressas no Plano de Saúde e tem por objetivo anualizar as metas do Plano de Saúde e prever a alocação dos recursos </w:t>
      </w:r>
      <w:r>
        <w:t xml:space="preserve">orçamentários a serem executados; e que o RAG é o instrumento de gestão com elaboração anual que permite ao gestor apresentar os resultados alcançados com a execução da PAS e orienta eventuais redirecionamentos que se fizerem necessários no Plano de Saúde.</w:t>
      </w:r>
      <w:r/>
    </w:p>
    <w:p>
      <w:pPr>
        <w:pStyle w:val="926"/>
        <w:pBdr/>
        <w:spacing/>
        <w:ind/>
        <w:rPr/>
      </w:pPr>
      <w:r>
        <w:rPr>
          <w:b/>
          <w:bCs/>
        </w:rPr>
        <w:t xml:space="preserve">Análise Codificação</w:t>
      </w:r>
      <w:r>
        <w:t xml:space="preserve">: Em relação ao foco, a recomendação orienta o cumprimento de dispositivos normativos que estabelecem a elaboração e utilização de instrumentos de planejamento (Plano de Saúde, Programação Anual de Saúde e Relatório An</w:t>
      </w:r>
      <w:r>
        <w:t xml:space="preserve">ual de Gestão) para operacionalizar de forma integrada e sistêmica o SUS. Esses instrumentos, quando adequadamente implementados, visam estruturar o processo de planejamento e gestão, abordando a causa subjacente da falta de informações sobre procedimentos</w:t>
      </w:r>
      <w:r>
        <w:t xml:space="preserve"> de média e alta complexidade nos instrumentos de gestão, que é a ausência de um ciclo de planejamento efetivo. Já em relação aos efeitos pretendidos pela recomendação, a implementação desses instrumentos de planejamento cria um processo cíclico e instituc</w:t>
      </w:r>
      <w:r>
        <w:t xml:space="preserve">ionalizado de gestão, cujos efeitos (como a melhoria no registro e monitoramento das ações de saúde) tendem a permanecer independentemente de mudanças nos atores envolvidos, pois estão embasados em normativas e em uma estrutura de planejamento consolidada.</w:t>
      </w:r>
      <w:r/>
    </w:p>
    <w:p>
      <w:pPr>
        <w:pStyle w:val="928"/>
        <w:numPr>
          <w:ilvl w:val="0"/>
          <w:numId w:val="189"/>
        </w:numPr>
        <w:pBdr/>
        <w:spacing/>
        <w:ind/>
        <w:rPr/>
      </w:pPr>
      <w:r>
        <w:t xml:space="preserve">Ação Foco Causa: Sim</w:t>
      </w:r>
      <w:r/>
    </w:p>
    <w:p>
      <w:pPr>
        <w:pStyle w:val="928"/>
        <w:numPr>
          <w:ilvl w:val="0"/>
          <w:numId w:val="189"/>
        </w:numPr>
        <w:pBdr/>
        <w:spacing/>
        <w:ind/>
        <w:rPr/>
      </w:pPr>
      <w:r>
        <w:t xml:space="preserve">Efeitos Duradouros: Sim</w:t>
      </w:r>
      <w:r/>
    </w:p>
    <w:p>
      <w:pPr>
        <w:pStyle w:val="927"/>
        <w:pBdr/>
        <w:spacing/>
        <w:ind/>
        <w:rPr/>
      </w:pPr>
      <w:r>
        <w:rPr>
          <w:b/>
          <w:bCs/>
        </w:rPr>
        <w:t xml:space="preserve">Análise Crítica</w:t>
      </w:r>
      <w:r>
        <w:t xml:space="preserve">: A análise da codificação apresenta argumentos consistentes sobre o foco na causa e os efeitos duradouros da recomendação, mas requer uma avaliação mais detalhada da relação direta entre a recomendação e a causa específica da constatação.</w:t>
      </w:r>
      <w:r/>
    </w:p>
    <w:p>
      <w:pPr>
        <w:pStyle w:val="928"/>
        <w:numPr>
          <w:ilvl w:val="0"/>
          <w:numId w:val="190"/>
        </w:numPr>
        <w:pBdr/>
        <w:spacing/>
        <w:ind/>
        <w:rPr/>
      </w:pPr>
      <w:r>
        <w:t xml:space="preserve">Análise Foco Causa: Discordo</w:t>
      </w:r>
      <w:r/>
    </w:p>
    <w:p>
      <w:pPr>
        <w:pStyle w:val="928"/>
        <w:numPr>
          <w:ilvl w:val="0"/>
          <w:numId w:val="190"/>
        </w:numPr>
        <w:pBdr/>
        <w:spacing/>
        <w:ind/>
        <w:rPr/>
      </w:pPr>
      <w:r>
        <w:t xml:space="preserve">Análise Efeitos Duradouros: Não se aplica</w:t>
      </w:r>
      <w:bookmarkEnd w:id="133"/>
      <w:r/>
    </w:p>
    <w:p>
      <w:pPr>
        <w:pStyle w:val="915"/>
        <w:pBdr/>
        <w:spacing/>
        <w:ind/>
        <w:rPr/>
      </w:pPr>
      <w:r/>
      <w:bookmarkStart w:id="134" w:name="auditoria-19392-constatação-nº-664769-3"/>
      <w:r>
        <w:t xml:space="preserve">Auditoria 19392, Constatação Nº 664769 (#3)</w:t>
      </w:r>
      <w:r/>
    </w:p>
    <w:p>
      <w:pPr>
        <w:pStyle w:val="927"/>
        <w:pBdr/>
        <w:spacing/>
        <w:ind/>
        <w:rPr/>
      </w:pPr>
      <w:r>
        <w:rPr>
          <w:b/>
          <w:bCs/>
        </w:rPr>
        <w:t xml:space="preserve">Finalidade</w:t>
      </w:r>
      <w:r>
        <w:t xml:space="preserve">: Verificar regular utilização de DMIs em cirurgias cardíacas realizadas no Hosp. Reg. Hans D.</w:t>
      </w:r>
      <w:r/>
    </w:p>
    <w:p>
      <w:pPr>
        <w:pStyle w:val="926"/>
        <w:pBdr/>
        <w:spacing/>
        <w:ind/>
        <w:rPr/>
      </w:pPr>
      <w:r>
        <w:rPr>
          <w:b/>
          <w:bCs/>
        </w:rPr>
        <w:t xml:space="preserve">Constatação</w:t>
      </w:r>
      <w:r>
        <w:t xml:space="preserve">: Faturamento de OPME sem a comprovação de uso na AIH.</w:t>
      </w:r>
      <w:r/>
    </w:p>
    <w:p>
      <w:pPr>
        <w:pStyle w:val="926"/>
        <w:pBdr/>
        <w:spacing/>
        <w:ind/>
        <w:rPr/>
      </w:pPr>
      <w:r>
        <w:rPr>
          <w:b/>
          <w:bCs/>
        </w:rPr>
        <w:t xml:space="preserve">Recomendação</w:t>
      </w:r>
      <w:r>
        <w:t xml:space="preserve">: Solicitar ao </w:t>
      </w:r>
      <w:r>
        <w:t xml:space="preserve">Hospital Regional Hans Dieter Schmidt que confira o lançamento das Notas Fiscais utilizadas no prontuário do paciente no preenchimento de dados do SIH, em atendimento ao Manual Técnico Operacional do Sistema de Informação Hospitalar (versão 2017), Item 23.</w:t>
      </w:r>
      <w:r/>
    </w:p>
    <w:p>
      <w:pPr>
        <w:pStyle w:val="926"/>
        <w:pBdr/>
        <w:spacing/>
        <w:ind/>
        <w:rPr/>
      </w:pPr>
      <w:r>
        <w:rPr>
          <w:b/>
          <w:bCs/>
        </w:rPr>
        <w:t xml:space="preserve">Análise Codificação</w:t>
      </w:r>
      <w:r>
        <w:t xml:space="preserve">: Em relação ao foco, a recomendação propõe que o hospital confira o lançamento das Notas Fiscais no prontuário do paciente e no SIH, conforme o Manual Técnico</w:t>
      </w:r>
      <w:r>
        <w:t xml:space="preserve"> Operacional. Esta ação visa estabelecer um processo de verificação contínua para garantir que o faturamento de OPME seja sempre acompanhado da comprovação de uso, abordando a causa do problema (falta de verificação sistemática) e não apenas corrigindo cas</w:t>
      </w:r>
      <w:r>
        <w:t xml:space="preserve">os específicos. Quanto aos efeitos duradouros, a implementação desse processo de conferência, baseado em diretrizes técnicas, tende a persistir independentemente de mudanças nos atores envolvidos, pois se integra aos procedimentos operacionais do hospital.</w:t>
      </w:r>
      <w:r/>
    </w:p>
    <w:p>
      <w:pPr>
        <w:pStyle w:val="928"/>
        <w:numPr>
          <w:ilvl w:val="0"/>
          <w:numId w:val="191"/>
        </w:numPr>
        <w:pBdr/>
        <w:spacing/>
        <w:ind/>
        <w:rPr/>
      </w:pPr>
      <w:r>
        <w:t xml:space="preserve">Ação Foco Causa: Sim</w:t>
      </w:r>
      <w:r/>
    </w:p>
    <w:p>
      <w:pPr>
        <w:pStyle w:val="928"/>
        <w:numPr>
          <w:ilvl w:val="0"/>
          <w:numId w:val="191"/>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propõe uma ação de conferência pontual do lançamento de</w:t>
      </w:r>
      <w:r>
        <w:t xml:space="preserve"> Notas Fiscais no prontuário e no SIH, o que parece mais uma correção imediata da condição encontrada (faturamento sem comprovação) do que uma ação que ataque a causa raiz, como a falta de processos sistemáticos ou falhas na capacitação. Quanto ao critério</w:t>
      </w:r>
      <w:r>
        <w:t xml:space="preserve"> </w:t>
      </w:r>
      <w:r>
        <w:t xml:space="preserve">‘Efeitos Duradouros’</w:t>
      </w:r>
      <w:r>
        <w:t xml:space="preserve">, como discordo do</w:t>
      </w:r>
      <w:r>
        <w:t xml:space="preserve"> </w:t>
      </w:r>
      <w:r>
        <w:t xml:space="preserve">‘Foco Causa’</w:t>
      </w:r>
      <w:r>
        <w:t xml:space="preserve">, a análise não se aplica plenamente, mas se considerada, a ação sugerida é específica e não garante mudanças duradouras independentemente de mudanças de pessoal.</w:t>
      </w:r>
      <w:r/>
    </w:p>
    <w:p>
      <w:pPr>
        <w:pStyle w:val="928"/>
        <w:numPr>
          <w:ilvl w:val="0"/>
          <w:numId w:val="192"/>
        </w:numPr>
        <w:pBdr/>
        <w:spacing/>
        <w:ind/>
        <w:rPr/>
      </w:pPr>
      <w:r>
        <w:t xml:space="preserve">Análise Foco Causa: Discordo</w:t>
      </w:r>
      <w:r/>
    </w:p>
    <w:p>
      <w:pPr>
        <w:pStyle w:val="928"/>
        <w:numPr>
          <w:ilvl w:val="0"/>
          <w:numId w:val="192"/>
        </w:numPr>
        <w:pBdr/>
        <w:spacing/>
        <w:ind/>
        <w:rPr/>
      </w:pPr>
      <w:r>
        <w:t xml:space="preserve">Análise Efeitos Duradouros: Não se aplica</w:t>
      </w:r>
      <w:bookmarkEnd w:id="134"/>
      <w:r/>
    </w:p>
    <w:p>
      <w:pPr>
        <w:pStyle w:val="915"/>
        <w:pBdr/>
        <w:spacing/>
        <w:ind/>
        <w:rPr/>
      </w:pPr>
      <w:r/>
      <w:bookmarkStart w:id="135" w:name="auditoria-19554-constatação-nº-673618-1"/>
      <w:r>
        <w:t xml:space="preserve">Auditoria 19554, Constatação Nº 673618 (#1)</w:t>
      </w:r>
      <w:r/>
    </w:p>
    <w:p>
      <w:pPr>
        <w:pStyle w:val="927"/>
        <w:pBdr/>
        <w:spacing/>
        <w:ind/>
        <w:rPr/>
      </w:pPr>
      <w:r>
        <w:rPr>
          <w:b/>
          <w:bCs/>
        </w:rPr>
        <w:t xml:space="preserve">Finalidade</w:t>
      </w:r>
      <w:r>
        <w:t xml:space="preserve">: Avaliar a atuação dos municípios através dos indicadores por desempenho do Programa Previne Brasil</w:t>
      </w:r>
      <w:r/>
    </w:p>
    <w:p>
      <w:pPr>
        <w:pStyle w:val="926"/>
        <w:pBdr/>
        <w:spacing/>
        <w:ind/>
        <w:rPr/>
      </w:pPr>
      <w:r>
        <w:rPr>
          <w:b/>
          <w:bCs/>
        </w:rPr>
        <w:t xml:space="preserve">Constatação</w:t>
      </w:r>
      <w:r>
        <w:t xml:space="preserve">: As informações dos profissionais que compõem as eSF, disponibilizadas pela SMS, divergem dos cadastros de profissionais extraídos do SCNES.</w:t>
      </w:r>
      <w:r/>
    </w:p>
    <w:p>
      <w:pPr>
        <w:pStyle w:val="926"/>
        <w:pBdr/>
        <w:spacing/>
        <w:ind/>
        <w:rPr/>
      </w:pPr>
      <w:r>
        <w:rPr>
          <w:b/>
          <w:bCs/>
        </w:rPr>
        <w:t xml:space="preserve">Recomendação</w:t>
      </w:r>
      <w:r>
        <w:t xml:space="preserve">: Proceder a atualização mensal dos cadastro de equipes, profissionais, carga horária, serviços disponibilizados, equipamentos e outros, no SCNES, conforme estabelece o inciso V do art 10 do Anexo XXII da PRC n.º 2/2017.</w:t>
      </w:r>
      <w:r/>
    </w:p>
    <w:p>
      <w:pPr>
        <w:pStyle w:val="926"/>
        <w:pBdr/>
        <w:spacing/>
        <w:ind/>
        <w:rPr/>
      </w:pPr>
      <w:r>
        <w:rPr>
          <w:b/>
          <w:bCs/>
        </w:rPr>
        <w:t xml:space="preserve">Análise Codificação</w:t>
      </w:r>
      <w:r>
        <w:t xml:space="preserve">: Em relação ao foco, a recomendação propõe uma ação de atualização mensal dos cadastros no SCNES, o que vis</w:t>
      </w:r>
      <w:r>
        <w:t xml:space="preserve">a corrigir a divergência de informações identificada, tratando diretamente a causa do problema ao estabelecer um processo regular para manter a precisão dos dados, evitando que a condição de divergência volte a ocorrer. Já em relação aos efeitos pretendido</w:t>
      </w:r>
      <w:r>
        <w:t xml:space="preserve">s pela recomendação, a implementação de uma atualização mensal sistemática cria um procedimento contínuo que não depende de indivíduos específicos, garantindo que os efeitos de manter os dados atualizados persistam mesmo com mudanças nos atores envolvidos.</w:t>
      </w:r>
      <w:r/>
    </w:p>
    <w:p>
      <w:pPr>
        <w:pStyle w:val="928"/>
        <w:numPr>
          <w:ilvl w:val="0"/>
          <w:numId w:val="193"/>
        </w:numPr>
        <w:pBdr/>
        <w:spacing/>
        <w:ind/>
        <w:rPr/>
      </w:pPr>
      <w:r>
        <w:t xml:space="preserve">Ação Foco Causa: Sim</w:t>
      </w:r>
      <w:r/>
    </w:p>
    <w:p>
      <w:pPr>
        <w:pStyle w:val="928"/>
        <w:numPr>
          <w:ilvl w:val="0"/>
          <w:numId w:val="193"/>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propõe uma ação de atualização mensal dos cadastros no SCNES, que visa estabelecer um processo regular para manter a precisão dos dados, o que pode ser interpretado como uma medida para evit</w:t>
      </w:r>
      <w:r>
        <w:t xml:space="preserve">ar a recorrência da divergência. No entanto, essa ação não necessariamente trata a causa raiz do problema, que pode envolver falhas nos processos de cadastro inicial, falta de capacitação dos responsáveis ou inconsistências nos sistemas. Quanto ao critério</w:t>
      </w:r>
      <w:r>
        <w:t xml:space="preserve"> </w:t>
      </w:r>
      <w:r>
        <w:t xml:space="preserve">‘Efeitos Duradouros’</w:t>
      </w:r>
      <w:r>
        <w:t xml:space="preserve">, se a ação for considerada como focada na causa, a implementação de um procedimento contínuo e sistemático tende a ser independente de indivíduos específicos, o que poderia garantir efeitos duradouros.</w:t>
      </w:r>
      <w:r/>
    </w:p>
    <w:p>
      <w:pPr>
        <w:pStyle w:val="928"/>
        <w:numPr>
          <w:ilvl w:val="0"/>
          <w:numId w:val="194"/>
        </w:numPr>
        <w:pBdr/>
        <w:spacing/>
        <w:ind/>
        <w:rPr/>
      </w:pPr>
      <w:r>
        <w:t xml:space="preserve">Análise Foco Causa: Discordo</w:t>
      </w:r>
      <w:r/>
    </w:p>
    <w:p>
      <w:pPr>
        <w:pStyle w:val="928"/>
        <w:numPr>
          <w:ilvl w:val="0"/>
          <w:numId w:val="194"/>
        </w:numPr>
        <w:pBdr/>
        <w:spacing/>
        <w:ind/>
        <w:rPr/>
      </w:pPr>
      <w:r>
        <w:t xml:space="preserve">Análise Efeitos Duradouros: Não se aplica</w:t>
      </w:r>
      <w:bookmarkEnd w:id="135"/>
      <w:r/>
    </w:p>
    <w:p>
      <w:pPr>
        <w:pStyle w:val="915"/>
        <w:pBdr/>
        <w:spacing/>
        <w:ind/>
        <w:rPr/>
      </w:pPr>
      <w:r/>
      <w:bookmarkStart w:id="136" w:name="auditoria-19572-constatação-nº-676995-1"/>
      <w:r>
        <w:t xml:space="preserve">Auditoria 19572, Constatação Nº 676995 (#1)</w:t>
      </w:r>
      <w:r/>
    </w:p>
    <w:p>
      <w:pPr>
        <w:pStyle w:val="927"/>
        <w:pBdr/>
        <w:spacing/>
        <w:ind/>
        <w:rPr/>
      </w:pPr>
      <w:r>
        <w:rPr>
          <w:b/>
          <w:bCs/>
        </w:rPr>
        <w:t xml:space="preserve">Finalidade</w:t>
      </w:r>
      <w:r>
        <w:t xml:space="preserve">: Verificar a implementação da Política Nac. de Atenção ao Portador de Doença Renal.</w:t>
      </w:r>
      <w:r/>
    </w:p>
    <w:p>
      <w:pPr>
        <w:pStyle w:val="926"/>
        <w:pBdr/>
        <w:spacing/>
        <w:ind/>
        <w:rPr/>
      </w:pPr>
      <w:r>
        <w:rPr>
          <w:b/>
          <w:bCs/>
        </w:rPr>
        <w:t xml:space="preserve">Constatação</w:t>
      </w:r>
      <w:r>
        <w:t xml:space="preserve">: Os mecanismos de controle, avaliação e autorização dos procedimentos de serviços de atenção ao portador de DRC não estão de acordo com as normas.</w:t>
      </w:r>
      <w:r/>
    </w:p>
    <w:p>
      <w:pPr>
        <w:pStyle w:val="926"/>
        <w:pBdr/>
        <w:spacing/>
        <w:ind/>
        <w:rPr/>
      </w:pPr>
      <w:r>
        <w:rPr>
          <w:b/>
          <w:bCs/>
        </w:rPr>
        <w:t xml:space="preserve">Recomendação</w:t>
      </w:r>
      <w:r>
        <w:t xml:space="preserve">: Regular, controlar e avaliar os serviços que prestam atenção à saúde às pessoas com DRC de acordo com os incisos I (avaliação da estrutura e da equipe), II (avaliação da compat</w:t>
      </w:r>
      <w:r>
        <w:t xml:space="preserve">ibilidade entre o número de casos esperado e o de casos atendidos e faturados), III (Avaliação da qualidade do serviço prestado) do Artigo 87 da Seção VII do Capítulo III, da Portaria PRC nº 03 de 28/09/2017 (alterada pela PT GM/MS n° 1.675 de 07/06/2018).</w:t>
      </w:r>
      <w:r/>
    </w:p>
    <w:p>
      <w:pPr>
        <w:pStyle w:val="926"/>
        <w:pBdr/>
        <w:spacing/>
        <w:ind/>
        <w:rPr/>
      </w:pPr>
      <w:r>
        <w:rPr>
          <w:b/>
          <w:bCs/>
        </w:rPr>
        <w:t xml:space="preserve">Análise Codificação</w:t>
      </w:r>
      <w:r>
        <w:t xml:space="preserve">: A recomendação propõe a implementação de um sistema estruturado de controle e avaliação baseado em critérios norma</w:t>
      </w:r>
      <w:r>
        <w:t xml:space="preserve">tivos específicos, incluindo avaliação da estrutura, equipe, compatibilidade de casos e qualidade do serviço. Essas ações visam estabelecer processos permanentes de supervisão que tratam as causas subjacentes da falta de conformidade, como a ausência de me</w:t>
      </w:r>
      <w:r>
        <w:t xml:space="preserve">canismos sistemáticos de avaliação. Quanto aos efeitos duradouros, a implementação desses mecanismos institucionalizados de controle e avaliação criaria estruturas e processos que persistiriam independentemente de mudanças na equipe ou gestores envolvidos.</w:t>
      </w:r>
      <w:r/>
    </w:p>
    <w:p>
      <w:pPr>
        <w:pStyle w:val="928"/>
        <w:numPr>
          <w:ilvl w:val="0"/>
          <w:numId w:val="195"/>
        </w:numPr>
        <w:pBdr/>
        <w:spacing/>
        <w:ind/>
        <w:rPr/>
      </w:pPr>
      <w:r>
        <w:t xml:space="preserve">Ação Foco Causa: Sim</w:t>
      </w:r>
      <w:r/>
    </w:p>
    <w:p>
      <w:pPr>
        <w:pStyle w:val="928"/>
        <w:numPr>
          <w:ilvl w:val="0"/>
          <w:numId w:val="195"/>
        </w:numPr>
        <w:pBdr/>
        <w:spacing/>
        <w:ind/>
        <w:rPr/>
      </w:pPr>
      <w:r>
        <w:t xml:space="preserve">Efeitos Duradouros: Sim</w:t>
      </w:r>
      <w:r/>
    </w:p>
    <w:p>
      <w:pPr>
        <w:pStyle w:val="927"/>
        <w:pBdr/>
        <w:spacing/>
        <w:ind/>
        <w:rPr/>
      </w:pPr>
      <w:r>
        <w:rPr>
          <w:b/>
          <w:bCs/>
        </w:rPr>
        <w:t xml:space="preserve">Análise Crítica</w:t>
      </w:r>
      <w:r>
        <w:t xml:space="preserve">: A análise da codificação apresenta argumentos consistentes para justificar as classificações, mas uma avaliação mais detalhada revela nuances importantes sobre o foco e a durabilidade das ações propostas.</w:t>
      </w:r>
      <w:r/>
    </w:p>
    <w:p>
      <w:pPr>
        <w:pStyle w:val="928"/>
        <w:numPr>
          <w:ilvl w:val="0"/>
          <w:numId w:val="196"/>
        </w:numPr>
        <w:pBdr/>
        <w:spacing/>
        <w:ind/>
        <w:rPr/>
      </w:pPr>
      <w:r>
        <w:t xml:space="preserve">Análise Foco Causa: Discordo</w:t>
      </w:r>
      <w:r/>
    </w:p>
    <w:p>
      <w:pPr>
        <w:pStyle w:val="928"/>
        <w:numPr>
          <w:ilvl w:val="0"/>
          <w:numId w:val="196"/>
        </w:numPr>
        <w:pBdr/>
        <w:spacing/>
        <w:ind/>
        <w:rPr/>
      </w:pPr>
      <w:r>
        <w:t xml:space="preserve">Análise Efeitos Duradouros: Não se aplica</w:t>
      </w:r>
      <w:bookmarkEnd w:id="136"/>
      <w:r/>
    </w:p>
    <w:p>
      <w:pPr>
        <w:pStyle w:val="915"/>
        <w:pBdr/>
        <w:spacing/>
        <w:ind/>
        <w:rPr/>
      </w:pPr>
      <w:r/>
      <w:bookmarkStart w:id="137" w:name="auditoria-19612-constatação-nº-674982-1"/>
      <w:r>
        <w:t xml:space="preserve">Auditoria 19612, Constatação Nº 674982 (#1)</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Impropriedades relacionadas aos documentos de suporte e relatórios mensais de acompanhamento dos Eixos de Saneamento Ambiental e Edificações de Saúde Indígena.</w:t>
      </w:r>
      <w:r/>
    </w:p>
    <w:p>
      <w:pPr>
        <w:pStyle w:val="926"/>
        <w:pBdr/>
        <w:spacing/>
        <w:ind/>
        <w:rPr/>
      </w:pPr>
      <w:r>
        <w:rPr>
          <w:b/>
          <w:bCs/>
        </w:rPr>
        <w:t xml:space="preserve">Recomendação</w:t>
      </w:r>
      <w:r>
        <w:t xml:space="preserve">: Determina</w:t>
      </w:r>
      <w:r>
        <w:t xml:space="preserve">r ao DSEI realizar a conferência da documentação comprobatória/complementar inserida no Transferegov a fim de evitar manutenção de informações incorretas no sistema, cumprindo o exposto no inciso IV, art. 11, da Portaria de Consolidação nº 1 SESAI/MS/2020.</w:t>
      </w:r>
      <w:r/>
    </w:p>
    <w:p>
      <w:pPr>
        <w:pStyle w:val="926"/>
        <w:pBdr/>
        <w:spacing/>
        <w:ind/>
        <w:rPr/>
      </w:pPr>
      <w:r>
        <w:rPr>
          <w:b/>
          <w:bCs/>
        </w:rPr>
        <w:t xml:space="preserve">Análise Codificação</w:t>
      </w:r>
      <w:r>
        <w:t xml:space="preserve">: Em relação ao foco, a recomendação propõe u</w:t>
      </w:r>
      <w:r>
        <w:t xml:space="preserve">ma ação de conferência da documentação comprobatória no sistema Transferegov para evitar a manutenção de informações incorretas, o que visa tratar a causa do problema (informações incorretas no sistema) e não apenas corrigir as impropriedades já existentes</w:t>
      </w:r>
      <w:r>
        <w:t xml:space="preserve">. Já em relação aos efeitos pretendidos pela recomendação, a ação de conferência estabelece um procedimento que, se implementado, pode persistir independentemente de mudanças nos atores envolvidos, pois cria um mecanismo de verificação contínua no sistema.</w:t>
      </w:r>
      <w:r/>
    </w:p>
    <w:p>
      <w:pPr>
        <w:pStyle w:val="928"/>
        <w:numPr>
          <w:ilvl w:val="0"/>
          <w:numId w:val="197"/>
        </w:numPr>
        <w:pBdr/>
        <w:spacing/>
        <w:ind/>
        <w:rPr/>
      </w:pPr>
      <w:r>
        <w:t xml:space="preserve">Ação Foco Causa: Sim</w:t>
      </w:r>
      <w:r/>
    </w:p>
    <w:p>
      <w:pPr>
        <w:pStyle w:val="928"/>
        <w:numPr>
          <w:ilvl w:val="0"/>
          <w:numId w:val="197"/>
        </w:numPr>
        <w:pBdr/>
        <w:spacing/>
        <w:ind/>
        <w:rPr/>
      </w:pPr>
      <w:r>
        <w:t xml:space="preserve">Efeitos Duradouros: Sim</w:t>
      </w:r>
      <w:r/>
    </w:p>
    <w:p>
      <w:pPr>
        <w:pStyle w:val="927"/>
        <w:pBdr/>
        <w:spacing/>
        <w:ind/>
        <w:rPr/>
      </w:pPr>
      <w:r>
        <w:rPr>
          <w:b/>
          <w:bCs/>
        </w:rPr>
        <w:t xml:space="preserve">Análise Crítica</w:t>
      </w:r>
      <w:r>
        <w:t xml:space="preserve">: A análise crítica considera a adequação da classificação fornecida pelo modelo para os critérios</w:t>
      </w:r>
      <w:r>
        <w:t xml:space="preserve"> </w:t>
      </w:r>
      <w:r>
        <w:t xml:space="preserve">‘Foco Causa’</w:t>
      </w:r>
      <w:r>
        <w:t xml:space="preserve"> </w:t>
      </w:r>
      <w:r>
        <w:t xml:space="preserve">e</w:t>
      </w:r>
      <w:r>
        <w:t xml:space="preserve"> </w:t>
      </w:r>
      <w:r>
        <w:t xml:space="preserve">‘Efeitos Duradouros’</w:t>
      </w:r>
      <w:r>
        <w:t xml:space="preserve">, com base na descrição da finalidade da auditoria, constatação e recomendação.</w:t>
      </w:r>
      <w:r/>
    </w:p>
    <w:p>
      <w:pPr>
        <w:pStyle w:val="928"/>
        <w:numPr>
          <w:ilvl w:val="0"/>
          <w:numId w:val="198"/>
        </w:numPr>
        <w:pBdr/>
        <w:spacing/>
        <w:ind/>
        <w:rPr/>
      </w:pPr>
      <w:r>
        <w:t xml:space="preserve">Análise Foco Causa: Discordo</w:t>
      </w:r>
      <w:r/>
    </w:p>
    <w:p>
      <w:pPr>
        <w:pStyle w:val="928"/>
        <w:numPr>
          <w:ilvl w:val="0"/>
          <w:numId w:val="198"/>
        </w:numPr>
        <w:pBdr/>
        <w:spacing/>
        <w:ind/>
        <w:rPr/>
      </w:pPr>
      <w:r>
        <w:t xml:space="preserve">Análise Efeitos Duradouros: Não se aplica</w:t>
      </w:r>
      <w:bookmarkEnd w:id="137"/>
      <w:r/>
    </w:p>
    <w:p>
      <w:pPr>
        <w:pStyle w:val="915"/>
        <w:pBdr/>
        <w:spacing/>
        <w:ind/>
        <w:rPr/>
      </w:pPr>
      <w:r/>
      <w:bookmarkStart w:id="138" w:name="auditoria-19751-constatação-nº-691354-1"/>
      <w:r>
        <w:t xml:space="preserve">Auditoria 19751, Constatação Nº 691354 (#1)</w:t>
      </w:r>
      <w:r/>
    </w:p>
    <w:p>
      <w:pPr>
        <w:pStyle w:val="927"/>
        <w:pBdr/>
        <w:spacing/>
        <w:ind/>
        <w:rPr/>
      </w:pPr>
      <w:r>
        <w:rPr>
          <w:b/>
          <w:bCs/>
        </w:rPr>
        <w:t xml:space="preserve">Finalidade</w:t>
      </w:r>
      <w:r>
        <w:t xml:space="preserve">: Verificar se a CMRF possui controles internos capazes de assegurar adequadamente a Cadeia de Frio.</w:t>
      </w:r>
      <w:r/>
    </w:p>
    <w:p>
      <w:pPr>
        <w:pStyle w:val="926"/>
        <w:pBdr/>
        <w:spacing/>
        <w:ind/>
        <w:rPr/>
      </w:pPr>
      <w:r>
        <w:rPr>
          <w:b/>
          <w:bCs/>
        </w:rPr>
        <w:t xml:space="preserve">Constatação</w:t>
      </w:r>
      <w:r>
        <w:t xml:space="preserve">: A Central Municipal da Rede de Frio de Parnaíba-PI, não possui um Plano de Contingência para proteção dos imunobiológicos em caso de falhas elétricas, desastres naturais ou outras emergências que possam comprometer a Cadeia de Frio.</w:t>
      </w:r>
      <w:r/>
    </w:p>
    <w:p>
      <w:pPr>
        <w:pStyle w:val="926"/>
        <w:pBdr/>
        <w:spacing/>
        <w:ind/>
        <w:rPr/>
      </w:pPr>
      <w:r>
        <w:rPr>
          <w:b/>
          <w:bCs/>
        </w:rPr>
        <w:t xml:space="preserve">Recomendação</w:t>
      </w:r>
      <w:r>
        <w:t xml:space="preserve">: Implementar um programa de treinamento abrangente para as equipes, com foco nos procedimentos de resposta a falhas elétricas, desastres naturais e outras situações qu</w:t>
      </w:r>
      <w:r>
        <w:t xml:space="preserve">e possam comprometer a Cadeia de Frio. Isso deve seguir as diretrizes do Subitem 7.3, Item 7, pág. 78, do Manual de Rede Frio do PNI de 2017, bem como o Art. 80, Seção IX, da Resolução de Diretoria Colegiada (RDC) Nº 430, de 08/10/2020. A efetividade do Pl</w:t>
      </w:r>
      <w:r>
        <w:t xml:space="preserve">ano de Contingência, aliado a treinamentos adequados e oportunos, previne interrupções nos serviços de vacinação, preservando a imagem e credibilidade da Central, além de mitigar riscos legais, regulatórios e garantir conformidade com normas estabelecidas.</w:t>
      </w:r>
      <w:r/>
    </w:p>
    <w:p>
      <w:pPr>
        <w:pStyle w:val="926"/>
        <w:pBdr/>
        <w:spacing/>
        <w:ind/>
        <w:rPr/>
      </w:pPr>
      <w:r>
        <w:rPr>
          <w:b/>
          <w:bCs/>
        </w:rPr>
        <w:t xml:space="preserve">Análise Codificação</w:t>
      </w:r>
      <w:r>
        <w:t xml:space="preserve">: Em relação ao foco, a recomendação propõe a implementação de um programa de treinamento para as equipes, visando prepará-las para responder a falhas elétricas, desastres naturais e outras emergências que afet</w:t>
      </w:r>
      <w:r>
        <w:t xml:space="preserve">am a Cadeia de Frio. Isso aborda a causa subjacente do problema, que é a falta de capacitação e preparo dos funcionários para lidar com situações de contingência, em vez de apenas corrigir a condição imediata (ausência do plano). Já em relação aos efeitos </w:t>
      </w:r>
      <w:r>
        <w:t xml:space="preserve">pretendidos pela recomendação, o treinamento visa estabelecer conhecimentos e procedimentos padronizados que, uma vez implementados, devem permanecer efetivos mesmo com mudanças na equipe, desde que o programa seja mantido e atualizado conforme necessário.</w:t>
      </w:r>
      <w:r/>
    </w:p>
    <w:p>
      <w:pPr>
        <w:pStyle w:val="928"/>
        <w:numPr>
          <w:ilvl w:val="0"/>
          <w:numId w:val="199"/>
        </w:numPr>
        <w:pBdr/>
        <w:spacing/>
        <w:ind/>
        <w:rPr/>
      </w:pPr>
      <w:r>
        <w:t xml:space="preserve">Ação Foco Causa: Sim</w:t>
      </w:r>
      <w:r/>
    </w:p>
    <w:p>
      <w:pPr>
        <w:pStyle w:val="928"/>
        <w:numPr>
          <w:ilvl w:val="0"/>
          <w:numId w:val="199"/>
        </w:numPr>
        <w:pBdr/>
        <w:spacing/>
        <w:ind/>
        <w:rPr/>
      </w:pPr>
      <w:r>
        <w:t xml:space="preserve">Efeitos Duradouros: Sim</w:t>
      </w:r>
      <w:r/>
    </w:p>
    <w:p>
      <w:pPr>
        <w:pStyle w:val="927"/>
        <w:pBdr/>
        <w:spacing/>
        <w:ind/>
        <w:rPr/>
      </w:pPr>
      <w:r>
        <w:rPr>
          <w:b/>
          <w:bCs/>
        </w:rPr>
        <w:t xml:space="preserve">Análise Crítica</w:t>
      </w:r>
      <w:r>
        <w:t xml:space="preserve">: A análise do modelo identificou corretamente que a recomendação foca na causa (capacitação da equipe) e tem efeitos duradouros, mas merece uma avaliação mais aprofundada sobre a natureza da causa abordada.</w:t>
      </w:r>
      <w:r/>
    </w:p>
    <w:p>
      <w:pPr>
        <w:pStyle w:val="928"/>
        <w:numPr>
          <w:ilvl w:val="0"/>
          <w:numId w:val="200"/>
        </w:numPr>
        <w:pBdr/>
        <w:spacing/>
        <w:ind/>
        <w:rPr/>
      </w:pPr>
      <w:r>
        <w:t xml:space="preserve">Análise Foco Causa: Discordo</w:t>
      </w:r>
      <w:r/>
    </w:p>
    <w:p>
      <w:pPr>
        <w:pStyle w:val="928"/>
        <w:numPr>
          <w:ilvl w:val="0"/>
          <w:numId w:val="200"/>
        </w:numPr>
        <w:pBdr/>
        <w:spacing/>
        <w:ind/>
        <w:rPr/>
      </w:pPr>
      <w:r>
        <w:t xml:space="preserve">Análise Efeitos Duradouros: Não se aplica</w:t>
      </w:r>
      <w:bookmarkEnd w:id="138"/>
      <w:r/>
    </w:p>
    <w:p>
      <w:pPr>
        <w:pStyle w:val="915"/>
        <w:pBdr/>
        <w:spacing/>
        <w:ind/>
        <w:rPr/>
      </w:pPr>
      <w:r/>
      <w:bookmarkStart w:id="139" w:name="auditoria-19805-constatação-nº-693810-1"/>
      <w:r>
        <w:t xml:space="preserve">Auditoria 19805, Constatação Nº 693810 (#1)</w:t>
      </w:r>
      <w:r/>
    </w:p>
    <w:p>
      <w:pPr>
        <w:pStyle w:val="927"/>
        <w:pBdr/>
        <w:spacing/>
        <w:ind/>
        <w:rPr/>
      </w:pPr>
      <w:r>
        <w:rPr>
          <w:b/>
          <w:bCs/>
        </w:rPr>
        <w:t xml:space="preserve">Finalidade</w:t>
      </w:r>
      <w:r>
        <w:t xml:space="preserve">: Verificar se a At. Primária exerce as atribuições de coordenadora da Rede de Atenção Psicossocial</w:t>
      </w:r>
      <w:r/>
    </w:p>
    <w:p>
      <w:pPr>
        <w:pStyle w:val="926"/>
        <w:pBdr/>
        <w:spacing/>
        <w:ind/>
        <w:rPr/>
      </w:pPr>
      <w:r>
        <w:rPr>
          <w:b/>
          <w:bCs/>
        </w:rPr>
        <w:t xml:space="preserve">Constatação</w:t>
      </w:r>
      <w:r>
        <w:t xml:space="preserve">: Os atendimentos em saúde mental não estão sendo registrados de forma detalhada e atualizada pelas UBSs visitadas.</w:t>
      </w:r>
      <w:r/>
    </w:p>
    <w:p>
      <w:pPr>
        <w:pStyle w:val="926"/>
        <w:pBdr/>
        <w:spacing/>
        <w:ind/>
        <w:rPr/>
      </w:pPr>
      <w:r>
        <w:rPr>
          <w:b/>
          <w:bCs/>
        </w:rPr>
        <w:t xml:space="preserve">Recomendação</w:t>
      </w:r>
      <w:r>
        <w:t xml:space="preserve">: À SMS, promover a qualificação dos registros atendimentos em saúde mental nos Prontuários Eletrônicos do Cidadão (PEC), tendo como referênc</w:t>
      </w:r>
      <w:r>
        <w:t xml:space="preserve">ia as necessidades explicitadas nos Guias para Qualificação da APS (PEC), bem como a Portaria de Consolidação GM/MS nº 2, de 28/09/2017, Anexo 1 do Anexo XXII, Capítulo I, Item 4.1, incisos X e XV, que estabelece como atribuições comuns a todos os membros </w:t>
      </w:r>
      <w:r>
        <w:t xml:space="preserve">das Equipes que atuam na Atenção Básica utilizar o Sistema de Informação da Atenção Básica vigente para registro das ações de saúde na AB, visando subsidiar a gestão, planejamento, investigação clínica e epidemiológica, e a avaliação dos serviços de saúde.</w:t>
      </w:r>
      <w:r/>
    </w:p>
    <w:p>
      <w:pPr>
        <w:pStyle w:val="926"/>
        <w:pBdr/>
        <w:spacing/>
        <w:ind/>
        <w:rPr/>
      </w:pPr>
      <w:r>
        <w:rPr>
          <w:b/>
          <w:bCs/>
        </w:rPr>
        <w:t xml:space="preserve">Análise Codificação</w:t>
      </w:r>
      <w:r>
        <w:t xml:space="preserve">: Em relação ao fo</w:t>
      </w:r>
      <w:r>
        <w:t xml:space="preserve">co, a recomendação propõe a qualificação dos registros de atendimentos em saúde mental, o que visa melhorar a qualidade e precisão dos dados, abordando a causa raiz da falta de detalhamento e atualização, em vez de apenas corrigir registros existentes. Já </w:t>
      </w:r>
      <w:r>
        <w:t xml:space="preserve">em relação aos efeitos pretendidos pela recomendação, a ação de qualificação, baseada em guias e portarias, estabelece procedimentos padronizados que devem persistir independentemente de mudanças nos profissionais envolvidos, promovendo efeitos duradouros.</w:t>
      </w:r>
      <w:r/>
    </w:p>
    <w:p>
      <w:pPr>
        <w:pStyle w:val="928"/>
        <w:numPr>
          <w:ilvl w:val="0"/>
          <w:numId w:val="201"/>
        </w:numPr>
        <w:pBdr/>
        <w:spacing/>
        <w:ind/>
        <w:rPr/>
      </w:pPr>
      <w:r>
        <w:t xml:space="preserve">Ação Foco Causa: Sim</w:t>
      </w:r>
      <w:r/>
    </w:p>
    <w:p>
      <w:pPr>
        <w:pStyle w:val="928"/>
        <w:numPr>
          <w:ilvl w:val="0"/>
          <w:numId w:val="201"/>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propõe a qualificação dos registros, o que pode ser interpretado como uma ação que visa melhorar a qualidade dos processos de registro, potencialmente abordando a ca</w:t>
      </w:r>
      <w:r>
        <w:t xml:space="preserve">usa do problema (falta de capacitação ou procedimentos inadequados). No entanto, não está claro se essa ação trata diretamente da causa raiz, como a falta de treinamento ou recursos, ou se é apenas uma medida para corrigir a condição atual. Para o critério</w:t>
      </w:r>
      <w:r>
        <w:t xml:space="preserve"> </w:t>
      </w:r>
      <w:r>
        <w:t xml:space="preserve">‘Efeitos Duradouros’</w:t>
      </w:r>
      <w:r>
        <w:t xml:space="preserve">, se</w:t>
      </w:r>
      <w:r>
        <w:t xml:space="preserve"> </w:t>
      </w:r>
      <w:r>
        <w:t xml:space="preserve">‘Foco Causa’</w:t>
      </w:r>
      <w:r>
        <w:t xml:space="preserve"> </w:t>
      </w:r>
      <w:r>
        <w:t xml:space="preserve">for considerado</w:t>
      </w:r>
      <w:r>
        <w:t xml:space="preserve"> </w:t>
      </w:r>
      <w:r>
        <w:t xml:space="preserve">‘Sim’</w:t>
      </w:r>
      <w:r>
        <w:t xml:space="preserve">, a padronização baseada em guias e portarias pode promover efeitos duradouros, mas a implementação depende de fatores como adesão contínua e supervisão.</w:t>
      </w:r>
      <w:r/>
    </w:p>
    <w:p>
      <w:pPr>
        <w:pStyle w:val="928"/>
        <w:numPr>
          <w:ilvl w:val="0"/>
          <w:numId w:val="202"/>
        </w:numPr>
        <w:pBdr/>
        <w:spacing/>
        <w:ind/>
        <w:rPr/>
      </w:pPr>
      <w:r>
        <w:t xml:space="preserve">Análise Foco Causa: Discordo</w:t>
      </w:r>
      <w:r/>
    </w:p>
    <w:p>
      <w:pPr>
        <w:pStyle w:val="928"/>
        <w:numPr>
          <w:ilvl w:val="0"/>
          <w:numId w:val="202"/>
        </w:numPr>
        <w:pBdr/>
        <w:spacing/>
        <w:ind/>
        <w:rPr/>
      </w:pPr>
      <w:r>
        <w:t xml:space="preserve">Análise Efeitos Duradouros: Não se aplica</w:t>
      </w:r>
      <w:bookmarkEnd w:id="139"/>
      <w:r/>
    </w:p>
    <w:p>
      <w:pPr>
        <w:pStyle w:val="915"/>
        <w:pBdr/>
        <w:spacing/>
        <w:ind/>
        <w:rPr/>
      </w:pPr>
      <w:r/>
      <w:bookmarkStart w:id="140" w:name="auditoria-19805-constatação-nº-694104-1"/>
      <w:r>
        <w:t xml:space="preserve">Auditoria 19805, Constatação Nº 694104 (#1)</w:t>
      </w:r>
      <w:r/>
    </w:p>
    <w:p>
      <w:pPr>
        <w:pStyle w:val="927"/>
        <w:pBdr/>
        <w:spacing/>
        <w:ind/>
        <w:rPr/>
      </w:pPr>
      <w:r>
        <w:rPr>
          <w:b/>
          <w:bCs/>
        </w:rPr>
        <w:t xml:space="preserve">Finalidade</w:t>
      </w:r>
      <w:r>
        <w:t xml:space="preserve">: Verificar se a At. Primária exerce as atribuições de coordenadora da Rede de Atenção Psicossocial</w:t>
      </w:r>
      <w:r/>
    </w:p>
    <w:p>
      <w:pPr>
        <w:pStyle w:val="926"/>
        <w:pBdr/>
        <w:spacing/>
        <w:ind/>
        <w:rPr/>
      </w:pPr>
      <w:r>
        <w:rPr>
          <w:b/>
          <w:bCs/>
        </w:rPr>
        <w:t xml:space="preserve">Constatação</w:t>
      </w:r>
      <w:r>
        <w:t xml:space="preserve">: As equipes avaliadas não realizam acompanhamento dos familiares de usuários com transtorno mental e uso abusivo de álcool e drogas.</w:t>
      </w:r>
      <w:r/>
    </w:p>
    <w:p>
      <w:pPr>
        <w:pStyle w:val="926"/>
        <w:pBdr/>
        <w:spacing/>
        <w:ind/>
        <w:rPr/>
      </w:pPr>
      <w:r>
        <w:rPr>
          <w:b/>
          <w:bCs/>
        </w:rPr>
        <w:t xml:space="preserve">Recomendação</w:t>
      </w:r>
      <w:r>
        <w:t xml:space="preserve">: À SMS, criar e implementar ações específicas voltadas para o apoio e acompanhamento de familiares de usuários com transtornos mentais, bem</w:t>
      </w:r>
      <w:r>
        <w:t xml:space="preserve"> como promover capacitação contínua na temática para as equipes da Estratégia de Saúde da Família (eSF) e Equipes Multiprofissionais (eMulti) de modo a se ajustar à Portaria de Consolidação nº 2, de 28/09/2017, Anexo 1 do Anexo XXII, Item 4.1, inciso VIII.</w:t>
      </w:r>
      <w:r/>
    </w:p>
    <w:p>
      <w:pPr>
        <w:pStyle w:val="926"/>
        <w:pBdr/>
        <w:spacing/>
        <w:ind/>
        <w:rPr/>
      </w:pPr>
      <w:r>
        <w:rPr>
          <w:b/>
          <w:bCs/>
        </w:rPr>
        <w:t xml:space="preserve">Análise Codificação</w:t>
      </w:r>
      <w:r>
        <w:t xml:space="preserve">: Em relação ao foco, a recomendação propõe a criação e implementação de ações específicas p</w:t>
      </w:r>
      <w:r>
        <w:t xml:space="preserve">ara apoio e acompanhamento de familiares, além de capacitação contínua das equipes, o que visa abordar a causa raiz da falta de acompanhamento, como a ausência de diretrizes estruturadas e treinamento adequado, caracterizando um foco na causa. Já em relaçã</w:t>
      </w:r>
      <w:r>
        <w:t xml:space="preserve">o aos efeitos pretendidos pela recomendação, as ações sugeridas, como a criação de políticas e capacitação contínua, são institucionalizadas e não dependem de indivíduos específicos, promovendo mudanças duradouras mesmo com a rotatividade de profissionais.</w:t>
      </w:r>
      <w:r/>
    </w:p>
    <w:p>
      <w:pPr>
        <w:pStyle w:val="928"/>
        <w:numPr>
          <w:ilvl w:val="0"/>
          <w:numId w:val="203"/>
        </w:numPr>
        <w:pBdr/>
        <w:spacing/>
        <w:ind/>
        <w:rPr/>
      </w:pPr>
      <w:r>
        <w:t xml:space="preserve">Ação Foco Causa: Sim</w:t>
      </w:r>
      <w:r/>
    </w:p>
    <w:p>
      <w:pPr>
        <w:pStyle w:val="928"/>
        <w:numPr>
          <w:ilvl w:val="0"/>
          <w:numId w:val="203"/>
        </w:numPr>
        <w:pBdr/>
        <w:spacing/>
        <w:ind/>
        <w:rPr/>
      </w:pPr>
      <w:r>
        <w:t xml:space="preserve">Efeitos Duradouros: Sim</w:t>
      </w:r>
      <w:r/>
    </w:p>
    <w:p>
      <w:pPr>
        <w:pStyle w:val="927"/>
        <w:pBdr/>
        <w:spacing/>
        <w:ind/>
        <w:rPr/>
      </w:pPr>
      <w:r>
        <w:rPr>
          <w:b/>
          <w:bCs/>
        </w:rPr>
        <w:t xml:space="preserve">Análise Crítica</w:t>
      </w:r>
      <w:r>
        <w:t xml:space="preserve">: A análise do modelo está bem fundamentada, mas merece uma avaliação mais detalhada sobre a distinção entre tratar a condição imediata e a causa subjacente, bem como a sustentabilidade das mudanças propostas.</w:t>
      </w:r>
      <w:r/>
    </w:p>
    <w:p>
      <w:pPr>
        <w:pStyle w:val="928"/>
        <w:numPr>
          <w:ilvl w:val="0"/>
          <w:numId w:val="204"/>
        </w:numPr>
        <w:pBdr/>
        <w:spacing/>
        <w:ind/>
        <w:rPr/>
      </w:pPr>
      <w:r>
        <w:t xml:space="preserve">Análise Foco Causa: Discordo</w:t>
      </w:r>
      <w:r/>
    </w:p>
    <w:p>
      <w:pPr>
        <w:pStyle w:val="928"/>
        <w:numPr>
          <w:ilvl w:val="0"/>
          <w:numId w:val="204"/>
        </w:numPr>
        <w:pBdr/>
        <w:spacing/>
        <w:ind/>
        <w:rPr/>
      </w:pPr>
      <w:r>
        <w:t xml:space="preserve">Análise Efeitos Duradouros: Não se aplica</w:t>
      </w:r>
      <w:bookmarkEnd w:id="140"/>
      <w:r/>
    </w:p>
    <w:p>
      <w:pPr>
        <w:pStyle w:val="915"/>
        <w:pBdr/>
        <w:spacing/>
        <w:ind/>
        <w:rPr/>
      </w:pPr>
      <w:r/>
      <w:bookmarkStart w:id="141" w:name="auditoria-19826-constatação-nº-694768-1"/>
      <w:r>
        <w:t xml:space="preserve">Auditoria 19826, Constatação Nº 694768 (#1)</w:t>
      </w:r>
      <w:r/>
    </w:p>
    <w:p>
      <w:pPr>
        <w:pStyle w:val="927"/>
        <w:pBdr/>
        <w:spacing/>
        <w:ind/>
        <w:rPr/>
      </w:pPr>
      <w:r>
        <w:rPr>
          <w:b/>
          <w:bCs/>
        </w:rPr>
        <w:t xml:space="preserve">Finalidade</w:t>
      </w:r>
      <w:r>
        <w:t xml:space="preserve">: Verificar a regularidade da produção inserida nos sistemas do SUS.</w:t>
      </w:r>
      <w:r/>
    </w:p>
    <w:p>
      <w:pPr>
        <w:pStyle w:val="926"/>
        <w:pBdr/>
        <w:spacing/>
        <w:ind/>
        <w:rPr/>
      </w:pPr>
      <w:r>
        <w:rPr>
          <w:b/>
          <w:bCs/>
        </w:rPr>
        <w:t xml:space="preserve">Constatação</w:t>
      </w:r>
      <w:r>
        <w:t xml:space="preserve">: A Secretaria Municipal de Saúde de Auriflama inseriu dados no Sistema de Informações Ambulatoriais - SIA/SUS, referentes ao procedimento</w:t>
      </w:r>
      <w:r>
        <w:t xml:space="preserve"> </w:t>
      </w:r>
      <w:r>
        <w:t xml:space="preserve">“Unidade de Remuneração para Deslocamento de Paciente por Transporte Terrestre (cada 50 km) - TFD”</w:t>
      </w:r>
      <w:r>
        <w:t xml:space="preserve"> </w:t>
      </w:r>
      <w:r>
        <w:t xml:space="preserve">(Código Sigtap 08.03.01.012-5), no exercício de 2022, sem comprovar a realização dos procedimentos.</w:t>
      </w:r>
      <w:r/>
    </w:p>
    <w:p>
      <w:pPr>
        <w:pStyle w:val="926"/>
        <w:pBdr/>
        <w:spacing/>
        <w:ind/>
        <w:rPr/>
      </w:pPr>
      <w:r>
        <w:rPr>
          <w:b/>
          <w:bCs/>
        </w:rPr>
        <w:t xml:space="preserve">Recomendação</w:t>
      </w:r>
      <w:r>
        <w:t xml:space="preserve">: Cumprir o que estabelecem os artigos 145 e 146 da Portaria SAES/MS nº 01 de 22/02/2022, que diz que os comprovantes das despesas relat</w:t>
      </w:r>
      <w:r>
        <w:t xml:space="preserve">ivas ao TFD deverão ser organizados e disponibilizados aos órgãos de controle do SUS e que as Secretarias Estaduais/Municipais de Saúde deverão organizar o controle e a avaliação do TFD, de modo a manter disponível a documentação comprobatória das despesas</w:t>
      </w:r>
      <w:r>
        <w:t xml:space="preserve">. Cumprir também, o estabelecido no Manual de Operação do Sistema SIA - Sistema de Informação Ambulatorial do SUS/2016, que determina ao gestor municipal e estadual o controle e avaliação da produção ambulatorial processada e enviada para o gestor federal.</w:t>
      </w:r>
      <w:r/>
    </w:p>
    <w:p>
      <w:pPr>
        <w:pStyle w:val="926"/>
        <w:pBdr/>
        <w:spacing/>
        <w:ind/>
        <w:rPr/>
      </w:pPr>
      <w:r>
        <w:rPr>
          <w:b/>
          <w:bCs/>
        </w:rPr>
        <w:t xml:space="preserve">Análise Codificação</w:t>
      </w:r>
      <w:r>
        <w:t xml:space="preserve">: Em relação ao foco, a recomendação propõe o cumprimento de normas específicas (artigos 145 e 146 da Portaria SAES/MS nº 01/2022 e M</w:t>
      </w:r>
      <w:r>
        <w:t xml:space="preserve">anual de Operação do SIA) que estabelecem a organização, disponibilização e controle da documentação comprobatória, o que visa tratar a causa do problema (falta de comprovação sistemática) ao instituir processos permanentes de controle. Já em relação aos e</w:t>
      </w:r>
      <w:r>
        <w:t xml:space="preserve">feitos pretendidos pela recomendação, a implementação dessas normas cria estruturas e procedimentos formais que devem persistir independentemente de mudanças nos atores envolvidos, pois estão institucionalizados através de portarias e manuais operacionais.</w:t>
      </w:r>
      <w:r/>
    </w:p>
    <w:p>
      <w:pPr>
        <w:pStyle w:val="928"/>
        <w:numPr>
          <w:ilvl w:val="0"/>
          <w:numId w:val="205"/>
        </w:numPr>
        <w:pBdr/>
        <w:spacing/>
        <w:ind/>
        <w:rPr/>
      </w:pPr>
      <w:r>
        <w:t xml:space="preserve">Ação Foco Causa: Sim</w:t>
      </w:r>
      <w:r/>
    </w:p>
    <w:p>
      <w:pPr>
        <w:pStyle w:val="928"/>
        <w:numPr>
          <w:ilvl w:val="0"/>
          <w:numId w:val="205"/>
        </w:numPr>
        <w:pBdr/>
        <w:spacing/>
        <w:ind/>
        <w:rPr/>
      </w:pPr>
      <w:r>
        <w:t xml:space="preserve">Efeitos Duradouros: Sim</w:t>
      </w:r>
      <w:r/>
    </w:p>
    <w:p>
      <w:pPr>
        <w:pStyle w:val="927"/>
        <w:pBdr/>
        <w:spacing/>
        <w:ind/>
        <w:rPr/>
      </w:pPr>
      <w:r>
        <w:rPr>
          <w:b/>
          <w:bCs/>
        </w:rPr>
        <w:t xml:space="preserve">Análise Crítica</w:t>
      </w:r>
      <w:r>
        <w:t xml:space="preserve">: A</w:t>
      </w:r>
      <w:r>
        <w:t xml:space="preserve"> análise da codificação apresenta argumentos consistentes sobre o cumprimento de normas para tratar a causa subjacente e garantir efeitos duradouros, mas requer uma avaliação mais detalhada da recomendação específica em relação aos critérios estabelecidos.</w:t>
      </w:r>
      <w:r/>
    </w:p>
    <w:p>
      <w:pPr>
        <w:pStyle w:val="928"/>
        <w:numPr>
          <w:ilvl w:val="0"/>
          <w:numId w:val="206"/>
        </w:numPr>
        <w:pBdr/>
        <w:spacing/>
        <w:ind/>
        <w:rPr/>
      </w:pPr>
      <w:r>
        <w:t xml:space="preserve">Análise Foco Causa: Discordo</w:t>
      </w:r>
      <w:r/>
    </w:p>
    <w:p>
      <w:pPr>
        <w:pStyle w:val="928"/>
        <w:numPr>
          <w:ilvl w:val="0"/>
          <w:numId w:val="206"/>
        </w:numPr>
        <w:pBdr/>
        <w:spacing/>
        <w:ind/>
        <w:rPr/>
      </w:pPr>
      <w:r>
        <w:t xml:space="preserve">Análise Efeitos Duradouros: Não se aplica</w:t>
      </w:r>
      <w:bookmarkEnd w:id="141"/>
      <w:r/>
    </w:p>
    <w:p>
      <w:pPr>
        <w:pStyle w:val="915"/>
        <w:pBdr/>
        <w:spacing/>
        <w:ind/>
        <w:rPr/>
      </w:pPr>
      <w:r/>
      <w:bookmarkStart w:id="142" w:name="auditoria-19871-constatação-nº-703485-1"/>
      <w:r>
        <w:t xml:space="preserve">Auditoria 19871, Constatação Nº 703485 (#1)</w:t>
      </w:r>
      <w:r/>
    </w:p>
    <w:p>
      <w:pPr>
        <w:pStyle w:val="927"/>
        <w:pBdr/>
        <w:spacing/>
        <w:ind/>
        <w:rPr/>
      </w:pPr>
      <w:r>
        <w:rPr>
          <w:b/>
          <w:bCs/>
        </w:rPr>
        <w:t xml:space="preserve">Finalidade</w:t>
      </w:r>
      <w:r>
        <w:t xml:space="preserve">: Verificar a regularidade do tratamento em oncologia do EAS vinculado ao SUS</w:t>
      </w:r>
      <w:r/>
    </w:p>
    <w:p>
      <w:pPr>
        <w:pStyle w:val="926"/>
        <w:pBdr/>
        <w:spacing/>
        <w:ind/>
        <w:rPr/>
      </w:pPr>
      <w:r>
        <w:rPr>
          <w:b/>
          <w:bCs/>
        </w:rPr>
        <w:t xml:space="preserve">Constatação</w:t>
      </w:r>
      <w:r>
        <w:t xml:space="preserve">: O Centro de Oncologia Cascavel (CEONC) utilizou o procedimento 04.16.09.013-3 (Ressecção de Tumor de Partes Moles em Oncologia) sem compatibilidade com os atributos do CID principal relacionados na Tabela SIGTAP.</w:t>
      </w:r>
      <w:r/>
    </w:p>
    <w:p>
      <w:pPr>
        <w:pStyle w:val="926"/>
        <w:pBdr/>
        <w:spacing/>
        <w:ind/>
        <w:rPr/>
      </w:pPr>
      <w:r>
        <w:rPr>
          <w:b/>
          <w:bCs/>
        </w:rPr>
        <w:t xml:space="preserve">Recomendação</w:t>
      </w:r>
      <w:r>
        <w:t xml:space="preserve">: Acompanhar, </w:t>
      </w:r>
      <w:r>
        <w:t xml:space="preserve">fiscalizar, supervisionar e auditar as ações descritas no contrato firmado com o prestador, principalmente no que se refere à adequada codificação do CID, conforme as orientações do Manual Técnico Operacional do SIH (versão 2017, p. 88), que estabelece que</w:t>
      </w:r>
      <w:r>
        <w:t xml:space="preserve"> </w:t>
      </w:r>
      <w:r>
        <w:t xml:space="preserve">“o CID terá que ser compatível com a principal patologia referente ao procedimento informado na primeira linha de realizados”</w:t>
      </w:r>
      <w:r>
        <w:t xml:space="preserve">.</w:t>
      </w:r>
      <w:r/>
    </w:p>
    <w:p>
      <w:pPr>
        <w:pStyle w:val="926"/>
        <w:pBdr/>
        <w:spacing/>
        <w:ind/>
        <w:rPr/>
      </w:pPr>
      <w:r>
        <w:rPr>
          <w:b/>
          <w:bCs/>
        </w:rPr>
        <w:t xml:space="preserve">Análise Codificação</w:t>
      </w:r>
      <w:r>
        <w:t xml:space="preserve">: Em relação ao foco, a recomendação propõe ações de acompanhamento, fiscalização, supervisã</w:t>
      </w:r>
      <w:r>
        <w:t xml:space="preserve">o e auditoria para garantir a adequada codificação do CID, o que visa prevenir a reincidência da incompatibilidade entre procedimento e CID, tratando assim a causa do problema relacionada à falta de controle e conformidade. Já em relação aos efeitos preten</w:t>
      </w:r>
      <w:r>
        <w:t xml:space="preserve">didos pela recomendação, as ações sugeridas, como a implementação de processos de fiscalização e auditoria contínuos, tendem a criar estruturas e procedimentos que permanecem efetivos mesmo com mudanças nos atores envolvidos, promovendo efeitos duradouros.</w:t>
      </w:r>
      <w:r/>
    </w:p>
    <w:p>
      <w:pPr>
        <w:pStyle w:val="928"/>
        <w:numPr>
          <w:ilvl w:val="0"/>
          <w:numId w:val="207"/>
        </w:numPr>
        <w:pBdr/>
        <w:spacing/>
        <w:ind/>
        <w:rPr/>
      </w:pPr>
      <w:r>
        <w:t xml:space="preserve">Ação Foco Causa: Sim</w:t>
      </w:r>
      <w:r/>
    </w:p>
    <w:p>
      <w:pPr>
        <w:pStyle w:val="928"/>
        <w:numPr>
          <w:ilvl w:val="0"/>
          <w:numId w:val="207"/>
        </w:numPr>
        <w:pBdr/>
        <w:spacing/>
        <w:ind/>
        <w:rPr/>
      </w:pPr>
      <w:r>
        <w:t xml:space="preserve">Efeitos Duradouros: Sim</w:t>
      </w:r>
      <w:r/>
    </w:p>
    <w:p>
      <w:pPr>
        <w:pStyle w:val="927"/>
        <w:pBdr/>
        <w:spacing/>
        <w:ind/>
        <w:rPr/>
      </w:pPr>
      <w:r>
        <w:rPr>
          <w:b/>
          <w:bCs/>
        </w:rPr>
        <w:t xml:space="preserve">Análise Crítica</w:t>
      </w:r>
      <w:r>
        <w:t xml:space="preserve">: A análise crítica considera se a classificação do modelo está correta para ambos os critérios, com base nas definições fornecidas. Para o critério</w:t>
      </w:r>
      <w:r>
        <w:t xml:space="preserve"> </w:t>
      </w:r>
      <w:r>
        <w:t xml:space="preserve">‘Foco Causa’</w:t>
      </w:r>
      <w:r>
        <w:t xml:space="preserve">, a recomendação deve propor ações que tratem da causa do problema, não apenas da condição. Para</w:t>
      </w:r>
      <w:r>
        <w:t xml:space="preserve"> </w:t>
      </w:r>
      <w:r>
        <w:t xml:space="preserve">‘Efeitos Duradouros’</w:t>
      </w:r>
      <w:r>
        <w:t xml:space="preserve">, aplica-se apenas se</w:t>
      </w:r>
      <w:r>
        <w:t xml:space="preserve"> </w:t>
      </w:r>
      <w:r>
        <w:t xml:space="preserve">‘Foco Causa’</w:t>
      </w:r>
      <w:r>
        <w:t xml:space="preserve"> </w:t>
      </w:r>
      <w:r>
        <w:t xml:space="preserve">for</w:t>
      </w:r>
      <w:r>
        <w:t xml:space="preserve"> </w:t>
      </w:r>
      <w:r>
        <w:t xml:space="preserve">‘Sim’</w:t>
      </w:r>
      <w:r>
        <w:t xml:space="preserve">, avaliando se os efeitos persistem com mudanças nos atores.</w:t>
      </w:r>
      <w:r/>
    </w:p>
    <w:p>
      <w:pPr>
        <w:pStyle w:val="928"/>
        <w:numPr>
          <w:ilvl w:val="0"/>
          <w:numId w:val="208"/>
        </w:numPr>
        <w:pBdr/>
        <w:spacing/>
        <w:ind/>
        <w:rPr/>
      </w:pPr>
      <w:r>
        <w:t xml:space="preserve">Análise Foco Causa: Discordo</w:t>
      </w:r>
      <w:r/>
    </w:p>
    <w:p>
      <w:pPr>
        <w:pStyle w:val="928"/>
        <w:numPr>
          <w:ilvl w:val="0"/>
          <w:numId w:val="208"/>
        </w:numPr>
        <w:pBdr/>
        <w:spacing/>
        <w:ind/>
        <w:rPr/>
      </w:pPr>
      <w:r>
        <w:t xml:space="preserve">Análise Efeitos Duradouros: Não se aplica</w:t>
      </w:r>
      <w:bookmarkEnd w:id="142"/>
      <w:bookmarkEnd w:id="143"/>
      <w:r/>
    </w:p>
    <w:p>
      <w:pPr>
        <w:pStyle w:val="914"/>
        <w:pBdr/>
        <w:spacing/>
        <w:ind/>
        <w:rPr/>
      </w:pPr>
      <w:r/>
      <w:bookmarkStart w:id="154" w:name="X656067991e90995e6dfaacddb7a51eae7b33bfb"/>
      <w:r>
        <w:t xml:space="preserve">Foco: Sim, Efeitos: Sim, Concordância Foco: Discordo, Concordância Efeitos: Discordo</w:t>
      </w:r>
      <w:r/>
    </w:p>
    <w:p>
      <w:pPr>
        <w:pStyle w:val="915"/>
        <w:pBdr/>
        <w:spacing/>
        <w:ind/>
        <w:rPr/>
      </w:pPr>
      <w:r/>
      <w:bookmarkStart w:id="144" w:name="auditoria-19488-constatação-nº-673841-2"/>
      <w:r>
        <w:t xml:space="preserve">Auditoria 19488, Constatação Nº 673841 (#2)</w:t>
      </w:r>
      <w:r/>
    </w:p>
    <w:p>
      <w:pPr>
        <w:pStyle w:val="927"/>
        <w:pBdr/>
        <w:spacing/>
        <w:ind/>
        <w:rPr/>
      </w:pPr>
      <w:r>
        <w:rPr>
          <w:b/>
          <w:bCs/>
        </w:rPr>
        <w:t xml:space="preserve">Finalidade</w:t>
      </w:r>
      <w:r>
        <w:t xml:space="preserve">: Verificar a gestão e o funcionamento do serviço de Atendimento Móvel de Urgência (SAMU 192).</w:t>
      </w:r>
      <w:r/>
    </w:p>
    <w:p>
      <w:pPr>
        <w:pStyle w:val="926"/>
        <w:pBdr/>
        <w:spacing/>
        <w:ind/>
        <w:rPr/>
      </w:pPr>
      <w:r>
        <w:rPr>
          <w:b/>
          <w:bCs/>
        </w:rPr>
        <w:t xml:space="preserve">Constatação</w:t>
      </w:r>
      <w:r>
        <w:t xml:space="preserve">: O Estado da Paraíba realizou contrapartida de recursos financeiros para o custeio do SAMU 192, no exercício de 2022 e no período de janeiro a maio de 2023 em valores menores que o devido.</w:t>
      </w:r>
      <w:r/>
    </w:p>
    <w:p>
      <w:pPr>
        <w:pStyle w:val="926"/>
        <w:pBdr/>
        <w:spacing/>
        <w:ind/>
        <w:rPr/>
      </w:pPr>
      <w:r>
        <w:rPr>
          <w:b/>
          <w:bCs/>
        </w:rPr>
        <w:t xml:space="preserve">Recomendação</w:t>
      </w:r>
      <w:r>
        <w:t xml:space="preserve">: À SES/PB para realizar uma revisão detalhada de suas obrigações legais com relação ao custeio do SAMU 192, de forma a garantir que esteja cump</w:t>
      </w:r>
      <w:r>
        <w:t xml:space="preserve">rindo integralmente os repasses financeiros no Art. 938, Parágrafo único, Seção IV, Capítulo II, Título VIII, Livro II, Anexo III da Portaria de Consolidação nº 6, de 28/09/2017; À SES/PB para realinhar os valores de contrapartida financeira para o custeio</w:t>
      </w:r>
      <w:r>
        <w:t xml:space="preserve"> do SAMU 192 no Município de Piancó/PB, garantindo o repasse de no mínimo 25% da Despesa; À SES/PB para assegurar que existam mecanismos de controle e fiscalização efetivos para garantir que os repasses estejam sendo feitos regularmente e no valor correto.</w:t>
      </w:r>
      <w:r/>
    </w:p>
    <w:p>
      <w:pPr>
        <w:pStyle w:val="926"/>
        <w:pBdr/>
        <w:spacing/>
        <w:ind/>
        <w:rPr/>
      </w:pPr>
      <w:r>
        <w:rPr>
          <w:b/>
          <w:bCs/>
        </w:rPr>
        <w:t xml:space="preserve">Análise Codificação</w:t>
      </w:r>
      <w:r>
        <w:t xml:space="preserve">: Em relação ao foco, a recomendação propõe ações que tratam da causa do problema ao sugerir a revisão das obrigações legais e a implementação de mecanismos de controle e fiscalização, visando prevenir a ocorrência futura de repasses insuficien</w:t>
      </w:r>
      <w:r>
        <w:t xml:space="preserve">tes. Já em relação aos efeitos pretendidos pela recomendação, os mecanismos de controle e fiscalização propostos têm efeitos duradouros, pois permanecem funcionais mesmo com mudanças nos atores envolvidos, assegurando a continuidade dos repasses adequados.</w:t>
      </w:r>
      <w:r/>
    </w:p>
    <w:p>
      <w:pPr>
        <w:pStyle w:val="928"/>
        <w:numPr>
          <w:ilvl w:val="0"/>
          <w:numId w:val="209"/>
        </w:numPr>
        <w:pBdr/>
        <w:spacing/>
        <w:ind/>
        <w:rPr/>
      </w:pPr>
      <w:r>
        <w:t xml:space="preserve">Ação Foco Causa: Sim</w:t>
      </w:r>
      <w:r/>
    </w:p>
    <w:p>
      <w:pPr>
        <w:pStyle w:val="928"/>
        <w:numPr>
          <w:ilvl w:val="0"/>
          <w:numId w:val="209"/>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aborda tanto ações corretivas imediatas quanto preventivas, mas a análise do modelo parece ter considerado apenas as ações preventivas. Quanto ao critério</w:t>
      </w:r>
      <w:r>
        <w:t xml:space="preserve"> </w:t>
      </w:r>
      <w:r>
        <w:t xml:space="preserve">‘Efeitos Duradouros’</w:t>
      </w:r>
      <w:r>
        <w:t xml:space="preserve">, a análise do modelo pode ter superestimado a durabilidade dos efeitos, pois a implementação de mecanismos de controle depende de fatores como adesão contínua e recursos, que podem variar com mudanças na gestão.</w:t>
      </w:r>
      <w:r/>
    </w:p>
    <w:p>
      <w:pPr>
        <w:pStyle w:val="928"/>
        <w:numPr>
          <w:ilvl w:val="0"/>
          <w:numId w:val="210"/>
        </w:numPr>
        <w:pBdr/>
        <w:spacing/>
        <w:ind/>
        <w:rPr/>
      </w:pPr>
      <w:r>
        <w:t xml:space="preserve">Análise Foco Causa: Discordo</w:t>
      </w:r>
      <w:r/>
    </w:p>
    <w:p>
      <w:pPr>
        <w:pStyle w:val="928"/>
        <w:numPr>
          <w:ilvl w:val="0"/>
          <w:numId w:val="210"/>
        </w:numPr>
        <w:pBdr/>
        <w:spacing/>
        <w:ind/>
        <w:rPr/>
      </w:pPr>
      <w:r>
        <w:t xml:space="preserve">Análise Efeitos Duradouros: Discordo</w:t>
      </w:r>
      <w:bookmarkEnd w:id="144"/>
      <w:r/>
    </w:p>
    <w:p>
      <w:pPr>
        <w:pStyle w:val="915"/>
        <w:pBdr/>
        <w:spacing/>
        <w:ind/>
        <w:rPr/>
      </w:pPr>
      <w:r/>
      <w:bookmarkStart w:id="145" w:name="auditoria-19554-constatação-nº-673265-1"/>
      <w:r>
        <w:t xml:space="preserve">Auditoria 19554, Constatação Nº 673265 (#1)</w:t>
      </w:r>
      <w:r/>
    </w:p>
    <w:p>
      <w:pPr>
        <w:pStyle w:val="927"/>
        <w:pBdr/>
        <w:spacing/>
        <w:ind/>
        <w:rPr/>
      </w:pPr>
      <w:r>
        <w:rPr>
          <w:b/>
          <w:bCs/>
        </w:rPr>
        <w:t xml:space="preserve">Finalidade</w:t>
      </w:r>
      <w:r>
        <w:t xml:space="preserve">: Avaliar a atuação dos municípios através dos indicadores por desempenho do Programa Previne Brasil</w:t>
      </w:r>
      <w:r/>
    </w:p>
    <w:p>
      <w:pPr>
        <w:pStyle w:val="926"/>
        <w:pBdr/>
        <w:spacing/>
        <w:ind/>
        <w:rPr/>
      </w:pPr>
      <w:r>
        <w:rPr>
          <w:b/>
          <w:bCs/>
        </w:rPr>
        <w:t xml:space="preserve">Constatação</w:t>
      </w:r>
      <w:r>
        <w:t xml:space="preserve">: Os dados apresentados no SISAB referentes ao Indicador 2 demonstram a ausência de gestantes com sorologia avaliada ou testes rápidos para HIV e Sífilis, sendo o resultado desse indicador no 3º Quadrimestre de 2022 de 0%.</w:t>
      </w:r>
      <w:r/>
    </w:p>
    <w:p>
      <w:pPr>
        <w:pStyle w:val="926"/>
        <w:pBdr/>
        <w:spacing/>
        <w:ind/>
        <w:rPr/>
      </w:pPr>
      <w:r>
        <w:rPr>
          <w:b/>
          <w:bCs/>
        </w:rPr>
        <w:t xml:space="preserve">Recomendação</w:t>
      </w:r>
      <w:r>
        <w:t xml:space="preserve">: Garantir acesso ao apoio diagnóstico e laboratorial necessário ao cuidado resolutivo da população, conforme responsabilidade estabelecida no inciso XVI do art. 10 do Anexo </w:t>
      </w:r>
      <w:r>
        <w:t xml:space="preserve">XXII da PRC GM/MS n.º 2/2017 Realizar o monitoramento regular das gestantes reduzindo eventuais regras de acesso ao procedimento a fim de estimular a pessoa a utilizar o serviço, conforme está recomendado no subitem 5.1 da Nota Técnica n.º 14/2022- SAPS/MS</w:t>
      </w:r>
      <w:r/>
    </w:p>
    <w:p>
      <w:pPr>
        <w:pStyle w:val="926"/>
        <w:pBdr/>
        <w:spacing/>
        <w:ind/>
        <w:rPr/>
      </w:pPr>
      <w:r>
        <w:rPr>
          <w:b/>
          <w:bCs/>
        </w:rPr>
        <w:t xml:space="preserve">Análise Codificação</w:t>
      </w:r>
      <w:r>
        <w:t xml:space="preserve">: A recomendação propõe duas ações principais: garantir acesso ao apoio diagnóstico e laboratorial, e realizar monitoramento regular das gestantes para reduzir barreiras de acesso. A primeira</w:t>
      </w:r>
      <w:r>
        <w:t xml:space="preserve"> ação aborda a causa subjacente de falta de infraestrutura ou recursos, enquanto a segunda foca na causa de gestantes não utilizarem os serviços devido a dificuldades de acesso. Ambas visam prevenir a reocorrência da condição de ausência de testes, caracte</w:t>
      </w:r>
      <w:r>
        <w:t xml:space="preserve">rizando foco na causa. Quanto aos efeitos duradouros, as ações sugeridas, como garantir acesso e monitoramento contínuo, são projetadas para persistir independentemente de mudanças nos atores envolvidos, pois envolvem estruturas e processos institucionais.</w:t>
      </w:r>
      <w:r/>
    </w:p>
    <w:p>
      <w:pPr>
        <w:pStyle w:val="928"/>
        <w:numPr>
          <w:ilvl w:val="0"/>
          <w:numId w:val="211"/>
        </w:numPr>
        <w:pBdr/>
        <w:spacing/>
        <w:ind/>
        <w:rPr/>
      </w:pPr>
      <w:r>
        <w:t xml:space="preserve">Ação Foco Causa: Sim</w:t>
      </w:r>
      <w:r/>
    </w:p>
    <w:p>
      <w:pPr>
        <w:pStyle w:val="928"/>
        <w:numPr>
          <w:ilvl w:val="0"/>
          <w:numId w:val="211"/>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análise original identifica corretamente que a recomendação aborda causas subjacentes, como falta de infraestrutura e barreiras de acesso, mas a classificação como</w:t>
      </w:r>
      <w:r>
        <w:t xml:space="preserve"> </w:t>
      </w:r>
      <w:r>
        <w:t xml:space="preserve">‘Sim’</w:t>
      </w:r>
      <w:r>
        <w:t xml:space="preserve"> </w:t>
      </w:r>
      <w:r>
        <w:t xml:space="preserve">pode ser questionada, pois as ações são genéricas e não especificam medidas diretas para tratar a causa raiz (ex.: por que os testes não estão sendo realizados?). Para</w:t>
      </w:r>
      <w:r>
        <w:t xml:space="preserve"> </w:t>
      </w:r>
      <w:r>
        <w:t xml:space="preserve">‘Efeitos Duradouros’</w:t>
      </w:r>
      <w:r>
        <w:t xml:space="preserve">, a análise assume que as ações são institucionais, mas a recomendação carece de detalhes sobre implementação sustentável, tornando a afirmação de durabilidade prematura.</w:t>
      </w:r>
      <w:r/>
    </w:p>
    <w:p>
      <w:pPr>
        <w:pStyle w:val="928"/>
        <w:numPr>
          <w:ilvl w:val="0"/>
          <w:numId w:val="212"/>
        </w:numPr>
        <w:pBdr/>
        <w:spacing/>
        <w:ind/>
        <w:rPr/>
      </w:pPr>
      <w:r>
        <w:t xml:space="preserve">Análise Foco Causa: Discordo</w:t>
      </w:r>
      <w:r/>
    </w:p>
    <w:p>
      <w:pPr>
        <w:pStyle w:val="928"/>
        <w:numPr>
          <w:ilvl w:val="0"/>
          <w:numId w:val="212"/>
        </w:numPr>
        <w:pBdr/>
        <w:spacing/>
        <w:ind/>
        <w:rPr/>
      </w:pPr>
      <w:r>
        <w:t xml:space="preserve">Análise Efeitos Duradouros: Discordo</w:t>
      </w:r>
      <w:bookmarkEnd w:id="145"/>
      <w:r/>
    </w:p>
    <w:p>
      <w:pPr>
        <w:pStyle w:val="915"/>
        <w:pBdr/>
        <w:spacing/>
        <w:ind/>
        <w:rPr/>
      </w:pPr>
      <w:r/>
      <w:bookmarkStart w:id="146" w:name="auditoria-19565-constatação-nº-679602-1"/>
      <w:r>
        <w:t xml:space="preserve">Auditoria 19565, Constatação Nº 679602 (#1)</w:t>
      </w:r>
      <w:r/>
    </w:p>
    <w:p>
      <w:pPr>
        <w:pStyle w:val="927"/>
        <w:pBdr/>
        <w:spacing/>
        <w:ind/>
        <w:rPr/>
      </w:pPr>
      <w:r>
        <w:rPr>
          <w:b/>
          <w:bCs/>
        </w:rPr>
        <w:t xml:space="preserve">Finalidade</w:t>
      </w:r>
      <w:r>
        <w:t xml:space="preserve">: Verificar a gestão e o funcionamento do serviço de Atendimento Móvel de Urgência (SAMU 192).</w:t>
      </w:r>
      <w:r/>
    </w:p>
    <w:p>
      <w:pPr>
        <w:pStyle w:val="926"/>
        <w:pBdr/>
        <w:spacing/>
        <w:ind/>
        <w:rPr/>
      </w:pPr>
      <w:r>
        <w:rPr>
          <w:b/>
          <w:bCs/>
        </w:rPr>
        <w:t xml:space="preserve">Constatação</w:t>
      </w:r>
      <w:r>
        <w:t xml:space="preserve">: A padronização visual dos veículos do SAMU Teresina inspecionados pela equipe não está em conformidade com as diretrizes estabelecidas pelo Ministério da Saúde (MS).</w:t>
      </w:r>
      <w:r/>
    </w:p>
    <w:p>
      <w:pPr>
        <w:pStyle w:val="926"/>
        <w:pBdr/>
        <w:spacing/>
        <w:ind/>
        <w:rPr/>
      </w:pPr>
      <w:r>
        <w:rPr>
          <w:b/>
          <w:bCs/>
        </w:rPr>
        <w:t xml:space="preserve">Recomendação</w:t>
      </w:r>
      <w:r>
        <w:t xml:space="preserve">: Adotar medidas concretas para assegurar a adesão estrita às diretrizes de design</w:t>
      </w:r>
      <w:r>
        <w:t xml:space="preserve"> visual delineadas no Manual da Marca do Serviço de Atendimento Móvel de Urgência SAMU 192 Versão 1.2/abril 2012, o qual tem por objetivo ordenar e padronizar os elementos visuais que identificam o serviço, incluindo padrões e regras de aplicação da marca.</w:t>
      </w:r>
      <w:r/>
    </w:p>
    <w:p>
      <w:pPr>
        <w:pStyle w:val="926"/>
        <w:pBdr/>
        <w:spacing/>
        <w:ind/>
        <w:rPr/>
      </w:pPr>
      <w:r>
        <w:rPr>
          <w:b/>
          <w:bCs/>
        </w:rPr>
        <w:t xml:space="preserve">Análise Codificação</w:t>
      </w:r>
      <w:r>
        <w:t xml:space="preserve">: A recomendação propõe a adoção de medidas para assegurar a adesão às diretrizes de design visual, o que aborda diretamente a causa do problema, que é a falta de conformidade com as normas estabelecidas, visando prevenir a recorrência da condição de padr</w:t>
      </w:r>
      <w:r>
        <w:t xml:space="preserve">onização inadequada. Em relação aos efeitos duradouros, as medidas sugeridas, como a implementação de padrões de marca, tendem a permanecer efetivas mesmo com mudanças nos atores envolvidos, pois se baseiam em diretrizes documentadas e institucionalizadas.</w:t>
      </w:r>
      <w:r/>
    </w:p>
    <w:p>
      <w:pPr>
        <w:pStyle w:val="928"/>
        <w:numPr>
          <w:ilvl w:val="0"/>
          <w:numId w:val="213"/>
        </w:numPr>
        <w:pBdr/>
        <w:spacing/>
        <w:ind/>
        <w:rPr/>
      </w:pPr>
      <w:r>
        <w:t xml:space="preserve">Ação Foco Causa: Sim</w:t>
      </w:r>
      <w:r/>
    </w:p>
    <w:p>
      <w:pPr>
        <w:pStyle w:val="928"/>
        <w:numPr>
          <w:ilvl w:val="0"/>
          <w:numId w:val="213"/>
        </w:numPr>
        <w:pBdr/>
        <w:spacing/>
        <w:ind/>
        <w:rPr/>
      </w:pPr>
      <w:r>
        <w:t xml:space="preserve">Efeitos Duradouros: Sim</w:t>
      </w:r>
      <w:r/>
    </w:p>
    <w:p>
      <w:pPr>
        <w:pStyle w:val="927"/>
        <w:pBdr/>
        <w:spacing/>
        <w:ind/>
        <w:rPr/>
      </w:pPr>
      <w:r>
        <w:rPr>
          <w:b/>
          <w:bCs/>
        </w:rPr>
        <w:t xml:space="preserve">Análise Crítica</w:t>
      </w:r>
      <w:r>
        <w:t xml:space="preserve">: A análise do modelo identificou corretamente que a recomendação aborda a causa do problema (falta de conformidade com normas) e que os efeitos seriam duradouros devido à institucionalização das diretrizes. No entanto, a recomendação é genérica (</w:t>
      </w:r>
      <w:r>
        <w:t xml:space="preserve">‘adotar medidas concretas’</w:t>
      </w:r>
      <w:r>
        <w:t xml:space="preserve">) e não especifica ações que ataquem diretamente a causa raiz, como falhas nos processos de aquisição, aplicação ou fiscalização da identidade visual, o que pode limitar sua efetividade.</w:t>
      </w:r>
      <w:r/>
    </w:p>
    <w:p>
      <w:pPr>
        <w:pStyle w:val="928"/>
        <w:numPr>
          <w:ilvl w:val="0"/>
          <w:numId w:val="214"/>
        </w:numPr>
        <w:pBdr/>
        <w:spacing/>
        <w:ind/>
        <w:rPr/>
      </w:pPr>
      <w:r>
        <w:t xml:space="preserve">Análise Foco Causa: Discordo</w:t>
      </w:r>
      <w:r/>
    </w:p>
    <w:p>
      <w:pPr>
        <w:pStyle w:val="928"/>
        <w:numPr>
          <w:ilvl w:val="0"/>
          <w:numId w:val="214"/>
        </w:numPr>
        <w:pBdr/>
        <w:spacing/>
        <w:ind/>
        <w:rPr/>
      </w:pPr>
      <w:r>
        <w:t xml:space="preserve">Análise Efeitos Duradouros: Discordo</w:t>
      </w:r>
      <w:bookmarkEnd w:id="146"/>
      <w:r/>
    </w:p>
    <w:p>
      <w:pPr>
        <w:pStyle w:val="915"/>
        <w:pBdr/>
        <w:spacing/>
        <w:ind/>
        <w:rPr/>
      </w:pPr>
      <w:r/>
      <w:bookmarkStart w:id="147" w:name="auditoria-19598-constatação-nº-676754-1"/>
      <w:r>
        <w:t xml:space="preserve">Auditoria 19598, Constatação Nº 676754 (#1)</w:t>
      </w:r>
      <w:r/>
    </w:p>
    <w:p>
      <w:pPr>
        <w:pStyle w:val="927"/>
        <w:pBdr/>
        <w:spacing/>
        <w:ind/>
        <w:rPr/>
      </w:pPr>
      <w:r>
        <w:rPr>
          <w:b/>
          <w:bCs/>
        </w:rPr>
        <w:t xml:space="preserve">Finalidade</w:t>
      </w:r>
      <w:r>
        <w:t xml:space="preserve">: Averiguar a prestação do serviço da Central de Regulação do Serviço Móvel de Urgência do Estado/RS.</w:t>
      </w:r>
      <w:r/>
    </w:p>
    <w:p>
      <w:pPr>
        <w:pStyle w:val="926"/>
        <w:pBdr/>
        <w:spacing/>
        <w:ind/>
        <w:rPr/>
      </w:pPr>
      <w:r>
        <w:rPr>
          <w:b/>
          <w:bCs/>
        </w:rPr>
        <w:t xml:space="preserve">Constatação</w:t>
      </w:r>
      <w:r>
        <w:t xml:space="preserve">: Espelhos pontos dos profissionais que atuam no SAMU 192 apontam inconsistências.</w:t>
      </w:r>
      <w:r/>
    </w:p>
    <w:p>
      <w:pPr>
        <w:pStyle w:val="926"/>
        <w:pBdr/>
        <w:spacing/>
        <w:ind/>
        <w:rPr/>
      </w:pPr>
      <w:r>
        <w:rPr>
          <w:b/>
          <w:bCs/>
        </w:rPr>
        <w:t xml:space="preserve">Recomendação</w:t>
      </w:r>
      <w:r>
        <w:t xml:space="preserve">: Manter e atualizar, na Central Estadual de Regulação das Urgências, o</w:t>
      </w:r>
      <w:r>
        <w:t xml:space="preserve">s pontos digitais dos servidores com o correto local de atuação para que a partir do ponto digital seja possível identificar adequadamente a carga horária prevista e a realizada por cada um dos profissionais, conforme as escalas e a necessidade do serviço.</w:t>
      </w:r>
      <w:r/>
    </w:p>
    <w:p>
      <w:pPr>
        <w:pStyle w:val="926"/>
        <w:pBdr/>
        <w:spacing/>
        <w:ind/>
        <w:rPr/>
      </w:pPr>
      <w:r>
        <w:rPr>
          <w:b/>
          <w:bCs/>
        </w:rPr>
        <w:t xml:space="preserve">Análise Codificação</w:t>
      </w:r>
      <w:r>
        <w:t xml:space="preserve">: Em relação ao foco, a recom</w:t>
      </w:r>
      <w:r>
        <w:t xml:space="preserve">endação propõe a manutenção e atualização dos pontos digitais dos servidores com o correto local de atuação, o que visa tratar a causa do problema (inconsistências nos registros de ponto) ao estabelecer um processo contínuo de correção e atualização. Já em</w:t>
      </w:r>
      <w:r>
        <w:t xml:space="preserve"> relação aos efeitos pretendidos pela recomendação, a implementação de um sistema de registro digital preciso e atualizado cria uma estrutura que permanece funcional independentemente de mudanças nos profissionais envolvidos, garantindo efeitos duradouros.</w:t>
      </w:r>
      <w:r/>
    </w:p>
    <w:p>
      <w:pPr>
        <w:pStyle w:val="928"/>
        <w:numPr>
          <w:ilvl w:val="0"/>
          <w:numId w:val="215"/>
        </w:numPr>
        <w:pBdr/>
        <w:spacing/>
        <w:ind/>
        <w:rPr/>
      </w:pPr>
      <w:r>
        <w:t xml:space="preserve">Ação Foco Causa: Sim</w:t>
      </w:r>
      <w:r/>
    </w:p>
    <w:p>
      <w:pPr>
        <w:pStyle w:val="928"/>
        <w:numPr>
          <w:ilvl w:val="0"/>
          <w:numId w:val="215"/>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propõe ações para corrigir a condição imediata (inconsistências nos registros de </w:t>
      </w:r>
      <w:r>
        <w:t xml:space="preserve">ponto) por meio da manutenção e atualização dos pontos digitais, mas não aborda explicitamente as causas subjacentes que geram essas inconsistências, como falhas nos processos de registro, falta de treinamento ou deficiências no sistema. Quanto ao critério</w:t>
      </w:r>
      <w:r>
        <w:t xml:space="preserve"> </w:t>
      </w:r>
      <w:r>
        <w:t xml:space="preserve">‘Efeitos Duradouros’</w:t>
      </w:r>
      <w:r>
        <w:t xml:space="preserve">, a análise pressupõe que a estrutura permanecerá funcional com mudanças de pessoal, mas a recomendação não especifica mecanismos institucionais ou sistêmicos que garantam essa durabilidade, dependendo de ações contínuas de atualização.</w:t>
      </w:r>
      <w:r/>
    </w:p>
    <w:p>
      <w:pPr>
        <w:pStyle w:val="928"/>
        <w:numPr>
          <w:ilvl w:val="0"/>
          <w:numId w:val="216"/>
        </w:numPr>
        <w:pBdr/>
        <w:spacing/>
        <w:ind/>
        <w:rPr/>
      </w:pPr>
      <w:r>
        <w:t xml:space="preserve">Análise Foco Causa: Discordo</w:t>
      </w:r>
      <w:r/>
    </w:p>
    <w:p>
      <w:pPr>
        <w:pStyle w:val="928"/>
        <w:numPr>
          <w:ilvl w:val="0"/>
          <w:numId w:val="216"/>
        </w:numPr>
        <w:pBdr/>
        <w:spacing/>
        <w:ind/>
        <w:rPr/>
      </w:pPr>
      <w:r>
        <w:t xml:space="preserve">Análise Efeitos Duradouros: Discordo</w:t>
      </w:r>
      <w:bookmarkEnd w:id="147"/>
      <w:r/>
    </w:p>
    <w:p>
      <w:pPr>
        <w:pStyle w:val="915"/>
        <w:pBdr/>
        <w:spacing/>
        <w:ind/>
        <w:rPr/>
      </w:pPr>
      <w:r/>
      <w:bookmarkStart w:id="148" w:name="auditoria-19614-constatação-nº-676605-1"/>
      <w:r>
        <w:t xml:space="preserve">Auditoria 19614, Constatação Nº 676605 (#1)</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Impropriedades relacionadas ao acompanhamento mensal do Eixo de Atenção à Saúde Indígena.</w:t>
      </w:r>
      <w:r/>
    </w:p>
    <w:p>
      <w:pPr>
        <w:pStyle w:val="926"/>
        <w:pBdr/>
        <w:spacing/>
        <w:ind/>
        <w:rPr/>
      </w:pPr>
      <w:r>
        <w:rPr>
          <w:b/>
          <w:bCs/>
        </w:rPr>
        <w:t xml:space="preserve">Recomendação</w:t>
      </w:r>
      <w:r>
        <w:t xml:space="preserve">: Determina</w:t>
      </w:r>
      <w:r>
        <w:t xml:space="preserve">r ao DSEI realizar a conferência da documentação comprobatória/complementar inserida no Transferegov a fim de evitar manutenção de informações incorretas no sistema, cumprindo o exposto no inciso IV, art. 11, da Portaria de Consolidação nº 1 SESAI/MS/2020.</w:t>
      </w:r>
      <w:r/>
    </w:p>
    <w:p>
      <w:pPr>
        <w:pStyle w:val="926"/>
        <w:pBdr/>
        <w:spacing/>
        <w:ind/>
        <w:rPr/>
      </w:pPr>
      <w:r>
        <w:rPr>
          <w:b/>
          <w:bCs/>
        </w:rPr>
        <w:t xml:space="preserve">Análise Codificação</w:t>
      </w:r>
      <w:r>
        <w:t xml:space="preserve">: Em relação ao foco, a recomendação propõe uma ação de conferência da documentação no sistema Transferegov para evitar a manutenção de informações incorretas, o que aborda diretamente a causa do problema de acompanhamento inadequado, ao estabel</w:t>
      </w:r>
      <w:r>
        <w:t xml:space="preserve">ecer um processo contínuo de verificação. Já em relação aos efeitos pretendidos pela recomendação, a ação sugerida visa criar um procedimento sistemático que deve persistir independentemente de mudanças nos atores envolvidos, promovendo efeitos duradouros.</w:t>
      </w:r>
      <w:r/>
    </w:p>
    <w:p>
      <w:pPr>
        <w:pStyle w:val="928"/>
        <w:numPr>
          <w:ilvl w:val="0"/>
          <w:numId w:val="217"/>
        </w:numPr>
        <w:pBdr/>
        <w:spacing/>
        <w:ind/>
        <w:rPr/>
      </w:pPr>
      <w:r>
        <w:t xml:space="preserve">Ação Foco Causa: Sim</w:t>
      </w:r>
      <w:r/>
    </w:p>
    <w:p>
      <w:pPr>
        <w:pStyle w:val="928"/>
        <w:numPr>
          <w:ilvl w:val="0"/>
          <w:numId w:val="217"/>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propõe uma ação de co</w:t>
      </w:r>
      <w:r>
        <w:t xml:space="preserve">nferência da documentação no sistema Transferegov para evitar a manutenção de informações incorretas, o que pode ser interpretado como uma medida para tratar a causa do problema de acompanhamento inadequado, ao estabelecer um processo contínuo de verificaç</w:t>
      </w:r>
      <w:r>
        <w:t xml:space="preserve">ão. No entanto, essa ação parece mais focada em corrigir e prevenir a condição imediata (informações incorretas no sistema) do que em abordar a causa raiz subjacente, como falhas nos processos de inserção de dados ou capacitação inadequada. Para o critério</w:t>
      </w:r>
      <w:r>
        <w:t xml:space="preserve"> </w:t>
      </w:r>
      <w:r>
        <w:t xml:space="preserve">‘Efeitos Duradouros’</w:t>
      </w:r>
      <w:r>
        <w:t xml:space="preserve">, se a ação for implementada como um procedimento sistemático, ela poderia persistir independentemente de mudanças nos atores, mas isso depende da institucionalização do processo.</w:t>
      </w:r>
      <w:r/>
    </w:p>
    <w:p>
      <w:pPr>
        <w:pStyle w:val="928"/>
        <w:numPr>
          <w:ilvl w:val="0"/>
          <w:numId w:val="218"/>
        </w:numPr>
        <w:pBdr/>
        <w:spacing/>
        <w:ind/>
        <w:rPr/>
      </w:pPr>
      <w:r>
        <w:t xml:space="preserve">Análise Foco Causa: Discordo</w:t>
      </w:r>
      <w:r/>
    </w:p>
    <w:p>
      <w:pPr>
        <w:pStyle w:val="928"/>
        <w:numPr>
          <w:ilvl w:val="0"/>
          <w:numId w:val="218"/>
        </w:numPr>
        <w:pBdr/>
        <w:spacing/>
        <w:ind/>
        <w:rPr/>
      </w:pPr>
      <w:r>
        <w:t xml:space="preserve">Análise Efeitos Duradouros: Discordo</w:t>
      </w:r>
      <w:bookmarkEnd w:id="148"/>
      <w:r/>
    </w:p>
    <w:p>
      <w:pPr>
        <w:pStyle w:val="915"/>
        <w:pBdr/>
        <w:spacing/>
        <w:ind/>
        <w:rPr/>
      </w:pPr>
      <w:r/>
      <w:bookmarkStart w:id="149" w:name="auditoria-19616-constatação-nº-676203-1"/>
      <w:r>
        <w:t xml:space="preserve">Auditoria 19616, Constatação Nº 676203 (#1)</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Existência de vínculo societário entre empresas que participaram do mesmo procedimento de cotação de preço.</w:t>
      </w:r>
      <w:r/>
    </w:p>
    <w:p>
      <w:pPr>
        <w:pStyle w:val="926"/>
        <w:pBdr/>
        <w:spacing/>
        <w:ind/>
        <w:rPr/>
      </w:pPr>
      <w:r>
        <w:rPr>
          <w:b/>
          <w:bCs/>
        </w:rPr>
        <w:t xml:space="preserve">Recomendação</w:t>
      </w:r>
      <w:r>
        <w:t xml:space="preserve">: Notificar a convenente para apresentação de justificativas quanto ao constatado, em conformidade ao previsto no § 1º, art. 54, da Lei 8.666/93; art. 45 da Portaria MP/MF/CGU nº 424/2016.</w:t>
      </w:r>
      <w:r/>
    </w:p>
    <w:p>
      <w:pPr>
        <w:pStyle w:val="926"/>
        <w:pBdr/>
        <w:spacing/>
        <w:ind/>
        <w:rPr/>
      </w:pPr>
      <w:r>
        <w:rPr>
          <w:b/>
          <w:bCs/>
        </w:rPr>
        <w:t xml:space="preserve">Análise Codificação</w:t>
      </w:r>
      <w:r>
        <w:t xml:space="preserve">: A re</w:t>
      </w:r>
      <w:r>
        <w:t xml:space="preserve">comendação propõe notificar a convenente para apresentação de justificativas sobre o vínculo societário constatado, o que se caracteriza como uma ação para investigar e compreender as razões subjacentes ao problema, tratando assim da causa da condição enco</w:t>
      </w:r>
      <w:r>
        <w:t xml:space="preserve">ntrada. Quanto aos efeitos duradouros, a ação de notificação e exigência de justificativas visa estabelecer um procedimento que pode ser aplicado futuramente, independentemente de mudanças nos atores envolvidos, promovendo uma mudança processual duradoura.</w:t>
      </w:r>
      <w:r/>
    </w:p>
    <w:p>
      <w:pPr>
        <w:pStyle w:val="928"/>
        <w:numPr>
          <w:ilvl w:val="0"/>
          <w:numId w:val="219"/>
        </w:numPr>
        <w:pBdr/>
        <w:spacing/>
        <w:ind/>
        <w:rPr/>
      </w:pPr>
      <w:r>
        <w:t xml:space="preserve">Ação Foco Causa: Sim</w:t>
      </w:r>
      <w:r/>
    </w:p>
    <w:p>
      <w:pPr>
        <w:pStyle w:val="928"/>
        <w:numPr>
          <w:ilvl w:val="0"/>
          <w:numId w:val="219"/>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se limita a solicitar justificativas sobre uma situação já constatada, sem propor ações para tratar a causa subjacente que permitiu a existência do vínculo societário irregular. Quanto ao critério</w:t>
      </w:r>
      <w:r>
        <w:t xml:space="preserve"> </w:t>
      </w:r>
      <w:r>
        <w:t xml:space="preserve">‘Efeitos Duradouros’</w:t>
      </w:r>
      <w:r>
        <w:t xml:space="preserve">, como o</w:t>
      </w:r>
      <w:r>
        <w:t xml:space="preserve"> </w:t>
      </w:r>
      <w:r>
        <w:t xml:space="preserve">‘Foco Causa’</w:t>
      </w:r>
      <w:r>
        <w:t xml:space="preserve"> </w:t>
      </w:r>
      <w:r>
        <w:t xml:space="preserve">não se aplica adequadamente, a análise de efeitos duradouros também não se sustenta.</w:t>
      </w:r>
      <w:r/>
    </w:p>
    <w:p>
      <w:pPr>
        <w:pStyle w:val="928"/>
        <w:numPr>
          <w:ilvl w:val="0"/>
          <w:numId w:val="220"/>
        </w:numPr>
        <w:pBdr/>
        <w:spacing/>
        <w:ind/>
        <w:rPr/>
      </w:pPr>
      <w:r>
        <w:t xml:space="preserve">Análise Foco Causa: Discordo</w:t>
      </w:r>
      <w:r/>
    </w:p>
    <w:p>
      <w:pPr>
        <w:pStyle w:val="928"/>
        <w:numPr>
          <w:ilvl w:val="0"/>
          <w:numId w:val="220"/>
        </w:numPr>
        <w:pBdr/>
        <w:spacing/>
        <w:ind/>
        <w:rPr/>
      </w:pPr>
      <w:r>
        <w:t xml:space="preserve">Análise Efeitos Duradouros: Discordo</w:t>
      </w:r>
      <w:bookmarkEnd w:id="149"/>
      <w:r/>
    </w:p>
    <w:p>
      <w:pPr>
        <w:pStyle w:val="915"/>
        <w:pBdr/>
        <w:spacing/>
        <w:ind/>
        <w:rPr/>
      </w:pPr>
      <w:r/>
      <w:bookmarkStart w:id="150" w:name="auditoria-19680-constatação-nº-684842-1"/>
      <w:r>
        <w:t xml:space="preserve">Auditoria 19680, Constatação Nº 684842 (#1)</w:t>
      </w:r>
      <w:r/>
    </w:p>
    <w:p>
      <w:pPr>
        <w:pStyle w:val="927"/>
        <w:pBdr/>
        <w:spacing/>
        <w:ind/>
        <w:rPr/>
      </w:pPr>
      <w:r>
        <w:rPr>
          <w:b/>
          <w:bCs/>
        </w:rPr>
        <w:t xml:space="preserve">Finalidade</w:t>
      </w:r>
      <w:r>
        <w:t xml:space="preserve">: Avaliar a atuação do município auditado através dos indicadores de desempenho PREVINE Brasil</w:t>
      </w:r>
      <w:r/>
    </w:p>
    <w:p>
      <w:pPr>
        <w:pStyle w:val="926"/>
        <w:pBdr/>
        <w:spacing/>
        <w:ind/>
        <w:rPr/>
      </w:pPr>
      <w:r>
        <w:rPr>
          <w:b/>
          <w:bCs/>
        </w:rPr>
        <w:t xml:space="preserve">Constatação</w:t>
      </w:r>
      <w:r>
        <w:t xml:space="preserve">: Os instrumentos de gestão (PMS</w:t>
      </w:r>
      <w:r>
        <w:t xml:space="preserve"> 2022-2025, PAS 2022 e RAG 2022) não apresentam informações quantitativas (recursos financeiros) e qualitativas (ações, metas e o impacto social dos resultados obtidos) referentes aos indicadores de desempenho do Programa Previne Brasil, em sua totalidade.</w:t>
      </w:r>
      <w:r/>
    </w:p>
    <w:p>
      <w:pPr>
        <w:pStyle w:val="926"/>
        <w:pBdr/>
        <w:spacing/>
        <w:ind/>
        <w:rPr/>
      </w:pPr>
      <w:r>
        <w:rPr>
          <w:b/>
          <w:bCs/>
        </w:rPr>
        <w:t xml:space="preserve">Recomendação</w:t>
      </w:r>
      <w:r>
        <w:t xml:space="preserve">: Seguir o estabelecido na alínea</w:t>
      </w:r>
      <w:r>
        <w:t xml:space="preserve"> </w:t>
      </w:r>
      <w:r>
        <w:rPr>
          <w:rStyle w:val="959"/>
        </w:rPr>
        <w:t xml:space="preserve">e</w:t>
      </w:r>
      <w:r>
        <w:t xml:space="preserve"> </w:t>
      </w:r>
      <w:r>
        <w:t xml:space="preserve">do inciso I, e inciso II, do § 3º, do art. 96, e art. 97, ambos da Portaria de Consolidação GM/MS Nº 1/2017, de modo </w:t>
      </w:r>
      <w:r>
        <w:t xml:space="preserve">que os instrumentos de gestão (PMS, PAS e RAG) contenham informações quantitativas (recursos financeiros) e qualitativas (ações, metas e o impacto social dos resultados obtidos), referentes aos programas de ações em saúde pública executados pelo Município.</w:t>
      </w:r>
      <w:r/>
    </w:p>
    <w:p>
      <w:pPr>
        <w:pStyle w:val="926"/>
        <w:pBdr/>
        <w:spacing/>
        <w:ind/>
        <w:rPr/>
      </w:pPr>
      <w:r>
        <w:rPr>
          <w:b/>
          <w:bCs/>
        </w:rPr>
        <w:t xml:space="preserve">Análise Codificação</w:t>
      </w:r>
      <w:r>
        <w:t xml:space="preserve">: Em relação ao foco, a recomendação propõe qu</w:t>
      </w:r>
      <w:r>
        <w:t xml:space="preserve">e os instrumentos de gestão (PMS, PAS e RAG) passem a conter informações quantitativas e qualitativas sobre os programas de saúde pública, o que visa tratar a causa da ausência dessas informações nos documentos. Já em relação aos efeitos pretendidos pela r</w:t>
      </w:r>
      <w:r>
        <w:t xml:space="preserve">ecomendação, a implementação de diretrizes normativas para inclusão sistemática dessas informações nos instrumentos de gestão tende a criar um processo estruturado que permanece independente de mudanças nos atores envolvidos, garantindo efeitos duradouros.</w:t>
      </w:r>
      <w:r/>
    </w:p>
    <w:p>
      <w:pPr>
        <w:pStyle w:val="928"/>
        <w:numPr>
          <w:ilvl w:val="0"/>
          <w:numId w:val="221"/>
        </w:numPr>
        <w:pBdr/>
        <w:spacing/>
        <w:ind/>
        <w:rPr/>
      </w:pPr>
      <w:r>
        <w:t xml:space="preserve">Ação Foco Causa: Sim</w:t>
      </w:r>
      <w:r/>
    </w:p>
    <w:p>
      <w:pPr>
        <w:pStyle w:val="928"/>
        <w:numPr>
          <w:ilvl w:val="0"/>
          <w:numId w:val="221"/>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se limita a citar o cumprimento de dispositivos normativos sem propor ações específicas para tratar a causa subjacente da ausência de informações nos instrumentos de gestão. Quanto ao critério</w:t>
      </w:r>
      <w:r>
        <w:t xml:space="preserve"> </w:t>
      </w:r>
      <w:r>
        <w:t xml:space="preserve">‘Efeitos Duradouros’</w:t>
      </w:r>
      <w:r>
        <w:t xml:space="preserve">, a análise pressupõe que a mera referência a normas criará um processo estruturado, mas a recomendação não estabelece mecanismos concretos para garantir sua sustentabilidade.</w:t>
      </w:r>
      <w:r/>
    </w:p>
    <w:p>
      <w:pPr>
        <w:pStyle w:val="928"/>
        <w:numPr>
          <w:ilvl w:val="0"/>
          <w:numId w:val="222"/>
        </w:numPr>
        <w:pBdr/>
        <w:spacing/>
        <w:ind/>
        <w:rPr/>
      </w:pPr>
      <w:r>
        <w:t xml:space="preserve">Análise Foco Causa: Discordo</w:t>
      </w:r>
      <w:r/>
    </w:p>
    <w:p>
      <w:pPr>
        <w:pStyle w:val="928"/>
        <w:numPr>
          <w:ilvl w:val="0"/>
          <w:numId w:val="222"/>
        </w:numPr>
        <w:pBdr/>
        <w:spacing/>
        <w:ind/>
        <w:rPr/>
      </w:pPr>
      <w:r>
        <w:t xml:space="preserve">Análise Efeitos Duradouros: Discordo</w:t>
      </w:r>
      <w:bookmarkEnd w:id="150"/>
      <w:r/>
    </w:p>
    <w:p>
      <w:pPr>
        <w:pStyle w:val="915"/>
        <w:pBdr/>
        <w:spacing/>
        <w:ind/>
        <w:rPr/>
      </w:pPr>
      <w:r/>
      <w:bookmarkStart w:id="151" w:name="auditoria-19680-constatação-nº-685155-1"/>
      <w:r>
        <w:t xml:space="preserve">Auditoria 19680, Constatação Nº 685155 (#1)</w:t>
      </w:r>
      <w:r/>
    </w:p>
    <w:p>
      <w:pPr>
        <w:pStyle w:val="927"/>
        <w:pBdr/>
        <w:spacing/>
        <w:ind/>
        <w:rPr/>
      </w:pPr>
      <w:r>
        <w:rPr>
          <w:b/>
          <w:bCs/>
        </w:rPr>
        <w:t xml:space="preserve">Finalidade</w:t>
      </w:r>
      <w:r>
        <w:t xml:space="preserve">: Avaliar a atuação do município auditado através dos indicadores de desempenho PREVINE Brasil</w:t>
      </w:r>
      <w:r/>
    </w:p>
    <w:p>
      <w:pPr>
        <w:pStyle w:val="926"/>
        <w:pBdr/>
        <w:spacing/>
        <w:ind/>
        <w:rPr/>
      </w:pPr>
      <w:r>
        <w:rPr>
          <w:b/>
          <w:bCs/>
        </w:rPr>
        <w:t xml:space="preserve">Constatação</w:t>
      </w:r>
      <w:r>
        <w:t xml:space="preserve">: O Municíp</w:t>
      </w:r>
      <w:r>
        <w:t xml:space="preserve">io não comprovou ter adotado ações propostas na Nota Técnica Nº 13/2022-SAPS/MS, como forma de atingir a meta para o indicador 1 - Proporção de gestantes com pelo menos 6 (seis) consultas pré-natal realizadas, sendo a primeira até a 12ª semana de gestação.</w:t>
      </w:r>
      <w:r/>
    </w:p>
    <w:p>
      <w:pPr>
        <w:pStyle w:val="926"/>
        <w:pBdr/>
        <w:spacing/>
        <w:ind/>
        <w:rPr/>
      </w:pPr>
      <w:r>
        <w:rPr>
          <w:b/>
          <w:bCs/>
        </w:rPr>
        <w:t xml:space="preserve">Recomendação</w:t>
      </w:r>
      <w:r>
        <w:t xml:space="preserve">: Adotar as ações de Saúde Pública recomendadas no Subítem 5.1 da Nota Técnica nº 13/2022 - SAPS/MS, como forma de melhorar a proporção de gestantes com pelo menos 6 (seis) consultas pré-natal realizadas, sendo a primeira até a 12ª semana de gestação.</w:t>
      </w:r>
      <w:r/>
    </w:p>
    <w:p>
      <w:pPr>
        <w:pStyle w:val="926"/>
        <w:pBdr/>
        <w:spacing/>
        <w:ind/>
        <w:rPr/>
      </w:pPr>
      <w:r>
        <w:rPr>
          <w:b/>
          <w:bCs/>
        </w:rPr>
        <w:t xml:space="preserve">Análise Codificação</w:t>
      </w:r>
      <w:r>
        <w:t xml:space="preserve">: Em relação ao foco, a recomendaçã</w:t>
      </w:r>
      <w:r>
        <w:t xml:space="preserve">o propõe a adoção de ações de saúde pública específicas para melhorar a proporção de gestantes com consultas pré-natal adequadas, o que sugere um tratamento da causa subjacente à baixa cobertura, como possíveis falhas na organização do serviço ou na captaç</w:t>
      </w:r>
      <w:r>
        <w:t xml:space="preserve">ão precoce de gestantes. Já em relação aos efeitos pretendidos pela recomendação, a implementação dessas ações tende a criar processos estruturados que podem perdurar independentemente de mudanças nos profissionais envolvidos, indicando efeitos duradouros.</w:t>
      </w:r>
      <w:r/>
    </w:p>
    <w:p>
      <w:pPr>
        <w:pStyle w:val="928"/>
        <w:numPr>
          <w:ilvl w:val="0"/>
          <w:numId w:val="223"/>
        </w:numPr>
        <w:pBdr/>
        <w:spacing/>
        <w:ind/>
        <w:rPr/>
      </w:pPr>
      <w:r>
        <w:t xml:space="preserve">Ação Foco Causa: Sim</w:t>
      </w:r>
      <w:r/>
    </w:p>
    <w:p>
      <w:pPr>
        <w:pStyle w:val="928"/>
        <w:numPr>
          <w:ilvl w:val="0"/>
          <w:numId w:val="223"/>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s</w:t>
      </w:r>
      <w:r>
        <w:t xml:space="preserve">e limita a sugerir a adoção de ações já previstas em nota técnica, sem especificar quais seriam essas ações ou como elas abordariam diretamente as causas identificadas da não comprovação, como falta de capacitação, recursos ou processos. Quanto ao critério</w:t>
      </w:r>
      <w:r>
        <w:t xml:space="preserve"> </w:t>
      </w:r>
      <w:r>
        <w:t xml:space="preserve">‘Efeitos Duradouros’</w:t>
      </w:r>
      <w:r>
        <w:t xml:space="preserve">, a suposição de que a implementação criará processos estruturados é especulativa, pois a recomendação não detalha mecanismos que garantam a sustentabilidade independente de mudanças de pessoal.</w:t>
      </w:r>
      <w:r/>
    </w:p>
    <w:p>
      <w:pPr>
        <w:pStyle w:val="928"/>
        <w:numPr>
          <w:ilvl w:val="0"/>
          <w:numId w:val="224"/>
        </w:numPr>
        <w:pBdr/>
        <w:spacing/>
        <w:ind/>
        <w:rPr/>
      </w:pPr>
      <w:r>
        <w:t xml:space="preserve">Análise Foco Causa: Discordo</w:t>
      </w:r>
      <w:r/>
    </w:p>
    <w:p>
      <w:pPr>
        <w:pStyle w:val="928"/>
        <w:numPr>
          <w:ilvl w:val="0"/>
          <w:numId w:val="224"/>
        </w:numPr>
        <w:pBdr/>
        <w:spacing/>
        <w:ind/>
        <w:rPr/>
      </w:pPr>
      <w:r>
        <w:t xml:space="preserve">Análise Efeitos Duradouros: Discordo</w:t>
      </w:r>
      <w:bookmarkEnd w:id="151"/>
      <w:r/>
    </w:p>
    <w:p>
      <w:pPr>
        <w:pStyle w:val="915"/>
        <w:pBdr/>
        <w:spacing/>
        <w:ind/>
        <w:rPr/>
      </w:pPr>
      <w:r/>
      <w:bookmarkStart w:id="152" w:name="auditoria-19699-constatação-nº-687382-1"/>
      <w:r>
        <w:t xml:space="preserve">Auditoria 19699, Constatação Nº 687382 (#1)</w:t>
      </w:r>
      <w:r/>
    </w:p>
    <w:p>
      <w:pPr>
        <w:pStyle w:val="927"/>
        <w:pBdr/>
        <w:spacing/>
        <w:ind/>
        <w:rPr/>
      </w:pPr>
      <w:r>
        <w:rPr>
          <w:b/>
          <w:bCs/>
        </w:rPr>
        <w:t xml:space="preserve">Finalidade</w:t>
      </w:r>
      <w:r>
        <w:t xml:space="preserve">: Verificar a implementação do PNCH quanto a efetiva prest. de serviços de at. integral à hanseníase</w:t>
      </w:r>
      <w:r/>
    </w:p>
    <w:p>
      <w:pPr>
        <w:pStyle w:val="926"/>
        <w:pBdr/>
        <w:spacing/>
        <w:ind/>
        <w:rPr/>
      </w:pPr>
      <w:r>
        <w:rPr>
          <w:b/>
          <w:bCs/>
        </w:rPr>
        <w:t xml:space="preserve">Constatação</w:t>
      </w:r>
      <w:r>
        <w:t xml:space="preserve">: A Secretaria de Estado da Saúde do Maranhão não realiza o acompanhamento, o controle e a avaliação dos serviços de atenção integral em hanseníase tipos II e III do Maranhão.</w:t>
      </w:r>
      <w:r/>
    </w:p>
    <w:p>
      <w:pPr>
        <w:pStyle w:val="926"/>
        <w:pBdr/>
        <w:spacing/>
        <w:ind/>
        <w:rPr/>
      </w:pPr>
      <w:r>
        <w:rPr>
          <w:b/>
          <w:bCs/>
        </w:rPr>
        <w:t xml:space="preserve">Recomendação</w:t>
      </w:r>
      <w:r>
        <w:t xml:space="preserve">: Acompanhar, controlar e avaliar os Serviços de Atenção Integral em Hanseníase tipos II e III no Maranhão, a fim de cumprir o preconizado no Art. 5º, da Portaria SAS/MS n.º 594, de 29/10/2010.</w:t>
      </w:r>
      <w:r/>
    </w:p>
    <w:p>
      <w:pPr>
        <w:pStyle w:val="926"/>
        <w:pBdr/>
        <w:spacing/>
        <w:ind/>
        <w:rPr/>
      </w:pPr>
      <w:r>
        <w:rPr>
          <w:b/>
          <w:bCs/>
        </w:rPr>
        <w:t xml:space="preserve">Análise Codificação</w:t>
      </w:r>
      <w:r>
        <w:t xml:space="preserve">: Em relação ao foco, a reco</w:t>
      </w:r>
      <w:r>
        <w:t xml:space="preserve">mendação propõe ações de acompanhamento, controle e avaliação dos serviços, que visam estabelecer um processo contínuo de monitoramento para prevenir a reocorrência da condição de falta de acompanhamento, caracterizando um foco na causa. Já em relação aos </w:t>
      </w:r>
      <w:r>
        <w:t xml:space="preserve">efeitos pretendidos pela recomendação, a implementação de um sistema estruturado de acompanhamento, controle e avaliação tende a criar mecanismos permanentes que independem de atores específicos, promovendo efeitos duradouros mesmo com mudanças de pessoal.</w:t>
      </w:r>
      <w:r/>
    </w:p>
    <w:p>
      <w:pPr>
        <w:pStyle w:val="928"/>
        <w:numPr>
          <w:ilvl w:val="0"/>
          <w:numId w:val="225"/>
        </w:numPr>
        <w:pBdr/>
        <w:spacing/>
        <w:ind/>
        <w:rPr/>
      </w:pPr>
      <w:r>
        <w:t xml:space="preserve">Ação Foco Causa: Sim</w:t>
      </w:r>
      <w:r/>
    </w:p>
    <w:p>
      <w:pPr>
        <w:pStyle w:val="928"/>
        <w:numPr>
          <w:ilvl w:val="0"/>
          <w:numId w:val="225"/>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propõe</w:t>
      </w:r>
      <w:r>
        <w:t xml:space="preserve"> ações de acompanhamento, controle e avaliação, que podem ser interpretadas como medidas para prevenir a reocorrência da condição, mas não abordam explicitamente a causa raiz do problema, como falta de recursos, capacitação ou estrutura. Quanto ao critério</w:t>
      </w:r>
      <w:r>
        <w:t xml:space="preserve"> </w:t>
      </w:r>
      <w:r>
        <w:t xml:space="preserve">‘Efeitos Duradouros’</w:t>
      </w:r>
      <w:r>
        <w:t xml:space="preserve">, a análise assume que a implementação criará mecanismos permanentes, mas a recomendação é genérica e não especifica se esses mecanismos serão institucionalizados de forma independente de atores.</w:t>
      </w:r>
      <w:r/>
    </w:p>
    <w:p>
      <w:pPr>
        <w:pStyle w:val="928"/>
        <w:numPr>
          <w:ilvl w:val="0"/>
          <w:numId w:val="226"/>
        </w:numPr>
        <w:pBdr/>
        <w:spacing/>
        <w:ind/>
        <w:rPr/>
      </w:pPr>
      <w:r>
        <w:t xml:space="preserve">Análise Foco Causa: Discordo</w:t>
      </w:r>
      <w:r/>
    </w:p>
    <w:p>
      <w:pPr>
        <w:pStyle w:val="928"/>
        <w:numPr>
          <w:ilvl w:val="0"/>
          <w:numId w:val="226"/>
        </w:numPr>
        <w:pBdr/>
        <w:spacing/>
        <w:ind/>
        <w:rPr/>
      </w:pPr>
      <w:r>
        <w:t xml:space="preserve">Análise Efeitos Duradouros: Discordo</w:t>
      </w:r>
      <w:bookmarkEnd w:id="152"/>
      <w:r/>
    </w:p>
    <w:p>
      <w:pPr>
        <w:pStyle w:val="915"/>
        <w:pBdr/>
        <w:spacing/>
        <w:ind/>
        <w:rPr/>
      </w:pPr>
      <w:r/>
      <w:bookmarkStart w:id="153" w:name="auditoria-19852-constatação-nº-703392-1"/>
      <w:r>
        <w:t xml:space="preserve">Auditoria 19852, Constatação Nº 703392 (#1)</w:t>
      </w:r>
      <w:r/>
    </w:p>
    <w:p>
      <w:pPr>
        <w:pStyle w:val="927"/>
        <w:pBdr/>
        <w:spacing/>
        <w:ind/>
        <w:rPr/>
      </w:pPr>
      <w:r>
        <w:rPr>
          <w:b/>
          <w:bCs/>
        </w:rPr>
        <w:t xml:space="preserve">Finalidade</w:t>
      </w:r>
      <w:r>
        <w:t xml:space="preserve">: Verificar a gestão e o gerenciamento dos Centros de Referência em Saúde do Trabalhador - CERESTs</w:t>
      </w:r>
      <w:r/>
    </w:p>
    <w:p>
      <w:pPr>
        <w:pStyle w:val="926"/>
        <w:pBdr/>
        <w:spacing/>
        <w:ind/>
        <w:rPr/>
      </w:pPr>
      <w:r>
        <w:rPr>
          <w:b/>
          <w:bCs/>
        </w:rPr>
        <w:t xml:space="preserve">Constatação</w:t>
      </w:r>
      <w:r>
        <w:t xml:space="preserve">: O CEST/PR não estava em conformidade com os critérios de habilitação nos exercícios de 2023 e 2024 e não comprovou atuação efetiva nos municípios previstos no projeto de implantação.</w:t>
      </w:r>
      <w:r/>
    </w:p>
    <w:p>
      <w:pPr>
        <w:pStyle w:val="926"/>
        <w:pBdr/>
        <w:spacing/>
        <w:ind/>
        <w:rPr/>
      </w:pPr>
      <w:r>
        <w:rPr>
          <w:b/>
          <w:bCs/>
        </w:rPr>
        <w:t xml:space="preserve">Recomendação</w:t>
      </w:r>
      <w:r>
        <w:t xml:space="preserve">: 1. Subsidiar tecnicamente nas ações de promoção, prevenção, vigilância, diagnóstico, tratamento e reabilitação em saúde dos trabalhadores urbanos e rurais, conforme previsto</w:t>
      </w:r>
      <w:r>
        <w:t xml:space="preserve"> no art. 20, Capítulo II, Anexo X da Portaria de Consolidação MS/GM nº 3/2017, de 28/9/2017; 2. Cumprir os procedimentos previstos na habilitação, conforme previsto no art. 22, Capítulo II, Anexo X da Portaria de Consolidação MS/GM nº 3/2017, de 28/9/2017.</w:t>
      </w:r>
      <w:r/>
    </w:p>
    <w:p>
      <w:pPr>
        <w:pStyle w:val="926"/>
        <w:pBdr/>
        <w:spacing/>
        <w:ind/>
        <w:rPr/>
      </w:pPr>
      <w:r>
        <w:rPr>
          <w:b/>
          <w:bCs/>
        </w:rPr>
        <w:t xml:space="preserve">Análise Codificação</w:t>
      </w:r>
      <w:r>
        <w:t xml:space="preserve">: Em relação ao foco, a recomendação pro</w:t>
      </w:r>
      <w:r>
        <w:t xml:space="preserve">põe ações para subsidiar tecnicamente as atividades de saúde do trabalhador e cumprir procedimentos de habilitação, o que aborda diretamente as causas da não conformidade e falta de comprovação de atuação, sendo, portanto, focada na causa. Já em relação ao</w:t>
      </w:r>
      <w:r>
        <w:t xml:space="preserve">s efeitos pretendidos pela recomendação, as ações sugeridas, como o cumprimento de procedimentos normativos, tendem a estabelecer práticas institucionais que podem persistir independentemente de mudanças nos atores envolvidos, indicando efeitos duradouros.</w:t>
      </w:r>
      <w:r/>
    </w:p>
    <w:p>
      <w:pPr>
        <w:pStyle w:val="928"/>
        <w:numPr>
          <w:ilvl w:val="0"/>
          <w:numId w:val="227"/>
        </w:numPr>
        <w:pBdr/>
        <w:spacing/>
        <w:ind/>
        <w:rPr/>
      </w:pPr>
      <w:r>
        <w:t xml:space="preserve">Ação Foco Causa: Sim</w:t>
      </w:r>
      <w:r/>
    </w:p>
    <w:p>
      <w:pPr>
        <w:pStyle w:val="928"/>
        <w:numPr>
          <w:ilvl w:val="0"/>
          <w:numId w:val="227"/>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‘Foco Causa’</w:t>
      </w:r>
      <w:r>
        <w:t xml:space="preserve">, a recomendação não propõe ações específicas para tratar as causas subjacentes da não conformidade e falta de comprovação de atuação, limitando-se a citar normas existentes sem indicar medidas corretivas concretas. Quanto ao critério</w:t>
      </w:r>
      <w:r>
        <w:t xml:space="preserve"> </w:t>
      </w:r>
      <w:r>
        <w:t xml:space="preserve">‘Efeitos Duradouros’</w:t>
      </w:r>
      <w:r>
        <w:t xml:space="preserve">, como o</w:t>
      </w:r>
      <w:r>
        <w:t xml:space="preserve"> </w:t>
      </w:r>
      <w:r>
        <w:t xml:space="preserve">‘Foco Causa’</w:t>
      </w:r>
      <w:r>
        <w:t xml:space="preserve"> </w:t>
      </w:r>
      <w:r>
        <w:t xml:space="preserve">não é adequadamente atendido, a análise sobre efeitos duradouros não se aplica de forma válida.</w:t>
      </w:r>
      <w:r/>
    </w:p>
    <w:p>
      <w:pPr>
        <w:pStyle w:val="928"/>
        <w:numPr>
          <w:ilvl w:val="0"/>
          <w:numId w:val="228"/>
        </w:numPr>
        <w:pBdr/>
        <w:spacing/>
        <w:ind/>
        <w:rPr/>
      </w:pPr>
      <w:r>
        <w:t xml:space="preserve">Análise Foco Causa: Discordo</w:t>
      </w:r>
      <w:r/>
    </w:p>
    <w:p>
      <w:pPr>
        <w:pStyle w:val="928"/>
        <w:numPr>
          <w:ilvl w:val="0"/>
          <w:numId w:val="228"/>
        </w:numPr>
        <w:pBdr/>
        <w:spacing/>
        <w:ind/>
        <w:rPr/>
      </w:pPr>
      <w:r>
        <w:t xml:space="preserve">Análise Efeitos Duradouros: Discordo</w:t>
      </w:r>
      <w:bookmarkEnd w:id="153"/>
      <w:bookmarkEnd w:id="154"/>
      <w:r/>
    </w:p>
    <w:sectPr>
      <w:footnotePr>
        <w:numRestart w:val="eachSect"/>
      </w:footnotePr>
      <w:endnotePr/>
      <w:type w:val="nextPage"/>
      <w:pgSz w:h="15840" w:orient="portrait" w:w="12240"/>
      <w:pgMar w:top="1417" w:right="1701" w:bottom="1417"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10000000000000000"/>
  </w:font>
  <w:font w:name="Courier New">
    <w:panose1 w:val="02070409020205020404"/>
  </w:font>
  <w:font w:name="Symbol">
    <w:panose1 w:val="05010000000000000000"/>
  </w:font>
  <w:font w:name="Consolas">
    <w:panose1 w:val="020B0606020202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0CD2DE"/>
    <w:lvl w:ilvl="0">
      <w:isLgl w:val="false"/>
      <w:lvlJc w:val="left"/>
      <w:lvlText w:val=" "/>
      <w:numFmt w:val="bullet"/>
      <w:pPr>
        <w:pBdr/>
        <w:tabs>
          <w:tab w:val="num" w:leader="none" w:pos="0"/>
        </w:tabs>
        <w:spacing/>
        <w:ind w:hanging="480" w:left="480"/>
      </w:pPr>
      <w:rPr/>
      <w:start w:val="0"/>
      <w:suff w:val="tab"/>
    </w:lvl>
    <w:lvl w:ilvl="1">
      <w:isLgl w:val="false"/>
      <w:lvlJc w:val="left"/>
      <w:lvlText w:val=" "/>
      <w:numFmt w:val="bullet"/>
      <w:pPr>
        <w:pBdr/>
        <w:tabs>
          <w:tab w:val="num" w:leader="none" w:pos="720"/>
        </w:tabs>
        <w:spacing/>
        <w:ind w:hanging="480" w:left="1200"/>
      </w:pPr>
      <w:rPr/>
      <w:start w:val="0"/>
      <w:suff w:val="tab"/>
    </w:lvl>
    <w:lvl w:ilvl="2">
      <w:isLgl w:val="false"/>
      <w:lvlJc w:val="left"/>
      <w:lvlText w:val=" "/>
      <w:numFmt w:val="bullet"/>
      <w:pPr>
        <w:pBdr/>
        <w:tabs>
          <w:tab w:val="num" w:leader="none" w:pos="1440"/>
        </w:tabs>
        <w:spacing/>
        <w:ind w:hanging="480" w:left="1920"/>
      </w:pPr>
      <w:rPr/>
      <w:start w:val="0"/>
      <w:suff w:val="tab"/>
    </w:lvl>
    <w:lvl w:ilvl="3">
      <w:isLgl w:val="false"/>
      <w:lvlJc w:val="left"/>
      <w:lvlText w:val=" "/>
      <w:numFmt w:val="bullet"/>
      <w:pPr>
        <w:pBdr/>
        <w:tabs>
          <w:tab w:val="num" w:leader="none" w:pos="2160"/>
        </w:tabs>
        <w:spacing/>
        <w:ind w:hanging="480" w:left="2640"/>
      </w:pPr>
      <w:rPr/>
      <w:start w:val="0"/>
      <w:suff w:val="tab"/>
    </w:lvl>
    <w:lvl w:ilvl="4">
      <w:isLgl w:val="false"/>
      <w:lvlJc w:val="left"/>
      <w:lvlText w:val=" "/>
      <w:numFmt w:val="bullet"/>
      <w:pPr>
        <w:pBdr/>
        <w:tabs>
          <w:tab w:val="num" w:leader="none" w:pos="2880"/>
        </w:tabs>
        <w:spacing/>
        <w:ind w:hanging="480" w:left="3360"/>
      </w:pPr>
      <w:rPr/>
      <w:start w:val="0"/>
      <w:suff w:val="tab"/>
    </w:lvl>
    <w:lvl w:ilvl="5">
      <w:isLgl w:val="false"/>
      <w:lvlJc w:val="left"/>
      <w:lvlText w:val=" "/>
      <w:numFmt w:val="bullet"/>
      <w:pPr>
        <w:pBdr/>
        <w:tabs>
          <w:tab w:val="num" w:leader="none" w:pos="3600"/>
        </w:tabs>
        <w:spacing/>
        <w:ind w:hanging="480" w:left="4080"/>
      </w:pPr>
      <w:rPr/>
      <w:start w:val="0"/>
      <w:suff w:val="tab"/>
    </w:lvl>
    <w:lvl w:ilvl="6">
      <w:isLgl w:val="false"/>
      <w:lvlJc w:val="left"/>
      <w:lvlText w:val=" "/>
      <w:numFmt w:val="bullet"/>
      <w:pPr>
        <w:pBdr/>
        <w:tabs>
          <w:tab w:val="num" w:leader="none" w:pos="4320"/>
        </w:tabs>
        <w:spacing/>
        <w:ind w:hanging="480" w:left="4800"/>
      </w:pPr>
      <w:rPr/>
      <w:start w:val="0"/>
      <w:suff w:val="tab"/>
    </w:lvl>
    <w:lvl w:ilvl="7">
      <w:isLgl w:val="false"/>
      <w:lvlJc w:val="left"/>
      <w:lvlText w:val=" "/>
      <w:numFmt w:val="bullet"/>
      <w:pPr>
        <w:pBdr/>
        <w:tabs>
          <w:tab w:val="num" w:leader="none" w:pos="5040"/>
        </w:tabs>
        <w:spacing/>
        <w:ind w:hanging="480" w:left="5520"/>
      </w:pPr>
      <w:rPr/>
      <w:start w:val="0"/>
      <w:suff w:val="tab"/>
    </w:lvl>
    <w:lvl w:ilvl="8">
      <w:isLgl w:val="false"/>
      <w:lvlJc w:val="left"/>
      <w:lvlText w:val=" "/>
      <w:numFmt w:val="bullet"/>
      <w:pPr>
        <w:pBdr/>
        <w:tabs>
          <w:tab w:val="num" w:leader="none" w:pos="5760"/>
        </w:tabs>
        <w:spacing/>
        <w:ind w:hanging="480" w:left="6240"/>
      </w:pPr>
      <w:rPr/>
      <w:start w:val="0"/>
      <w:suff w:val="tab"/>
    </w:lvl>
  </w:abstractNum>
  <w:abstractNum w:abstractNumId="1">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2">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num w:numId="1">
    <w:abstractNumId w:val="0"/>
  </w:num>
  <w:num w:numId="2">
    <w:abstractNumId w:val="1"/>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pt-BR"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92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9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2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2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2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2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2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2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2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2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2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2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2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2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2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2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2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2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2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2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2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2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2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2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2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2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2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2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2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2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2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2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2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2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2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2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2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2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2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2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2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2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2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2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2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2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2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2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2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2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2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2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2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2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2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2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92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92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92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92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92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2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2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2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2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2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2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2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2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923"/>
    <w:link w:val="914"/>
    <w:uiPriority w:val="9"/>
    <w:pPr>
      <w:pBdr/>
      <w:spacing/>
      <w:ind/>
    </w:pPr>
    <w:rPr>
      <w:rFonts w:ascii="Arial" w:hAnsi="Arial" w:eastAsia="Arial" w:cs="Arial"/>
      <w:color w:val="0f4761" w:themeColor="accent1" w:themeShade="BF"/>
      <w:sz w:val="40"/>
      <w:szCs w:val="40"/>
    </w:rPr>
  </w:style>
  <w:style w:type="character" w:styleId="151">
    <w:name w:val="Heading 2 Char"/>
    <w:basedOn w:val="923"/>
    <w:link w:val="915"/>
    <w:uiPriority w:val="9"/>
    <w:pPr>
      <w:pBdr/>
      <w:spacing/>
      <w:ind/>
    </w:pPr>
    <w:rPr>
      <w:rFonts w:ascii="Arial" w:hAnsi="Arial" w:eastAsia="Arial" w:cs="Arial"/>
      <w:color w:val="0f4761" w:themeColor="accent1" w:themeShade="BF"/>
      <w:sz w:val="32"/>
      <w:szCs w:val="32"/>
    </w:rPr>
  </w:style>
  <w:style w:type="character" w:styleId="152">
    <w:name w:val="Heading 3 Char"/>
    <w:basedOn w:val="923"/>
    <w:link w:val="916"/>
    <w:uiPriority w:val="9"/>
    <w:pPr>
      <w:pBdr/>
      <w:spacing/>
      <w:ind/>
    </w:pPr>
    <w:rPr>
      <w:rFonts w:ascii="Arial" w:hAnsi="Arial" w:eastAsia="Arial" w:cs="Arial"/>
      <w:color w:val="0f4761" w:themeColor="accent1" w:themeShade="BF"/>
      <w:sz w:val="28"/>
      <w:szCs w:val="28"/>
    </w:rPr>
  </w:style>
  <w:style w:type="character" w:styleId="153">
    <w:name w:val="Heading 4 Char"/>
    <w:basedOn w:val="923"/>
    <w:link w:val="917"/>
    <w:uiPriority w:val="9"/>
    <w:pPr>
      <w:pBdr/>
      <w:spacing/>
      <w:ind/>
    </w:pPr>
    <w:rPr>
      <w:rFonts w:ascii="Arial" w:hAnsi="Arial" w:eastAsia="Arial" w:cs="Arial"/>
      <w:i/>
      <w:iCs/>
      <w:color w:val="0f4761" w:themeColor="accent1" w:themeShade="BF"/>
    </w:rPr>
  </w:style>
  <w:style w:type="character" w:styleId="154">
    <w:name w:val="Heading 5 Char"/>
    <w:basedOn w:val="923"/>
    <w:link w:val="918"/>
    <w:uiPriority w:val="9"/>
    <w:pPr>
      <w:pBdr/>
      <w:spacing/>
      <w:ind/>
    </w:pPr>
    <w:rPr>
      <w:rFonts w:ascii="Arial" w:hAnsi="Arial" w:eastAsia="Arial" w:cs="Arial"/>
      <w:color w:val="0f4761" w:themeColor="accent1" w:themeShade="BF"/>
    </w:rPr>
  </w:style>
  <w:style w:type="character" w:styleId="155">
    <w:name w:val="Heading 6 Char"/>
    <w:basedOn w:val="923"/>
    <w:link w:val="919"/>
    <w:uiPriority w:val="9"/>
    <w:pPr>
      <w:pBdr/>
      <w:spacing/>
      <w:ind/>
    </w:pPr>
    <w:rPr>
      <w:rFonts w:ascii="Arial" w:hAnsi="Arial" w:eastAsia="Arial" w:cs="Arial"/>
      <w:i/>
      <w:iCs/>
      <w:color w:val="595959" w:themeColor="text1" w:themeTint="A6"/>
    </w:rPr>
  </w:style>
  <w:style w:type="character" w:styleId="156">
    <w:name w:val="Heading 7 Char"/>
    <w:basedOn w:val="923"/>
    <w:link w:val="920"/>
    <w:uiPriority w:val="9"/>
    <w:pPr>
      <w:pBdr/>
      <w:spacing/>
      <w:ind/>
    </w:pPr>
    <w:rPr>
      <w:rFonts w:ascii="Arial" w:hAnsi="Arial" w:eastAsia="Arial" w:cs="Arial"/>
      <w:color w:val="595959" w:themeColor="text1" w:themeTint="A6"/>
    </w:rPr>
  </w:style>
  <w:style w:type="character" w:styleId="157">
    <w:name w:val="Heading 8 Char"/>
    <w:basedOn w:val="923"/>
    <w:link w:val="921"/>
    <w:uiPriority w:val="9"/>
    <w:pPr>
      <w:pBdr/>
      <w:spacing/>
      <w:ind/>
    </w:pPr>
    <w:rPr>
      <w:rFonts w:ascii="Arial" w:hAnsi="Arial" w:eastAsia="Arial" w:cs="Arial"/>
      <w:i/>
      <w:iCs/>
      <w:color w:val="272727" w:themeColor="text1" w:themeTint="D8"/>
    </w:rPr>
  </w:style>
  <w:style w:type="character" w:styleId="158">
    <w:name w:val="Heading 9 Char"/>
    <w:basedOn w:val="923"/>
    <w:link w:val="922"/>
    <w:uiPriority w:val="9"/>
    <w:pPr>
      <w:pBdr/>
      <w:spacing/>
      <w:ind/>
    </w:pPr>
    <w:rPr>
      <w:rFonts w:ascii="Arial" w:hAnsi="Arial" w:eastAsia="Arial" w:cs="Arial"/>
      <w:i/>
      <w:iCs/>
      <w:color w:val="272727" w:themeColor="text1" w:themeTint="D8"/>
    </w:rPr>
  </w:style>
  <w:style w:type="character" w:styleId="160">
    <w:name w:val="Title Char"/>
    <w:basedOn w:val="923"/>
    <w:link w:val="929"/>
    <w:uiPriority w:val="10"/>
    <w:pPr>
      <w:pBdr/>
      <w:spacing/>
      <w:ind/>
    </w:pPr>
    <w:rPr>
      <w:rFonts w:ascii="Arial" w:hAnsi="Arial" w:eastAsia="Arial" w:cs="Arial"/>
      <w:spacing w:val="-10"/>
      <w:sz w:val="56"/>
      <w:szCs w:val="56"/>
    </w:rPr>
  </w:style>
  <w:style w:type="character" w:styleId="162">
    <w:name w:val="Subtitle Char"/>
    <w:basedOn w:val="923"/>
    <w:link w:val="931"/>
    <w:uiPriority w:val="11"/>
    <w:pPr>
      <w:pBdr/>
      <w:spacing/>
      <w:ind/>
    </w:pPr>
    <w:rPr>
      <w:color w:val="595959" w:themeColor="text1" w:themeTint="A6"/>
      <w:spacing w:val="15"/>
      <w:sz w:val="28"/>
      <w:szCs w:val="28"/>
    </w:rPr>
  </w:style>
  <w:style w:type="paragraph" w:styleId="163">
    <w:name w:val="Quote"/>
    <w:basedOn w:val="913"/>
    <w:next w:val="913"/>
    <w:link w:val="164"/>
    <w:uiPriority w:val="29"/>
    <w:qFormat/>
    <w:pPr>
      <w:pBdr/>
      <w:spacing w:before="160"/>
      <w:ind/>
      <w:jc w:val="center"/>
    </w:pPr>
    <w:rPr>
      <w:i/>
      <w:iCs/>
      <w:color w:val="404040" w:themeColor="text1" w:themeTint="BF"/>
    </w:rPr>
  </w:style>
  <w:style w:type="character" w:styleId="164">
    <w:name w:val="Quote Char"/>
    <w:basedOn w:val="923"/>
    <w:link w:val="163"/>
    <w:uiPriority w:val="29"/>
    <w:pPr>
      <w:pBdr/>
      <w:spacing/>
      <w:ind/>
    </w:pPr>
    <w:rPr>
      <w:i/>
      <w:iCs/>
      <w:color w:val="404040" w:themeColor="text1" w:themeTint="BF"/>
    </w:rPr>
  </w:style>
  <w:style w:type="paragraph" w:styleId="165">
    <w:name w:val="List Paragraph"/>
    <w:basedOn w:val="913"/>
    <w:uiPriority w:val="34"/>
    <w:qFormat/>
    <w:pPr>
      <w:pBdr/>
      <w:spacing/>
      <w:ind w:left="720"/>
      <w:contextualSpacing w:val="true"/>
    </w:pPr>
  </w:style>
  <w:style w:type="character" w:styleId="166">
    <w:name w:val="Intense Emphasis"/>
    <w:basedOn w:val="923"/>
    <w:uiPriority w:val="21"/>
    <w:qFormat/>
    <w:pPr>
      <w:pBdr/>
      <w:spacing/>
      <w:ind/>
    </w:pPr>
    <w:rPr>
      <w:i/>
      <w:iCs/>
      <w:color w:val="0f4761" w:themeColor="accent1" w:themeShade="BF"/>
    </w:rPr>
  </w:style>
  <w:style w:type="paragraph" w:styleId="167">
    <w:name w:val="Intense Quote"/>
    <w:basedOn w:val="913"/>
    <w:next w:val="91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923"/>
    <w:link w:val="167"/>
    <w:uiPriority w:val="30"/>
    <w:pPr>
      <w:pBdr/>
      <w:spacing/>
      <w:ind/>
    </w:pPr>
    <w:rPr>
      <w:i/>
      <w:iCs/>
      <w:color w:val="0f4761" w:themeColor="accent1" w:themeShade="BF"/>
    </w:rPr>
  </w:style>
  <w:style w:type="character" w:styleId="169">
    <w:name w:val="Intense Reference"/>
    <w:basedOn w:val="923"/>
    <w:uiPriority w:val="32"/>
    <w:qFormat/>
    <w:pPr>
      <w:pBdr/>
      <w:spacing/>
      <w:ind/>
    </w:pPr>
    <w:rPr>
      <w:b/>
      <w:bCs/>
      <w:smallCaps/>
      <w:color w:val="0f4761" w:themeColor="accent1" w:themeShade="BF"/>
      <w:spacing w:val="5"/>
    </w:rPr>
  </w:style>
  <w:style w:type="paragraph" w:styleId="170">
    <w:name w:val="No Spacing"/>
    <w:basedOn w:val="913"/>
    <w:uiPriority w:val="1"/>
    <w:qFormat/>
    <w:pPr>
      <w:pBdr/>
      <w:spacing w:after="0" w:line="240" w:lineRule="auto"/>
      <w:ind/>
    </w:pPr>
  </w:style>
  <w:style w:type="character" w:styleId="171">
    <w:name w:val="Subtle Emphasis"/>
    <w:basedOn w:val="923"/>
    <w:uiPriority w:val="19"/>
    <w:qFormat/>
    <w:pPr>
      <w:pBdr/>
      <w:spacing/>
      <w:ind/>
    </w:pPr>
    <w:rPr>
      <w:i/>
      <w:iCs/>
      <w:color w:val="404040" w:themeColor="text1" w:themeTint="BF"/>
    </w:rPr>
  </w:style>
  <w:style w:type="character" w:styleId="172">
    <w:name w:val="Emphasis"/>
    <w:basedOn w:val="923"/>
    <w:uiPriority w:val="20"/>
    <w:qFormat/>
    <w:pPr>
      <w:pBdr/>
      <w:spacing/>
      <w:ind/>
    </w:pPr>
    <w:rPr>
      <w:i/>
      <w:iCs/>
    </w:rPr>
  </w:style>
  <w:style w:type="character" w:styleId="173">
    <w:name w:val="Strong"/>
    <w:basedOn w:val="923"/>
    <w:uiPriority w:val="22"/>
    <w:qFormat/>
    <w:pPr>
      <w:pBdr/>
      <w:spacing/>
      <w:ind/>
    </w:pPr>
    <w:rPr>
      <w:b/>
      <w:bCs/>
    </w:rPr>
  </w:style>
  <w:style w:type="character" w:styleId="174">
    <w:name w:val="Subtle Reference"/>
    <w:basedOn w:val="923"/>
    <w:uiPriority w:val="31"/>
    <w:qFormat/>
    <w:pPr>
      <w:pBdr/>
      <w:spacing/>
      <w:ind/>
    </w:pPr>
    <w:rPr>
      <w:smallCaps/>
      <w:color w:val="5a5a5a" w:themeColor="text1" w:themeTint="A5"/>
    </w:rPr>
  </w:style>
  <w:style w:type="character" w:styleId="175">
    <w:name w:val="Book Title"/>
    <w:basedOn w:val="923"/>
    <w:uiPriority w:val="33"/>
    <w:qFormat/>
    <w:pPr>
      <w:pBdr/>
      <w:spacing/>
      <w:ind/>
    </w:pPr>
    <w:rPr>
      <w:b/>
      <w:bCs/>
      <w:i/>
      <w:iCs/>
      <w:spacing w:val="5"/>
    </w:rPr>
  </w:style>
  <w:style w:type="paragraph" w:styleId="176">
    <w:name w:val="Header"/>
    <w:basedOn w:val="913"/>
    <w:link w:val="177"/>
    <w:uiPriority w:val="99"/>
    <w:unhideWhenUsed/>
    <w:pPr>
      <w:pBdr/>
      <w:tabs>
        <w:tab w:val="center" w:leader="none" w:pos="4844"/>
        <w:tab w:val="right" w:leader="none" w:pos="9689"/>
      </w:tabs>
      <w:spacing w:after="0" w:line="240" w:lineRule="auto"/>
      <w:ind/>
    </w:pPr>
  </w:style>
  <w:style w:type="character" w:styleId="177">
    <w:name w:val="Header Char"/>
    <w:basedOn w:val="923"/>
    <w:link w:val="176"/>
    <w:uiPriority w:val="99"/>
    <w:pPr>
      <w:pBdr/>
      <w:spacing/>
      <w:ind/>
    </w:pPr>
  </w:style>
  <w:style w:type="paragraph" w:styleId="178">
    <w:name w:val="Footer"/>
    <w:basedOn w:val="913"/>
    <w:link w:val="179"/>
    <w:uiPriority w:val="99"/>
    <w:unhideWhenUsed/>
    <w:pPr>
      <w:pBdr/>
      <w:tabs>
        <w:tab w:val="center" w:leader="none" w:pos="4844"/>
        <w:tab w:val="right" w:leader="none" w:pos="9689"/>
      </w:tabs>
      <w:spacing w:after="0" w:line="240" w:lineRule="auto"/>
      <w:ind/>
    </w:pPr>
  </w:style>
  <w:style w:type="character" w:styleId="179">
    <w:name w:val="Footer Char"/>
    <w:basedOn w:val="923"/>
    <w:link w:val="178"/>
    <w:uiPriority w:val="99"/>
    <w:pPr>
      <w:pBdr/>
      <w:spacing/>
      <w:ind/>
    </w:pPr>
  </w:style>
  <w:style w:type="character" w:styleId="182">
    <w:name w:val="Footnote Text Char"/>
    <w:basedOn w:val="923"/>
    <w:link w:val="948"/>
    <w:uiPriority w:val="99"/>
    <w:semiHidden/>
    <w:pPr>
      <w:pBdr/>
      <w:spacing/>
      <w:ind/>
    </w:pPr>
    <w:rPr>
      <w:sz w:val="20"/>
      <w:szCs w:val="20"/>
    </w:rPr>
  </w:style>
  <w:style w:type="paragraph" w:styleId="184">
    <w:name w:val="endnote text"/>
    <w:basedOn w:val="913"/>
    <w:link w:val="185"/>
    <w:uiPriority w:val="99"/>
    <w:semiHidden/>
    <w:unhideWhenUsed/>
    <w:pPr>
      <w:pBdr/>
      <w:spacing w:after="0" w:line="240" w:lineRule="auto"/>
      <w:ind/>
    </w:pPr>
    <w:rPr>
      <w:sz w:val="20"/>
      <w:szCs w:val="20"/>
    </w:rPr>
  </w:style>
  <w:style w:type="character" w:styleId="185">
    <w:name w:val="Endnote Text Char"/>
    <w:basedOn w:val="923"/>
    <w:link w:val="184"/>
    <w:uiPriority w:val="99"/>
    <w:semiHidden/>
    <w:pPr>
      <w:pBdr/>
      <w:spacing/>
      <w:ind/>
    </w:pPr>
    <w:rPr>
      <w:sz w:val="20"/>
      <w:szCs w:val="20"/>
    </w:rPr>
  </w:style>
  <w:style w:type="character" w:styleId="186">
    <w:name w:val="endnote reference"/>
    <w:basedOn w:val="923"/>
    <w:uiPriority w:val="99"/>
    <w:semiHidden/>
    <w:unhideWhenUsed/>
    <w:pPr>
      <w:pBdr/>
      <w:spacing/>
      <w:ind/>
    </w:pPr>
    <w:rPr>
      <w:vertAlign w:val="superscript"/>
    </w:rPr>
  </w:style>
  <w:style w:type="character" w:styleId="188">
    <w:name w:val="FollowedHyperlink"/>
    <w:basedOn w:val="923"/>
    <w:uiPriority w:val="99"/>
    <w:semiHidden/>
    <w:unhideWhenUsed/>
    <w:pPr>
      <w:pBdr/>
      <w:spacing/>
      <w:ind/>
    </w:pPr>
    <w:rPr>
      <w:color w:val="954f72" w:themeColor="followedHyperlink"/>
      <w:u w:val="single"/>
    </w:rPr>
  </w:style>
  <w:style w:type="paragraph" w:styleId="189">
    <w:name w:val="toc 1"/>
    <w:basedOn w:val="913"/>
    <w:next w:val="913"/>
    <w:uiPriority w:val="39"/>
    <w:unhideWhenUsed/>
    <w:pPr>
      <w:pBdr/>
      <w:spacing w:after="100"/>
      <w:ind/>
    </w:pPr>
  </w:style>
  <w:style w:type="paragraph" w:styleId="190">
    <w:name w:val="toc 2"/>
    <w:basedOn w:val="913"/>
    <w:next w:val="913"/>
    <w:uiPriority w:val="39"/>
    <w:unhideWhenUsed/>
    <w:pPr>
      <w:pBdr/>
      <w:spacing w:after="100"/>
      <w:ind w:left="220"/>
    </w:pPr>
  </w:style>
  <w:style w:type="paragraph" w:styleId="191">
    <w:name w:val="toc 3"/>
    <w:basedOn w:val="913"/>
    <w:next w:val="913"/>
    <w:uiPriority w:val="39"/>
    <w:unhideWhenUsed/>
    <w:pPr>
      <w:pBdr/>
      <w:spacing w:after="100"/>
      <w:ind w:left="440"/>
    </w:pPr>
  </w:style>
  <w:style w:type="paragraph" w:styleId="192">
    <w:name w:val="toc 4"/>
    <w:basedOn w:val="913"/>
    <w:next w:val="913"/>
    <w:uiPriority w:val="39"/>
    <w:unhideWhenUsed/>
    <w:pPr>
      <w:pBdr/>
      <w:spacing w:after="100"/>
      <w:ind w:left="660"/>
    </w:pPr>
  </w:style>
  <w:style w:type="paragraph" w:styleId="193">
    <w:name w:val="toc 5"/>
    <w:basedOn w:val="913"/>
    <w:next w:val="913"/>
    <w:uiPriority w:val="39"/>
    <w:unhideWhenUsed/>
    <w:pPr>
      <w:pBdr/>
      <w:spacing w:after="100"/>
      <w:ind w:left="880"/>
    </w:pPr>
  </w:style>
  <w:style w:type="paragraph" w:styleId="194">
    <w:name w:val="toc 6"/>
    <w:basedOn w:val="913"/>
    <w:next w:val="913"/>
    <w:uiPriority w:val="39"/>
    <w:unhideWhenUsed/>
    <w:pPr>
      <w:pBdr/>
      <w:spacing w:after="100"/>
      <w:ind w:left="1100"/>
    </w:pPr>
  </w:style>
  <w:style w:type="paragraph" w:styleId="195">
    <w:name w:val="toc 7"/>
    <w:basedOn w:val="913"/>
    <w:next w:val="913"/>
    <w:uiPriority w:val="39"/>
    <w:unhideWhenUsed/>
    <w:pPr>
      <w:pBdr/>
      <w:spacing w:after="100"/>
      <w:ind w:left="1320"/>
    </w:pPr>
  </w:style>
  <w:style w:type="paragraph" w:styleId="196">
    <w:name w:val="toc 8"/>
    <w:basedOn w:val="913"/>
    <w:next w:val="913"/>
    <w:uiPriority w:val="39"/>
    <w:unhideWhenUsed/>
    <w:pPr>
      <w:pBdr/>
      <w:spacing w:after="100"/>
      <w:ind w:left="1540"/>
    </w:pPr>
  </w:style>
  <w:style w:type="paragraph" w:styleId="197">
    <w:name w:val="toc 9"/>
    <w:basedOn w:val="913"/>
    <w:next w:val="913"/>
    <w:uiPriority w:val="39"/>
    <w:unhideWhenUsed/>
    <w:pPr>
      <w:pBdr/>
      <w:spacing w:after="100"/>
      <w:ind w:left="1760"/>
    </w:pPr>
  </w:style>
  <w:style w:type="character" w:styleId="198">
    <w:name w:val="Placeholder Text"/>
    <w:basedOn w:val="923"/>
    <w:uiPriority w:val="99"/>
    <w:semiHidden/>
    <w:pPr>
      <w:pBdr/>
      <w:spacing/>
      <w:ind/>
    </w:pPr>
    <w:rPr>
      <w:color w:val="666666"/>
    </w:rPr>
  </w:style>
  <w:style w:type="paragraph" w:styleId="209">
    <w:name w:val="table of figures"/>
    <w:basedOn w:val="913"/>
    <w:next w:val="913"/>
    <w:uiPriority w:val="99"/>
    <w:unhideWhenUsed/>
    <w:pPr>
      <w:pBdr/>
      <w:spacing w:after="0" w:afterAutospacing="0"/>
      <w:ind/>
    </w:pPr>
  </w:style>
  <w:style w:type="paragraph" w:styleId="913" w:default="1">
    <w:name w:val="Normal"/>
    <w:qFormat/>
    <w:pPr>
      <w:pBdr/>
      <w:spacing/>
      <w:ind/>
    </w:pPr>
  </w:style>
  <w:style w:type="paragraph" w:styleId="914">
    <w:name w:val="Heading 1"/>
    <w:basedOn w:val="913"/>
    <w:next w:val="926"/>
    <w:link w:val="938"/>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915">
    <w:name w:val="Heading 2"/>
    <w:basedOn w:val="913"/>
    <w:next w:val="926"/>
    <w:link w:val="939"/>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16">
    <w:name w:val="Heading 3"/>
    <w:basedOn w:val="913"/>
    <w:next w:val="926"/>
    <w:link w:val="940"/>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917">
    <w:name w:val="Heading 4"/>
    <w:basedOn w:val="913"/>
    <w:next w:val="926"/>
    <w:link w:val="941"/>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18">
    <w:name w:val="Heading 5"/>
    <w:basedOn w:val="913"/>
    <w:next w:val="926"/>
    <w:link w:val="942"/>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19">
    <w:name w:val="Heading 6"/>
    <w:basedOn w:val="913"/>
    <w:next w:val="926"/>
    <w:link w:val="943"/>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20">
    <w:name w:val="Heading 7"/>
    <w:basedOn w:val="913"/>
    <w:next w:val="926"/>
    <w:link w:val="944"/>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21">
    <w:name w:val="Heading 8"/>
    <w:basedOn w:val="913"/>
    <w:next w:val="926"/>
    <w:link w:val="945"/>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22">
    <w:name w:val="Heading 9"/>
    <w:basedOn w:val="913"/>
    <w:next w:val="926"/>
    <w:link w:val="946"/>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23" w:default="1">
    <w:name w:val="Default Paragraph Font"/>
    <w:uiPriority w:val="1"/>
    <w:semiHidden/>
    <w:unhideWhenUsed/>
    <w:pPr>
      <w:pBdr/>
      <w:spacing/>
      <w:ind/>
    </w:pPr>
  </w:style>
  <w:style w:type="table" w:styleId="92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5" w:default="1">
    <w:name w:val="No List"/>
    <w:uiPriority w:val="99"/>
    <w:semiHidden/>
    <w:unhideWhenUsed/>
    <w:pPr>
      <w:pBdr/>
      <w:spacing/>
      <w:ind/>
    </w:pPr>
  </w:style>
  <w:style w:type="paragraph" w:styleId="926">
    <w:name w:val="Body Text"/>
    <w:basedOn w:val="913"/>
    <w:qFormat/>
    <w:pPr>
      <w:pBdr/>
      <w:spacing w:after="180" w:before="180"/>
      <w:ind/>
    </w:pPr>
  </w:style>
  <w:style w:type="paragraph" w:styleId="927" w:customStyle="1">
    <w:name w:val="First Paragraph"/>
    <w:basedOn w:val="926"/>
    <w:next w:val="926"/>
    <w:qFormat/>
    <w:pPr>
      <w:pBdr/>
      <w:spacing/>
      <w:ind/>
    </w:pPr>
  </w:style>
  <w:style w:type="paragraph" w:styleId="928" w:customStyle="1">
    <w:name w:val="Compact"/>
    <w:basedOn w:val="926"/>
    <w:qFormat/>
    <w:pPr>
      <w:pBdr/>
      <w:spacing w:after="36" w:before="36"/>
      <w:ind/>
    </w:pPr>
    <w:rPr>
      <w:sz w:val="20"/>
    </w:rPr>
  </w:style>
  <w:style w:type="paragraph" w:styleId="929">
    <w:name w:val="Title"/>
    <w:basedOn w:val="913"/>
    <w:next w:val="926"/>
    <w:link w:val="930"/>
    <w:uiPriority w:val="10"/>
    <w:qFormat/>
    <w:pPr>
      <w:pBdr/>
      <w:spacing w:after="80"/>
      <w:ind/>
      <w:contextualSpacing w:val="true"/>
      <w:jc w:val="center"/>
    </w:pPr>
    <w:rPr>
      <w:rFonts w:asciiTheme="majorHAnsi" w:hAnsiTheme="majorHAnsi" w:eastAsiaTheme="majorEastAsia" w:cstheme="majorBidi"/>
      <w:sz w:val="56"/>
      <w:szCs w:val="56"/>
    </w:rPr>
  </w:style>
  <w:style w:type="character" w:styleId="930" w:customStyle="1">
    <w:name w:val="Título Char"/>
    <w:basedOn w:val="923"/>
    <w:link w:val="929"/>
    <w:uiPriority w:val="10"/>
    <w:pPr>
      <w:pBdr/>
      <w:spacing/>
      <w:ind/>
    </w:pPr>
    <w:rPr>
      <w:rFonts w:asciiTheme="majorHAnsi" w:hAnsiTheme="majorHAnsi" w:eastAsiaTheme="majorEastAsia" w:cstheme="majorBidi"/>
      <w:sz w:val="56"/>
      <w:szCs w:val="56"/>
    </w:rPr>
  </w:style>
  <w:style w:type="paragraph" w:styleId="931">
    <w:name w:val="Subtitle"/>
    <w:basedOn w:val="929"/>
    <w:next w:val="926"/>
    <w:link w:val="932"/>
    <w:uiPriority w:val="11"/>
    <w:qFormat/>
    <w:pPr>
      <w:numPr>
        <w:ilvl w:val="1"/>
      </w:numPr>
      <w:pBdr/>
      <w:spacing/>
      <w:ind/>
    </w:pPr>
    <w:rPr>
      <w:spacing w:val="15"/>
      <w:sz w:val="28"/>
      <w:szCs w:val="28"/>
    </w:rPr>
  </w:style>
  <w:style w:type="character" w:styleId="932" w:customStyle="1">
    <w:name w:val="Subtítulo Char"/>
    <w:basedOn w:val="923"/>
    <w:link w:val="931"/>
    <w:uiPriority w:val="11"/>
    <w:pPr>
      <w:pBdr/>
      <w:spacing/>
      <w:ind/>
    </w:pPr>
    <w:rPr>
      <w:rFonts w:eastAsiaTheme="majorEastAsia" w:cstheme="majorBidi"/>
      <w:color w:val="595959" w:themeColor="text1" w:themeTint="A6"/>
      <w:spacing w:val="15"/>
      <w:sz w:val="28"/>
      <w:szCs w:val="28"/>
    </w:rPr>
  </w:style>
  <w:style w:type="paragraph" w:styleId="933" w:customStyle="1">
    <w:name w:val="Author"/>
    <w:basedOn w:val="929"/>
    <w:next w:val="926"/>
    <w:qFormat/>
    <w:pPr>
      <w:keepNext w:val="true"/>
      <w:keepLines w:val="true"/>
      <w:pBdr/>
      <w:spacing/>
      <w:ind/>
    </w:pPr>
    <w:rPr>
      <w:sz w:val="24"/>
      <w:szCs w:val="24"/>
    </w:rPr>
  </w:style>
  <w:style w:type="paragraph" w:styleId="934">
    <w:name w:val="Date"/>
    <w:basedOn w:val="929"/>
    <w:next w:val="926"/>
    <w:qFormat/>
    <w:pPr>
      <w:keepNext w:val="true"/>
      <w:keepLines w:val="true"/>
      <w:pBdr/>
      <w:spacing/>
      <w:ind/>
    </w:pPr>
    <w:rPr>
      <w:sz w:val="24"/>
      <w:szCs w:val="24"/>
    </w:rPr>
  </w:style>
  <w:style w:type="paragraph" w:styleId="935" w:customStyle="1">
    <w:name w:val="Abstract Title"/>
    <w:basedOn w:val="913"/>
    <w:next w:val="936"/>
    <w:qFormat/>
    <w:pPr>
      <w:keepNext w:val="true"/>
      <w:keepLines w:val="true"/>
      <w:pBdr/>
      <w:spacing w:after="0" w:before="300"/>
      <w:ind/>
      <w:jc w:val="center"/>
    </w:pPr>
    <w:rPr>
      <w:b/>
      <w:sz w:val="20"/>
      <w:szCs w:val="20"/>
    </w:rPr>
  </w:style>
  <w:style w:type="paragraph" w:styleId="936" w:customStyle="1">
    <w:name w:val="Abstract"/>
    <w:basedOn w:val="913"/>
    <w:next w:val="926"/>
    <w:qFormat/>
    <w:pPr>
      <w:keepNext w:val="true"/>
      <w:keepLines w:val="true"/>
      <w:pBdr/>
      <w:spacing w:after="300" w:before="100"/>
      <w:ind/>
    </w:pPr>
    <w:rPr>
      <w:sz w:val="20"/>
      <w:szCs w:val="20"/>
    </w:rPr>
  </w:style>
  <w:style w:type="paragraph" w:styleId="937">
    <w:name w:val="Bibliography"/>
    <w:basedOn w:val="913"/>
    <w:qFormat/>
    <w:pPr>
      <w:pBdr/>
      <w:spacing/>
      <w:ind/>
    </w:pPr>
  </w:style>
  <w:style w:type="character" w:styleId="938" w:customStyle="1">
    <w:name w:val="Título 1 Char"/>
    <w:basedOn w:val="923"/>
    <w:link w:val="914"/>
    <w:uiPriority w:val="9"/>
    <w:pPr>
      <w:pBdr/>
      <w:spacing/>
      <w:ind/>
    </w:pPr>
    <w:rPr>
      <w:rFonts w:asciiTheme="majorHAnsi" w:hAnsiTheme="majorHAnsi" w:eastAsiaTheme="majorEastAsia" w:cstheme="majorBidi"/>
      <w:color w:val="0f4761" w:themeColor="accent1" w:themeShade="BF"/>
      <w:sz w:val="40"/>
      <w:szCs w:val="40"/>
    </w:rPr>
  </w:style>
  <w:style w:type="character" w:styleId="939" w:customStyle="1">
    <w:name w:val="Título 2 Char"/>
    <w:basedOn w:val="923"/>
    <w:link w:val="915"/>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940" w:customStyle="1">
    <w:name w:val="Título 3 Char"/>
    <w:basedOn w:val="923"/>
    <w:link w:val="916"/>
    <w:uiPriority w:val="9"/>
    <w:semiHidden/>
    <w:pPr>
      <w:pBdr/>
      <w:spacing/>
      <w:ind/>
    </w:pPr>
    <w:rPr>
      <w:rFonts w:eastAsiaTheme="majorEastAsia" w:cstheme="majorBidi"/>
      <w:color w:val="0f4761" w:themeColor="accent1" w:themeShade="BF"/>
      <w:sz w:val="28"/>
      <w:szCs w:val="28"/>
    </w:rPr>
  </w:style>
  <w:style w:type="character" w:styleId="941" w:customStyle="1">
    <w:name w:val="Título 4 Char"/>
    <w:basedOn w:val="923"/>
    <w:link w:val="917"/>
    <w:uiPriority w:val="9"/>
    <w:semiHidden/>
    <w:pPr>
      <w:pBdr/>
      <w:spacing/>
      <w:ind/>
    </w:pPr>
    <w:rPr>
      <w:rFonts w:eastAsiaTheme="majorEastAsia" w:cstheme="majorBidi"/>
      <w:i/>
      <w:iCs/>
      <w:color w:val="0f4761" w:themeColor="accent1" w:themeShade="BF"/>
    </w:rPr>
  </w:style>
  <w:style w:type="character" w:styleId="942" w:customStyle="1">
    <w:name w:val="Título 5 Char"/>
    <w:basedOn w:val="923"/>
    <w:link w:val="918"/>
    <w:uiPriority w:val="9"/>
    <w:semiHidden/>
    <w:pPr>
      <w:pBdr/>
      <w:spacing/>
      <w:ind/>
    </w:pPr>
    <w:rPr>
      <w:rFonts w:eastAsiaTheme="majorEastAsia" w:cstheme="majorBidi"/>
      <w:color w:val="0f4761" w:themeColor="accent1" w:themeShade="BF"/>
    </w:rPr>
  </w:style>
  <w:style w:type="character" w:styleId="943" w:customStyle="1">
    <w:name w:val="Título 6 Char"/>
    <w:basedOn w:val="923"/>
    <w:link w:val="919"/>
    <w:uiPriority w:val="9"/>
    <w:semiHidden/>
    <w:pPr>
      <w:pBdr/>
      <w:spacing/>
      <w:ind/>
    </w:pPr>
    <w:rPr>
      <w:rFonts w:eastAsiaTheme="majorEastAsia" w:cstheme="majorBidi"/>
      <w:i/>
      <w:iCs/>
      <w:color w:val="595959" w:themeColor="text1" w:themeTint="A6"/>
    </w:rPr>
  </w:style>
  <w:style w:type="character" w:styleId="944" w:customStyle="1">
    <w:name w:val="Título 7 Char"/>
    <w:basedOn w:val="923"/>
    <w:link w:val="920"/>
    <w:uiPriority w:val="9"/>
    <w:semiHidden/>
    <w:pPr>
      <w:pBdr/>
      <w:spacing/>
      <w:ind/>
    </w:pPr>
    <w:rPr>
      <w:rFonts w:eastAsiaTheme="majorEastAsia" w:cstheme="majorBidi"/>
      <w:color w:val="595959" w:themeColor="text1" w:themeTint="A6"/>
    </w:rPr>
  </w:style>
  <w:style w:type="character" w:styleId="945" w:customStyle="1">
    <w:name w:val="Título 8 Char"/>
    <w:basedOn w:val="923"/>
    <w:link w:val="921"/>
    <w:uiPriority w:val="9"/>
    <w:semiHidden/>
    <w:pPr>
      <w:pBdr/>
      <w:spacing/>
      <w:ind/>
    </w:pPr>
    <w:rPr>
      <w:rFonts w:eastAsiaTheme="majorEastAsia" w:cstheme="majorBidi"/>
      <w:i/>
      <w:iCs/>
      <w:color w:val="272727" w:themeColor="text1" w:themeTint="D8"/>
    </w:rPr>
  </w:style>
  <w:style w:type="character" w:styleId="946" w:customStyle="1">
    <w:name w:val="Título 9 Char"/>
    <w:basedOn w:val="923"/>
    <w:link w:val="922"/>
    <w:uiPriority w:val="9"/>
    <w:semiHidden/>
    <w:pPr>
      <w:pBdr/>
      <w:spacing/>
      <w:ind/>
    </w:pPr>
    <w:rPr>
      <w:rFonts w:eastAsiaTheme="majorEastAsia" w:cstheme="majorBidi"/>
      <w:color w:val="272727" w:themeColor="text1" w:themeTint="D8"/>
    </w:rPr>
  </w:style>
  <w:style w:type="paragraph" w:styleId="947">
    <w:name w:val="Block Text"/>
    <w:basedOn w:val="926"/>
    <w:next w:val="926"/>
    <w:uiPriority w:val="9"/>
    <w:unhideWhenUsed/>
    <w:qFormat/>
    <w:pPr>
      <w:pBdr/>
      <w:spacing w:after="100" w:before="100"/>
      <w:ind w:right="480" w:left="480"/>
    </w:pPr>
  </w:style>
  <w:style w:type="paragraph" w:styleId="948">
    <w:name w:val="footnote text"/>
    <w:basedOn w:val="913"/>
    <w:uiPriority w:val="9"/>
    <w:unhideWhenUsed/>
    <w:qFormat/>
    <w:pPr>
      <w:pBdr/>
      <w:spacing/>
      <w:ind/>
    </w:pPr>
  </w:style>
  <w:style w:type="paragraph" w:styleId="949" w:customStyle="1">
    <w:name w:val="Footnote Block Text"/>
    <w:basedOn w:val="948"/>
    <w:next w:val="948"/>
    <w:uiPriority w:val="9"/>
    <w:unhideWhenUsed/>
    <w:qFormat/>
    <w:pPr>
      <w:pBdr/>
      <w:spacing w:after="100" w:before="100"/>
      <w:ind w:right="480" w:left="480"/>
    </w:pPr>
  </w:style>
  <w:style w:type="table" w:styleId="950" w:customStyle="1">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rPr>
        <w:jc w:val="left"/>
      </w:trPr>
      <w:tcPr>
        <w:tcBorders>
          <w:bottom w:val="single" w:color="000000" w:sz="0"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1" w:customStyle="1">
    <w:name w:val="Definition Term"/>
    <w:basedOn w:val="913"/>
    <w:next w:val="952"/>
    <w:pPr>
      <w:keepNext w:val="true"/>
      <w:keepLines w:val="true"/>
      <w:pBdr/>
      <w:spacing w:after="0"/>
      <w:ind/>
    </w:pPr>
    <w:rPr>
      <w:b/>
    </w:rPr>
  </w:style>
  <w:style w:type="paragraph" w:styleId="952" w:customStyle="1">
    <w:name w:val="Definition"/>
    <w:basedOn w:val="913"/>
    <w:pPr>
      <w:pBdr/>
      <w:spacing/>
      <w:ind/>
    </w:pPr>
  </w:style>
  <w:style w:type="paragraph" w:styleId="953">
    <w:name w:val="Caption"/>
    <w:basedOn w:val="913"/>
    <w:link w:val="958"/>
    <w:pPr>
      <w:pBdr/>
      <w:spacing w:after="120"/>
      <w:ind/>
    </w:pPr>
    <w:rPr>
      <w:i/>
    </w:rPr>
  </w:style>
  <w:style w:type="paragraph" w:styleId="954" w:customStyle="1">
    <w:name w:val="Table Caption"/>
    <w:basedOn w:val="953"/>
    <w:pPr>
      <w:keepNext w:val="true"/>
      <w:pBdr/>
      <w:spacing/>
      <w:ind/>
    </w:pPr>
  </w:style>
  <w:style w:type="paragraph" w:styleId="955" w:customStyle="1">
    <w:name w:val="Image Caption"/>
    <w:basedOn w:val="953"/>
    <w:pPr>
      <w:pBdr/>
      <w:spacing/>
      <w:ind/>
    </w:pPr>
  </w:style>
  <w:style w:type="paragraph" w:styleId="956" w:customStyle="1">
    <w:name w:val="Figure"/>
    <w:basedOn w:val="913"/>
    <w:pPr>
      <w:pBdr/>
      <w:spacing/>
      <w:ind/>
    </w:pPr>
  </w:style>
  <w:style w:type="paragraph" w:styleId="957" w:customStyle="1">
    <w:name w:val="Captioned Figure"/>
    <w:basedOn w:val="956"/>
    <w:pPr>
      <w:keepNext w:val="true"/>
      <w:pBdr/>
      <w:spacing/>
      <w:ind/>
    </w:pPr>
  </w:style>
  <w:style w:type="character" w:styleId="958" w:customStyle="1">
    <w:name w:val="Legenda Char"/>
    <w:basedOn w:val="923"/>
    <w:link w:val="953"/>
    <w:pPr>
      <w:pBdr/>
      <w:spacing/>
      <w:ind/>
    </w:pPr>
  </w:style>
  <w:style w:type="character" w:styleId="959" w:customStyle="1">
    <w:name w:val="Verbatim Char"/>
    <w:basedOn w:val="958"/>
    <w:pPr>
      <w:pBdr/>
      <w:spacing/>
      <w:ind/>
    </w:pPr>
    <w:rPr>
      <w:rFonts w:ascii="Consolas" w:hAnsi="Consolas"/>
      <w:sz w:val="20"/>
    </w:rPr>
  </w:style>
  <w:style w:type="character" w:styleId="960" w:customStyle="1">
    <w:name w:val="Section Number"/>
    <w:basedOn w:val="958"/>
    <w:pPr>
      <w:pBdr/>
      <w:spacing/>
      <w:ind/>
    </w:pPr>
  </w:style>
  <w:style w:type="character" w:styleId="961">
    <w:name w:val="footnote reference"/>
    <w:basedOn w:val="958"/>
    <w:pPr>
      <w:pBdr/>
      <w:spacing/>
      <w:ind/>
    </w:pPr>
    <w:rPr>
      <w:vertAlign w:val="superscript"/>
    </w:rPr>
  </w:style>
  <w:style w:type="character" w:styleId="962">
    <w:name w:val="Hyperlink"/>
    <w:basedOn w:val="958"/>
    <w:pPr>
      <w:pBdr/>
      <w:spacing/>
      <w:ind/>
    </w:pPr>
    <w:rPr>
      <w:color w:val="156082" w:themeColor="accent1"/>
    </w:rPr>
  </w:style>
  <w:style w:type="paragraph" w:styleId="963">
    <w:name w:val="TOC Heading"/>
    <w:basedOn w:val="914"/>
    <w:next w:val="926"/>
    <w:uiPriority w:val="39"/>
    <w:unhideWhenUsed/>
    <w:qFormat/>
    <w:pPr>
      <w:pBdr/>
      <w:spacing w:before="240" w:line="259" w:lineRule="auto"/>
      <w:ind/>
      <w:outlineLvl w:val="9"/>
    </w:pPr>
  </w:style>
  <w:style w:type="paragraph" w:styleId="964" w:customStyle="1">
    <w:name w:val="Source Code"/>
    <w:basedOn w:val="913"/>
    <w:link w:val="959"/>
    <w:pPr>
      <w:pBdr/>
      <w:shd w:val="clear" w:color="auto" w:fill="f1f3f5"/>
      <w:spacing/>
      <w:ind/>
    </w:pPr>
  </w:style>
  <w:style w:type="character" w:styleId="965" w:customStyle="1">
    <w:name w:val="KeywordTok"/>
    <w:basedOn w:val="959"/>
    <w:pPr>
      <w:pBdr/>
      <w:spacing/>
      <w:ind/>
    </w:pPr>
    <w:rPr>
      <w:b/>
      <w:color w:val="003b4f"/>
      <w:shd w:val="clear" w:color="auto" w:fill="f1f3f5"/>
    </w:rPr>
  </w:style>
  <w:style w:type="character" w:styleId="966" w:customStyle="1">
    <w:name w:val="DataTypeTok"/>
    <w:basedOn w:val="959"/>
    <w:pPr>
      <w:pBdr/>
      <w:spacing/>
      <w:ind/>
    </w:pPr>
    <w:rPr>
      <w:color w:val="ad0000"/>
      <w:shd w:val="clear" w:color="auto" w:fill="f1f3f5"/>
    </w:rPr>
  </w:style>
  <w:style w:type="character" w:styleId="967" w:customStyle="1">
    <w:name w:val="DecValTok"/>
    <w:basedOn w:val="959"/>
    <w:pPr>
      <w:pBdr/>
      <w:spacing/>
      <w:ind/>
    </w:pPr>
    <w:rPr>
      <w:color w:val="ad0000"/>
      <w:shd w:val="clear" w:color="auto" w:fill="f1f3f5"/>
    </w:rPr>
  </w:style>
  <w:style w:type="character" w:styleId="968" w:customStyle="1">
    <w:name w:val="BaseNTok"/>
    <w:basedOn w:val="959"/>
    <w:pPr>
      <w:pBdr/>
      <w:spacing/>
      <w:ind/>
    </w:pPr>
    <w:rPr>
      <w:color w:val="ad0000"/>
      <w:shd w:val="clear" w:color="auto" w:fill="f1f3f5"/>
    </w:rPr>
  </w:style>
  <w:style w:type="character" w:styleId="969" w:customStyle="1">
    <w:name w:val="FloatTok"/>
    <w:basedOn w:val="959"/>
    <w:pPr>
      <w:pBdr/>
      <w:spacing/>
      <w:ind/>
    </w:pPr>
    <w:rPr>
      <w:color w:val="ad0000"/>
      <w:shd w:val="clear" w:color="auto" w:fill="f1f3f5"/>
    </w:rPr>
  </w:style>
  <w:style w:type="character" w:styleId="970" w:customStyle="1">
    <w:name w:val="ConstantTok"/>
    <w:basedOn w:val="959"/>
    <w:pPr>
      <w:pBdr/>
      <w:spacing/>
      <w:ind/>
    </w:pPr>
    <w:rPr>
      <w:color w:val="8f5902"/>
      <w:shd w:val="clear" w:color="auto" w:fill="f1f3f5"/>
    </w:rPr>
  </w:style>
  <w:style w:type="character" w:styleId="971" w:customStyle="1">
    <w:name w:val="CharTok"/>
    <w:basedOn w:val="959"/>
    <w:pPr>
      <w:pBdr/>
      <w:spacing/>
      <w:ind/>
    </w:pPr>
    <w:rPr>
      <w:color w:val="20794d"/>
      <w:shd w:val="clear" w:color="auto" w:fill="f1f3f5"/>
    </w:rPr>
  </w:style>
  <w:style w:type="character" w:styleId="972" w:customStyle="1">
    <w:name w:val="SpecialCharTok"/>
    <w:basedOn w:val="959"/>
    <w:pPr>
      <w:pBdr/>
      <w:spacing/>
      <w:ind/>
    </w:pPr>
    <w:rPr>
      <w:color w:val="5e5e5e"/>
      <w:shd w:val="clear" w:color="auto" w:fill="f1f3f5"/>
    </w:rPr>
  </w:style>
  <w:style w:type="character" w:styleId="973" w:customStyle="1">
    <w:name w:val="StringTok"/>
    <w:basedOn w:val="959"/>
    <w:pPr>
      <w:pBdr/>
      <w:spacing/>
      <w:ind/>
    </w:pPr>
    <w:rPr>
      <w:color w:val="20794d"/>
      <w:shd w:val="clear" w:color="auto" w:fill="f1f3f5"/>
    </w:rPr>
  </w:style>
  <w:style w:type="character" w:styleId="974" w:customStyle="1">
    <w:name w:val="VerbatimStringTok"/>
    <w:basedOn w:val="959"/>
    <w:pPr>
      <w:pBdr/>
      <w:spacing/>
      <w:ind/>
    </w:pPr>
    <w:rPr>
      <w:color w:val="20794d"/>
      <w:shd w:val="clear" w:color="auto" w:fill="f1f3f5"/>
    </w:rPr>
  </w:style>
  <w:style w:type="character" w:styleId="975" w:customStyle="1">
    <w:name w:val="SpecialStringTok"/>
    <w:basedOn w:val="959"/>
    <w:pPr>
      <w:pBdr/>
      <w:spacing/>
      <w:ind/>
    </w:pPr>
    <w:rPr>
      <w:color w:val="20794d"/>
      <w:shd w:val="clear" w:color="auto" w:fill="f1f3f5"/>
    </w:rPr>
  </w:style>
  <w:style w:type="character" w:styleId="976" w:customStyle="1">
    <w:name w:val="ImportTok"/>
    <w:basedOn w:val="959"/>
    <w:pPr>
      <w:pBdr/>
      <w:spacing/>
      <w:ind/>
    </w:pPr>
    <w:rPr>
      <w:color w:val="00769e"/>
      <w:shd w:val="clear" w:color="auto" w:fill="f1f3f5"/>
    </w:rPr>
  </w:style>
  <w:style w:type="character" w:styleId="977" w:customStyle="1">
    <w:name w:val="CommentTok"/>
    <w:basedOn w:val="959"/>
    <w:pPr>
      <w:pBdr/>
      <w:spacing/>
      <w:ind/>
    </w:pPr>
    <w:rPr>
      <w:color w:val="5e5e5e"/>
      <w:shd w:val="clear" w:color="auto" w:fill="f1f3f5"/>
    </w:rPr>
  </w:style>
  <w:style w:type="character" w:styleId="978" w:customStyle="1">
    <w:name w:val="DocumentationTok"/>
    <w:basedOn w:val="959"/>
    <w:pPr>
      <w:pBdr/>
      <w:spacing/>
      <w:ind/>
    </w:pPr>
    <w:rPr>
      <w:i/>
      <w:color w:val="5e5e5e"/>
      <w:shd w:val="clear" w:color="auto" w:fill="f1f3f5"/>
    </w:rPr>
  </w:style>
  <w:style w:type="character" w:styleId="979" w:customStyle="1">
    <w:name w:val="AnnotationTok"/>
    <w:basedOn w:val="959"/>
    <w:pPr>
      <w:pBdr/>
      <w:spacing/>
      <w:ind/>
    </w:pPr>
    <w:rPr>
      <w:color w:val="5e5e5e"/>
      <w:shd w:val="clear" w:color="auto" w:fill="f1f3f5"/>
    </w:rPr>
  </w:style>
  <w:style w:type="character" w:styleId="980" w:customStyle="1">
    <w:name w:val="CommentVarTok"/>
    <w:basedOn w:val="959"/>
    <w:pPr>
      <w:pBdr/>
      <w:spacing/>
      <w:ind/>
    </w:pPr>
    <w:rPr>
      <w:i/>
      <w:color w:val="5e5e5e"/>
      <w:shd w:val="clear" w:color="auto" w:fill="f1f3f5"/>
    </w:rPr>
  </w:style>
  <w:style w:type="character" w:styleId="981" w:customStyle="1">
    <w:name w:val="OtherTok"/>
    <w:basedOn w:val="959"/>
    <w:pPr>
      <w:pBdr/>
      <w:spacing/>
      <w:ind/>
    </w:pPr>
    <w:rPr>
      <w:color w:val="003b4f"/>
      <w:shd w:val="clear" w:color="auto" w:fill="f1f3f5"/>
    </w:rPr>
  </w:style>
  <w:style w:type="character" w:styleId="982" w:customStyle="1">
    <w:name w:val="FunctionTok"/>
    <w:basedOn w:val="959"/>
    <w:pPr>
      <w:pBdr/>
      <w:spacing/>
      <w:ind/>
    </w:pPr>
    <w:rPr>
      <w:color w:val="4758ab"/>
      <w:shd w:val="clear" w:color="auto" w:fill="f1f3f5"/>
    </w:rPr>
  </w:style>
  <w:style w:type="character" w:styleId="983" w:customStyle="1">
    <w:name w:val="VariableTok"/>
    <w:basedOn w:val="959"/>
    <w:pPr>
      <w:pBdr/>
      <w:spacing/>
      <w:ind/>
    </w:pPr>
    <w:rPr>
      <w:color w:val="111111"/>
      <w:shd w:val="clear" w:color="auto" w:fill="f1f3f5"/>
    </w:rPr>
  </w:style>
  <w:style w:type="character" w:styleId="984" w:customStyle="1">
    <w:name w:val="ControlFlowTok"/>
    <w:basedOn w:val="959"/>
    <w:pPr>
      <w:pBdr/>
      <w:spacing/>
      <w:ind/>
    </w:pPr>
    <w:rPr>
      <w:b/>
      <w:color w:val="003b4f"/>
      <w:shd w:val="clear" w:color="auto" w:fill="f1f3f5"/>
    </w:rPr>
  </w:style>
  <w:style w:type="character" w:styleId="985" w:customStyle="1">
    <w:name w:val="OperatorTok"/>
    <w:basedOn w:val="959"/>
    <w:pPr>
      <w:pBdr/>
      <w:spacing/>
      <w:ind/>
    </w:pPr>
    <w:rPr>
      <w:color w:val="5e5e5e"/>
      <w:shd w:val="clear" w:color="auto" w:fill="f1f3f5"/>
    </w:rPr>
  </w:style>
  <w:style w:type="character" w:styleId="986" w:customStyle="1">
    <w:name w:val="BuiltInTok"/>
    <w:basedOn w:val="959"/>
    <w:pPr>
      <w:pBdr/>
      <w:spacing/>
      <w:ind/>
    </w:pPr>
    <w:rPr>
      <w:color w:val="003b4f"/>
      <w:shd w:val="clear" w:color="auto" w:fill="f1f3f5"/>
    </w:rPr>
  </w:style>
  <w:style w:type="character" w:styleId="987" w:customStyle="1">
    <w:name w:val="ExtensionTok"/>
    <w:basedOn w:val="959"/>
    <w:pPr>
      <w:pBdr/>
      <w:spacing/>
      <w:ind/>
    </w:pPr>
    <w:rPr>
      <w:color w:val="003b4f"/>
      <w:shd w:val="clear" w:color="auto" w:fill="f1f3f5"/>
    </w:rPr>
  </w:style>
  <w:style w:type="character" w:styleId="988" w:customStyle="1">
    <w:name w:val="PreprocessorTok"/>
    <w:basedOn w:val="959"/>
    <w:pPr>
      <w:pBdr/>
      <w:spacing/>
      <w:ind/>
    </w:pPr>
    <w:rPr>
      <w:color w:val="ad0000"/>
      <w:shd w:val="clear" w:color="auto" w:fill="f1f3f5"/>
    </w:rPr>
  </w:style>
  <w:style w:type="character" w:styleId="989" w:customStyle="1">
    <w:name w:val="AttributeTok"/>
    <w:basedOn w:val="959"/>
    <w:pPr>
      <w:pBdr/>
      <w:spacing/>
      <w:ind/>
    </w:pPr>
    <w:rPr>
      <w:color w:val="657422"/>
      <w:shd w:val="clear" w:color="auto" w:fill="f1f3f5"/>
    </w:rPr>
  </w:style>
  <w:style w:type="character" w:styleId="990" w:customStyle="1">
    <w:name w:val="RegionMarkerTok"/>
    <w:basedOn w:val="959"/>
    <w:pPr>
      <w:pBdr/>
      <w:spacing/>
      <w:ind/>
    </w:pPr>
    <w:rPr>
      <w:color w:val="003b4f"/>
      <w:shd w:val="clear" w:color="auto" w:fill="f1f3f5"/>
    </w:rPr>
  </w:style>
  <w:style w:type="character" w:styleId="991" w:customStyle="1">
    <w:name w:val="InformationTok"/>
    <w:basedOn w:val="959"/>
    <w:pPr>
      <w:pBdr/>
      <w:spacing/>
      <w:ind/>
    </w:pPr>
    <w:rPr>
      <w:color w:val="5e5e5e"/>
      <w:shd w:val="clear" w:color="auto" w:fill="f1f3f5"/>
    </w:rPr>
  </w:style>
  <w:style w:type="character" w:styleId="992" w:customStyle="1">
    <w:name w:val="WarningTok"/>
    <w:basedOn w:val="959"/>
    <w:pPr>
      <w:pBdr/>
      <w:spacing/>
      <w:ind/>
    </w:pPr>
    <w:rPr>
      <w:i/>
      <w:color w:val="5e5e5e"/>
      <w:shd w:val="clear" w:color="auto" w:fill="f1f3f5"/>
    </w:rPr>
  </w:style>
  <w:style w:type="character" w:styleId="993" w:customStyle="1">
    <w:name w:val="AlertTok"/>
    <w:basedOn w:val="959"/>
    <w:pPr>
      <w:pBdr/>
      <w:spacing/>
      <w:ind/>
    </w:pPr>
    <w:rPr>
      <w:color w:val="ad0000"/>
      <w:shd w:val="clear" w:color="auto" w:fill="f1f3f5"/>
    </w:rPr>
  </w:style>
  <w:style w:type="character" w:styleId="994" w:customStyle="1">
    <w:name w:val="ErrorTok"/>
    <w:basedOn w:val="959"/>
    <w:pPr>
      <w:pBdr/>
      <w:spacing/>
      <w:ind/>
    </w:pPr>
    <w:rPr>
      <w:color w:val="ad0000"/>
      <w:shd w:val="clear" w:color="auto" w:fill="f1f3f5"/>
    </w:rPr>
  </w:style>
  <w:style w:type="character" w:styleId="995" w:customStyle="1">
    <w:name w:val="NormalTok"/>
    <w:basedOn w:val="959"/>
    <w:pPr>
      <w:pBdr/>
      <w:spacing/>
      <w:ind/>
    </w:pPr>
    <w:rPr>
      <w:color w:val="003b4f"/>
      <w:shd w:val="clear" w:color="auto" w:fill="f1f3f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de Resultados. Documento Temporário</dc:title>
  <dc:creator>Fabiano A. Lima</dc:creator>
  <cp:keywords/>
  <dc:language>pt-BR</dc:language>
  <cp:revision>1</cp:revision>
  <dcterms:created xsi:type="dcterms:W3CDTF">2025-10-27T19:25:13Z</dcterms:created>
  <dcterms:modified xsi:type="dcterms:W3CDTF">2026-07-31T01:33:08Z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toc-title">
    <vt:lpwstr>Índice</vt:lpwstr>
  </property>
</Properties>
</file>