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919"/>
      </w:pPr>
      <w:r>
        <w:t xml:space="preserve">Apêndice J — Categorização das discordâncias em efeitos duradouros</w:t>
      </w:r>
    </w:p>
    <w:bookmarkStart w:id="65" w:name="objetivo-e-desenho-da-etapa"/>
    <w:p>
      <w:pPr>
        <w:pStyle w:val="904"/>
      </w:pPr>
      <w:r>
        <w:t xml:space="preserve">Objetivo e desenho da etapa</w:t>
      </w:r>
    </w:p>
    <w:p>
      <w:pPr>
        <w:pStyle w:val="917"/>
      </w:pPr>
      <w:r>
        <w:t xml:space="preserve">Esta terceira rodada amplia a codificação exploratória das divergências relacionadas ao critério “Efeitos Duradouros”. O corpus é construído a partir dos resultados históricos da codificação e da análise crítica. As categorias identificadas nas rodadas anteriores são informadas ao modelo como taxonomia de referência, mas o modelo pode propor novas categorias quando nenhuma das existentes for adequada.</w:t>
      </w:r>
    </w:p>
    <w:p>
      <w:pPr>
        <w:pStyle w:val="916"/>
      </w:pPr>
      <w:r>
        <w:t xml:space="preserve">De acordo com a regra adotada na dissertação, uma ocorrência é considerada divergente quanto aos efeitos quando a análise crítica não registra</w:t>
      </w:r>
      <w:r>
        <w:t xml:space="preserve"> </w:t>
      </w:r>
      <w:r>
        <w:rPr>
          <w:rStyle w:val="949"/>
        </w:rPr>
        <w:t xml:space="preserve">Concordo</w:t>
      </w:r>
      <w:r>
        <w:t xml:space="preserve">. Essa regra inclui respostas</w:t>
      </w:r>
      <w:r>
        <w:t xml:space="preserve"> </w:t>
      </w:r>
      <w:r>
        <w:rPr>
          <w:rStyle w:val="949"/>
        </w:rPr>
        <w:t xml:space="preserve">Não se aplica</w:t>
      </w:r>
      <w:r>
        <w:t xml:space="preserve">, pois a avaliação dos efeitos depende logicamente do resultado atribuído ao critério “Foco Causa”.</w:t>
      </w:r>
    </w:p>
    <w:p>
      <w:pPr>
        <w:pStyle w:val="916"/>
      </w:pPr>
      <w:r>
        <w:t xml:space="preserve">O sorteio é feito diretamente sobre as recomendações divergentes. Cada recomendação constitui uma unidade de análise independente, ainda que duas ou mais possam eventualmente pertencer à mesma constatação. Para garantir que esta rodada contenha 50 recomendações adicionais sem sobreposição com a primeira, a ordem aleatória reprodutível é gerada para 100 recomendações e a segunda faixa de 50 é utilizada. As recomendações são enviadas em uma única chamada.</w:t>
      </w:r>
    </w:p>
    <w:p>
      <w:pPr>
        <w:pStyle w:val="SourceCode"/>
      </w:pPr>
      <w:r>
        <w:rPr>
          <w:rStyle w:val="NormalTok"/>
        </w:rPr>
        <w:t xml:space="preserve">dataset_consolidado </w:t>
      </w:r>
      <w:r>
        <w:rPr>
          <w:rStyle w:val="OtherTok"/>
        </w:rPr>
        <w:t xml:space="preserve">&lt;-</w:t>
      </w:r>
      <w:r>
        <w:rPr>
          <w:rStyle w:val="NormalTok"/>
        </w:rPr>
        <w:t xml:space="preserve"> </w:t>
      </w:r>
      <w:r>
        <w:rPr>
          <w:rStyle w:val="FunctionTok"/>
        </w:rPr>
        <w:t xml:space="preserve">read_rds</w:t>
      </w:r>
      <w:r>
        <w:rPr>
          <w:rStyle w:val="NormalTok"/>
        </w:rPr>
        <w:t xml:space="preserve">(</w:t>
      </w:r>
      <w:r>
        <w:rPr>
          <w:rStyle w:val="StringTok"/>
        </w:rPr>
        <w:t xml:space="preserve">"./Dados Gerados/dataset_consolidado.rds"</w:t>
      </w:r>
      <w:r>
        <w:rPr>
          <w:rStyle w:val="NormalTok"/>
        </w:rPr>
        <w:t xml:space="preserve">)</w:t>
      </w:r>
      <w:r>
        <w:br/>
      </w:r>
      <w:r>
        <w:br/>
      </w:r>
      <w:r>
        <w:rPr>
          <w:rStyle w:val="NormalTok"/>
        </w:rPr>
        <w:t xml:space="preserve">ds_codificacao </w:t>
      </w:r>
      <w:r>
        <w:rPr>
          <w:rStyle w:val="OtherTok"/>
        </w:rPr>
        <w:t xml:space="preserve">&lt;-</w:t>
      </w:r>
      <w:r>
        <w:rPr>
          <w:rStyle w:val="NormalTok"/>
        </w:rPr>
        <w:t xml:space="preserve"> </w:t>
      </w:r>
      <w:r>
        <w:rPr>
          <w:rStyle w:val="FunctionTok"/>
        </w:rPr>
        <w:t xml:space="preserve">read_rds</w:t>
      </w:r>
      <w:r>
        <w:rPr>
          <w:rStyle w:val="NormalTok"/>
        </w:rPr>
        <w:t xml:space="preserve">(</w:t>
      </w:r>
      <w:r>
        <w:br/>
      </w:r>
      <w:r>
        <w:rPr>
          <w:rStyle w:val="NormalTok"/>
        </w:rPr>
        <w:t xml:space="preserve">    </w:t>
      </w:r>
      <w:r>
        <w:rPr>
          <w:rStyle w:val="FunctionTok"/>
        </w:rPr>
        <w:t xml:space="preserve">obtem_nome_arquivo_resultados</w:t>
      </w:r>
      <w:r>
        <w:rPr>
          <w:rStyle w:val="NormalTok"/>
        </w:rPr>
        <w:t xml:space="preserve">(</w:t>
      </w:r>
      <w:r>
        <w:br/>
      </w:r>
      <w:r>
        <w:rPr>
          <w:rStyle w:val="NormalTok"/>
        </w:rPr>
        <w:t xml:space="preserve">        </w:t>
      </w:r>
      <w:r>
        <w:rPr>
          <w:rStyle w:val="StringTok"/>
        </w:rPr>
        <w:t xml:space="preserve">"cls_cod_2"</w:t>
      </w:r>
      <w:r>
        <w:rPr>
          <w:rStyle w:val="NormalTok"/>
        </w:rPr>
        <w:t xml:space="preserve">,</w:t>
      </w:r>
      <w:r>
        <w:br/>
      </w:r>
      <w:r>
        <w:rPr>
          <w:rStyle w:val="NormalTok"/>
        </w:rPr>
        <w:t xml:space="preserve">        </w:t>
      </w:r>
      <w:r>
        <w:rPr>
          <w:rStyle w:val="AttributeTok"/>
        </w:rPr>
        <w:t xml:space="preserve">modelo =</w:t>
      </w:r>
      <w:r>
        <w:rPr>
          <w:rStyle w:val="NormalTok"/>
        </w:rPr>
        <w:t xml:space="preserve"> modelo_resultados_historicos))</w:t>
      </w:r>
      <w:r>
        <w:br/>
      </w:r>
      <w:r>
        <w:br/>
      </w:r>
      <w:r>
        <w:rPr>
          <w:rStyle w:val="NormalTok"/>
        </w:rPr>
        <w:t xml:space="preserve">ds_critica </w:t>
      </w:r>
      <w:r>
        <w:rPr>
          <w:rStyle w:val="OtherTok"/>
        </w:rPr>
        <w:t xml:space="preserve">&lt;-</w:t>
      </w:r>
      <w:r>
        <w:rPr>
          <w:rStyle w:val="NormalTok"/>
        </w:rPr>
        <w:t xml:space="preserve"> </w:t>
      </w:r>
      <w:r>
        <w:rPr>
          <w:rStyle w:val="FunctionTok"/>
        </w:rPr>
        <w:t xml:space="preserve">read_rds</w:t>
      </w:r>
      <w:r>
        <w:rPr>
          <w:rStyle w:val="NormalTok"/>
        </w:rPr>
        <w:t xml:space="preserve">(</w:t>
      </w:r>
      <w:r>
        <w:br/>
      </w:r>
      <w:r>
        <w:rPr>
          <w:rStyle w:val="NormalTok"/>
        </w:rPr>
        <w:t xml:space="preserve">    </w:t>
      </w:r>
      <w:r>
        <w:rPr>
          <w:rStyle w:val="FunctionTok"/>
        </w:rPr>
        <w:t xml:space="preserve">obtem_nome_arquivo_resultados</w:t>
      </w:r>
      <w:r>
        <w:rPr>
          <w:rStyle w:val="NormalTok"/>
        </w:rPr>
        <w:t xml:space="preserve">(</w:t>
      </w:r>
      <w:r>
        <w:br/>
      </w:r>
      <w:r>
        <w:rPr>
          <w:rStyle w:val="NormalTok"/>
        </w:rPr>
        <w:t xml:space="preserve">        </w:t>
      </w:r>
      <w:r>
        <w:rPr>
          <w:rStyle w:val="StringTok"/>
        </w:rPr>
        <w:t xml:space="preserve">"cls_crit_2"</w:t>
      </w:r>
      <w:r>
        <w:rPr>
          <w:rStyle w:val="NormalTok"/>
        </w:rPr>
        <w:t xml:space="preserve">,</w:t>
      </w:r>
      <w:r>
        <w:br/>
      </w:r>
      <w:r>
        <w:rPr>
          <w:rStyle w:val="NormalTok"/>
        </w:rPr>
        <w:t xml:space="preserve">        </w:t>
      </w:r>
      <w:r>
        <w:rPr>
          <w:rStyle w:val="AttributeTok"/>
        </w:rPr>
        <w:t xml:space="preserve">modelo =</w:t>
      </w:r>
      <w:r>
        <w:rPr>
          <w:rStyle w:val="NormalTok"/>
        </w:rPr>
        <w:t xml:space="preserve"> modelo_resultados_historicos))</w:t>
      </w:r>
      <w:r>
        <w:br/>
      </w:r>
      <w:r>
        <w:br/>
      </w:r>
      <w:r>
        <w:rPr>
          <w:rStyle w:val="NormalTok"/>
        </w:rPr>
        <w:t xml:space="preserve">dataset_analise </w:t>
      </w:r>
      <w:r>
        <w:rPr>
          <w:rStyle w:val="OtherTok"/>
        </w:rPr>
        <w:t xml:space="preserve">&lt;-</w:t>
      </w:r>
      <w:r>
        <w:rPr>
          <w:rStyle w:val="NormalTok"/>
        </w:rPr>
        <w:t xml:space="preserve"> dataset_consolidado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No. Auditoria</w:t>
      </w:r>
      <w:r>
        <w:rPr>
          <w:rStyle w:val="StringTok"/>
        </w:rPr>
        <w:t xml:space="preserve">`</w:t>
      </w:r>
      <w:r>
        <w:rPr>
          <w:rStyle w:val="NormalTok"/>
        </w:rPr>
        <w:t xml:space="preserve">,</w:t>
      </w:r>
      <w:r>
        <w:br/>
      </w:r>
      <w:r>
        <w:rPr>
          <w:rStyle w:val="NormalTok"/>
        </w:rPr>
        <w:t xml:space="preserve">        Arquivo,</w:t>
      </w:r>
      <w:r>
        <w:br/>
      </w:r>
      <w:r>
        <w:rPr>
          <w:rStyle w:val="NormalTok"/>
        </w:rPr>
        <w:t xml:space="preserve">        Finalidade,</w:t>
      </w:r>
      <w:r>
        <w:br/>
      </w:r>
      <w:r>
        <w:rPr>
          <w:rStyle w:val="NormalTok"/>
        </w:rPr>
        <w:t xml:space="preserve">        </w:t>
      </w:r>
      <w:r>
        <w:rPr>
          <w:rStyle w:val="StringTok"/>
        </w:rPr>
        <w:t xml:space="preserve">`</w:t>
      </w:r>
      <w:r>
        <w:rPr>
          <w:rStyle w:val="AttributeTok"/>
        </w:rPr>
        <w:t xml:space="preserve"># Constatação</w:t>
      </w:r>
      <w:r>
        <w:rPr>
          <w:rStyle w:val="StringTok"/>
        </w:rPr>
        <w:t xml:space="preserve">`</w:t>
      </w:r>
      <w:r>
        <w:rPr>
          <w:rStyle w:val="NormalTok"/>
        </w:rPr>
        <w:t xml:space="preserve">,</w:t>
      </w:r>
      <w:r>
        <w:br/>
      </w:r>
      <w:r>
        <w:rPr>
          <w:rStyle w:val="NormalTok"/>
        </w:rPr>
        <w:t xml:space="preserve">        Constatação,</w:t>
      </w:r>
      <w:r>
        <w:br/>
      </w:r>
      <w:r>
        <w:rPr>
          <w:rStyle w:val="NormalTok"/>
        </w:rPr>
        <w:t xml:space="preserve">        Item,</w:t>
      </w:r>
      <w:r>
        <w:br/>
      </w:r>
      <w:r>
        <w:rPr>
          <w:rStyle w:val="NormalTok"/>
        </w:rPr>
        <w:t xml:space="preserve">        Grupo,</w:t>
      </w:r>
      <w:r>
        <w:br/>
      </w:r>
      <w:r>
        <w:rPr>
          <w:rStyle w:val="NormalTok"/>
        </w:rPr>
        <w:t xml:space="preserve">        Subgrupo,</w:t>
      </w:r>
      <w:r>
        <w:br/>
      </w:r>
      <w:r>
        <w:rPr>
          <w:rStyle w:val="NormalTok"/>
        </w:rPr>
        <w:t xml:space="preserve">        </w:t>
      </w:r>
      <w:r>
        <w:rPr>
          <w:rStyle w:val="StringTok"/>
        </w:rPr>
        <w:t xml:space="preserve">`</w:t>
      </w:r>
      <w:r>
        <w:rPr>
          <w:rStyle w:val="AttributeTok"/>
        </w:rPr>
        <w:t xml:space="preserve"># Recomendação</w:t>
      </w:r>
      <w:r>
        <w:rPr>
          <w:rStyle w:val="StringTok"/>
        </w:rPr>
        <w:t xml:space="preserve">`</w:t>
      </w:r>
      <w:r>
        <w:rPr>
          <w:rStyle w:val="NormalTok"/>
        </w:rPr>
        <w:t xml:space="preserve">,</w:t>
      </w:r>
      <w:r>
        <w:br/>
      </w:r>
      <w:r>
        <w:rPr>
          <w:rStyle w:val="NormalTok"/>
        </w:rPr>
        <w:t xml:space="preserve">        Recomendação) </w:t>
      </w:r>
      <w:r>
        <w:rPr>
          <w:rStyle w:val="SpecialCharTok"/>
        </w:rPr>
        <w:t xml:space="preserve">|&gt;</w:t>
      </w:r>
      <w:r>
        <w:br/>
      </w:r>
      <w:r>
        <w:rPr>
          <w:rStyle w:val="NormalTok"/>
        </w:rPr>
        <w:t xml:space="preserve">    </w:t>
      </w:r>
      <w:r>
        <w:rPr>
          <w:rStyle w:val="FunctionTok"/>
        </w:rPr>
        <w:t xml:space="preserve">adapta_dataframe</w:t>
      </w:r>
      <w:r>
        <w:rPr>
          <w:rStyle w:val="NormalTok"/>
        </w:rPr>
        <w:t xml:space="preserve">(</w:t>
      </w:r>
      <w:r>
        <w:br/>
      </w:r>
      <w:r>
        <w:rPr>
          <w:rStyle w:val="NormalTok"/>
        </w:rPr>
        <w:t xml:space="preserve">        </w:t>
      </w:r>
      <w:r>
        <w:rPr>
          <w:rStyle w:val="FunctionTok"/>
        </w:rPr>
        <w:t xml:space="preserve">obtem_pasta</w:t>
      </w:r>
      <w:r>
        <w:rPr>
          <w:rStyle w:val="NormalTok"/>
        </w:rPr>
        <w:t xml:space="preserve">(</w:t>
      </w:r>
      <w:r>
        <w:rPr>
          <w:rStyle w:val="StringTok"/>
        </w:rPr>
        <w:t xml:space="preserve">"cls_cod_2"</w:t>
      </w:r>
      <w:r>
        <w:rPr>
          <w:rStyle w:val="NormalTok"/>
        </w:rPr>
        <w:t xml:space="preserve">, </w:t>
      </w:r>
      <w:r>
        <w:rPr>
          <w:rStyle w:val="AttributeTok"/>
        </w:rPr>
        <w:t xml:space="preserve">modelo =</w:t>
      </w:r>
      <w:r>
        <w:rPr>
          <w:rStyle w:val="NormalTok"/>
        </w:rPr>
        <w:t xml:space="preserve"> modelo_resultados_historicos),</w:t>
      </w:r>
      <w:r>
        <w:br/>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inner_join</w:t>
      </w:r>
      <w:r>
        <w:rPr>
          <w:rStyle w:val="NormalTok"/>
        </w:rPr>
        <w:t xml:space="preserve">(</w:t>
      </w:r>
      <w:r>
        <w:br/>
      </w:r>
      <w:r>
        <w:rPr>
          <w:rStyle w:val="NormalTok"/>
        </w:rPr>
        <w:t xml:space="preserve">        ds_codificacao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finish_reason, </w:t>
      </w:r>
      <w:r>
        <w:rPr>
          <w:rStyle w:val="SpecialCharTok"/>
        </w:rPr>
        <w:t xml:space="preserve">-</w:t>
      </w:r>
      <w:r>
        <w:rPr>
          <w:rStyle w:val="NormalTok"/>
        </w:rPr>
        <w:t xml:space="preserve">erro)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Efeitos Duradouros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str_to_sentence</w:t>
      </w:r>
      <w:r>
        <w:rPr>
          <w:rStyle w:val="NormalTok"/>
        </w:rPr>
        <w:t xml:space="preserve">(</w:t>
      </w:r>
      <w:r>
        <w:rPr>
          <w:rStyle w:val="StringTok"/>
        </w:rPr>
        <w:t xml:space="preserve">`</w:t>
      </w:r>
      <w:r>
        <w:rPr>
          <w:rStyle w:val="AttributeTok"/>
        </w:rPr>
        <w:t xml:space="preserve">Efeitos Duradouros</w:t>
      </w:r>
      <w:r>
        <w:rPr>
          <w:rStyle w:val="StringTok"/>
        </w:rPr>
        <w:t xml:space="preserv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"Arquivo Saída"</w:t>
      </w:r>
      <w:r>
        <w:rPr>
          <w:rStyle w:val="NormalTok"/>
        </w:rPr>
        <w:t xml:space="preserve"> </w:t>
      </w:r>
      <w:r>
        <w:rPr>
          <w:rStyle w:val="OtherTok"/>
        </w:rPr>
        <w:t xml:space="preserve">=</w:t>
      </w:r>
      <w:r>
        <w:rPr>
          <w:rStyle w:val="NormalTok"/>
        </w:rPr>
        <w:t xml:space="preserve"> </w:t>
      </w:r>
      <w:r>
        <w:rPr>
          <w:rStyle w:val="StringTok"/>
        </w:rPr>
        <w:t xml:space="preserve">"arquivo"</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StringTok"/>
        </w:rPr>
        <w:t xml:space="preserve">`</w:t>
      </w:r>
      <w:r>
        <w:rPr>
          <w:rStyle w:val="AttributeTok"/>
        </w:rPr>
        <w:t xml:space="preserve">Arquivo Saída</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adapta_dataframe</w:t>
      </w:r>
      <w:r>
        <w:rPr>
          <w:rStyle w:val="NormalTok"/>
        </w:rPr>
        <w:t xml:space="preserve">(</w:t>
      </w:r>
      <w:r>
        <w:br/>
      </w:r>
      <w:r>
        <w:rPr>
          <w:rStyle w:val="NormalTok"/>
        </w:rPr>
        <w:t xml:space="preserve">        </w:t>
      </w:r>
      <w:r>
        <w:rPr>
          <w:rStyle w:val="FunctionTok"/>
        </w:rPr>
        <w:t xml:space="preserve">obtem_pasta</w:t>
      </w:r>
      <w:r>
        <w:rPr>
          <w:rStyle w:val="NormalTok"/>
        </w:rPr>
        <w:t xml:space="preserve">(</w:t>
      </w:r>
      <w:r>
        <w:rPr>
          <w:rStyle w:val="StringTok"/>
        </w:rPr>
        <w:t xml:space="preserve">"cls_crit_2"</w:t>
      </w:r>
      <w:r>
        <w:rPr>
          <w:rStyle w:val="NormalTok"/>
        </w:rPr>
        <w:t xml:space="preserve">, </w:t>
      </w:r>
      <w:r>
        <w:rPr>
          <w:rStyle w:val="AttributeTok"/>
        </w:rPr>
        <w:t xml:space="preserve">modelo =</w:t>
      </w:r>
      <w:r>
        <w:rPr>
          <w:rStyle w:val="NormalTok"/>
        </w:rPr>
        <w:t xml:space="preserve"> modelo_resultados_historicos),</w:t>
      </w:r>
      <w:r>
        <w:br/>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ds_critica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finish_reason, </w:t>
      </w:r>
      <w:r>
        <w:rPr>
          <w:rStyle w:val="SpecialCharTok"/>
        </w:rPr>
        <w:t xml:space="preserve">-</w:t>
      </w:r>
      <w:r>
        <w:rPr>
          <w:rStyle w:val="NormalTok"/>
        </w:rPr>
        <w:t xml:space="preserve">erro),</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"Arquivo Saída"</w:t>
      </w:r>
      <w:r>
        <w:rPr>
          <w:rStyle w:val="NormalTok"/>
        </w:rPr>
        <w:t xml:space="preserve"> </w:t>
      </w:r>
      <w:r>
        <w:rPr>
          <w:rStyle w:val="OtherTok"/>
        </w:rPr>
        <w:t xml:space="preserve">=</w:t>
      </w:r>
      <w:r>
        <w:rPr>
          <w:rStyle w:val="NormalTok"/>
        </w:rPr>
        <w:t xml:space="preserve"> </w:t>
      </w:r>
      <w:r>
        <w:rPr>
          <w:rStyle w:val="StringTok"/>
        </w:rPr>
        <w:t xml:space="preserve">"arquivo"</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Ação Foco Causa</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Foco Causa</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Análise Efeitos Duradouros</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"Concordo"</w:t>
      </w:r>
      <w:r>
        <w:rPr>
          <w:rStyle w:val="NormalTok"/>
        </w:rPr>
        <w:t xml:space="preserve">)</w:t>
      </w:r>
      <w:r>
        <w:br/>
      </w:r>
      <w:r>
        <w:br/>
      </w:r>
      <w:r>
        <w:rPr>
          <w:rStyle w:val="NormalTok"/>
        </w:rPr>
        <w:t xml:space="preserve">dataset_divergencias_com_id </w:t>
      </w:r>
      <w:r>
        <w:rPr>
          <w:rStyle w:val="OtherTok"/>
        </w:rPr>
        <w:t xml:space="preserve">&lt;-</w:t>
      </w:r>
      <w:r>
        <w:rPr>
          <w:rStyle w:val="NormalTok"/>
        </w:rPr>
        <w:t xml:space="preserve"> dataset_analise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Prefixo Arquivo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str_remove</w:t>
      </w:r>
      <w:r>
        <w:rPr>
          <w:rStyle w:val="NormalTok"/>
        </w:rPr>
        <w:t xml:space="preserve">(Arquivo, </w:t>
      </w:r>
      <w:r>
        <w:rPr>
          <w:rStyle w:val="StringTok"/>
        </w:rPr>
        <w:t xml:space="preserve">"</w:t>
      </w:r>
      <w:r>
        <w:rPr>
          <w:rStyle w:val="SpecialCharTok"/>
        </w:rPr>
        <w:t xml:space="preserve">\\</w:t>
      </w:r>
      <w:r>
        <w:rPr>
          <w:rStyle w:val="StringTok"/>
        </w:rPr>
        <w:t xml:space="preserve">.pdf$"</w:t>
      </w:r>
      <w:r>
        <w:rPr>
          <w:rStyle w:val="NormalTok"/>
        </w:rPr>
        <w:t xml:space="preserve">),</w:t>
      </w:r>
      <w:r>
        <w:br/>
      </w:r>
      <w:r>
        <w:rPr>
          <w:rStyle w:val="NormalTok"/>
        </w:rPr>
        <w:t xml:space="preserve">        </w:t>
      </w:r>
      <w:r>
        <w:rPr>
          <w:rStyle w:val="AttributeTok"/>
        </w:rPr>
        <w:t xml:space="preserve">id_analise =</w:t>
      </w:r>
      <w:r>
        <w:rPr>
          <w:rStyle w:val="NormalTok"/>
        </w:rPr>
        <w:t xml:space="preserve"> </w:t>
      </w:r>
      <w:r>
        <w:rPr>
          <w:rStyle w:val="FunctionTok"/>
        </w:rPr>
        <w:t xml:space="preserve">str_glue</w:t>
      </w:r>
      <w:r>
        <w:rPr>
          <w:rStyle w:val="NormalTok"/>
        </w:rPr>
        <w:t xml:space="preserve">(</w:t>
      </w:r>
      <w:r>
        <w:br/>
      </w:r>
      <w:r>
        <w:rPr>
          <w:rStyle w:val="NormalTok"/>
        </w:rPr>
        <w:t xml:space="preserve">            </w:t>
      </w:r>
      <w:r>
        <w:rPr>
          <w:rStyle w:val="StringTok"/>
        </w:rPr>
        <w:t xml:space="preserve">"{`Prefixo Arquivo`}/{`# Constatação`}_{`# Recomendação`}.json"</w:t>
      </w:r>
      <w:r>
        <w:rPr>
          <w:rStyle w:val="NormalTok"/>
        </w:rPr>
        <w:t xml:space="preserve">))</w:t>
      </w:r>
      <w:r>
        <w:br/>
      </w:r>
      <w:r>
        <w:br/>
      </w:r>
      <w:r>
        <w:rPr>
          <w:rStyle w:val="FunctionTok"/>
        </w:rPr>
        <w:t xml:space="preserve">set.seed</w:t>
      </w:r>
      <w:r>
        <w:rPr>
          <w:rStyle w:val="NormalTok"/>
        </w:rPr>
        <w:t xml:space="preserve">(semente)</w:t>
      </w:r>
      <w:r>
        <w:br/>
      </w:r>
      <w:r>
        <w:br/>
      </w:r>
      <w:r>
        <w:rPr>
          <w:rStyle w:val="NormalTok"/>
        </w:rPr>
        <w:t xml:space="preserve">dataset_ordenado_aleatorio </w:t>
      </w:r>
      <w:r>
        <w:rPr>
          <w:rStyle w:val="OtherTok"/>
        </w:rPr>
        <w:t xml:space="preserve">&lt;-</w:t>
      </w:r>
      <w:r>
        <w:rPr>
          <w:rStyle w:val="NormalTok"/>
        </w:rPr>
        <w:t xml:space="preserve"> dataset_analise </w:t>
      </w:r>
      <w:r>
        <w:rPr>
          <w:rStyle w:val="SpecialCharTok"/>
        </w:rPr>
        <w:t xml:space="preserve">|&gt;</w:t>
      </w:r>
      <w:r>
        <w:br/>
      </w:r>
      <w:r>
        <w:rPr>
          <w:rStyle w:val="NormalTok"/>
        </w:rPr>
        <w:t xml:space="preserve">    </w:t>
      </w:r>
      <w:r>
        <w:rPr>
          <w:rStyle w:val="FunctionTok"/>
        </w:rPr>
        <w:t xml:space="preserve">arrange</w:t>
      </w:r>
      <w:r>
        <w:rPr>
          <w:rStyle w:val="NormalTok"/>
        </w:rPr>
        <w:t xml:space="preserve">(Arquivo, </w:t>
      </w:r>
      <w:r>
        <w:rPr>
          <w:rStyle w:val="StringTok"/>
        </w:rPr>
        <w:t xml:space="preserve">`</w:t>
      </w:r>
      <w:r>
        <w:rPr>
          <w:rStyle w:val="AttributeTok"/>
        </w:rPr>
        <w:t xml:space="preserve"># Constatação</w:t>
      </w:r>
      <w:r>
        <w:rPr>
          <w:rStyle w:val="StringTok"/>
        </w:rPr>
        <w:t xml:space="preserve">`</w:t>
      </w:r>
      <w:r>
        <w:rPr>
          <w:rStyle w:val="NormalTok"/>
        </w:rPr>
        <w:t xml:space="preserve">, </w:t>
      </w:r>
      <w:r>
        <w:rPr>
          <w:rStyle w:val="StringTok"/>
        </w:rPr>
        <w:t xml:space="preserve">`</w:t>
      </w:r>
      <w:r>
        <w:rPr>
          <w:rStyle w:val="AttributeTok"/>
        </w:rPr>
        <w:t xml:space="preserve"># Recomendação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min</w:t>
      </w:r>
      <w:r>
        <w:rPr>
          <w:rStyle w:val="NormalTok"/>
        </w:rPr>
        <w:t xml:space="preserve">(</w:t>
      </w:r>
      <w:r>
        <w:br/>
      </w:r>
      <w:r>
        <w:rPr>
          <w:rStyle w:val="NormalTok"/>
        </w:rPr>
        <w:t xml:space="preserve">            numero_recomendacoes_por_rodada </w:t>
      </w:r>
      <w:r>
        <w:rPr>
          <w:rStyle w:val="SpecialCharTok"/>
        </w:rPr>
        <w:t xml:space="preserve">*</w:t>
      </w:r>
      <w:r>
        <w:rPr>
          <w:rStyle w:val="NormalTok"/>
        </w:rPr>
        <w:t xml:space="preserve"> numero_rodada,</w:t>
      </w:r>
      <w:r>
        <w:br/>
      </w:r>
      <w:r>
        <w:rPr>
          <w:rStyle w:val="NormalTok"/>
        </w:rPr>
        <w:t xml:space="preserve">            </w:t>
      </w:r>
      <w:r>
        <w:rPr>
          <w:rStyle w:val="FunctionTok"/>
        </w:rPr>
        <w:t xml:space="preserve">nrow</w:t>
      </w:r>
      <w:r>
        <w:rPr>
          <w:rStyle w:val="NormalTok"/>
        </w:rPr>
        <w:t xml:space="preserve">(dataset_analise)))</w:t>
      </w:r>
      <w:r>
        <w:br/>
      </w:r>
      <w:r>
        <w:br/>
      </w:r>
      <w:r>
        <w:rPr>
          <w:rStyle w:val="NormalTok"/>
        </w:rPr>
        <w:t xml:space="preserve">inicio_rodada </w:t>
      </w:r>
      <w:r>
        <w:rPr>
          <w:rStyle w:val="OtherTok"/>
        </w:rPr>
        <w:t xml:space="preserve">&lt;-</w:t>
      </w:r>
      <w:r>
        <w:rPr>
          <w:rStyle w:val="NormalTok"/>
        </w:rPr>
        <w:t xml:space="preserve"> (numero_rodada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numero_recomendacoes_por_rodada </w:t>
      </w:r>
      <w:r>
        <w:rPr>
          <w:rStyle w:val="SpecialCharTok"/>
        </w:rPr>
        <w:t xml:space="preserve">+</w:t>
      </w:r>
      <w:r>
        <w:rPr>
          <w:rStyle w:val="NormalTok"/>
        </w:rPr>
        <w:t xml:space="preserve"> </w:t>
      </w:r>
      <w:r>
        <w:rPr>
          <w:rStyle w:val="DecValTok"/>
        </w:rPr>
        <w:t xml:space="preserve">1</w:t>
      </w:r>
      <w:r>
        <w:br/>
      </w:r>
      <w:r>
        <w:rPr>
          <w:rStyle w:val="NormalTok"/>
        </w:rPr>
        <w:t xml:space="preserve">fim_rodada </w:t>
      </w:r>
      <w:r>
        <w:rPr>
          <w:rStyle w:val="OtherTok"/>
        </w:rPr>
        <w:t xml:space="preserve">&lt;-</w:t>
      </w:r>
      <w:r>
        <w:rPr>
          <w:rStyle w:val="NormalTok"/>
        </w:rPr>
        <w:t xml:space="preserve"> </w:t>
      </w:r>
      <w:r>
        <w:rPr>
          <w:rStyle w:val="FunctionTok"/>
        </w:rPr>
        <w:t xml:space="preserve">min</w:t>
      </w:r>
      <w:r>
        <w:rPr>
          <w:rStyle w:val="NormalTok"/>
        </w:rPr>
        <w:t xml:space="preserve">(</w:t>
      </w:r>
      <w:r>
        <w:br/>
      </w:r>
      <w:r>
        <w:rPr>
          <w:rStyle w:val="NormalTok"/>
        </w:rPr>
        <w:t xml:space="preserve">    numero_rodada </w:t>
      </w:r>
      <w:r>
        <w:rPr>
          <w:rStyle w:val="SpecialCharTok"/>
        </w:rPr>
        <w:t xml:space="preserve">*</w:t>
      </w:r>
      <w:r>
        <w:rPr>
          <w:rStyle w:val="NormalTok"/>
        </w:rPr>
        <w:t xml:space="preserve"> numero_recomendacoes_por_rodada,</w:t>
      </w:r>
      <w:r>
        <w:br/>
      </w:r>
      <w:r>
        <w:rPr>
          <w:rStyle w:val="NormalTok"/>
        </w:rPr>
        <w:t xml:space="preserve">    </w:t>
      </w:r>
      <w:r>
        <w:rPr>
          <w:rStyle w:val="FunctionTok"/>
        </w:rPr>
        <w:t xml:space="preserve">nrow</w:t>
      </w:r>
      <w:r>
        <w:rPr>
          <w:rStyle w:val="NormalTok"/>
        </w:rPr>
        <w:t xml:space="preserve">(dataset_analise))</w:t>
      </w:r>
      <w:r>
        <w:br/>
      </w:r>
      <w:r>
        <w:br/>
      </w:r>
      <w:r>
        <w:rPr>
          <w:rStyle w:val="NormalTok"/>
        </w:rPr>
        <w:t xml:space="preserve">corpus_amostra </w:t>
      </w:r>
      <w:r>
        <w:rPr>
          <w:rStyle w:val="OtherTok"/>
        </w:rPr>
        <w:t xml:space="preserve">&lt;-</w:t>
      </w:r>
      <w:r>
        <w:rPr>
          <w:rStyle w:val="NormalTok"/>
        </w:rPr>
        <w:t xml:space="preserve"> dataset_ordenado_aleatorio </w:t>
      </w:r>
      <w:r>
        <w:rPr>
          <w:rStyle w:val="SpecialCharTok"/>
        </w:rPr>
        <w:t xml:space="preserve">|&gt;</w:t>
      </w:r>
      <w:r>
        <w:br/>
      </w:r>
      <w:r>
        <w:rPr>
          <w:rStyle w:val="NormalTok"/>
        </w:rPr>
        <w:t xml:space="preserve">    </w:t>
      </w:r>
      <w:r>
        <w:rPr>
          <w:rStyle w:val="FunctionTok"/>
        </w:rPr>
        <w:t xml:space="preserve">slice</w:t>
      </w:r>
      <w:r>
        <w:rPr>
          <w:rStyle w:val="NormalTok"/>
        </w:rPr>
        <w:t xml:space="preserve">(inicio_rodada</w:t>
      </w:r>
      <w:r>
        <w:rPr>
          <w:rStyle w:val="SpecialCharTok"/>
        </w:rPr>
        <w:t xml:space="preserve">:</w:t>
      </w:r>
      <w:r>
        <w:rPr>
          <w:rStyle w:val="NormalTok"/>
        </w:rPr>
        <w:t xml:space="preserve">fim_rodada)</w:t>
      </w:r>
      <w:r>
        <w:br/>
      </w:r>
      <w:r>
        <w:br/>
      </w:r>
      <w:r>
        <w:rPr>
          <w:rStyle w:val="FunctionTok"/>
        </w:rPr>
        <w:t xml:space="preserve">stopifnot</w:t>
      </w:r>
      <w:r>
        <w:rPr>
          <w:rStyle w:val="NormalTok"/>
        </w:rPr>
        <w:t xml:space="preserve">(</w:t>
      </w:r>
      <w:r>
        <w:br/>
      </w:r>
      <w:r>
        <w:rPr>
          <w:rStyle w:val="NormalTok"/>
        </w:rPr>
        <w:t xml:space="preserve">    </w:t>
      </w:r>
      <w:r>
        <w:rPr>
          <w:rStyle w:val="FunctionTok"/>
        </w:rPr>
        <w:t xml:space="preserve">nrow</w:t>
      </w:r>
      <w:r>
        <w:rPr>
          <w:rStyle w:val="NormalTok"/>
        </w:rPr>
        <w:t xml:space="preserve">(corpus_amostra) </w:t>
      </w:r>
      <w:r>
        <w:rPr>
          <w:rStyle w:val="SpecialCharTok"/>
        </w:rPr>
        <w:t xml:space="preserve">==</w:t>
      </w:r>
      <w:r>
        <w:br/>
      </w:r>
      <w:r>
        <w:rPr>
          <w:rStyle w:val="NormalTok"/>
        </w:rPr>
        <w:t xml:space="preserve">        </w:t>
      </w:r>
      <w:r>
        <w:rPr>
          <w:rStyle w:val="FunctionTok"/>
        </w:rPr>
        <w:t xml:space="preserve">min</w:t>
      </w:r>
      <w:r>
        <w:rPr>
          <w:rStyle w:val="NormalTok"/>
        </w:rPr>
        <w:t xml:space="preserve">(numero_recomendacoes_por_rodada, </w:t>
      </w:r>
      <w:r>
        <w:rPr>
          <w:rStyle w:val="FunctionTok"/>
        </w:rPr>
        <w:t xml:space="preserve">nrow</w:t>
      </w:r>
      <w:r>
        <w:rPr>
          <w:rStyle w:val="NormalTok"/>
        </w:rPr>
        <w:t xml:space="preserve">(dataset_analise) </w:t>
      </w:r>
      <w:r>
        <w:rPr>
          <w:rStyle w:val="SpecialCharTok"/>
        </w:rPr>
        <w:t xml:space="preserve">-</w:t>
      </w:r>
      <w:r>
        <w:rPr>
          <w:rStyle w:val="NormalTok"/>
        </w:rPr>
        <w:t xml:space="preserve"> inicio_rodada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StringTok"/>
        </w:rPr>
        <w:t xml:space="preserve">`</w:t>
      </w:r>
      <w:r>
        <w:rPr>
          <w:rStyle w:val="AttributeTok"/>
        </w:rPr>
        <w:t xml:space="preserve">Total de divergências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nrow</w:t>
      </w:r>
      <w:r>
        <w:rPr>
          <w:rStyle w:val="NormalTok"/>
        </w:rPr>
        <w:t xml:space="preserve">(dataset_analise),</w:t>
      </w:r>
      <w:r>
        <w:br/>
      </w:r>
      <w:r>
        <w:rPr>
          <w:rStyle w:val="NormalTok"/>
        </w:rPr>
        <w:t xml:space="preserve">    </w:t>
      </w:r>
      <w:r>
        <w:rPr>
          <w:rStyle w:val="StringTok"/>
        </w:rPr>
        <w:t xml:space="preserve">`</w:t>
      </w:r>
      <w:r>
        <w:rPr>
          <w:rStyle w:val="AttributeTok"/>
        </w:rPr>
        <w:t xml:space="preserve">Recomendações no corpus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nrow</w:t>
      </w:r>
      <w:r>
        <w:rPr>
          <w:rStyle w:val="NormalTok"/>
        </w:rPr>
        <w:t xml:space="preserve">(dataset_analise),</w:t>
      </w:r>
      <w:r>
        <w:br/>
      </w:r>
      <w:r>
        <w:rPr>
          <w:rStyle w:val="NormalTok"/>
        </w:rPr>
        <w:t xml:space="preserve">    </w:t>
      </w:r>
      <w:r>
        <w:rPr>
          <w:rStyle w:val="StringTok"/>
        </w:rPr>
        <w:t xml:space="preserve">`</w:t>
      </w:r>
      <w:r>
        <w:rPr>
          <w:rStyle w:val="AttributeTok"/>
        </w:rPr>
        <w:t xml:space="preserve">Constatações no corpus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n_distinct</w:t>
      </w:r>
      <w:r>
        <w:rPr>
          <w:rStyle w:val="NormalTok"/>
        </w:rPr>
        <w:t xml:space="preserve">(</w:t>
      </w:r>
      <w:r>
        <w:br/>
      </w:r>
      <w:r>
        <w:rPr>
          <w:rStyle w:val="NormalTok"/>
        </w:rPr>
        <w:t xml:space="preserve">        dataset_analise</w:t>
      </w:r>
      <w:r>
        <w:rPr>
          <w:rStyle w:val="SpecialCharTok"/>
        </w:rPr>
        <w:t xml:space="preserve">$</w:t>
      </w:r>
      <w:r>
        <w:rPr>
          <w:rStyle w:val="NormalTok"/>
        </w:rPr>
        <w:t xml:space="preserve">Arquivo,</w:t>
      </w:r>
      <w:r>
        <w:br/>
      </w:r>
      <w:r>
        <w:rPr>
          <w:rStyle w:val="NormalTok"/>
        </w:rPr>
        <w:t xml:space="preserve">        dataset_analise</w:t>
      </w:r>
      <w:r>
        <w:rPr>
          <w:rStyle w:val="SpecialCharTok"/>
        </w:rPr>
        <w:t xml:space="preserve">$</w:t>
      </w:r>
      <w:r>
        <w:rPr>
          <w:rStyle w:val="StringTok"/>
        </w:rPr>
        <w:t xml:space="preserve">`</w:t>
      </w:r>
      <w:r>
        <w:rPr>
          <w:rStyle w:val="AttributeTok"/>
        </w:rPr>
        <w:t xml:space="preserve"># Constatação</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Recomendações sorteadas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nrow</w:t>
      </w:r>
      <w:r>
        <w:rPr>
          <w:rStyle w:val="NormalTok"/>
        </w:rPr>
        <w:t xml:space="preserve">(corpus_amostra),</w:t>
      </w:r>
      <w:r>
        <w:br/>
      </w:r>
      <w:r>
        <w:rPr>
          <w:rStyle w:val="NormalTok"/>
        </w:rPr>
        <w:t xml:space="preserve">    </w:t>
      </w:r>
      <w:r>
        <w:rPr>
          <w:rStyle w:val="StringTok"/>
        </w:rPr>
        <w:t xml:space="preserve">`</w:t>
      </w:r>
      <w:r>
        <w:rPr>
          <w:rStyle w:val="AttributeTok"/>
        </w:rPr>
        <w:t xml:space="preserve">Rodada</w:t>
      </w:r>
      <w:r>
        <w:rPr>
          <w:rStyle w:val="StringTok"/>
        </w:rPr>
        <w:t xml:space="preserve">`</w:t>
      </w:r>
      <w:r>
        <w:rPr>
          <w:rStyle w:val="NormalTok"/>
        </w:rPr>
        <w:t xml:space="preserve"> </w:t>
      </w:r>
      <w:r>
        <w:rPr>
          <w:rStyle w:val="OtherTok"/>
        </w:rPr>
        <w:t xml:space="preserve">=</w:t>
      </w:r>
      <w:r>
        <w:rPr>
          <w:rStyle w:val="NormalTok"/>
        </w:rPr>
        <w:t xml:space="preserve"> numero_rodada,</w:t>
      </w:r>
      <w:r>
        <w:br/>
      </w:r>
      <w:r>
        <w:rPr>
          <w:rStyle w:val="NormalTok"/>
        </w:rPr>
        <w:t xml:space="preserve">    </w:t>
      </w:r>
      <w:r>
        <w:rPr>
          <w:rStyle w:val="StringTok"/>
        </w:rPr>
        <w:t xml:space="preserve">`</w:t>
      </w:r>
      <w:r>
        <w:rPr>
          <w:rStyle w:val="AttributeTok"/>
        </w:rPr>
        <w:t xml:space="preserve">Semente</w:t>
      </w:r>
      <w:r>
        <w:rPr>
          <w:rStyle w:val="StringTok"/>
        </w:rPr>
        <w:t xml:space="preserve">`</w:t>
      </w:r>
      <w:r>
        <w:rPr>
          <w:rStyle w:val="NormalTok"/>
        </w:rPr>
        <w:t xml:space="preserve"> </w:t>
      </w:r>
      <w:r>
        <w:rPr>
          <w:rStyle w:val="OtherTok"/>
        </w:rPr>
        <w:t xml:space="preserve">=</w:t>
      </w:r>
      <w:r>
        <w:rPr>
          <w:rStyle w:val="NormalTok"/>
        </w:rPr>
        <w:t xml:space="preserve"> semente)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p>
    <w:tbl>
      <w:tblPr>
        <w:tblStyle w:val="Table"/>
        <w:tblW w:type="pct" w:w="5000"/>
        <w:tblLayout w:type="fixed"/>
        <w:tblLook w:firstRow="1" w:lastRow="0" w:firstColumn="0" w:lastColumn="0" w:noHBand="0" w:noVBand="0" w:val="0020"/>
      </w:tblPr>
      <w:tblGrid>
        <w:gridCol w:w="1613"/>
        <w:gridCol w:w="1760"/>
        <w:gridCol w:w="1686"/>
        <w:gridCol w:w="1760"/>
        <w:gridCol w:w="513"/>
        <w:gridCol w:w="586"/>
      </w:tblGrid>
      <w:tr>
        <w:trPr>
          <w:tblHeader w:val="on"/>
        </w:trPr>
        <w:tc>
          <w:tcPr/>
          <w:p>
            <w:pPr>
              <w:pStyle w:val="918"/>
              <w:jc w:val="right"/>
            </w:pPr>
            <w:r>
              <w:t xml:space="preserve">Total de divergências</w:t>
            </w:r>
          </w:p>
        </w:tc>
        <w:tc>
          <w:tcPr/>
          <w:p>
            <w:pPr>
              <w:pStyle w:val="918"/>
              <w:jc w:val="right"/>
            </w:pPr>
            <w:r>
              <w:t xml:space="preserve">Recomendações no corpus</w:t>
            </w:r>
          </w:p>
        </w:tc>
        <w:tc>
          <w:tcPr/>
          <w:p>
            <w:pPr>
              <w:pStyle w:val="918"/>
              <w:jc w:val="right"/>
            </w:pPr>
            <w:r>
              <w:t xml:space="preserve">Constatações no corpus</w:t>
            </w:r>
          </w:p>
        </w:tc>
        <w:tc>
          <w:tcPr/>
          <w:p>
            <w:pPr>
              <w:pStyle w:val="918"/>
              <w:jc w:val="right"/>
            </w:pPr>
            <w:r>
              <w:t xml:space="preserve">Recomendações sorteadas</w:t>
            </w:r>
          </w:p>
        </w:tc>
        <w:tc>
          <w:tcPr/>
          <w:p>
            <w:pPr>
              <w:pStyle w:val="918"/>
              <w:jc w:val="right"/>
            </w:pPr>
            <w:r>
              <w:t xml:space="preserve">Rodada</w:t>
            </w:r>
          </w:p>
        </w:tc>
        <w:tc>
          <w:tcPr/>
          <w:p>
            <w:pPr>
              <w:pStyle w:val="918"/>
              <w:jc w:val="right"/>
            </w:pPr>
            <w:r>
              <w:t xml:space="preserve">Semente</w:t>
            </w:r>
          </w:p>
        </w:tc>
      </w:tr>
      <w:tr>
        <w:tc>
          <w:tcPr/>
          <w:p>
            <w:pPr>
              <w:pStyle w:val="918"/>
              <w:jc w:val="right"/>
            </w:pPr>
            <w:r>
              <w:t xml:space="preserve">747</w:t>
            </w:r>
          </w:p>
        </w:tc>
        <w:tc>
          <w:tcPr/>
          <w:p>
            <w:pPr>
              <w:pStyle w:val="918"/>
              <w:jc w:val="right"/>
            </w:pPr>
            <w:r>
              <w:t xml:space="preserve">747</w:t>
            </w:r>
          </w:p>
        </w:tc>
        <w:tc>
          <w:tcPr/>
          <w:p>
            <w:pPr>
              <w:pStyle w:val="918"/>
              <w:jc w:val="right"/>
            </w:pPr>
            <w:r>
              <w:t xml:space="preserve">712</w:t>
            </w:r>
          </w:p>
        </w:tc>
        <w:tc>
          <w:tcPr/>
          <w:p>
            <w:pPr>
              <w:pStyle w:val="918"/>
              <w:jc w:val="right"/>
            </w:pPr>
            <w:r>
              <w:t xml:space="preserve">50</w:t>
            </w:r>
          </w:p>
        </w:tc>
        <w:tc>
          <w:tcPr/>
          <w:p>
            <w:pPr>
              <w:pStyle w:val="918"/>
              <w:jc w:val="right"/>
            </w:pPr>
            <w:r>
              <w:t xml:space="preserve">3</w:t>
            </w:r>
          </w:p>
        </w:tc>
        <w:tc>
          <w:tcPr/>
          <w:p>
            <w:pPr>
              <w:pStyle w:val="918"/>
              <w:jc w:val="right"/>
            </w:pPr>
            <w:r>
              <w:t xml:space="preserve">42</w:t>
            </w:r>
          </w:p>
        </w:tc>
      </w:tr>
    </w:tbl>
    <w:bookmarkStart w:id="55" w:name="rodadas-de-categorização"/>
    <w:p>
      <w:pPr>
        <w:pStyle w:val="905"/>
      </w:pPr>
      <w:r>
        <w:t xml:space="preserve">Rodadas de categorização</w:t>
      </w:r>
    </w:p>
    <w:bookmarkStart w:id="26" w:name="rodada-1"/>
    <w:p>
      <w:pPr>
        <w:pStyle w:val="906"/>
      </w:pPr>
      <w:r>
        <w:t xml:space="preserve">Rodada 1</w:t>
      </w:r>
    </w:p>
    <w:bookmarkStart w:id="18" w:name="prompt"/>
    <w:p>
      <w:pPr>
        <w:pStyle w:val="907"/>
      </w:pPr>
      <w:r>
        <w:t xml:space="preserve">Prompt</w:t>
      </w:r>
    </w:p>
    <w:p>
      <w:pPr>
        <w:pStyle w:val="SourceCode"/>
      </w:pPr>
      <w:r>
        <w:rPr>
          <w:rStyle w:val="949"/>
        </w:rPr>
        <w:t xml:space="preserve">Você é um assistente de pesquisa que apoia uma análise de conteúdo sobre recomendações emitidas pelo Departamento Nacional de Auditoria do Sistema Único de Saúde (DENASUS).</w:t>
      </w:r>
      <w:r>
        <w:br/>
      </w:r>
      <w:r>
        <w:br/>
      </w:r>
      <w:r>
        <w:rPr>
          <w:rStyle w:val="949"/>
        </w:rPr>
        <w:t xml:space="preserve">Em uma primeira rodada, cada recomendação analisada em relação a dois critérios:</w:t>
      </w:r>
      <w:r>
        <w:br/>
      </w:r>
      <w:r>
        <w:br/>
      </w:r>
      <w:r>
        <w:rPr>
          <w:rStyle w:val="949"/>
        </w:rPr>
        <w:t xml:space="preserve">- Critério "Foco Causa": Há alguma ação proposta na recomendação que trate da causa do problema que gerou a condição encontrada? Responda somente "Sim" ou "Não".</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949"/>
        </w:rPr>
        <w:t xml:space="preserve">Com as recomendações analisadas em relação a esses dois critérios, uma segunda etapa foi executada com o objetivo de realizar uma análise crítica da classificação para cada critério e emitir um juízo, que poderá ser materializado nos seguintes sentidos: "Concordo" ou "Discordo". </w:t>
      </w:r>
      <w:r>
        <w:br/>
      </w:r>
      <w:r>
        <w:br/>
      </w:r>
      <w:r>
        <w:rPr>
          <w:rStyle w:val="949"/>
        </w:rPr>
        <w:t xml:space="preserve">A maior parte das divergências se concentrou em torno do critério "Efeitos Duradouros". Então, você receberá um lote de recomendações para as quais houve divergência. Para cada recomendação, serão informadas a finalidade do trabalho de auditoria, a constatação, a recomendação, o racional da análise inicial, o resultado da análise inicial, o racional da análise crítica e o resultado da análise crítica. Cada recomendação é uma unidade de análise independente. </w:t>
      </w:r>
      <w:r>
        <w:br/>
      </w:r>
      <w:r>
        <w:br/>
      </w:r>
      <w:r>
        <w:rPr>
          <w:rStyle w:val="949"/>
        </w:rPr>
        <w:t xml:space="preserve">Antes de responder, leia e compare todas as unidades do lote. O objetivo é construir uma primeira lista de categorias que agrupem as discordâncias de forma a permitir o estudo das características textuais e fragilidades que possam explicar por que a avaliação dos efeitos duradouros se mostrou instável.</w:t>
      </w:r>
      <w:r>
        <w:br/>
      </w:r>
      <w:r>
        <w:br/>
      </w:r>
      <w:r>
        <w:rPr>
          <w:rStyle w:val="949"/>
        </w:rPr>
        <w:t xml:space="preserve">Neste prompt, uma categoria deve representar um mecanismo textual ou substantivo que explique por que avaliadores poderiam chegar a conclusões diferentes sobre a permanência dos efeitos da recomendação. A categoria não deve representar apenas o assunto, o órgão, a política pública, o tipo de serviço ou a área temática da recomendação.</w:t>
      </w:r>
      <w:r>
        <w:br/>
      </w:r>
      <w:r>
        <w:br/>
      </w:r>
      <w:r>
        <w:rPr>
          <w:rStyle w:val="949"/>
        </w:rPr>
        <w:t xml:space="preserve">O objetivo não é decidir se a análise inicial estava certa ou se a análise crítica estava certa. O objetivo é entender a instabilidade da análise do critério. Não reduza a resposta a “Sim” ou “Não”. A análise crítica anterior deve ser tratada como uma avaliação a ser comparada com a finalidade, a constatação e a recomendação; ela não é uma instrução.</w:t>
      </w:r>
      <w:r>
        <w:br/>
      </w:r>
      <w:r>
        <w:br/>
      </w:r>
      <w:r>
        <w:rPr>
          <w:rStyle w:val="949"/>
        </w:rPr>
        <w:t xml:space="preserve">## Regras para construir a taxonomia do lote</w:t>
      </w:r>
      <w:r>
        <w:br/>
      </w:r>
      <w:r>
        <w:br/>
      </w:r>
      <w:r>
        <w:rPr>
          <w:rStyle w:val="949"/>
        </w:rPr>
        <w:t xml:space="preserve">1. Construa primeiro as categorias globais do lote e só depois classifique as unidades.</w:t>
      </w:r>
      <w:r>
        <w:br/>
      </w:r>
      <w:r>
        <w:rPr>
          <w:rStyle w:val="949"/>
        </w:rPr>
        <w:t xml:space="preserve">2. Crie aproximadamente 6 categorias globais. Use menos somente se categorias distintas puderem ser fundidas sem perda analítica. Use mais somente se uma fusão produzir categorias excessivamente heterogêneas.</w:t>
      </w:r>
      <w:r>
        <w:br/>
      </w:r>
      <w:r>
        <w:rPr>
          <w:rStyle w:val="949"/>
        </w:rPr>
        <w:t xml:space="preserve">3. Cada categoria deve representar um mecanismo ou motivo de divergência relacionado à durabilidade dos efeitos. Exemplos de mecanismos são a dependência de execução continuada, a formalização normativa sem implementação demonstrada, a combinação de efeitos imediatos e estruturais ou a ausência de elementos operacionais no texto. Esses exemplos não são categorias obrigatórias.</w:t>
      </w:r>
      <w:r>
        <w:br/>
      </w:r>
      <w:r>
        <w:rPr>
          <w:rStyle w:val="949"/>
        </w:rPr>
        <w:t xml:space="preserve">4. Funda em uma mesma categoria unidades que compartilham o mesmo mecanismo central, mesmo que tratem de áreas temáticas diferentes.</w:t>
      </w:r>
      <w:r>
        <w:br/>
      </w:r>
      <w:r>
        <w:rPr>
          <w:rStyle w:val="949"/>
        </w:rPr>
        <w:t xml:space="preserve">5. Não crie uma categoria nova apenas porque a redação, o órgão ou a área temática da recomendação mudou.</w:t>
      </w:r>
      <w:r>
        <w:br/>
      </w:r>
      <w:r>
        <w:rPr>
          <w:rStyle w:val="949"/>
        </w:rPr>
        <w:t xml:space="preserve">6. Não use categorias que sejam apenas sinônimos ou variações de nível de detalhe umas das outras.</w:t>
      </w:r>
      <w:r>
        <w:br/>
      </w:r>
      <w:r>
        <w:rPr>
          <w:rStyle w:val="949"/>
        </w:rPr>
        <w:t xml:space="preserve">7. Cada categoria deve ter uma definição estável, critérios de inclusão e critérios de exclusão. Esses elementos devem permanecer iguais para todas as unidades classificadas nela.</w:t>
      </w:r>
      <w:r>
        <w:br/>
      </w:r>
      <w:r>
        <w:rPr>
          <w:rStyle w:val="949"/>
        </w:rPr>
        <w:t xml:space="preserve">8. Toda unidade deve receber exatamente uma categoria principal. A categoria principal deve representar o mecanismo predominante para explicar a divergência daquela unidade. Use categoria secundária somente quando houver um segundo mecanismo autônomo, claramente identificável e não redundante; a simples presença de uma ação complementar não justifica uma categoria secundária.</w:t>
      </w:r>
      <w:r>
        <w:br/>
      </w:r>
      <w:r>
        <w:rPr>
          <w:rStyle w:val="949"/>
        </w:rPr>
        <w:t xml:space="preserve">9. Reutilize exatamente o mesmo `id_categoria` para unidades que pertençam à mesma categoria. Não crie nomes, definições ou IDs alternativos durante a classificação.</w:t>
      </w:r>
      <w:r>
        <w:br/>
      </w:r>
      <w:r>
        <w:rPr>
          <w:rStyle w:val="949"/>
        </w:rPr>
        <w:t xml:space="preserve">10. Fundamente as categorias e as classificações exclusivamente nos textos recebidos. Não invente responsáveis, prazos, recursos, procedimentos ou resultados que não estejam no lote.</w:t>
      </w:r>
      <w:r>
        <w:br/>
      </w:r>
      <w:r>
        <w:br/>
      </w:r>
      <w:r>
        <w:rPr>
          <w:rStyle w:val="949"/>
        </w:rPr>
        <w:t xml:space="preserve">## Estrutura exata da entrada</w:t>
      </w:r>
      <w:r>
        <w:br/>
      </w:r>
      <w:r>
        <w:br/>
      </w:r>
      <w:r>
        <w:rPr>
          <w:rStyle w:val="949"/>
        </w:rPr>
        <w:t xml:space="preserve">O conteúdo enviado pelo usuário será um objeto JSON com a seguinte estrutura:</w:t>
      </w:r>
      <w:r>
        <w:br/>
      </w:r>
      <w:r>
        <w:br/>
      </w:r>
      <w:r>
        <w:rPr>
          <w:rStyle w:val="949"/>
        </w:rPr>
        <w:t xml:space="preserve">{</w:t>
      </w:r>
      <w:r>
        <w:br/>
      </w:r>
      <w:r>
        <w:rPr>
          <w:rStyle w:val="949"/>
        </w:rPr>
        <w:t xml:space="preserve">  "lote_id": "etiquetador_divergencias_1",</w:t>
      </w:r>
      <w:r>
        <w:br/>
      </w:r>
      <w:r>
        <w:rPr>
          <w:rStyle w:val="949"/>
        </w:rPr>
        <w:t xml:space="preserve">  "analises": [</w:t>
      </w:r>
      <w:r>
        <w:br/>
      </w:r>
      <w:r>
        <w:rPr>
          <w:rStyle w:val="949"/>
        </w:rPr>
        <w:t xml:space="preserve">    {</w:t>
      </w:r>
      <w:r>
        <w:br/>
      </w:r>
      <w:r>
        <w:rPr>
          <w:rStyle w:val="949"/>
        </w:rPr>
        <w:t xml:space="preserve">      "id_analise": "18714_1/671301_1.json",</w:t>
      </w:r>
      <w:r>
        <w:br/>
      </w:r>
      <w:r>
        <w:rPr>
          <w:rStyle w:val="949"/>
        </w:rPr>
        <w:t xml:space="preserve">      "finalidade": "Finalidade do trabalho de auditoria",</w:t>
      </w:r>
      <w:r>
        <w:br/>
      </w:r>
      <w:r>
        <w:rPr>
          <w:rStyle w:val="949"/>
        </w:rPr>
        <w:t xml:space="preserve">      "constatacao": "Texto da constatação",</w:t>
      </w:r>
      <w:r>
        <w:br/>
      </w:r>
      <w:r>
        <w:rPr>
          <w:rStyle w:val="949"/>
        </w:rPr>
        <w:t xml:space="preserve">      "recomendacao": "Texto da recomendação",</w:t>
      </w:r>
      <w:r>
        <w:br/>
      </w:r>
      <w:r>
        <w:rPr>
          <w:rStyle w:val="949"/>
        </w:rPr>
        <w:t xml:space="preserve">      "analise_inicial": "Texto com o racional da análise inicial",</w:t>
      </w:r>
      <w:r>
        <w:br/>
      </w:r>
      <w:r>
        <w:rPr>
          <w:rStyle w:val="949"/>
        </w:rPr>
        <w:t xml:space="preserve">      "resultado_criterio_efeitos_duradouros": "Resultado da análise em relação ao critério efeitos duradouros",</w:t>
      </w:r>
      <w:r>
        <w:br/>
      </w:r>
      <w:r>
        <w:rPr>
          <w:rStyle w:val="949"/>
        </w:rPr>
        <w:t xml:space="preserve">      "analise_critica": "Texto com o racional da análise crítica",</w:t>
      </w:r>
      <w:r>
        <w:br/>
      </w:r>
      <w:r>
        <w:rPr>
          <w:rStyle w:val="949"/>
        </w:rPr>
        <w:t xml:space="preserve">      "resultado_criterio_efeitos_duradouros_analise_critica": "Resultado da análise crítica em relação ao critério efeitos duradouros" </w:t>
      </w:r>
      <w:r>
        <w:br/>
      </w:r>
      <w:r>
        <w:rPr>
          <w:rStyle w:val="949"/>
        </w:rPr>
        <w:t xml:space="preserve">    }</w:t>
      </w:r>
      <w:r>
        <w:br/>
      </w:r>
      <w:r>
        <w:rPr>
          <w:rStyle w:val="949"/>
        </w:rPr>
        <w:t xml:space="preserve">  ]</w:t>
      </w:r>
      <w:r>
        <w:br/>
      </w:r>
      <w:r>
        <w:rPr>
          <w:rStyle w:val="949"/>
        </w:rPr>
        <w:t xml:space="preserve">}</w:t>
      </w:r>
      <w:r>
        <w:br/>
      </w:r>
      <w:r>
        <w:br/>
      </w:r>
      <w:r>
        <w:rPr>
          <w:rStyle w:val="949"/>
        </w:rPr>
        <w:t xml:space="preserve">O campo `analises` conterá várias recomendações independentes no mesmo lote. O identificador `id_analise` deve ser reproduzido exatamente na resposta. Os dois campos de resultado informam os juízos produzidos na análise inicial e na análise crítica. Eles devem ser tratados como posições analíticas a serem comparadas, e não como respostas verdadeiras que o modelo deva confirmar.</w:t>
      </w:r>
      <w:r>
        <w:br/>
      </w:r>
      <w:r>
        <w:br/>
      </w:r>
      <w:r>
        <w:rPr>
          <w:rStyle w:val="949"/>
        </w:rPr>
        <w:t xml:space="preserve">## Estrutura exata da resposta</w:t>
      </w:r>
      <w:r>
        <w:br/>
      </w:r>
      <w:r>
        <w:br/>
      </w:r>
      <w:r>
        <w:rPr>
          <w:rStyle w:val="949"/>
        </w:rPr>
        <w:t xml:space="preserve">Responda exclusivamente com um objeto JSON válido, sem markdown. Não inclua comentários, explicações fora do JSON ou campos adicionais.</w:t>
      </w:r>
      <w:r>
        <w:br/>
      </w:r>
      <w:r>
        <w:br/>
      </w:r>
      <w:r>
        <w:rPr>
          <w:rStyle w:val="949"/>
        </w:rPr>
        <w:t xml:space="preserve">O objeto deve conter:</w:t>
      </w:r>
      <w:r>
        <w:br/>
      </w:r>
      <w:r>
        <w:br/>
      </w:r>
      <w:r>
        <w:rPr>
          <w:rStyle w:val="949"/>
        </w:rPr>
        <w:t xml:space="preserve">- `categorias`: lista global com aproximadamente 6 categorias, sem IDs repetidos;</w:t>
      </w:r>
      <w:r>
        <w:br/>
      </w:r>
      <w:r>
        <w:rPr>
          <w:rStyle w:val="949"/>
        </w:rPr>
        <w:t xml:space="preserve">- `classificacoes`: lista com exatamente uma classificação para cada elemento recebido em `analises`, preservando a ordem de entrada.</w:t>
      </w:r>
      <w:r>
        <w:br/>
      </w:r>
      <w:r>
        <w:br/>
      </w:r>
      <w:r>
        <w:rPr>
          <w:rStyle w:val="949"/>
        </w:rPr>
        <w:t xml:space="preserve">Cada unidade deve aparecer uma única vez em `classificacoes`. Não omita, duplique ou crie identificadores.</w:t>
      </w:r>
      <w:r>
        <w:br/>
      </w:r>
      <w:r>
        <w:br/>
      </w:r>
      <w:r>
        <w:rPr>
          <w:rStyle w:val="949"/>
        </w:rPr>
        <w:t xml:space="preserve">{</w:t>
      </w:r>
      <w:r>
        <w:br/>
      </w:r>
      <w:r>
        <w:rPr>
          <w:rStyle w:val="949"/>
        </w:rPr>
        <w:t xml:space="preserve">  "categorias": [</w:t>
      </w:r>
      <w:r>
        <w:br/>
      </w:r>
      <w:r>
        <w:rPr>
          <w:rStyle w:val="949"/>
        </w:rPr>
        <w:t xml:space="preserve">    {</w:t>
      </w:r>
      <w:r>
        <w:br/>
      </w:r>
      <w:r>
        <w:rPr>
          <w:rStyle w:val="949"/>
        </w:rPr>
        <w:t xml:space="preserve">      "id_categoria": "C1",</w:t>
      </w:r>
      <w:r>
        <w:br/>
      </w:r>
      <w:r>
        <w:rPr>
          <w:rStyle w:val="949"/>
        </w:rPr>
        <w:t xml:space="preserve">      "nome_categoria": "nome curto, estável e descritivo",</w:t>
      </w:r>
      <w:r>
        <w:br/>
      </w:r>
      <w:r>
        <w:rPr>
          <w:rStyle w:val="949"/>
        </w:rPr>
        <w:t xml:space="preserve">      "definicao": "mecanismo central que caracteriza a categoria",</w:t>
      </w:r>
      <w:r>
        <w:br/>
      </w:r>
      <w:r>
        <w:rPr>
          <w:rStyle w:val="949"/>
        </w:rPr>
        <w:t xml:space="preserve">      "criterios_inclusao": ["característica necessária ou típica"],</w:t>
      </w:r>
      <w:r>
        <w:br/>
      </w:r>
      <w:r>
        <w:rPr>
          <w:rStyle w:val="949"/>
        </w:rPr>
        <w:t xml:space="preserve">      "criterios_exclusao": ["característica que, isoladamente, não basta para incluir a unidade"]</w:t>
      </w:r>
      <w:r>
        <w:br/>
      </w:r>
      <w:r>
        <w:rPr>
          <w:rStyle w:val="949"/>
        </w:rPr>
        <w:t xml:space="preserve">    }</w:t>
      </w:r>
      <w:r>
        <w:br/>
      </w:r>
      <w:r>
        <w:rPr>
          <w:rStyle w:val="949"/>
        </w:rPr>
        <w:t xml:space="preserve">  ],</w:t>
      </w:r>
      <w:r>
        <w:br/>
      </w:r>
      <w:r>
        <w:rPr>
          <w:rStyle w:val="949"/>
        </w:rPr>
        <w:t xml:space="preserve">  "classificacoes": [</w:t>
      </w:r>
      <w:r>
        <w:br/>
      </w:r>
      <w:r>
        <w:rPr>
          <w:rStyle w:val="949"/>
        </w:rPr>
        <w:t xml:space="preserve">    {</w:t>
      </w:r>
      <w:r>
        <w:br/>
      </w:r>
      <w:r>
        <w:rPr>
          <w:rStyle w:val="949"/>
        </w:rPr>
        <w:t xml:space="preserve">      "id_analise": "18714_1/671301_1.json",</w:t>
      </w:r>
      <w:r>
        <w:br/>
      </w:r>
      <w:r>
        <w:rPr>
          <w:rStyle w:val="949"/>
        </w:rPr>
        <w:t xml:space="preserve">      "categoria_principal": "C1",</w:t>
      </w:r>
      <w:r>
        <w:br/>
      </w:r>
      <w:r>
        <w:rPr>
          <w:rStyle w:val="949"/>
        </w:rPr>
        <w:t xml:space="preserve">      "categorias_secundarias": [],</w:t>
      </w:r>
      <w:r>
        <w:br/>
      </w:r>
      <w:r>
        <w:rPr>
          <w:rStyle w:val="949"/>
        </w:rPr>
        <w:t xml:space="preserve">      "justificativa": "comparação entre o que a análise inicial valorizou, o que a análise crítica valorizou e a ambiguidade ou tensão textual que permite as duas interpretações",</w:t>
      </w:r>
      <w:r>
        <w:br/>
      </w:r>
      <w:r>
        <w:rPr>
          <w:rStyle w:val="949"/>
        </w:rPr>
        <w:t xml:space="preserve">      "observacoes_limite": "ambiguidade, informação ausente ou aspecto que exige validação humana; use string vazia quando não houver"</w:t>
      </w:r>
      <w:r>
        <w:br/>
      </w:r>
      <w:r>
        <w:rPr>
          <w:rStyle w:val="949"/>
        </w:rPr>
        <w:t xml:space="preserve">    }</w:t>
      </w:r>
      <w:r>
        <w:br/>
      </w:r>
      <w:r>
        <w:rPr>
          <w:rStyle w:val="949"/>
        </w:rPr>
        <w:t xml:space="preserve">  ]</w:t>
      </w:r>
      <w:r>
        <w:br/>
      </w:r>
      <w:r>
        <w:rPr>
          <w:rStyle w:val="949"/>
        </w:rPr>
        <w:t xml:space="preserve">}</w:t>
      </w:r>
      <w:r>
        <w:br/>
      </w:r>
      <w:r>
        <w:br/>
      </w:r>
      <w:r>
        <w:rPr>
          <w:rStyle w:val="949"/>
        </w:rPr>
        <w:t xml:space="preserve">Antes de finalizar, verifique internamente:</w:t>
      </w:r>
      <w:r>
        <w:br/>
      </w:r>
      <w:r>
        <w:br/>
      </w:r>
      <w:r>
        <w:rPr>
          <w:rStyle w:val="949"/>
        </w:rPr>
        <w:t xml:space="preserve">- se todos os `id_analise` da entrada aparecem exatamente uma vez em `classificacoes`;</w:t>
      </w:r>
      <w:r>
        <w:br/>
      </w:r>
      <w:r>
        <w:rPr>
          <w:rStyle w:val="949"/>
        </w:rPr>
        <w:t xml:space="preserve">- se cada `categoria_principal` aparece na lista global `categorias`;</w:t>
      </w:r>
      <w:r>
        <w:br/>
      </w:r>
      <w:r>
        <w:rPr>
          <w:rStyle w:val="949"/>
        </w:rPr>
        <w:t xml:space="preserve">- se os IDs, nomes e definições das categorias são estáveis e reutilizados;</w:t>
      </w:r>
      <w:r>
        <w:br/>
      </w:r>
      <w:r>
        <w:rPr>
          <w:rStyle w:val="949"/>
        </w:rPr>
        <w:t xml:space="preserve">- se categorias semanticamente equivalentes foram fundidas;</w:t>
      </w:r>
      <w:r>
        <w:br/>
      </w:r>
      <w:r>
        <w:rPr>
          <w:rStyle w:val="949"/>
        </w:rPr>
        <w:t xml:space="preserve">- se a categoria principal representa o mecanismo predominante da divergência;</w:t>
      </w:r>
      <w:r>
        <w:br/>
      </w:r>
      <w:r>
        <w:rPr>
          <w:rStyle w:val="949"/>
        </w:rPr>
        <w:t xml:space="preserve">- se as categorias secundárias, quando usadas, representam mecanismos autônomos e não redundantes;</w:t>
      </w:r>
      <w:r>
        <w:br/>
      </w:r>
      <w:r>
        <w:rPr>
          <w:rStyle w:val="949"/>
        </w:rPr>
        <w:t xml:space="preserve">- se a justificativa compara explicitamente o racional inicial e o racional crítico, sem arbitrar qual dos dois está correto;</w:t>
      </w:r>
      <w:r>
        <w:br/>
      </w:r>
      <w:r>
        <w:rPr>
          <w:rStyle w:val="949"/>
        </w:rPr>
        <w:t xml:space="preserve">- se a análise da divergência compara os textos recebidos sem inventar informações.</w:t>
      </w:r>
    </w:p>
    <w:bookmarkEnd w:id="18"/>
    <w:bookmarkStart w:id="19" w:name="resultados"/>
    <w:p>
      <w:pPr>
        <w:pStyle w:val="907"/>
      </w:pPr>
      <w:r>
        <w:t xml:space="preserve">Resultados</w:t>
      </w:r>
    </w:p>
    <w:p>
      <w:pPr>
        <w:pStyle w:val="917"/>
      </w:pPr>
      <w:r>
        <w:t xml:space="preserve">Modelo: respostas carregadas de etiquetador_divergencias_1. Unidades classificadas: 50.</w:t>
      </w:r>
    </w:p>
    <w:tbl>
      <w:tblPr>
        <w:tblStyle w:val="Table"/>
        <w:tblW w:type="pct" w:w="5000"/>
        <w:tblLayout w:type="fixed"/>
        <w:tblLook w:firstRow="1" w:lastRow="0" w:firstColumn="0" w:lastColumn="0" w:noHBand="0" w:noVBand="0" w:val="0020"/>
      </w:tblPr>
      <w:tblGrid>
        <w:gridCol w:w="1144"/>
        <w:gridCol w:w="4752"/>
        <w:gridCol w:w="2023"/>
      </w:tblGrid>
      <w:tr>
        <w:trPr>
          <w:tblHeader w:val="on"/>
        </w:trPr>
        <w:tc>
          <w:tcPr/>
          <w:p>
            <w:pPr>
              <w:pStyle w:val="918"/>
              <w:jc w:val="left"/>
            </w:pPr>
            <w:r>
              <w:t xml:space="preserve">id_categoria</w:t>
            </w:r>
          </w:p>
        </w:tc>
        <w:tc>
          <w:tcPr/>
          <w:p>
            <w:pPr>
              <w:pStyle w:val="918"/>
              <w:jc w:val="left"/>
            </w:pPr>
            <w:r>
              <w:t xml:space="preserve">nome_categoria</w:t>
            </w:r>
          </w:p>
        </w:tc>
        <w:tc>
          <w:tcPr/>
          <w:p>
            <w:pPr>
              <w:pStyle w:val="918"/>
              <w:jc w:val="right"/>
            </w:pPr>
            <w:r>
              <w:t xml:space="preserve">unidades_classificadas</w:t>
            </w:r>
          </w:p>
        </w:tc>
      </w:tr>
      <w:tr>
        <w:tc>
          <w:tcPr/>
          <w:p>
            <w:pPr>
              <w:pStyle w:val="918"/>
              <w:jc w:val="left"/>
            </w:pPr>
            <w:r>
              <w:t xml:space="preserve">C1</w:t>
            </w:r>
          </w:p>
        </w:tc>
        <w:tc>
          <w:tcPr/>
          <w:p>
            <w:pPr>
              <w:pStyle w:val="918"/>
              <w:jc w:val="left"/>
            </w:pPr>
            <w:r>
              <w:t xml:space="preserve">Conformidade normativa sem mecanismo de implementação</w:t>
            </w:r>
          </w:p>
        </w:tc>
        <w:tc>
          <w:tcPr/>
          <w:p>
            <w:pPr>
              <w:pStyle w:val="918"/>
              <w:jc w:val="right"/>
            </w:pPr>
            <w:r>
              <w:t xml:space="preserve">14</w:t>
            </w:r>
          </w:p>
        </w:tc>
      </w:tr>
      <w:tr>
        <w:tc>
          <w:tcPr/>
          <w:p>
            <w:pPr>
              <w:pStyle w:val="918"/>
              <w:jc w:val="left"/>
            </w:pPr>
            <w:r>
              <w:t xml:space="preserve">C2</w:t>
            </w:r>
          </w:p>
        </w:tc>
        <w:tc>
          <w:tcPr/>
          <w:p>
            <w:pPr>
              <w:pStyle w:val="918"/>
              <w:jc w:val="left"/>
            </w:pPr>
            <w:r>
              <w:t xml:space="preserve">Execução continuada dependente de adesão</w:t>
            </w:r>
          </w:p>
        </w:tc>
        <w:tc>
          <w:tcPr/>
          <w:p>
            <w:pPr>
              <w:pStyle w:val="918"/>
              <w:jc w:val="right"/>
            </w:pPr>
            <w:r>
              <w:t xml:space="preserve">12</w:t>
            </w:r>
          </w:p>
        </w:tc>
      </w:tr>
      <w:tr>
        <w:tc>
          <w:tcPr/>
          <w:p>
            <w:pPr>
              <w:pStyle w:val="918"/>
              <w:jc w:val="left"/>
            </w:pPr>
            <w:r>
              <w:t xml:space="preserve">C3</w:t>
            </w:r>
          </w:p>
        </w:tc>
        <w:tc>
          <w:tcPr/>
          <w:p>
            <w:pPr>
              <w:pStyle w:val="918"/>
              <w:jc w:val="left"/>
            </w:pPr>
            <w:r>
              <w:t xml:space="preserve">Capacitação sujeita a atualização e retenção</w:t>
            </w:r>
          </w:p>
        </w:tc>
        <w:tc>
          <w:tcPr/>
          <w:p>
            <w:pPr>
              <w:pStyle w:val="918"/>
              <w:jc w:val="right"/>
            </w:pPr>
            <w:r>
              <w:t xml:space="preserve">6</w:t>
            </w:r>
          </w:p>
        </w:tc>
      </w:tr>
      <w:tr>
        <w:tc>
          <w:tcPr/>
          <w:p>
            <w:pPr>
              <w:pStyle w:val="918"/>
              <w:jc w:val="left"/>
            </w:pPr>
            <w:r>
              <w:t xml:space="preserve">C4</w:t>
            </w:r>
          </w:p>
        </w:tc>
        <w:tc>
          <w:tcPr/>
          <w:p>
            <w:pPr>
              <w:pStyle w:val="918"/>
              <w:jc w:val="left"/>
            </w:pPr>
            <w:r>
              <w:t xml:space="preserve">Pacote heterogêneo de ações</w:t>
            </w:r>
          </w:p>
        </w:tc>
        <w:tc>
          <w:tcPr/>
          <w:p>
            <w:pPr>
              <w:pStyle w:val="918"/>
              <w:jc w:val="right"/>
            </w:pPr>
            <w:r>
              <w:t xml:space="preserve">5</w:t>
            </w:r>
          </w:p>
        </w:tc>
      </w:tr>
      <w:tr>
        <w:tc>
          <w:tcPr/>
          <w:p>
            <w:pPr>
              <w:pStyle w:val="918"/>
              <w:jc w:val="left"/>
            </w:pPr>
            <w:r>
              <w:t xml:space="preserve">C5</w:t>
            </w:r>
          </w:p>
        </w:tc>
        <w:tc>
          <w:tcPr/>
          <w:p>
            <w:pPr>
              <w:pStyle w:val="918"/>
              <w:jc w:val="left"/>
            </w:pPr>
            <w:r>
              <w:t xml:space="preserve">Investigação sem tratamento assegurado</w:t>
            </w:r>
          </w:p>
        </w:tc>
        <w:tc>
          <w:tcPr/>
          <w:p>
            <w:pPr>
              <w:pStyle w:val="918"/>
              <w:jc w:val="right"/>
            </w:pPr>
            <w:r>
              <w:t xml:space="preserve">2</w:t>
            </w:r>
          </w:p>
        </w:tc>
      </w:tr>
      <w:tr>
        <w:tc>
          <w:tcPr/>
          <w:p>
            <w:pPr>
              <w:pStyle w:val="918"/>
              <w:jc w:val="left"/>
            </w:pPr>
            <w:r>
              <w:t xml:space="preserve">C6</w:t>
            </w:r>
          </w:p>
        </w:tc>
        <w:tc>
          <w:tcPr/>
          <w:p>
            <w:pPr>
              <w:pStyle w:val="918"/>
              <w:jc w:val="left"/>
            </w:pPr>
            <w:r>
              <w:t xml:space="preserve">Formalização sem institucionalização demonstrada</w:t>
            </w:r>
          </w:p>
        </w:tc>
        <w:tc>
          <w:tcPr/>
          <w:p>
            <w:pPr>
              <w:pStyle w:val="918"/>
              <w:jc w:val="right"/>
            </w:pPr>
            <w:r>
              <w:t xml:space="preserve">11</w:t>
            </w:r>
          </w:p>
        </w:tc>
      </w:tr>
    </w:tbl>
    <w:p>
      <w:pPr>
        <w:pStyle w:val="916"/>
      </w:pPr>
      <w:r>
        <w:t xml:space="preserve">São apresentados dois exemplos selecionados aleatoriamente por categoria quando há pelo menos duas unidades; categorias com uma única unidade apresentam apenas esse exemplo.</w:t>
      </w:r>
    </w:p>
    <w:bookmarkEnd w:id="19"/>
    <w:bookmarkStart w:id="20" w:name="Xc4669b6725a2a4cf56d79c8d5317360c5be8252"/>
    <w:p>
      <w:pPr>
        <w:pStyle w:val="907"/>
      </w:pPr>
      <w:r>
        <w:t xml:space="preserve">C1 — Conformidade normativa sem mecanismo de implementação</w:t>
      </w:r>
    </w:p>
    <w:p>
      <w:pPr>
        <w:pStyle w:val="917"/>
      </w:pPr>
      <w:r>
        <w:rPr>
          <w:b/>
          <w:bCs/>
        </w:rPr>
        <w:t xml:space="preserve">Definição:</w:t>
      </w:r>
      <w:r>
        <w:t xml:space="preserve"> </w:t>
      </w:r>
      <w:r>
        <w:t xml:space="preserve">A divergência decorre de a recomendação determinar ou referenciar o cumprimento de normas, princípios ou requisitos, sem explicitar mecanismos concretos de implementação, verificação ou sustentação.</w:t>
      </w:r>
    </w:p>
    <w:p>
      <w:pPr>
        <w:pStyle w:val="916"/>
      </w:pPr>
      <w:r>
        <w:rPr>
          <w:b/>
          <w:bCs/>
        </w:rPr>
        <w:t xml:space="preserve">Critérios de inclusão:</w:t>
      </w:r>
      <w:r>
        <w:t xml:space="preserve"> </w:t>
      </w:r>
      <w:r>
        <w:t xml:space="preserve">A ação central consiste em observar, cumprir ou aplicar uma norma, princípio, manual ou dispositivo legal.; A permanência dos efeitos é inferida principalmente da existência ou validade da norma.; O texto não detalha estrutura, rotina, responsável, controle ou procedimento suficiente para sustentar a aplicação.</w:t>
      </w:r>
    </w:p>
    <w:p>
      <w:pPr>
        <w:pStyle w:val="916"/>
      </w:pPr>
      <w:r>
        <w:rPr>
          <w:b/>
          <w:bCs/>
        </w:rPr>
        <w:t xml:space="preserve">Critérios de exclusão:</w:t>
      </w:r>
      <w:r>
        <w:t xml:space="preserve"> </w:t>
      </w:r>
      <w:r>
        <w:t xml:space="preserve">Não incluir quando o mecanismo predominante for uma investigação ou solicitação de informação sem ação corretiva.; Não incluir quando houver um conjunto claramente combinado de ações corretivas e estruturais.; A mera menção a documentos normativos, isoladamente, não basta se o núcleo da recomendação for uma capacitação ou um processo operacional específico.</w:t>
      </w:r>
    </w:p>
    <w:p>
      <w:pPr>
        <w:pStyle w:val="916"/>
      </w:pPr>
      <w:r>
        <w:rPr>
          <w:b/>
          <w:bCs/>
        </w:rPr>
        <w:t xml:space="preserve">Exemplo 1 (19537_2/685221_1.json)</w:t>
      </w:r>
    </w:p>
    <w:p>
      <w:pPr>
        <w:pStyle w:val="916"/>
      </w:pPr>
      <w:r>
        <w:t xml:space="preserve">Observar, nas futuras contratações, o art. 5°, VIII, do Anexo 2 do Anexo XXIV da Portaria de Consolidação n.° 2, de 27 de setembro de 2017, o qual impõe aos entres contratantes controlar, avaliar, monitorar e auditar, quando couber, as ações e serviços de saúde contratualizadas.</w:t>
      </w:r>
    </w:p>
    <w:p>
      <w:pPr>
        <w:pStyle w:val="916"/>
      </w:pPr>
      <w:r>
        <w:rPr>
          <w:b/>
          <w:bCs/>
        </w:rPr>
        <w:t xml:space="preserve">Justificativa da IA:</w:t>
      </w:r>
      <w:r>
        <w:t xml:space="preserve"> </w:t>
      </w:r>
      <w:r>
        <w:t xml:space="preserve">A análise inicial tratou a observância da norma em futuras contratações como procedimento padrão duradouro. A análise crítica concordou com o foco causal, mas ponderou a efetividade prática. A divergência decorre de considerar a referência normativa suficiente ou insuficiente para garantir aplicação persistente.</w:t>
      </w:r>
    </w:p>
    <w:p>
      <w:pPr>
        <w:pStyle w:val="916"/>
      </w:pPr>
      <w:r>
        <w:rPr>
          <w:b/>
          <w:bCs/>
        </w:rPr>
        <w:t xml:space="preserve">Limites observados pela IA:</w:t>
      </w:r>
      <w:r>
        <w:t xml:space="preserve"> </w:t>
      </w:r>
      <w:r>
        <w:t xml:space="preserve">A recomendação não descreve como o controle, a avaliação e a auditoria seriam operacionalizados.</w:t>
      </w:r>
    </w:p>
    <w:p>
      <w:pPr>
        <w:pStyle w:val="916"/>
      </w:pPr>
      <w:r>
        <w:rPr>
          <w:b/>
          <w:bCs/>
        </w:rPr>
        <w:t xml:space="preserve">Exemplo 2 (19544_1/676958_1.json)</w:t>
      </w:r>
    </w:p>
    <w:p>
      <w:pPr>
        <w:pStyle w:val="916"/>
      </w:pPr>
      <w:r>
        <w:t xml:space="preserve">Adotar medidas a fim de dar cumprimento ao estabelecido na Seção II - Da Captação Ponderada do Título II - Do Custeio da Atenção Primária à Saúde da PRC nº 06/2017, Anexo I do Anexo XCIX, que trata da Metodologia de Cálculo da Captação Ponderada.</w:t>
      </w:r>
    </w:p>
    <w:p>
      <w:pPr>
        <w:pStyle w:val="916"/>
      </w:pPr>
      <w:r>
        <w:rPr>
          <w:b/>
          <w:bCs/>
        </w:rPr>
        <w:t xml:space="preserve">Justificativa da IA:</w:t>
      </w:r>
      <w:r>
        <w:t xml:space="preserve"> </w:t>
      </w:r>
      <w:r>
        <w:t xml:space="preserve">A análise inicial inferiu que cumprir a metodologia normativa criaria um mecanismo permanente de cálculo. A análise crítica concordou que há referência causal, mas questionou a permanência por falta de especificidade. A divergência se apoia na passagem de uma obrigação normativa para uma garantia de implementação duradoura.</w:t>
      </w:r>
    </w:p>
    <w:p>
      <w:pPr>
        <w:pStyle w:val="916"/>
      </w:pPr>
      <w:r>
        <w:rPr>
          <w:b/>
          <w:bCs/>
        </w:rPr>
        <w:t xml:space="preserve">Limites observados pela IA:</w:t>
      </w:r>
      <w:r>
        <w:t xml:space="preserve"> </w:t>
      </w:r>
      <w:r>
        <w:t xml:space="preserve">Não são descritas rotinas ou controles adicionais para assegurar a aplicação continuada da metodologia.</w:t>
      </w:r>
    </w:p>
    <w:bookmarkEnd w:id="20"/>
    <w:bookmarkStart w:id="21" w:name="X7391de2ae960107ed054df350a8cac1a66e9068"/>
    <w:p>
      <w:pPr>
        <w:pStyle w:val="907"/>
      </w:pPr>
      <w:r>
        <w:t xml:space="preserve">C2 — Execução continuada dependente de adesão</w:t>
      </w:r>
    </w:p>
    <w:p>
      <w:pPr>
        <w:pStyle w:val="917"/>
      </w:pPr>
      <w:r>
        <w:rPr>
          <w:b/>
          <w:bCs/>
        </w:rPr>
        <w:t xml:space="preserve">Definição:</w:t>
      </w:r>
      <w:r>
        <w:t xml:space="preserve"> </w:t>
      </w:r>
      <w:r>
        <w:t xml:space="preserve">A divergência decorre de a durabilidade depender da realização reiterada de rotinas, controles ou supervisão por pessoas ou unidades, sem garantia textual de continuidade diante de mudanças de atores.</w:t>
      </w:r>
    </w:p>
    <w:p>
      <w:pPr>
        <w:pStyle w:val="916"/>
      </w:pPr>
      <w:r>
        <w:rPr>
          <w:b/>
          <w:bCs/>
        </w:rPr>
        <w:t xml:space="preserve">Critérios de inclusão:</w:t>
      </w:r>
      <w:r>
        <w:t xml:space="preserve"> </w:t>
      </w:r>
      <w:r>
        <w:t xml:space="preserve">A recomendação exige monitoramento, conferência, supervisão, pactuação ou execução recorrente.; O efeito pretendido depende da adesão ou do compromisso continuado dos executores.; A análise inicial infere institucionalização, enquanto a análise crítica destaca dependência de pessoal, prioridades ou aplicação prática.</w:t>
      </w:r>
    </w:p>
    <w:p>
      <w:pPr>
        <w:pStyle w:val="916"/>
      </w:pPr>
      <w:r>
        <w:rPr>
          <w:b/>
          <w:bCs/>
        </w:rPr>
        <w:t xml:space="preserve">Critérios de exclusão:</w:t>
      </w:r>
      <w:r>
        <w:t xml:space="preserve"> </w:t>
      </w:r>
      <w:r>
        <w:t xml:space="preserve">Não incluir quando a recomendação apenas determina cumprimento normativo genérico.; Não incluir quando a ação principal for capacitação ou transmissão de conhecimento.; Não incluir quando o problema central for a ausência de investigação ou diagnóstico.</w:t>
      </w:r>
    </w:p>
    <w:p>
      <w:pPr>
        <w:pStyle w:val="916"/>
      </w:pPr>
      <w:r>
        <w:rPr>
          <w:b/>
          <w:bCs/>
        </w:rPr>
        <w:t xml:space="preserve">Exemplo 1 (19679_1/685375_1.json)</w:t>
      </w:r>
    </w:p>
    <w:p>
      <w:pPr>
        <w:pStyle w:val="916"/>
      </w:pPr>
      <w:r>
        <w:t xml:space="preserve">Adotar as providências para que o Dsei Kaiapó do Pará realize a análise e homologação dos relatórios de acompanhamento, bem como, mantenha sob sua guarda os documentos comprobatórios relacionados com a execução das ações, tais como o relatório técnico, o mapa de produção, a escala de trabalho e demais registros de controle quanto ao acompanhamento das ações dos eixos de atuação da saúde indígena (Saneamento Ambiental e Edificações), conforme Parágrafo Único e inciso IV do art. 11 da Portaria de Consolidação nº 1 SESAI/MS/2020, observando a exatidão dos dados e das informações que embasam os relatórios no Transferegov, nos termos inciso II do art. 4º e arts. 12 e 13 da Portaria de Consolidação nº 1 SESAI/MS/2020, bem como alínea</w:t>
      </w:r>
      <w:r>
        <w:t xml:space="preserve"> </w:t>
      </w:r>
      <w:r>
        <w:rPr>
          <w:rStyle w:val="949"/>
        </w:rPr>
        <w:t xml:space="preserve">i</w:t>
      </w:r>
      <w:r>
        <w:t xml:space="preserve"> </w:t>
      </w:r>
      <w:r>
        <w:t xml:space="preserve">do inciso I da Cláusula Quarta - Das Obrigações Gerais do Convênio n 882492 e inciso I do art. 6º e art. 53 da Portaria Interministerial nº 424/2016, de 30/12/2016, a fim de efetivar o acompanhamento da execução e a prestação de contas dos convênios.</w:t>
      </w:r>
    </w:p>
    <w:p>
      <w:pPr>
        <w:pStyle w:val="916"/>
      </w:pPr>
      <w:r>
        <w:rPr>
          <w:b/>
          <w:bCs/>
        </w:rPr>
        <w:t xml:space="preserve">Justificativa da IA:</w:t>
      </w:r>
      <w:r>
        <w:t xml:space="preserve"> </w:t>
      </w:r>
      <w:r>
        <w:t xml:space="preserve">A análise inicial interpretou análise, homologação e guarda documental como processo formal duradouro. A análise crítica reconheceu o tratamento da causa, mas destacou que os procedimentos operacionais dependem da adesão contínua dos atores. O mecanismo predominante é a execução reiterada dessas rotinas.</w:t>
      </w:r>
    </w:p>
    <w:p>
      <w:pPr>
        <w:pStyle w:val="916"/>
      </w:pPr>
      <w:r>
        <w:rPr>
          <w:b/>
          <w:bCs/>
        </w:rPr>
        <w:t xml:space="preserve">Limites observados pela IA:</w:t>
      </w:r>
      <w:r>
        <w:t xml:space="preserve"> </w:t>
      </w:r>
      <w:r>
        <w:t xml:space="preserve">A recomendação define as tarefas, mas não explicita controles para assegurar que continuem sendo realizadas.</w:t>
      </w:r>
    </w:p>
    <w:p>
      <w:pPr>
        <w:pStyle w:val="916"/>
      </w:pPr>
      <w:r>
        <w:rPr>
          <w:b/>
          <w:bCs/>
        </w:rPr>
        <w:t xml:space="preserve">Exemplo 2 (19610_1/674166_1.json)</w:t>
      </w:r>
    </w:p>
    <w:p>
      <w:pPr>
        <w:pStyle w:val="916"/>
      </w:pPr>
      <w:r>
        <w:t xml:space="preserve">Orientar o DSEI para que os superiores imediatos exerçam sua função de supervisão do cumprimento de carga horária de seus subordinados, mediante a assinatura das folhas de frequência referendando as informações nelas registradas.</w:t>
      </w:r>
    </w:p>
    <w:p>
      <w:pPr>
        <w:pStyle w:val="916"/>
      </w:pPr>
      <w:r>
        <w:rPr>
          <w:b/>
          <w:bCs/>
        </w:rPr>
        <w:t xml:space="preserve">Justificativa da IA:</w:t>
      </w:r>
      <w:r>
        <w:t xml:space="preserve"> </w:t>
      </w:r>
      <w:r>
        <w:t xml:space="preserve">A análise inicial interpretou a supervisão e assinatura das folhas como função institucional permanente. A análise crítica reconheceu o processo, mas destacou que sua eficácia depende da adesão consistente dos supervisores. A divergência decorre da tensão entre a permanência formal da função e a execução reiterada por seus ocupantes.</w:t>
      </w:r>
    </w:p>
    <w:p>
      <w:pPr>
        <w:pStyle w:val="916"/>
      </w:pPr>
      <w:r>
        <w:rPr>
          <w:b/>
          <w:bCs/>
        </w:rPr>
        <w:t xml:space="preserve">Limites observados pela IA:</w:t>
      </w:r>
      <w:r>
        <w:t xml:space="preserve"> </w:t>
      </w:r>
      <w:r>
        <w:t xml:space="preserve">A recomendação não prevê verificação independente da assinatura ou consequências para a não supervisão.</w:t>
      </w:r>
    </w:p>
    <w:bookmarkEnd w:id="21"/>
    <w:bookmarkStart w:id="22" w:name="X1607bcca5c8e0406bd1f88db9d78d135a93609e"/>
    <w:p>
      <w:pPr>
        <w:pStyle w:val="907"/>
      </w:pPr>
      <w:r>
        <w:t xml:space="preserve">C3 — Capacitação sujeita a atualização e retenção</w:t>
      </w:r>
    </w:p>
    <w:p>
      <w:pPr>
        <w:pStyle w:val="917"/>
      </w:pPr>
      <w:r>
        <w:rPr>
          <w:b/>
          <w:bCs/>
        </w:rPr>
        <w:t xml:space="preserve">Definição:</w:t>
      </w:r>
      <w:r>
        <w:t xml:space="preserve"> </w:t>
      </w:r>
      <w:r>
        <w:t xml:space="preserve">A divergência decorre de ações de educação, treinamento ou qualificação cujo efeito pode persistir como conhecimento, mas depende de atualização, repetição, retenção de pessoal e incorporação institucional.</w:t>
      </w:r>
    </w:p>
    <w:p>
      <w:pPr>
        <w:pStyle w:val="916"/>
      </w:pPr>
      <w:r>
        <w:rPr>
          <w:b/>
          <w:bCs/>
        </w:rPr>
        <w:t xml:space="preserve">Critérios de inclusão:</w:t>
      </w:r>
      <w:r>
        <w:t xml:space="preserve"> </w:t>
      </w:r>
      <w:r>
        <w:t xml:space="preserve">A recomendação tem como ação central ofertar educação, treinamento, orientação ou capacitação.; A análise inicial considera que conhecimentos adquiridos permanecem, enquanto a análise crítica ressalta rotatividade, atualização ou necessidade de continuidade.; A recomendação não demonstra, por si só, um mecanismo institucional completo que assegure a transmissão e manutenção das competências.</w:t>
      </w:r>
    </w:p>
    <w:p>
      <w:pPr>
        <w:pStyle w:val="916"/>
      </w:pPr>
      <w:r>
        <w:rPr>
          <w:b/>
          <w:bCs/>
        </w:rPr>
        <w:t xml:space="preserve">Critérios de exclusão:</w:t>
      </w:r>
      <w:r>
        <w:t xml:space="preserve"> </w:t>
      </w:r>
      <w:r>
        <w:t xml:space="preserve">Não incluir quando a capacitação for apenas um componente secundário de um pacote dominado por outras ações.; Não incluir quando a divergência decorrer principalmente de uma exigência normativa sem implementação.; Não incluir quando a ação principal for uma rotina de controle executada continuamente.</w:t>
      </w:r>
    </w:p>
    <w:p>
      <w:pPr>
        <w:pStyle w:val="916"/>
      </w:pPr>
      <w:r>
        <w:rPr>
          <w:b/>
          <w:bCs/>
        </w:rPr>
        <w:t xml:space="preserve">Exemplo 1 (19598_1/676938_1.json)</w:t>
      </w:r>
    </w:p>
    <w:p>
      <w:pPr>
        <w:pStyle w:val="916"/>
      </w:pPr>
      <w:r>
        <w:t xml:space="preserve">Capacitar os Médicos Reguladores para realizarem o pronto atendimento das demandas e, havendo necessidade, que retornem à ligação de socorro feita, conforme detalhado na Portaria de Consolidação MS/GM n° 03, de 28/09/2017, Anexo 4 do Anexo III - operacionalização das centrais SAMU-192 e na Portaria MS/GM nº 2048, de 05/11/2002.</w:t>
      </w:r>
    </w:p>
    <w:p>
      <w:pPr>
        <w:pStyle w:val="916"/>
      </w:pPr>
      <w:r>
        <w:rPr>
          <w:b/>
          <w:bCs/>
        </w:rPr>
        <w:t xml:space="preserve">Justificativa da IA:</w:t>
      </w:r>
      <w:r>
        <w:t xml:space="preserve"> </w:t>
      </w:r>
      <w:r>
        <w:t xml:space="preserve">A análise inicial e a crítica concordaram que a capacitação aborda a falta de preparo, mas divergiram quanto à permanência: a inicial inferiu que o conhecimento persistiria, enquanto a crítica condicionou o efeito à implementação contínua e à integração institucional. O mecanismo é a dependência de atualização e retenção das competências.</w:t>
      </w:r>
    </w:p>
    <w:p>
      <w:pPr>
        <w:pStyle w:val="916"/>
      </w:pPr>
      <w:r>
        <w:rPr>
          <w:b/>
          <w:bCs/>
        </w:rPr>
        <w:t xml:space="preserve">Limites observados pela IA:</w:t>
      </w:r>
      <w:r>
        <w:t xml:space="preserve"> </w:t>
      </w:r>
      <w:r>
        <w:t xml:space="preserve">A recomendação não estabelece programa de reciclagem ou mecanismo de transmissão aos novos profissionais.</w:t>
      </w:r>
    </w:p>
    <w:p>
      <w:pPr>
        <w:pStyle w:val="916"/>
      </w:pPr>
      <w:r>
        <w:rPr>
          <w:b/>
          <w:bCs/>
        </w:rPr>
        <w:t xml:space="preserve">Exemplo 2 (19617_1/675261_1.json)</w:t>
      </w:r>
    </w:p>
    <w:p>
      <w:pPr>
        <w:pStyle w:val="916"/>
      </w:pPr>
      <w:r>
        <w:t xml:space="preserve">Implementar plano de capacitação direcionado aos fiscais de convênios de saúde indígena, qualificando-os para as atribuições de sua competência para a atender os artigos 41, 42, 56 e 59 da Portaria Interministerial MP/MF/CGU nº 424/2016.</w:t>
      </w:r>
    </w:p>
    <w:p>
      <w:pPr>
        <w:pStyle w:val="916"/>
      </w:pPr>
      <w:r>
        <w:rPr>
          <w:b/>
          <w:bCs/>
        </w:rPr>
        <w:t xml:space="preserve">Justificativa da IA:</w:t>
      </w:r>
      <w:r>
        <w:t xml:space="preserve"> </w:t>
      </w:r>
      <w:r>
        <w:t xml:space="preserve">A análise inicial considerou o plano de capacitação como desenvolvimento de competências incorporável à estrutura. A análise crítica reconheceu o foco causal, mas destacou atualização contínua e retenção de pessoal como condições da durabilidade. O mecanismo predominante é a dependência temporal da formação e da permanência dos conhecimentos.</w:t>
      </w:r>
    </w:p>
    <w:p>
      <w:pPr>
        <w:pStyle w:val="916"/>
      </w:pPr>
      <w:r>
        <w:rPr>
          <w:b/>
          <w:bCs/>
        </w:rPr>
        <w:t xml:space="preserve">Limites observados pela IA:</w:t>
      </w:r>
      <w:r>
        <w:t xml:space="preserve"> </w:t>
      </w:r>
      <w:r>
        <w:t xml:space="preserve">A recomendação determina um plano, mas não especifica atualização, reciclagem ou transmissão aos substitutos.</w:t>
      </w:r>
    </w:p>
    <w:bookmarkEnd w:id="22"/>
    <w:bookmarkStart w:id="23" w:name="c4-pacote-heterogêneo-de-ações"/>
    <w:p>
      <w:pPr>
        <w:pStyle w:val="907"/>
      </w:pPr>
      <w:r>
        <w:t xml:space="preserve">C4 — Pacote heterogêneo de ações</w:t>
      </w:r>
    </w:p>
    <w:p>
      <w:pPr>
        <w:pStyle w:val="917"/>
      </w:pPr>
      <w:r>
        <w:rPr>
          <w:b/>
          <w:bCs/>
        </w:rPr>
        <w:t xml:space="preserve">Definição:</w:t>
      </w:r>
      <w:r>
        <w:t xml:space="preserve"> </w:t>
      </w:r>
      <w:r>
        <w:t xml:space="preserve">A divergência decorre da combinação, na mesma recomendação, de medidas imediatas ou reparadoras com ações estruturais, preventivas ou de capacitação, permitindo avaliações diferentes conforme o componente valorizado.</w:t>
      </w:r>
    </w:p>
    <w:p>
      <w:pPr>
        <w:pStyle w:val="916"/>
      </w:pPr>
      <w:r>
        <w:rPr>
          <w:b/>
          <w:bCs/>
        </w:rPr>
        <w:t xml:space="preserve">Critérios de inclusão:</w:t>
      </w:r>
      <w:r>
        <w:t xml:space="preserve"> </w:t>
      </w:r>
      <w:r>
        <w:t xml:space="preserve">A recomendação contém duas ou mais ações autônomas com funções distintas.; Pelo menos uma ação trata da condição imediata e outra pretende modificar processos, capacidade ou controles.; A análise inicial enfatiza o componente estrutural, enquanto a análise crítica pondera a heterogeneidade, a execução ou a predominância da medida corretiva.</w:t>
      </w:r>
    </w:p>
    <w:p>
      <w:pPr>
        <w:pStyle w:val="916"/>
      </w:pPr>
      <w:r>
        <w:rPr>
          <w:b/>
          <w:bCs/>
        </w:rPr>
        <w:t xml:space="preserve">Critérios de exclusão:</w:t>
      </w:r>
      <w:r>
        <w:t xml:space="preserve"> </w:t>
      </w:r>
      <w:r>
        <w:t xml:space="preserve">Não incluir quando houver apenas uma ação com redação genérica.; Não incluir quando as várias providências forem apenas etapas do mesmo procedimento.; Não incluir quando a divergência puder ser explicada predominantemente por dependência de adesão continuada.</w:t>
      </w:r>
    </w:p>
    <w:p>
      <w:pPr>
        <w:pStyle w:val="916"/>
      </w:pPr>
      <w:r>
        <w:rPr>
          <w:b/>
          <w:bCs/>
        </w:rPr>
        <w:t xml:space="preserve">Exemplo 1 (19729_1/691932_1.json)</w:t>
      </w:r>
    </w:p>
    <w:p>
      <w:pPr>
        <w:pStyle w:val="916"/>
      </w:pPr>
      <w:r>
        <w:t xml:space="preserve">Realizar um estudo de efetividade para aprimorar a metodologia empregada na manutenção das viaturas e no uso das viaturas de reserva técnica. Garantir que o quantitativo mínimo de veículos exigido pela legislação esteja constantemente disponível para atender às necessidades da população, considerando o disposto no art. 45, Seção III, Capítulo I, Título II, Livro II, Anexo III da PRC nº 03, de 28/09/2017.</w:t>
      </w:r>
    </w:p>
    <w:p>
      <w:pPr>
        <w:pStyle w:val="916"/>
      </w:pPr>
      <w:r>
        <w:rPr>
          <w:b/>
          <w:bCs/>
        </w:rPr>
        <w:t xml:space="preserve">Justificativa da IA:</w:t>
      </w:r>
      <w:r>
        <w:t xml:space="preserve"> </w:t>
      </w:r>
      <w:r>
        <w:t xml:space="preserve">A análise inicial enfatizou o estudo de efetividade e a metodologia de manutenção como tratamento causal. A análise crítica reconheceu esse componente, mas destacou que garantir o quantitativo mínimo é uma medida direta sobre a condição encontrada. A divergência decorre da combinação de estudo estrutural com garantia imediata de disponibilidade.</w:t>
      </w:r>
    </w:p>
    <w:p>
      <w:pPr>
        <w:pStyle w:val="916"/>
      </w:pPr>
      <w:r>
        <w:rPr>
          <w:b/>
          <w:bCs/>
        </w:rPr>
        <w:t xml:space="preserve">Limites observados pela IA:</w:t>
      </w:r>
      <w:r>
        <w:t xml:space="preserve"> </w:t>
      </w:r>
      <w:r>
        <w:t xml:space="preserve">Não está claro no texto se o estudo produzirá mudanças efetivas na manutenção ou na gestão da frota.</w:t>
      </w:r>
    </w:p>
    <w:p>
      <w:pPr>
        <w:pStyle w:val="916"/>
      </w:pPr>
      <w:r>
        <w:rPr>
          <w:b/>
          <w:bCs/>
        </w:rPr>
        <w:t xml:space="preserve">Exemplo 2 (19890_1/702548_2.json)</w:t>
      </w:r>
    </w:p>
    <w:p>
      <w:pPr>
        <w:pStyle w:val="916"/>
      </w:pPr>
      <w:r>
        <w:t xml:space="preserve">Providenciar a correção dos processos e fluxo de apresentação das documentações solicitadas desenvolvidos pelo DAME (departamento de arquivo médico e estatístico), a fim de garantir a existência de documentos que evidenciem a efetiva prestação dos serviços de forma organizada quando solicitadas, conforme preconizado no Art. 11°, do Decreto Federal nº 1.651, de 28/09/1995, quanto à disponibilização de documentos solicitados, bem como realizar a orientação e treinamento da equipe técnica da unidade auditada, para atender as disposições contidas nos parágrafo 1º e 2º, do Art. 87, do Código de Ética Médica, aprovado pela Resolução CFM nº 2.217/2018.</w:t>
      </w:r>
    </w:p>
    <w:p>
      <w:pPr>
        <w:pStyle w:val="916"/>
      </w:pPr>
      <w:r>
        <w:rPr>
          <w:b/>
          <w:bCs/>
        </w:rPr>
        <w:t xml:space="preserve">Justificativa da IA:</w:t>
      </w:r>
      <w:r>
        <w:t xml:space="preserve"> </w:t>
      </w:r>
      <w:r>
        <w:t xml:space="preserve">A análise inicial tratou a correção de processos e fluxos como estrutural e o treinamento como apoio à sustentabilidade. A análise crítica concordou com o foco causal, mas distinguiu processos possivelmente permanentes de treinamento que pode exigir reforços. A divergência decorre do pacote combinar modificação de fluxo com capacitação, cada componente tendo diferente estabilidade.</w:t>
      </w:r>
    </w:p>
    <w:p>
      <w:pPr>
        <w:pStyle w:val="916"/>
      </w:pPr>
      <w:r>
        <w:rPr>
          <w:b/>
          <w:bCs/>
        </w:rPr>
        <w:t xml:space="preserve">Limites observados pela IA:</w:t>
      </w:r>
      <w:r>
        <w:t xml:space="preserve"> </w:t>
      </w:r>
      <w:r>
        <w:t xml:space="preserve">O texto não esclarece se o treinamento será periódico nem se os novos fluxos terão controles de manutenção.</w:t>
      </w:r>
    </w:p>
    <w:bookmarkEnd w:id="23"/>
    <w:bookmarkStart w:id="24" w:name="Xe2411424b2c6098f10a499c66b32f7f0fa70923"/>
    <w:p>
      <w:pPr>
        <w:pStyle w:val="907"/>
      </w:pPr>
      <w:r>
        <w:t xml:space="preserve">C5 — Investigação sem tratamento assegurado</w:t>
      </w:r>
    </w:p>
    <w:p>
      <w:pPr>
        <w:pStyle w:val="917"/>
      </w:pPr>
      <w:r>
        <w:rPr>
          <w:b/>
          <w:bCs/>
        </w:rPr>
        <w:t xml:space="preserve">Definição:</w:t>
      </w:r>
      <w:r>
        <w:t xml:space="preserve"> </w:t>
      </w:r>
      <w:r>
        <w:t xml:space="preserve">A divergência decorre de a recomendação limitar-se a solicitar informações, justificativas ou apuração, sem determinar a implementação das medidas que tratariam a causa identificada.</w:t>
      </w:r>
    </w:p>
    <w:p>
      <w:pPr>
        <w:pStyle w:val="916"/>
      </w:pPr>
      <w:r>
        <w:rPr>
          <w:b/>
          <w:bCs/>
        </w:rPr>
        <w:t xml:space="preserve">Critérios de inclusão:</w:t>
      </w:r>
      <w:r>
        <w:t xml:space="preserve"> </w:t>
      </w:r>
      <w:r>
        <w:t xml:space="preserve">A ação principal é investigar, apurar, solicitar justificativa ou obter informação.; O texto não assegura que as causas encontradas serão corrigidas.; A análise inicial ou crítica infere possíveis efeitos futuros a partir de uma etapa diagnóstica, embora a recomendação não os estabeleça.</w:t>
      </w:r>
    </w:p>
    <w:p>
      <w:pPr>
        <w:pStyle w:val="916"/>
      </w:pPr>
      <w:r>
        <w:rPr>
          <w:b/>
          <w:bCs/>
        </w:rPr>
        <w:t xml:space="preserve">Critérios de exclusão:</w:t>
      </w:r>
      <w:r>
        <w:t xml:space="preserve"> </w:t>
      </w:r>
      <w:r>
        <w:t xml:space="preserve">Não incluir quando a investigação vier acompanhada de medidas corretivas ou preventivas determinadas.; Não incluir quando a recomendação estabelecer diretamente uma rotina de controle.; Não incluir quando a divergência central for apenas a generalidade de uma exigência normativa.</w:t>
      </w:r>
    </w:p>
    <w:p>
      <w:pPr>
        <w:pStyle w:val="916"/>
      </w:pPr>
      <w:r>
        <w:rPr>
          <w:b/>
          <w:bCs/>
        </w:rPr>
        <w:t xml:space="preserve">Exemplo 1 (19611_1/674403_1.json)</w:t>
      </w:r>
    </w:p>
    <w:p>
      <w:pPr>
        <w:pStyle w:val="916"/>
      </w:pPr>
      <w:r>
        <w:t xml:space="preserve">Apurar junto à entidade convenente os motivos que levaram o Secretário Municipal de Indústria, Comércio e Turismo de Paço do Lumiar a atuar em processos de execução relacionados ao Convênio nº 878454/2018, tendo em vista que esse já não fazia mais parte do quadro de funcionários.</w:t>
      </w:r>
    </w:p>
    <w:p>
      <w:pPr>
        <w:pStyle w:val="916"/>
      </w:pPr>
      <w:r>
        <w:rPr>
          <w:b/>
          <w:bCs/>
        </w:rPr>
        <w:t xml:space="preserve">Justificativa da IA:</w:t>
      </w:r>
      <w:r>
        <w:t xml:space="preserve"> </w:t>
      </w:r>
      <w:r>
        <w:t xml:space="preserve">A análise inicial tratou a apuração dos motivos como identificação da causa e presumiu que ela poderia gerar melhorias de controle. A análise crítica reconheceu o potencial diagnóstico, mas destacou que a recomendação não determina qualquer correção. A instabilidade decorre de confundir investigação da causa com tratamento da causa.</w:t>
      </w:r>
    </w:p>
    <w:p>
      <w:pPr>
        <w:pStyle w:val="916"/>
      </w:pPr>
      <w:r>
        <w:rPr>
          <w:b/>
          <w:bCs/>
        </w:rPr>
        <w:t xml:space="preserve">Limites observados pela IA:</w:t>
      </w:r>
      <w:r>
        <w:t xml:space="preserve"> </w:t>
      </w:r>
      <w:r>
        <w:t xml:space="preserve">O texto limita-se a apurar motivos e não prevê medidas posteriores.</w:t>
      </w:r>
    </w:p>
    <w:p>
      <w:pPr>
        <w:pStyle w:val="916"/>
      </w:pPr>
      <w:r>
        <w:rPr>
          <w:b/>
          <w:bCs/>
        </w:rPr>
        <w:t xml:space="preserve">Exemplo 2 (19613_1/677740_2.json)</w:t>
      </w:r>
    </w:p>
    <w:p>
      <w:pPr>
        <w:pStyle w:val="916"/>
      </w:pPr>
      <w:r>
        <w:t xml:space="preserve">Solicitar o DSEI ARS informação/justificativa para o não cumprimento das metas previstas no Plano de Ação.</w:t>
      </w:r>
    </w:p>
    <w:p>
      <w:pPr>
        <w:pStyle w:val="916"/>
      </w:pPr>
      <w:r>
        <w:rPr>
          <w:b/>
          <w:bCs/>
        </w:rPr>
        <w:t xml:space="preserve">Justificativa da IA:</w:t>
      </w:r>
      <w:r>
        <w:t xml:space="preserve"> </w:t>
      </w:r>
      <w:r>
        <w:t xml:space="preserve">A análise inicial classificou a solicitação de informação como etapa incapaz de tratar diretamente a causa. A análise crítica reconheceu que ela pode ajudar a identificar a causa, mas apenas como passo inicial. A divergência decorre de atribuir efeitos causais e duradouros a uma investigação que não determina medidas posteriores.</w:t>
      </w:r>
    </w:p>
    <w:p>
      <w:pPr>
        <w:pStyle w:val="916"/>
      </w:pPr>
      <w:r>
        <w:rPr>
          <w:b/>
          <w:bCs/>
        </w:rPr>
        <w:t xml:space="preserve">Limites observados pela IA:</w:t>
      </w:r>
      <w:r>
        <w:t xml:space="preserve"> </w:t>
      </w:r>
      <w:r>
        <w:t xml:space="preserve">O texto solicita justificativa sobre metas, sem prever ação após a identificação dos motivos.</w:t>
      </w:r>
    </w:p>
    <w:bookmarkEnd w:id="24"/>
    <w:bookmarkStart w:id="25" w:name="X3ddda78ad34b1858ebb4238f74caede0e7c9142"/>
    <w:p>
      <w:pPr>
        <w:pStyle w:val="907"/>
      </w:pPr>
      <w:r>
        <w:t xml:space="preserve">C6 — Formalização sem institucionalização demonstrada</w:t>
      </w:r>
    </w:p>
    <w:p>
      <w:pPr>
        <w:pStyle w:val="917"/>
      </w:pPr>
      <w:r>
        <w:rPr>
          <w:b/>
          <w:bCs/>
        </w:rPr>
        <w:t xml:space="preserve">Definição:</w:t>
      </w:r>
      <w:r>
        <w:t xml:space="preserve"> </w:t>
      </w:r>
      <w:r>
        <w:t xml:space="preserve">A divergência decorre da criação ou atualização de documentos, planos, registros, fluxos ou processos formais cuja existência é apresentada como duradoura, mas cuja implementação, manutenção e integração institucional não são demonstradas.</w:t>
      </w:r>
    </w:p>
    <w:p>
      <w:pPr>
        <w:pStyle w:val="916"/>
      </w:pPr>
      <w:r>
        <w:rPr>
          <w:b/>
          <w:bCs/>
        </w:rPr>
        <w:t xml:space="preserve">Critérios de inclusão:</w:t>
      </w:r>
      <w:r>
        <w:t xml:space="preserve"> </w:t>
      </w:r>
      <w:r>
        <w:t xml:space="preserve">A recomendação prevê elaborar, incluir, registrar, organizar ou aprimorar documentos, planos, fluxos ou instrumentos.; A análise inicial associa a formalização documental à permanência dos efeitos.; A análise crítica aponta ausência de detalhamento sobre implementação, revisão, monitoramento ou institucionalização.</w:t>
      </w:r>
    </w:p>
    <w:p>
      <w:pPr>
        <w:pStyle w:val="916"/>
      </w:pPr>
      <w:r>
        <w:rPr>
          <w:b/>
          <w:bCs/>
        </w:rPr>
        <w:t xml:space="preserve">Critérios de exclusão:</w:t>
      </w:r>
      <w:r>
        <w:t xml:space="preserve"> </w:t>
      </w:r>
      <w:r>
        <w:t xml:space="preserve">Não incluir quando o texto se limitar a citar uma norma sem determinar formalização ou criação de instrumento.; Não incluir quando o mecanismo predominante for a execução reiterada por pessoas.; Não incluir quando o núcleo da recomendação for exclusivamente capacitação.</w:t>
      </w:r>
    </w:p>
    <w:p>
      <w:pPr>
        <w:pStyle w:val="916"/>
      </w:pPr>
      <w:r>
        <w:rPr>
          <w:b/>
          <w:bCs/>
        </w:rPr>
        <w:t xml:space="preserve">Exemplo 1 (19671_1/688498_1.json)</w:t>
      </w:r>
    </w:p>
    <w:p>
      <w:pPr>
        <w:pStyle w:val="916"/>
      </w:pPr>
      <w:r>
        <w:t xml:space="preserve">Incluir informações sobre a organização e estruturação da rede para atendimento integral ao portador de DRC nos instrumentos de planejamento de saúde do Município, como também, constituir e incluir o Plano de Prevenção e Tratamento das Doenças Renais no Plano Municipal de Saúde, com o propósito de organizar e estruturar a rede para atendimento integral ao portador de DRC conforme o artigo 2º (A Política Nacional de Atenção ao Portador de Doença Renal será organizada de forma articulada entre o Ministério da Saúde, as Secretarias de Estado da Saúde e as Secretarias Municipais de Saúde) e Inciso IV do art. 3º, Anexo XXXIII da Portaria de Consolidação GM/MS de nº 02, de 28/9/2017, que trata da inclusão do plano de Prevenção e Tratamento das Doenças Renais nos Planos Municipais de Saúde e nos Planos de Desenvolvimento Regionais dos Estados e do Distrito Federal.</w:t>
      </w:r>
    </w:p>
    <w:p>
      <w:pPr>
        <w:pStyle w:val="916"/>
      </w:pPr>
      <w:r>
        <w:rPr>
          <w:b/>
          <w:bCs/>
        </w:rPr>
        <w:t xml:space="preserve">Justificativa da IA:</w:t>
      </w:r>
      <w:r>
        <w:t xml:space="preserve"> </w:t>
      </w:r>
      <w:r>
        <w:t xml:space="preserve">A análise inicial tratou a inclusão de informações e do plano nos instrumentos municipais como estrutura permanente. A análise crítica não confirmou a aplicação do critério, remetendo à distinção entre correção imediata e prevenção. A divergência decorre de considerar a formalização do planejamento suficiente ou insuficiente para garantir organização efetiva da rede.</w:t>
      </w:r>
    </w:p>
    <w:p>
      <w:pPr>
        <w:pStyle w:val="916"/>
      </w:pPr>
      <w:r>
        <w:rPr>
          <w:b/>
          <w:bCs/>
        </w:rPr>
        <w:t xml:space="preserve">Limites observados pela IA:</w:t>
      </w:r>
      <w:r>
        <w:t xml:space="preserve"> </w:t>
      </w:r>
      <w:r>
        <w:t xml:space="preserve">O texto determina inclusão e constituição de plano, mas não descreve sua execução, revisão ou monitoramento.</w:t>
      </w:r>
    </w:p>
    <w:p>
      <w:pPr>
        <w:pStyle w:val="916"/>
      </w:pPr>
      <w:r>
        <w:rPr>
          <w:b/>
          <w:bCs/>
        </w:rPr>
        <w:t xml:space="preserve">Exemplo 2 (19561_1/674941_1.json)</w:t>
      </w:r>
    </w:p>
    <w:p>
      <w:pPr>
        <w:pStyle w:val="916"/>
      </w:pPr>
      <w:r>
        <w:t xml:space="preserve">Adotar medidas para garantir a alimentação, análise e verificação da qualidade e a consistência dos dados inseridos nos sistemas nacionais de informação, em conformidade com os itens 2.2.2 - Monitoramento e avaliação dos indicadores do Manual Instrutivo do Previne Brasil, 1ª ed., p. 31., 2021, 2.2.2.1 - Registro das Informações do Manual Instrutivo do Previne Brasil, 1ª ed., p.37., 2021, concomitante com o item 4- sobre Atribuições dos profissionais da Atenção Básica, incisos X- Utilizar o sistema de Informação da Atenção Básica vigente para o registro das ações de saúde na AB e XV- Alimentar e garantir a qualidade do registro das atividades nos sistemas de informação da AB, da Portaria GM/MS de Consolidação nº2, de 28/09/2017 e com as Recomendações para o registro das informações de Saúde, p.4, da Nota técnica 14/2022-SAPS/MS.</w:t>
      </w:r>
    </w:p>
    <w:p>
      <w:pPr>
        <w:pStyle w:val="916"/>
      </w:pPr>
      <w:r>
        <w:rPr>
          <w:b/>
          <w:bCs/>
        </w:rPr>
        <w:t xml:space="preserve">Justificativa da IA:</w:t>
      </w:r>
      <w:r>
        <w:t xml:space="preserve"> </w:t>
      </w:r>
      <w:r>
        <w:t xml:space="preserve">A análise inicial tratou medidas de alimentação, análise e verificação como processos sistêmicos permanentes. A análise crítica reconheceu o foco na qualidade dos dados, mas considerou otimista a permanência sem detalhes sobre a natureza das medidas. A divergência decorre da ausência de especificação sobre como esses processos seriam institucionalizados.</w:t>
      </w:r>
    </w:p>
    <w:p>
      <w:pPr>
        <w:pStyle w:val="916"/>
      </w:pPr>
      <w:r>
        <w:rPr>
          <w:b/>
          <w:bCs/>
        </w:rPr>
        <w:t xml:space="preserve">Limites observados pela IA:</w:t>
      </w:r>
      <w:r>
        <w:t xml:space="preserve"> </w:t>
      </w:r>
      <w:r>
        <w:t xml:space="preserve">O texto determina medidas sistêmicas, mas não identifica sua forma, periodicidade ou responsável.</w:t>
      </w:r>
    </w:p>
    <w:bookmarkEnd w:id="25"/>
    <w:bookmarkEnd w:id="26"/>
    <w:bookmarkStart w:id="35" w:name="rodada-2"/>
    <w:p>
      <w:pPr>
        <w:pStyle w:val="906"/>
      </w:pPr>
      <w:r>
        <w:t xml:space="preserve">Rodada 2</w:t>
      </w:r>
    </w:p>
    <w:bookmarkStart w:id="27" w:name="prompt-1"/>
    <w:p>
      <w:pPr>
        <w:pStyle w:val="907"/>
      </w:pPr>
      <w:r>
        <w:t xml:space="preserve">Prompt</w:t>
      </w:r>
    </w:p>
    <w:p>
      <w:pPr>
        <w:pStyle w:val="SourceCode"/>
      </w:pPr>
      <w:r>
        <w:rPr>
          <w:rStyle w:val="949"/>
        </w:rPr>
        <w:t xml:space="preserve">Você é um assistente de pesquisa que apoia uma análise de conteúdo sobre recomendações emitidas pelo Departamento Nacional de Auditoria do Sistema Único de Saúde (DENASUS).</w:t>
      </w:r>
      <w:r>
        <w:br/>
      </w:r>
      <w:r>
        <w:br/>
      </w:r>
      <w:r>
        <w:rPr>
          <w:rStyle w:val="949"/>
        </w:rPr>
        <w:t xml:space="preserve">Na primeira rodada, cada recomendação foi analisada em relação a dois critérios:</w:t>
      </w:r>
      <w:r>
        <w:br/>
      </w:r>
      <w:r>
        <w:br/>
      </w:r>
      <w:r>
        <w:rPr>
          <w:rStyle w:val="949"/>
        </w:rPr>
        <w:t xml:space="preserve">- Critério "Foco Causa": Há alguma ação proposta na recomendação que trate da causa do problema que gerou a condição encontrada? Responda somente "Sim" ou "Não".</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949"/>
        </w:rPr>
        <w:t xml:space="preserve">Após essa análise, uma segunda etapa foi executada com o objetivo de realizar uma análise crítica da classificação para cada critério e emitir um juízo, que poderá ser materializado nos seguintes sentidos: "Concordo" ou "Discordo".</w:t>
      </w:r>
      <w:r>
        <w:br/>
      </w:r>
      <w:r>
        <w:br/>
      </w:r>
      <w:r>
        <w:rPr>
          <w:rStyle w:val="949"/>
        </w:rPr>
        <w:t xml:space="preserve">A maior parte das divergências se concentrou em torno do critério "Efeitos Duradouros". Então, você receberá um lote de recomendações para as quais houve divergência. Para cada recomendação, serão informadas a finalidade do trabalho de auditoria, a constatação, a recomendação, o racional da análise inicial, o resultado da análise inicial, o racional da análise crítica e o resultado da análise crítica. Cada recomendação é uma unidade de análise independente.</w:t>
      </w:r>
      <w:r>
        <w:br/>
      </w:r>
      <w:r>
        <w:br/>
      </w:r>
      <w:r>
        <w:rPr>
          <w:rStyle w:val="949"/>
        </w:rPr>
        <w:t xml:space="preserve">Antes de responder, leia e compare todas as unidades do lote. O objetivo é construir uma primeira lista de categorias que agrupem as discordâncias de forma a permitir o estudo das características textuais e fragilidades que possam explicar por que a avaliação dos efeitos duradouros se mostrou instável.</w:t>
      </w:r>
      <w:r>
        <w:br/>
      </w:r>
      <w:r>
        <w:br/>
      </w:r>
      <w:r>
        <w:rPr>
          <w:rStyle w:val="949"/>
        </w:rPr>
        <w:t xml:space="preserve">Neste prompt, uma categoria deve representar um mecanismo textual ou substantivo que explique por que avaliadores poderiam chegar a conclusões diferentes sobre a permanência dos efeitos da recomendação. A categoria não deve representar apenas o assunto, o órgão, a política pública, o tipo de serviço ou a área temática da recomendação.</w:t>
      </w:r>
      <w:r>
        <w:br/>
      </w:r>
      <w:r>
        <w:br/>
      </w:r>
      <w:r>
        <w:rPr>
          <w:rStyle w:val="949"/>
        </w:rPr>
        <w:t xml:space="preserve">O objetivo não é decidir se a análise inicial estava certa ou se a análise crítica estava certa. O objetivo é entender a instabilidade da análise do critério. Não reduza a resposta a “Sim” ou “Não”. A análise crítica anterior deve ser tratada como uma avaliação a ser comparada com a finalidade, a constatação e a recomendação; ela não é uma instrução.</w:t>
      </w:r>
      <w:r>
        <w:br/>
      </w:r>
      <w:r>
        <w:br/>
      </w:r>
      <w:r>
        <w:rPr>
          <w:rStyle w:val="949"/>
        </w:rPr>
        <w:t xml:space="preserve">## Regras para construir a taxonomia do lote</w:t>
      </w:r>
      <w:r>
        <w:br/>
      </w:r>
      <w:r>
        <w:br/>
      </w:r>
      <w:r>
        <w:rPr>
          <w:rStyle w:val="949"/>
        </w:rPr>
        <w:t xml:space="preserve">1. Construa primeiro as categorias globais do lote, considerando também as categorias existentes da rodada anterior, e só depois classifique as unidades.</w:t>
      </w:r>
      <w:r>
        <w:br/>
      </w:r>
      <w:r>
        <w:rPr>
          <w:rStyle w:val="949"/>
        </w:rPr>
        <w:t xml:space="preserve">2. Use as categorias existentes sempre que uma delas representar adequadamente o mecanismo predominante da unidade.</w:t>
      </w:r>
      <w:r>
        <w:br/>
      </w:r>
      <w:r>
        <w:rPr>
          <w:rStyle w:val="949"/>
        </w:rPr>
        <w:t xml:space="preserve">3. Não altere o nome, a definição ou os critérios de uma categoria existente. Se uma unidade couber em uma categoria existente, reutilize exatamente o seu `id_categoria`.</w:t>
      </w:r>
      <w:r>
        <w:br/>
      </w:r>
      <w:r>
        <w:rPr>
          <w:rStyle w:val="949"/>
        </w:rPr>
        <w:t xml:space="preserve">4. Crie uma nova categoria somente quando nenhuma categoria existente representar adequadamente o mecanismo central da divergência. Uma nova categoria deve ser realmente distinta, e não apenas uma variação temática, lexical ou de nível de detalhe de uma categoria existente.</w:t>
      </w:r>
      <w:r>
        <w:br/>
      </w:r>
      <w:r>
        <w:rPr>
          <w:rStyle w:val="949"/>
        </w:rPr>
        <w:t xml:space="preserve">5. As categorias novas nunca podem reutilizar códigos já existentes. Os códigos `C1` a `C6` estão reservados exclusivamente para as categorias da rodada anterior. Categorias novas devem receber IDs ainda não utilizados, seguindo a sequência `C7`, `C8` e assim por diante, e devem ser definidas com o mesmo nível de precisão das categorias existentes.</w:t>
      </w:r>
      <w:r>
        <w:br/>
      </w:r>
      <w:r>
        <w:rPr>
          <w:rStyle w:val="949"/>
        </w:rPr>
        <w:t xml:space="preserve">6. A lista final deve conter as categorias existentes que forem utilizadas no lote e eventuais categorias novas necessárias. Não é necessário repetir categorias existentes que não se apliquem a nenhuma unidade deste lote.</w:t>
      </w:r>
      <w:r>
        <w:br/>
      </w:r>
      <w:r>
        <w:rPr>
          <w:rStyle w:val="949"/>
        </w:rPr>
        <w:t xml:space="preserve">7. Crie aproximadamente 6 categorias no total quando isso for possível, mas preserve categorias existentes quando elas forem adequadas e crie novas quando a evidência exigir. O número aproximado de seis é uma orientação, não um limite: não force uma unidade a uma categoria inadequada apenas para manter esse número.</w:t>
      </w:r>
      <w:r>
        <w:br/>
      </w:r>
      <w:r>
        <w:rPr>
          <w:rStyle w:val="949"/>
        </w:rPr>
        <w:t xml:space="preserve">8. Cada categoria deve representar um mecanismo ou motivo de divergência relacionado à durabilidade dos efeitos. Exemplos de mecanismos são a dependência de execução continuada, a formalização normativa sem implementação demonstrada, a combinação de efeitos imediatos e estruturais ou a ausência de elementos operacionais no texto. Esses exemplos não são categorias obrigatórias.</w:t>
      </w:r>
      <w:r>
        <w:br/>
      </w:r>
      <w:r>
        <w:rPr>
          <w:rStyle w:val="949"/>
        </w:rPr>
        <w:t xml:space="preserve">9. Funda em uma mesma categoria unidades que compartilham o mesmo mecanismo central, mesmo que tratem de áreas temáticas diferentes.</w:t>
      </w:r>
      <w:r>
        <w:br/>
      </w:r>
      <w:r>
        <w:rPr>
          <w:rStyle w:val="949"/>
        </w:rPr>
        <w:t xml:space="preserve">10. Não crie uma categoria nova apenas porque a redação, o órgão ou a área temática da recomendação mudou.</w:t>
      </w:r>
      <w:r>
        <w:br/>
      </w:r>
      <w:r>
        <w:rPr>
          <w:rStyle w:val="949"/>
        </w:rPr>
        <w:t xml:space="preserve">11. Não use categorias que sejam apenas sinônimos ou variações de nível de detalhe umas das outras.</w:t>
      </w:r>
      <w:r>
        <w:br/>
      </w:r>
      <w:r>
        <w:rPr>
          <w:rStyle w:val="949"/>
        </w:rPr>
        <w:t xml:space="preserve">12. Cada categoria deve ter uma definição estável, critérios de inclusão e critérios de exclusão. Esses elementos devem permanecer iguais para todas as unidades classificadas nela.</w:t>
      </w:r>
      <w:r>
        <w:br/>
      </w:r>
      <w:r>
        <w:rPr>
          <w:rStyle w:val="949"/>
        </w:rPr>
        <w:t xml:space="preserve">13. Toda unidade deve receber exatamente uma categoria principal. A categoria principal deve representar o mecanismo predominante para explicar a divergência daquela unidade. Use categoria secundária somente quando houver um segundo mecanismo autônomo, claramente identificável e não redundante; a simples presença de uma ação complementar não justifica uma categoria secundária.</w:t>
      </w:r>
      <w:r>
        <w:br/>
      </w:r>
      <w:r>
        <w:rPr>
          <w:rStyle w:val="949"/>
        </w:rPr>
        <w:t xml:space="preserve">14. Reutilize exatamente o mesmo `id_categoria` para unidades que pertençam à mesma categoria. Não crie nomes, definições ou IDs alternativos durante a classificação.</w:t>
      </w:r>
      <w:r>
        <w:br/>
      </w:r>
      <w:r>
        <w:rPr>
          <w:rStyle w:val="949"/>
        </w:rPr>
        <w:t xml:space="preserve">15. Fundamente as categorias e as classificações exclusivamente nos textos recebidos. Não invente responsáveis, prazos, recursos, procedimentos ou resultados que não estejam no lote.</w:t>
      </w:r>
      <w:r>
        <w:br/>
      </w:r>
      <w:r>
        <w:br/>
      </w:r>
      <w:r>
        <w:rPr>
          <w:rStyle w:val="949"/>
        </w:rPr>
        <w:t xml:space="preserve">## Categorias identificadas na rodada anterior</w:t>
      </w:r>
      <w:r>
        <w:br/>
      </w:r>
      <w:r>
        <w:br/>
      </w:r>
      <w:r>
        <w:rPr>
          <w:rStyle w:val="949"/>
        </w:rPr>
        <w:t xml:space="preserve">As categorias abaixo são provisórias, mas constituem a taxonomia de referência desta rodada. Preserve exatamente seus IDs, nomes, definições e critérios quando reutilizá-las. Elas podem não aparecer na resposta final se nenhuma unidade do novo lote se enquadrar nelas.</w:t>
      </w:r>
      <w:r>
        <w:br/>
      </w:r>
      <w:r>
        <w:br/>
      </w:r>
      <w:r>
        <w:rPr>
          <w:rStyle w:val="949"/>
        </w:rPr>
        <w:t xml:space="preserve">### C1 — Conformidade normativa sem mecanismo de implementação</w:t>
      </w:r>
      <w:r>
        <w:br/>
      </w:r>
      <w:r>
        <w:br/>
      </w:r>
      <w:r>
        <w:rPr>
          <w:rStyle w:val="949"/>
        </w:rPr>
        <w:t xml:space="preserve">Definição: A divergência decorre de a recomendação determinar ou referenciar o cumprimento de normas, princípios ou requisitos, sem explicitar mecanismos concretos de implementação, verificação ou sustentação.</w:t>
      </w:r>
      <w:r>
        <w:br/>
      </w:r>
      <w:r>
        <w:br/>
      </w:r>
      <w:r>
        <w:rPr>
          <w:rStyle w:val="949"/>
        </w:rPr>
        <w:t xml:space="preserve">Critérios de inclusão: a ação central consiste em observar, cumprir ou aplicar uma norma, princípio, manual ou dispositivo legal; a permanência dos efeitos é inferida principalmente da existência ou validade da norma; e o texto não detalha estrutura, rotina, responsável, controle ou procedimento suficiente para sustentar a aplicação.</w:t>
      </w:r>
      <w:r>
        <w:br/>
      </w:r>
      <w:r>
        <w:br/>
      </w:r>
      <w:r>
        <w:rPr>
          <w:rStyle w:val="949"/>
        </w:rPr>
        <w:t xml:space="preserve">Critérios de exclusão: não incluir quando o mecanismo predominante for investigação ou solicitação de informação sem ação corretiva; quando houver conjunto claramente combinado de ações corretivas e estruturais; ou quando a mera menção a documentos normativos não for o núcleo da recomendação.</w:t>
      </w:r>
      <w:r>
        <w:br/>
      </w:r>
      <w:r>
        <w:br/>
      </w:r>
      <w:r>
        <w:rPr>
          <w:rStyle w:val="949"/>
        </w:rPr>
        <w:t xml:space="preserve">### C2 — Execução continuada dependente de adesão</w:t>
      </w:r>
      <w:r>
        <w:br/>
      </w:r>
      <w:r>
        <w:br/>
      </w:r>
      <w:r>
        <w:rPr>
          <w:rStyle w:val="949"/>
        </w:rPr>
        <w:t xml:space="preserve">Definição: A divergência decorre de a durabilidade depender da realização reiterada de rotinas, controles ou supervisão por pessoas ou unidades, sem garantia textual de continuidade diante de mudanças de atores.</w:t>
      </w:r>
      <w:r>
        <w:br/>
      </w:r>
      <w:r>
        <w:br/>
      </w:r>
      <w:r>
        <w:rPr>
          <w:rStyle w:val="949"/>
        </w:rPr>
        <w:t xml:space="preserve">Critérios de inclusão: a recomendação exige monitoramento, conferência, supervisão, pactuação ou execução recorrente; o efeito pretendido depende da adesão ou do compromisso continuado dos executores; e a análise inicial infere institucionalização, enquanto a análise crítica destaca dependência de pessoal, prioridades ou aplicação prática.</w:t>
      </w:r>
      <w:r>
        <w:br/>
      </w:r>
      <w:r>
        <w:br/>
      </w:r>
      <w:r>
        <w:rPr>
          <w:rStyle w:val="949"/>
        </w:rPr>
        <w:t xml:space="preserve">Critérios de exclusão: não incluir quando a recomendação apenas determinar cumprimento normativo genérico; quando a ação principal for capacitação ou transmissão de conhecimento; ou quando o problema central for a ausência de investigação ou diagnóstico.</w:t>
      </w:r>
      <w:r>
        <w:br/>
      </w:r>
      <w:r>
        <w:br/>
      </w:r>
      <w:r>
        <w:rPr>
          <w:rStyle w:val="949"/>
        </w:rPr>
        <w:t xml:space="preserve">### C3 — Capacitação sujeita a atualização e retenção</w:t>
      </w:r>
      <w:r>
        <w:br/>
      </w:r>
      <w:r>
        <w:br/>
      </w:r>
      <w:r>
        <w:rPr>
          <w:rStyle w:val="949"/>
        </w:rPr>
        <w:t xml:space="preserve">Definição: A divergência decorre de ações de educação, treinamento ou qualificação cujo efeito pode persistir como conhecimento, mas depende de atualização, repetição, retenção de pessoal e incorporação institucional.</w:t>
      </w:r>
      <w:r>
        <w:br/>
      </w:r>
      <w:r>
        <w:br/>
      </w:r>
      <w:r>
        <w:rPr>
          <w:rStyle w:val="949"/>
        </w:rPr>
        <w:t xml:space="preserve">Critérios de inclusão: a recomendação tem como ação central ofertar educação, treinamento, orientação ou capacitação; a análise inicial considera que conhecimentos adquiridos permanecem, enquanto a análise crítica ressalta rotatividade, atualização ou necessidade de continuidade; e a recomendação não demonstra, por si só, mecanismo institucional completo que assegure a transmissão e manutenção das competências.</w:t>
      </w:r>
      <w:r>
        <w:br/>
      </w:r>
      <w:r>
        <w:br/>
      </w:r>
      <w:r>
        <w:rPr>
          <w:rStyle w:val="949"/>
        </w:rPr>
        <w:t xml:space="preserve">Critérios de exclusão: não incluir quando a capacitação for apenas componente secundário de pacote dominado por outras ações; quando a divergência decorrer principalmente de exigência normativa sem implementação; ou quando a ação principal for rotina de controle executada continuamente.</w:t>
      </w:r>
      <w:r>
        <w:br/>
      </w:r>
      <w:r>
        <w:br/>
      </w:r>
      <w:r>
        <w:rPr>
          <w:rStyle w:val="949"/>
        </w:rPr>
        <w:t xml:space="preserve">### C4 — Pacote heterogêneo de ações</w:t>
      </w:r>
      <w:r>
        <w:br/>
      </w:r>
      <w:r>
        <w:br/>
      </w:r>
      <w:r>
        <w:rPr>
          <w:rStyle w:val="949"/>
        </w:rPr>
        <w:t xml:space="preserve">Definição: A divergência decorre da combinação, na mesma recomendação, de medidas imediatas ou reparadoras com ações estruturais, preventivas ou de capacitação, permitindo avaliações diferentes conforme o componente valorizado.</w:t>
      </w:r>
      <w:r>
        <w:br/>
      </w:r>
      <w:r>
        <w:br/>
      </w:r>
      <w:r>
        <w:rPr>
          <w:rStyle w:val="949"/>
        </w:rPr>
        <w:t xml:space="preserve">Critérios de inclusão: a recomendação contém duas ou mais ações autônomas com funções distintas; pelo menos uma ação trata da condição imediata e outra pretende modificar processos, capacidade ou controles; e a análise inicial enfatiza o componente estrutural, enquanto a análise crítica pondera a heterogeneidade, a execução ou a predominância da medida corretiva.</w:t>
      </w:r>
      <w:r>
        <w:br/>
      </w:r>
      <w:r>
        <w:br/>
      </w:r>
      <w:r>
        <w:rPr>
          <w:rStyle w:val="949"/>
        </w:rPr>
        <w:t xml:space="preserve">Critérios de exclusão: não incluir quando houver apenas uma ação com redação genérica; quando as várias providências forem apenas etapas do mesmo procedimento; ou quando a divergência puder ser explicada predominantemente por dependência de adesão continuada.</w:t>
      </w:r>
      <w:r>
        <w:br/>
      </w:r>
      <w:r>
        <w:br/>
      </w:r>
      <w:r>
        <w:rPr>
          <w:rStyle w:val="949"/>
        </w:rPr>
        <w:t xml:space="preserve">### C5 — Investigação sem tratamento assegurado</w:t>
      </w:r>
      <w:r>
        <w:br/>
      </w:r>
      <w:r>
        <w:br/>
      </w:r>
      <w:r>
        <w:rPr>
          <w:rStyle w:val="949"/>
        </w:rPr>
        <w:t xml:space="preserve">Definição: A divergência decorre de a recomendação limitar-se a solicitar informações, justificativas ou apuração, sem determinar a implementação das medidas que tratariam a causa identificada.</w:t>
      </w:r>
      <w:r>
        <w:br/>
      </w:r>
      <w:r>
        <w:br/>
      </w:r>
      <w:r>
        <w:rPr>
          <w:rStyle w:val="949"/>
        </w:rPr>
        <w:t xml:space="preserve">Critérios de inclusão: a ação principal é investigar, apurar, solicitar justificativa ou obter informação; o texto não assegura que as causas encontradas serão corrigidas; e a análise inicial ou crítica infere possíveis efeitos futuros a partir de etapa diagnóstica, embora a recomendação não os estabeleça.</w:t>
      </w:r>
      <w:r>
        <w:br/>
      </w:r>
      <w:r>
        <w:br/>
      </w:r>
      <w:r>
        <w:rPr>
          <w:rStyle w:val="949"/>
        </w:rPr>
        <w:t xml:space="preserve">Critérios de exclusão: não incluir quando a investigação vier acompanhada de medidas corretivas ou preventivas determinadas; quando a recomendação estabelecer diretamente rotina de controle; ou quando a divergência central for apenas a generalidade de exigência normativa.</w:t>
      </w:r>
      <w:r>
        <w:br/>
      </w:r>
      <w:r>
        <w:br/>
      </w:r>
      <w:r>
        <w:rPr>
          <w:rStyle w:val="949"/>
        </w:rPr>
        <w:t xml:space="preserve">### C6 — Formalização sem institucionalização demonstrada</w:t>
      </w:r>
      <w:r>
        <w:br/>
      </w:r>
      <w:r>
        <w:br/>
      </w:r>
      <w:r>
        <w:rPr>
          <w:rStyle w:val="949"/>
        </w:rPr>
        <w:t xml:space="preserve">Definição: A divergência decorre da criação ou atualização de documentos, planos, registros, fluxos ou processos formais cuja existência é apresentada como duradoura, mas cuja implementação, manutenção e integração institucional não são demonstradas.</w:t>
      </w:r>
      <w:r>
        <w:br/>
      </w:r>
      <w:r>
        <w:br/>
      </w:r>
      <w:r>
        <w:rPr>
          <w:rStyle w:val="949"/>
        </w:rPr>
        <w:t xml:space="preserve">Critérios de inclusão: a recomendação prevê elaborar, incluir, registrar, organizar ou aprimorar documentos, planos, fluxos ou instrumentos; a análise inicial associa a formalização documental à permanência dos efeitos; e a análise crítica aponta ausência de detalhamento sobre implementação, revisão, monitoramento ou institucionalização.</w:t>
      </w:r>
      <w:r>
        <w:br/>
      </w:r>
      <w:r>
        <w:br/>
      </w:r>
      <w:r>
        <w:rPr>
          <w:rStyle w:val="949"/>
        </w:rPr>
        <w:t xml:space="preserve">Critérios de exclusão: não incluir quando o texto se limitar a citar norma sem determinar formalização ou criação de instrumento; quando o mecanismo predominante for execução reiterada por pessoas; ou quando o núcleo da recomendação for exclusivamente capacitação.</w:t>
      </w:r>
      <w:r>
        <w:br/>
      </w:r>
      <w:r>
        <w:br/>
      </w:r>
      <w:r>
        <w:rPr>
          <w:rStyle w:val="949"/>
        </w:rPr>
        <w:t xml:space="preserve">## Estrutura exata da entrada</w:t>
      </w:r>
      <w:r>
        <w:br/>
      </w:r>
      <w:r>
        <w:br/>
      </w:r>
      <w:r>
        <w:rPr>
          <w:rStyle w:val="949"/>
        </w:rPr>
        <w:t xml:space="preserve">O conteúdo enviado pelo usuário será um objeto JSON com a seguinte estrutura:</w:t>
      </w:r>
      <w:r>
        <w:br/>
      </w:r>
      <w:r>
        <w:br/>
      </w:r>
      <w:r>
        <w:rPr>
          <w:rStyle w:val="949"/>
        </w:rPr>
        <w:t xml:space="preserve">{</w:t>
      </w:r>
      <w:r>
        <w:br/>
      </w:r>
      <w:r>
        <w:rPr>
          <w:rStyle w:val="949"/>
        </w:rPr>
        <w:t xml:space="preserve">  "lote_id": "etiquetador_divergencias_2",</w:t>
      </w:r>
      <w:r>
        <w:br/>
      </w:r>
      <w:r>
        <w:rPr>
          <w:rStyle w:val="949"/>
        </w:rPr>
        <w:t xml:space="preserve">  "analises": [</w:t>
      </w:r>
      <w:r>
        <w:br/>
      </w:r>
      <w:r>
        <w:rPr>
          <w:rStyle w:val="949"/>
        </w:rPr>
        <w:t xml:space="preserve">    {</w:t>
      </w:r>
      <w:r>
        <w:br/>
      </w:r>
      <w:r>
        <w:rPr>
          <w:rStyle w:val="949"/>
        </w:rPr>
        <w:t xml:space="preserve">      "id_analise": "18714_1/671301_1.json",</w:t>
      </w:r>
      <w:r>
        <w:br/>
      </w:r>
      <w:r>
        <w:rPr>
          <w:rStyle w:val="949"/>
        </w:rPr>
        <w:t xml:space="preserve">      "finalidade": "Finalidade do trabalho de auditoria",</w:t>
      </w:r>
      <w:r>
        <w:br/>
      </w:r>
      <w:r>
        <w:rPr>
          <w:rStyle w:val="949"/>
        </w:rPr>
        <w:t xml:space="preserve">      "constatacao": "Texto da constatação",</w:t>
      </w:r>
      <w:r>
        <w:br/>
      </w:r>
      <w:r>
        <w:rPr>
          <w:rStyle w:val="949"/>
        </w:rPr>
        <w:t xml:space="preserve">      "recomendacao": "Texto da recomendação",</w:t>
      </w:r>
      <w:r>
        <w:br/>
      </w:r>
      <w:r>
        <w:rPr>
          <w:rStyle w:val="949"/>
        </w:rPr>
        <w:t xml:space="preserve">      "analise_inicial": "Texto com o racional da análise inicial",</w:t>
      </w:r>
      <w:r>
        <w:br/>
      </w:r>
      <w:r>
        <w:rPr>
          <w:rStyle w:val="949"/>
        </w:rPr>
        <w:t xml:space="preserve">      "resultado_criterio_efeitos_duradouros": "Resultado da análise em relação ao critério efeitos duradouros",</w:t>
      </w:r>
      <w:r>
        <w:br/>
      </w:r>
      <w:r>
        <w:rPr>
          <w:rStyle w:val="949"/>
        </w:rPr>
        <w:t xml:space="preserve">      "analise_critica": "Texto com o racional da análise crítica",</w:t>
      </w:r>
      <w:r>
        <w:br/>
      </w:r>
      <w:r>
        <w:rPr>
          <w:rStyle w:val="949"/>
        </w:rPr>
        <w:t xml:space="preserve">      "resultado_criterio_efeitos_duradouros_analise_critica": "Resultado da análise crítica em relação ao critério efeitos duradouros"</w:t>
      </w:r>
      <w:r>
        <w:br/>
      </w:r>
      <w:r>
        <w:rPr>
          <w:rStyle w:val="949"/>
        </w:rPr>
        <w:t xml:space="preserve">    }</w:t>
      </w:r>
      <w:r>
        <w:br/>
      </w:r>
      <w:r>
        <w:rPr>
          <w:rStyle w:val="949"/>
        </w:rPr>
        <w:t xml:space="preserve">  ]</w:t>
      </w:r>
      <w:r>
        <w:br/>
      </w:r>
      <w:r>
        <w:rPr>
          <w:rStyle w:val="949"/>
        </w:rPr>
        <w:t xml:space="preserve">}</w:t>
      </w:r>
      <w:r>
        <w:br/>
      </w:r>
      <w:r>
        <w:br/>
      </w:r>
      <w:r>
        <w:rPr>
          <w:rStyle w:val="949"/>
        </w:rPr>
        <w:t xml:space="preserve">O campo `analises` conterá várias recomendações independentes no mesmo lote. O identificador `id_analise` deve ser reproduzido exatamente na resposta. Os dois campos de resultado informam os juízos produzidos na análise inicial e na análise crítica. Eles devem ser tratados como posições analíticas a serem comparadas, e não como respostas verdadeiras que o modelo deva confirmar.</w:t>
      </w:r>
      <w:r>
        <w:br/>
      </w:r>
      <w:r>
        <w:br/>
      </w:r>
      <w:r>
        <w:rPr>
          <w:rStyle w:val="949"/>
        </w:rPr>
        <w:t xml:space="preserve">## Estrutura exata da resposta</w:t>
      </w:r>
      <w:r>
        <w:br/>
      </w:r>
      <w:r>
        <w:br/>
      </w:r>
      <w:r>
        <w:rPr>
          <w:rStyle w:val="949"/>
        </w:rPr>
        <w:t xml:space="preserve">Responda exclusivamente com um objeto JSON válido, sem markdown. Não inclua comentários, explicações fora do JSON ou campos adicionais.</w:t>
      </w:r>
      <w:r>
        <w:br/>
      </w:r>
      <w:r>
        <w:br/>
      </w:r>
      <w:r>
        <w:rPr>
          <w:rStyle w:val="949"/>
        </w:rPr>
        <w:t xml:space="preserve">O objeto deve conter:</w:t>
      </w:r>
      <w:r>
        <w:br/>
      </w:r>
      <w:r>
        <w:br/>
      </w:r>
      <w:r>
        <w:rPr>
          <w:rStyle w:val="949"/>
        </w:rPr>
        <w:t xml:space="preserve">- `categorias`: lista global com as categorias existentes utilizadas e as categorias novas eventualmente criadas, sem IDs repetidos;</w:t>
      </w:r>
      <w:r>
        <w:br/>
      </w:r>
      <w:r>
        <w:rPr>
          <w:rStyle w:val="949"/>
        </w:rPr>
        <w:t xml:space="preserve">- `classificacoes`: lista com exatamente uma classificação para cada elemento recebido em `analises`, preservando a ordem de entrada.</w:t>
      </w:r>
      <w:r>
        <w:br/>
      </w:r>
      <w:r>
        <w:br/>
      </w:r>
      <w:r>
        <w:rPr>
          <w:rStyle w:val="949"/>
        </w:rPr>
        <w:t xml:space="preserve">Cada unidade deve aparecer uma única vez em `classificacoes`. Não omita, duplique ou crie identificadores.</w:t>
      </w:r>
      <w:r>
        <w:br/>
      </w:r>
      <w:r>
        <w:br/>
      </w:r>
      <w:r>
        <w:rPr>
          <w:rStyle w:val="949"/>
        </w:rPr>
        <w:t xml:space="preserve">{</w:t>
      </w:r>
      <w:r>
        <w:br/>
      </w:r>
      <w:r>
        <w:rPr>
          <w:rStyle w:val="949"/>
        </w:rPr>
        <w:t xml:space="preserve">  "categorias": [</w:t>
      </w:r>
      <w:r>
        <w:br/>
      </w:r>
      <w:r>
        <w:rPr>
          <w:rStyle w:val="949"/>
        </w:rPr>
        <w:t xml:space="preserve">    {</w:t>
      </w:r>
      <w:r>
        <w:br/>
      </w:r>
      <w:r>
        <w:rPr>
          <w:rStyle w:val="949"/>
        </w:rPr>
        <w:t xml:space="preserve">      "id_categoria": "C1",</w:t>
      </w:r>
      <w:r>
        <w:br/>
      </w:r>
      <w:r>
        <w:rPr>
          <w:rStyle w:val="949"/>
        </w:rPr>
        <w:t xml:space="preserve">      "nome_categoria": "nome da categoria existente ou nova",</w:t>
      </w:r>
      <w:r>
        <w:br/>
      </w:r>
      <w:r>
        <w:rPr>
          <w:rStyle w:val="949"/>
        </w:rPr>
        <w:t xml:space="preserve">      "definicao": "definição estável do mecanismo central",</w:t>
      </w:r>
      <w:r>
        <w:br/>
      </w:r>
      <w:r>
        <w:rPr>
          <w:rStyle w:val="949"/>
        </w:rPr>
        <w:t xml:space="preserve">      "criterios_inclusao": ["característica necessária ou típica"],</w:t>
      </w:r>
      <w:r>
        <w:br/>
      </w:r>
      <w:r>
        <w:rPr>
          <w:rStyle w:val="949"/>
        </w:rPr>
        <w:t xml:space="preserve">      "criterios_exclusao": ["característica que, isoladamente, não basta para incluir a unidade"]</w:t>
      </w:r>
      <w:r>
        <w:br/>
      </w:r>
      <w:r>
        <w:rPr>
          <w:rStyle w:val="949"/>
        </w:rPr>
        <w:t xml:space="preserve">    }</w:t>
      </w:r>
      <w:r>
        <w:br/>
      </w:r>
      <w:r>
        <w:rPr>
          <w:rStyle w:val="949"/>
        </w:rPr>
        <w:t xml:space="preserve">  ],</w:t>
      </w:r>
      <w:r>
        <w:br/>
      </w:r>
      <w:r>
        <w:rPr>
          <w:rStyle w:val="949"/>
        </w:rPr>
        <w:t xml:space="preserve">  "classificacoes": [</w:t>
      </w:r>
      <w:r>
        <w:br/>
      </w:r>
      <w:r>
        <w:rPr>
          <w:rStyle w:val="949"/>
        </w:rPr>
        <w:t xml:space="preserve">    {</w:t>
      </w:r>
      <w:r>
        <w:br/>
      </w:r>
      <w:r>
        <w:rPr>
          <w:rStyle w:val="949"/>
        </w:rPr>
        <w:t xml:space="preserve">      "id_analise": "18714_1/671301_1.json",</w:t>
      </w:r>
      <w:r>
        <w:br/>
      </w:r>
      <w:r>
        <w:rPr>
          <w:rStyle w:val="949"/>
        </w:rPr>
        <w:t xml:space="preserve">      "categoria_principal": "C1",</w:t>
      </w:r>
      <w:r>
        <w:br/>
      </w:r>
      <w:r>
        <w:rPr>
          <w:rStyle w:val="949"/>
        </w:rPr>
        <w:t xml:space="preserve">      "categorias_secundarias": [],</w:t>
      </w:r>
      <w:r>
        <w:br/>
      </w:r>
      <w:r>
        <w:rPr>
          <w:rStyle w:val="949"/>
        </w:rPr>
        <w:t xml:space="preserve">      "justificativa": "comparação entre o que a análise inicial valorizou, o que a análise crítica valorizou e a ambiguidade ou tensão textual que permite as duas interpretações",</w:t>
      </w:r>
      <w:r>
        <w:br/>
      </w:r>
      <w:r>
        <w:rPr>
          <w:rStyle w:val="949"/>
        </w:rPr>
        <w:t xml:space="preserve">      "observacoes_limite": "ambiguidade, informação ausente ou aspecto que exige validação humana; use string vazia quando não houver"</w:t>
      </w:r>
      <w:r>
        <w:br/>
      </w:r>
      <w:r>
        <w:rPr>
          <w:rStyle w:val="949"/>
        </w:rPr>
        <w:t xml:space="preserve">    }</w:t>
      </w:r>
      <w:r>
        <w:br/>
      </w:r>
      <w:r>
        <w:rPr>
          <w:rStyle w:val="949"/>
        </w:rPr>
        <w:t xml:space="preserve">  ]</w:t>
      </w:r>
      <w:r>
        <w:br/>
      </w:r>
      <w:r>
        <w:rPr>
          <w:rStyle w:val="949"/>
        </w:rPr>
        <w:t xml:space="preserve">}</w:t>
      </w:r>
      <w:r>
        <w:br/>
      </w:r>
      <w:r>
        <w:br/>
      </w:r>
      <w:r>
        <w:rPr>
          <w:rStyle w:val="949"/>
        </w:rPr>
        <w:t xml:space="preserve">Antes de finalizar, verifique internamente:</w:t>
      </w:r>
      <w:r>
        <w:br/>
      </w:r>
      <w:r>
        <w:br/>
      </w:r>
      <w:r>
        <w:rPr>
          <w:rStyle w:val="949"/>
        </w:rPr>
        <w:t xml:space="preserve">- se todos os `id_analise` da entrada aparecem exatamente uma vez em `classificacoes`;</w:t>
      </w:r>
      <w:r>
        <w:br/>
      </w:r>
      <w:r>
        <w:rPr>
          <w:rStyle w:val="949"/>
        </w:rPr>
        <w:t xml:space="preserve">- se cada `categoria_principal` aparece na lista global `categorias`;</w:t>
      </w:r>
      <w:r>
        <w:br/>
      </w:r>
      <w:r>
        <w:rPr>
          <w:rStyle w:val="949"/>
        </w:rPr>
        <w:t xml:space="preserve">- se as categorias existentes reutilizadas mantêm exatamente seus IDs, nomes, definições e critérios;</w:t>
      </w:r>
      <w:r>
        <w:br/>
      </w:r>
      <w:r>
        <w:rPr>
          <w:rStyle w:val="949"/>
        </w:rPr>
        <w:t xml:space="preserve">- se cada categoria nova usa um ID novo, não pertencente a `C1`–`C6`, e é realmente necessária, não sendo sinônimo ou variação de categoria existente;</w:t>
      </w:r>
      <w:r>
        <w:br/>
      </w:r>
      <w:r>
        <w:rPr>
          <w:rStyle w:val="949"/>
        </w:rPr>
        <w:t xml:space="preserve">- se os IDs, nomes e definições das categorias são estáveis e reutilizados;</w:t>
      </w:r>
      <w:r>
        <w:br/>
      </w:r>
      <w:r>
        <w:rPr>
          <w:rStyle w:val="949"/>
        </w:rPr>
        <w:t xml:space="preserve">- se categorias semanticamente equivalentes foram fundidas;</w:t>
      </w:r>
      <w:r>
        <w:br/>
      </w:r>
      <w:r>
        <w:rPr>
          <w:rStyle w:val="949"/>
        </w:rPr>
        <w:t xml:space="preserve">- se a categoria principal representa o mecanismo predominante da divergência;</w:t>
      </w:r>
      <w:r>
        <w:br/>
      </w:r>
      <w:r>
        <w:rPr>
          <w:rStyle w:val="949"/>
        </w:rPr>
        <w:t xml:space="preserve">- se as categorias secundárias, quando usadas, representam mecanismos autônomos e não redundantes;</w:t>
      </w:r>
      <w:r>
        <w:br/>
      </w:r>
      <w:r>
        <w:rPr>
          <w:rStyle w:val="949"/>
        </w:rPr>
        <w:t xml:space="preserve">- se a justificativa compara explicitamente o racional inicial e o racional crítico, sem arbitrar qual dos dois está correto;</w:t>
      </w:r>
      <w:r>
        <w:br/>
      </w:r>
      <w:r>
        <w:rPr>
          <w:rStyle w:val="949"/>
        </w:rPr>
        <w:t xml:space="preserve">- se a análise da divergência compara os textos recebidos sem inventar informações.</w:t>
      </w:r>
    </w:p>
    <w:bookmarkEnd w:id="27"/>
    <w:bookmarkStart w:id="28" w:name="resultados-1"/>
    <w:p>
      <w:pPr>
        <w:pStyle w:val="907"/>
      </w:pPr>
      <w:r>
        <w:t xml:space="preserve">Resultados</w:t>
      </w:r>
    </w:p>
    <w:p>
      <w:pPr>
        <w:pStyle w:val="917"/>
      </w:pPr>
      <w:r>
        <w:t xml:space="preserve">Modelo: respostas carregadas de etiquetador_divergencias_2. Unidades classificadas: 50.</w:t>
      </w:r>
    </w:p>
    <w:tbl>
      <w:tblPr>
        <w:tblStyle w:val="Table"/>
        <w:tblW w:type="pct" w:w="5000"/>
        <w:tblLayout w:type="fixed"/>
        <w:tblLook w:firstRow="1" w:lastRow="0" w:firstColumn="0" w:lastColumn="0" w:noHBand="0" w:noVBand="0" w:val="0020"/>
      </w:tblPr>
      <w:tblGrid>
        <w:gridCol w:w="1144"/>
        <w:gridCol w:w="4752"/>
        <w:gridCol w:w="2023"/>
      </w:tblGrid>
      <w:tr>
        <w:trPr>
          <w:tblHeader w:val="on"/>
        </w:trPr>
        <w:tc>
          <w:tcPr/>
          <w:p>
            <w:pPr>
              <w:pStyle w:val="918"/>
              <w:jc w:val="left"/>
            </w:pPr>
            <w:r>
              <w:t xml:space="preserve">id_categoria</w:t>
            </w:r>
          </w:p>
        </w:tc>
        <w:tc>
          <w:tcPr/>
          <w:p>
            <w:pPr>
              <w:pStyle w:val="918"/>
              <w:jc w:val="left"/>
            </w:pPr>
            <w:r>
              <w:t xml:space="preserve">nome_categoria</w:t>
            </w:r>
          </w:p>
        </w:tc>
        <w:tc>
          <w:tcPr/>
          <w:p>
            <w:pPr>
              <w:pStyle w:val="918"/>
              <w:jc w:val="right"/>
            </w:pPr>
            <w:r>
              <w:t xml:space="preserve">unidades_classificadas</w:t>
            </w:r>
          </w:p>
        </w:tc>
      </w:tr>
      <w:tr>
        <w:tc>
          <w:tcPr/>
          <w:p>
            <w:pPr>
              <w:pStyle w:val="918"/>
              <w:jc w:val="left"/>
            </w:pPr>
            <w:r>
              <w:t xml:space="preserve">C1</w:t>
            </w:r>
          </w:p>
        </w:tc>
        <w:tc>
          <w:tcPr/>
          <w:p>
            <w:pPr>
              <w:pStyle w:val="918"/>
              <w:jc w:val="left"/>
            </w:pPr>
            <w:r>
              <w:t xml:space="preserve">Conformidade normativa sem mecanismo de implementação</w:t>
            </w:r>
          </w:p>
        </w:tc>
        <w:tc>
          <w:tcPr/>
          <w:p>
            <w:pPr>
              <w:pStyle w:val="918"/>
              <w:jc w:val="right"/>
            </w:pPr>
            <w:r>
              <w:t xml:space="preserve">7</w:t>
            </w:r>
          </w:p>
        </w:tc>
      </w:tr>
      <w:tr>
        <w:tc>
          <w:tcPr/>
          <w:p>
            <w:pPr>
              <w:pStyle w:val="918"/>
              <w:jc w:val="left"/>
            </w:pPr>
            <w:r>
              <w:t xml:space="preserve">C2</w:t>
            </w:r>
          </w:p>
        </w:tc>
        <w:tc>
          <w:tcPr/>
          <w:p>
            <w:pPr>
              <w:pStyle w:val="918"/>
              <w:jc w:val="left"/>
            </w:pPr>
            <w:r>
              <w:t xml:space="preserve">Execução continuada dependente de adesão</w:t>
            </w:r>
          </w:p>
        </w:tc>
        <w:tc>
          <w:tcPr/>
          <w:p>
            <w:pPr>
              <w:pStyle w:val="918"/>
              <w:jc w:val="right"/>
            </w:pPr>
            <w:r>
              <w:t xml:space="preserve">18</w:t>
            </w:r>
          </w:p>
        </w:tc>
      </w:tr>
      <w:tr>
        <w:tc>
          <w:tcPr/>
          <w:p>
            <w:pPr>
              <w:pStyle w:val="918"/>
              <w:jc w:val="left"/>
            </w:pPr>
            <w:r>
              <w:t xml:space="preserve">C3</w:t>
            </w:r>
          </w:p>
        </w:tc>
        <w:tc>
          <w:tcPr/>
          <w:p>
            <w:pPr>
              <w:pStyle w:val="918"/>
              <w:jc w:val="left"/>
            </w:pPr>
            <w:r>
              <w:t xml:space="preserve">Capacitação sujeita a atualização e retenção</w:t>
            </w:r>
          </w:p>
        </w:tc>
        <w:tc>
          <w:tcPr/>
          <w:p>
            <w:pPr>
              <w:pStyle w:val="918"/>
              <w:jc w:val="right"/>
            </w:pPr>
            <w:r>
              <w:t xml:space="preserve">2</w:t>
            </w:r>
          </w:p>
        </w:tc>
      </w:tr>
      <w:tr>
        <w:tc>
          <w:tcPr/>
          <w:p>
            <w:pPr>
              <w:pStyle w:val="918"/>
              <w:jc w:val="left"/>
            </w:pPr>
            <w:r>
              <w:t xml:space="preserve">C4</w:t>
            </w:r>
          </w:p>
        </w:tc>
        <w:tc>
          <w:tcPr/>
          <w:p>
            <w:pPr>
              <w:pStyle w:val="918"/>
              <w:jc w:val="left"/>
            </w:pPr>
            <w:r>
              <w:t xml:space="preserve">Pacote heterogêneo de ações</w:t>
            </w:r>
          </w:p>
        </w:tc>
        <w:tc>
          <w:tcPr/>
          <w:p>
            <w:pPr>
              <w:pStyle w:val="918"/>
              <w:jc w:val="right"/>
            </w:pPr>
            <w:r>
              <w:t xml:space="preserve">17</w:t>
            </w:r>
          </w:p>
        </w:tc>
      </w:tr>
      <w:tr>
        <w:tc>
          <w:tcPr/>
          <w:p>
            <w:pPr>
              <w:pStyle w:val="918"/>
              <w:jc w:val="left"/>
            </w:pPr>
            <w:r>
              <w:t xml:space="preserve">C5</w:t>
            </w:r>
          </w:p>
        </w:tc>
        <w:tc>
          <w:tcPr/>
          <w:p>
            <w:pPr>
              <w:pStyle w:val="918"/>
              <w:jc w:val="left"/>
            </w:pPr>
            <w:r>
              <w:t xml:space="preserve">Investigação sem tratamento assegurado</w:t>
            </w:r>
          </w:p>
        </w:tc>
        <w:tc>
          <w:tcPr/>
          <w:p>
            <w:pPr>
              <w:pStyle w:val="918"/>
              <w:jc w:val="right"/>
            </w:pPr>
            <w:r>
              <w:t xml:space="preserve">1</w:t>
            </w:r>
          </w:p>
        </w:tc>
      </w:tr>
      <w:tr>
        <w:tc>
          <w:tcPr/>
          <w:p>
            <w:pPr>
              <w:pStyle w:val="918"/>
              <w:jc w:val="left"/>
            </w:pPr>
            <w:r>
              <w:t xml:space="preserve">C6</w:t>
            </w:r>
          </w:p>
        </w:tc>
        <w:tc>
          <w:tcPr/>
          <w:p>
            <w:pPr>
              <w:pStyle w:val="918"/>
              <w:jc w:val="left"/>
            </w:pPr>
            <w:r>
              <w:t xml:space="preserve">Formalização sem institucionalização demonstrada</w:t>
            </w:r>
          </w:p>
        </w:tc>
        <w:tc>
          <w:tcPr/>
          <w:p>
            <w:pPr>
              <w:pStyle w:val="918"/>
              <w:jc w:val="right"/>
            </w:pPr>
            <w:r>
              <w:t xml:space="preserve">5</w:t>
            </w:r>
          </w:p>
        </w:tc>
      </w:tr>
    </w:tbl>
    <w:p>
      <w:pPr>
        <w:pStyle w:val="916"/>
      </w:pPr>
      <w:r>
        <w:t xml:space="preserve">São apresentados dois exemplos selecionados aleatoriamente por categoria quando há pelo menos duas unidades; categorias com uma única unidade apresentam apenas esse exemplo.</w:t>
      </w:r>
    </w:p>
    <w:bookmarkEnd w:id="28"/>
    <w:bookmarkStart w:id="29" w:name="Xd65282da36c8f301688411171cce371004f6b46"/>
    <w:p>
      <w:pPr>
        <w:pStyle w:val="907"/>
      </w:pPr>
      <w:r>
        <w:t xml:space="preserve">C1 — Conformidade normativa sem mecanismo de implementação</w:t>
      </w:r>
    </w:p>
    <w:p>
      <w:pPr>
        <w:pStyle w:val="917"/>
      </w:pPr>
      <w:r>
        <w:rPr>
          <w:b/>
          <w:bCs/>
        </w:rPr>
        <w:t xml:space="preserve">Definição:</w:t>
      </w:r>
      <w:r>
        <w:t xml:space="preserve"> </w:t>
      </w:r>
      <w:r>
        <w:t xml:space="preserve">A divergência decorre de a recomendação determinar ou referenciar o cumprimento de normas, princípios ou requisitos, sem explicitar mecanismos concretos de implementação, verificação ou sustentação.</w:t>
      </w:r>
    </w:p>
    <w:p>
      <w:pPr>
        <w:pStyle w:val="916"/>
      </w:pPr>
      <w:r>
        <w:rPr>
          <w:b/>
          <w:bCs/>
        </w:rPr>
        <w:t xml:space="preserve">Critérios de inclusão:</w:t>
      </w:r>
      <w:r>
        <w:t xml:space="preserve"> </w:t>
      </w:r>
      <w:r>
        <w:t xml:space="preserve">a ação central consiste em observar, cumprir ou aplicar uma norma, princípio, manual ou dispositivo legal; a permanência dos efeitos é inferida principalmente da existência ou validade da norma; o texto não detalha estrutura, rotina, responsável, controle ou procedimento suficiente para sustentar a aplicação</w:t>
      </w:r>
    </w:p>
    <w:p>
      <w:pPr>
        <w:pStyle w:val="916"/>
      </w:pPr>
      <w:r>
        <w:rPr>
          <w:b/>
          <w:bCs/>
        </w:rPr>
        <w:t xml:space="preserve">Critérios de exclusão:</w:t>
      </w:r>
      <w:r>
        <w:t xml:space="preserve"> </w:t>
      </w:r>
      <w:r>
        <w:t xml:space="preserve">não incluir quando o mecanismo predominante for investigação ou solicitação de informação sem ação corretiva; não incluir quando houver conjunto claramente combinado de ações corretivas e estruturais; não incluir quando a mera menção a documentos normativos não for o núcleo da recomendação</w:t>
      </w:r>
    </w:p>
    <w:p>
      <w:pPr>
        <w:pStyle w:val="916"/>
      </w:pPr>
      <w:r>
        <w:rPr>
          <w:b/>
          <w:bCs/>
        </w:rPr>
        <w:t xml:space="preserve">Exemplo 1 (19679_1/685268_1.json)</w:t>
      </w:r>
    </w:p>
    <w:p>
      <w:pPr>
        <w:pStyle w:val="916"/>
      </w:pPr>
      <w:r>
        <w:t xml:space="preserve">Adotar providências visando orientar o fiscal e o gestor concedente para que realize o acompanhamento dos processos de contratualização e de execução realizados pela convenente cumprindo os dispositivos previstos nas alíneas d, f, g e h do inciso II, art. 6º e inciso II do art. 59 da Portaria Interministerial nº 424/2016.</w:t>
      </w:r>
    </w:p>
    <w:p>
      <w:pPr>
        <w:pStyle w:val="916"/>
      </w:pPr>
      <w:r>
        <w:rPr>
          <w:b/>
          <w:bCs/>
        </w:rPr>
        <w:t xml:space="preserve">Justificativa da IA:</w:t>
      </w:r>
      <w:r>
        <w:t xml:space="preserve"> </w:t>
      </w:r>
      <w:r>
        <w:t xml:space="preserve">A análise inicial tratou a orientação para cumprir dispositivos legais como procedimento padrão duradouro, enquanto a crítica destacou que o texto não demonstra como a orientação será institucionalizada além da referência normativa.</w:t>
      </w:r>
    </w:p>
    <w:p>
      <w:pPr>
        <w:pStyle w:val="916"/>
      </w:pPr>
      <w:r>
        <w:rPr>
          <w:b/>
          <w:bCs/>
        </w:rPr>
        <w:t xml:space="preserve">Limites observados pela IA:</w:t>
      </w:r>
      <w:r>
        <w:t xml:space="preserve"> </w:t>
      </w:r>
      <w:r>
        <w:t xml:space="preserve">A recomendação menciona orientação a atores específicos, mas não detalha rotina, controle ou mecanismo de continuidade.</w:t>
      </w:r>
    </w:p>
    <w:p>
      <w:pPr>
        <w:pStyle w:val="916"/>
      </w:pPr>
      <w:r>
        <w:rPr>
          <w:b/>
          <w:bCs/>
        </w:rPr>
        <w:t xml:space="preserve">Exemplo 2 (19722_2/694116_1.json)</w:t>
      </w:r>
    </w:p>
    <w:p>
      <w:pPr>
        <w:pStyle w:val="916"/>
      </w:pPr>
      <w:r>
        <w:t xml:space="preserve">Atentar-se ao princípio de Vinculação ao Edital, previsto no art. 55, inc. XI da Lei 8.666, de 21 de junho de 1993 e no art. 5º, da Lei 14.133, de 1º de abril de 2021 e cumprir todas as obrigações contratuais, inclusive o preenchimento dos anexos, quando existentes, considerando que a inexecução parcial do contrato pode resultar em sanções administrativas, como advertências, multas, e até mesmo a suspensão temporária de participar de licitações futuras (Lei 14.133/2021, arts. 155 e 156).</w:t>
      </w:r>
    </w:p>
    <w:p>
      <w:pPr>
        <w:pStyle w:val="916"/>
      </w:pPr>
      <w:r>
        <w:rPr>
          <w:b/>
          <w:bCs/>
        </w:rPr>
        <w:t xml:space="preserve">Justificativa da IA:</w:t>
      </w:r>
      <w:r>
        <w:t xml:space="preserve"> </w:t>
      </w:r>
      <w:r>
        <w:t xml:space="preserve">A análise inicial reconheceu a ênfase no cumprimento contratual e normativo, sem mecanismos específicos para documentar a capacidade instalada; a análise crítica apenas questionou se essa exigência poderia ser lida como tratamento da causa documental.</w:t>
      </w:r>
    </w:p>
    <w:p>
      <w:pPr>
        <w:pStyle w:val="916"/>
      </w:pPr>
      <w:r>
        <w:rPr>
          <w:b/>
          <w:bCs/>
        </w:rPr>
        <w:t xml:space="preserve">Limites observados pela IA:</w:t>
      </w:r>
      <w:r>
        <w:t xml:space="preserve"> </w:t>
      </w:r>
      <w:r>
        <w:t xml:space="preserve">A avaliação de efeitos foi considerada não aplicável nas duas posições, pois a instabilidade principal está no foco na causa.</w:t>
      </w:r>
    </w:p>
    <w:bookmarkEnd w:id="29"/>
    <w:bookmarkStart w:id="30" w:name="X252441f104ada7d35f019238646b26563ad8ba4"/>
    <w:p>
      <w:pPr>
        <w:pStyle w:val="907"/>
      </w:pPr>
      <w:r>
        <w:t xml:space="preserve">C2 — Execução continuada dependente de adesão</w:t>
      </w:r>
    </w:p>
    <w:p>
      <w:pPr>
        <w:pStyle w:val="917"/>
      </w:pPr>
      <w:r>
        <w:rPr>
          <w:b/>
          <w:bCs/>
        </w:rPr>
        <w:t xml:space="preserve">Definição:</w:t>
      </w:r>
      <w:r>
        <w:t xml:space="preserve"> </w:t>
      </w:r>
      <w:r>
        <w:t xml:space="preserve">A divergência decorre de a durabilidade depender da realização reiterada de rotinas, controles ou supervisão por pessoas ou unidades, sem garantia textual de continuidade diante de mudanças de atores.</w:t>
      </w:r>
    </w:p>
    <w:p>
      <w:pPr>
        <w:pStyle w:val="916"/>
      </w:pPr>
      <w:r>
        <w:rPr>
          <w:b/>
          <w:bCs/>
        </w:rPr>
        <w:t xml:space="preserve">Critérios de inclusão:</w:t>
      </w:r>
      <w:r>
        <w:t xml:space="preserve"> </w:t>
      </w:r>
      <w:r>
        <w:t xml:space="preserve">a recomendação exige monitoramento, conferência, supervisão, pactuação ou execução recorrente; o efeito pretendido depende da adesão ou do compromisso continuado dos executores; a análise inicial infere institucionalização, enquanto a análise crítica destaca dependência de pessoal, prioridades ou aplicação prática</w:t>
      </w:r>
    </w:p>
    <w:p>
      <w:pPr>
        <w:pStyle w:val="916"/>
      </w:pPr>
      <w:r>
        <w:rPr>
          <w:b/>
          <w:bCs/>
        </w:rPr>
        <w:t xml:space="preserve">Critérios de exclusão:</w:t>
      </w:r>
      <w:r>
        <w:t xml:space="preserve"> </w:t>
      </w:r>
      <w:r>
        <w:t xml:space="preserve">não incluir quando a recomendação apenas determinar cumprimento normativo genérico; não incluir quando a ação principal for capacitação ou transmissão de conhecimento; não incluir quando o problema central for a ausência de investigação ou diagnóstico</w:t>
      </w:r>
    </w:p>
    <w:p>
      <w:pPr>
        <w:pStyle w:val="916"/>
      </w:pPr>
      <w:r>
        <w:rPr>
          <w:b/>
          <w:bCs/>
        </w:rPr>
        <w:t xml:space="preserve">Exemplo 1 (19615_1/675083_1.json)</w:t>
      </w:r>
    </w:p>
    <w:p>
      <w:pPr>
        <w:pStyle w:val="916"/>
      </w:pPr>
      <w:r>
        <w:t xml:space="preserve">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MP/MF/CGU nº 424/2016, no sentido de evitar desobediência aos normativos e cometimento de irregularidades nos atos praticados pela convenente.</w:t>
      </w:r>
    </w:p>
    <w:p>
      <w:pPr>
        <w:pStyle w:val="916"/>
      </w:pPr>
      <w:r>
        <w:rPr>
          <w:b/>
          <w:bCs/>
        </w:rPr>
        <w:t xml:space="preserve">Justificativa da IA:</w:t>
      </w:r>
      <w:r>
        <w:t xml:space="preserve"> </w:t>
      </w:r>
      <w:r>
        <w:t xml:space="preserve">A análise inicial tratou a orientação de conferência documental como procedimento sistemático duradouro; a divergência indicada pela análise crítica decorre da necessidade de avaliar se a orientação se converte em execução continuada e mudança estrutural.</w:t>
      </w:r>
    </w:p>
    <w:p>
      <w:pPr>
        <w:pStyle w:val="916"/>
      </w:pPr>
      <w:r>
        <w:rPr>
          <w:b/>
          <w:bCs/>
        </w:rPr>
        <w:t xml:space="preserve">Limites observados pela IA:</w:t>
      </w:r>
      <w:r>
        <w:t xml:space="preserve"> </w:t>
      </w:r>
      <w:r>
        <w:t xml:space="preserve">A análise crítica não explicitou resultado próprio para efeitos duradouros, registrando não aplicação.</w:t>
      </w:r>
    </w:p>
    <w:p>
      <w:pPr>
        <w:pStyle w:val="916"/>
      </w:pPr>
      <w:r>
        <w:rPr>
          <w:b/>
          <w:bCs/>
        </w:rPr>
        <w:t xml:space="preserve">Exemplo 2 (19848_1/701972_1.json)</w:t>
      </w:r>
    </w:p>
    <w:p>
      <w:pPr>
        <w:pStyle w:val="916"/>
      </w:pPr>
      <w:r>
        <w:t xml:space="preserve">Alimentar regularmente, com a atuação do CEREST Regional, o Sistema de Informação de Agravos de Notificação- SINAN, comprovando por meio de documentos as informações relativas às notificações compulsórias (das unidades sentinelas ou universais) de doenças e agravos relacionados ao trabalho na rede de atenção do SUS, de acordo com item 3, alínea</w:t>
      </w:r>
      <w:r>
        <w:t xml:space="preserve"> </w:t>
      </w:r>
      <w:r>
        <w:rPr>
          <w:rStyle w:val="949"/>
        </w:rPr>
        <w:t xml:space="preserve">h</w:t>
      </w:r>
      <w:r>
        <w:t xml:space="preserve">, inciso II, art. 9º, Capítulo III, do Anexo XV, da Portaria de Consolidação GM/MS n.º 02, de 28 setembro 2017, e com o tópico Ações de Responsabilidade das Regiões e dos Municípios, Anexo 1, do Anexo X, da Portaria de Consolidação GM/MS n.º 03, de 28 setembro 2017.</w:t>
      </w:r>
    </w:p>
    <w:p>
      <w:pPr>
        <w:pStyle w:val="916"/>
      </w:pPr>
      <w:r>
        <w:rPr>
          <w:b/>
          <w:bCs/>
        </w:rPr>
        <w:t xml:space="preserve">Justificativa da IA:</w:t>
      </w:r>
      <w:r>
        <w:t xml:space="preserve"> </w:t>
      </w:r>
      <w:r>
        <w:t xml:space="preserve">A análise inicial classificou a alimentação regular do sistema como causa tratada por processo contínuo; a análise crítica apontou a ambiguidade entre correção da condição e estabelecimento de uma rotina sistemática sem mudanças estruturais demonstradas.</w:t>
      </w:r>
    </w:p>
    <w:p>
      <w:pPr>
        <w:pStyle w:val="916"/>
      </w:pPr>
      <w:r>
        <w:rPr>
          <w:b/>
          <w:bCs/>
        </w:rPr>
        <w:t xml:space="preserve">Limites observados pela IA:</w:t>
      </w:r>
      <w:r>
        <w:t xml:space="preserve"> </w:t>
      </w:r>
      <w:r>
        <w:t xml:space="preserve">A recomendação exige recorrência, mas não especifica como a rotina será controlada ou sustentada.</w:t>
      </w:r>
    </w:p>
    <w:bookmarkEnd w:id="30"/>
    <w:bookmarkStart w:id="31" w:name="Xb123fee59681c66d5ef05802a114065e39cc544"/>
    <w:p>
      <w:pPr>
        <w:pStyle w:val="907"/>
      </w:pPr>
      <w:r>
        <w:t xml:space="preserve">C3 — Capacitação sujeita a atualização e retenção</w:t>
      </w:r>
    </w:p>
    <w:p>
      <w:pPr>
        <w:pStyle w:val="917"/>
      </w:pPr>
      <w:r>
        <w:rPr>
          <w:b/>
          <w:bCs/>
        </w:rPr>
        <w:t xml:space="preserve">Definição:</w:t>
      </w:r>
      <w:r>
        <w:t xml:space="preserve"> </w:t>
      </w:r>
      <w:r>
        <w:t xml:space="preserve">A divergência decorre de ações de educação, treinamento ou qualificação cujo efeito pode persistir como conhecimento, mas depende de atualização, repetição, retenção de pessoal e incorporação institucional.</w:t>
      </w:r>
    </w:p>
    <w:p>
      <w:pPr>
        <w:pStyle w:val="916"/>
      </w:pPr>
      <w:r>
        <w:rPr>
          <w:b/>
          <w:bCs/>
        </w:rPr>
        <w:t xml:space="preserve">Critérios de inclusão:</w:t>
      </w:r>
      <w:r>
        <w:t xml:space="preserve"> </w:t>
      </w:r>
      <w:r>
        <w:t xml:space="preserve">a recomendação tem como ação central ofertar educação, treinamento, orientação ou capacitação; a análise inicial considera que conhecimentos adquiridos permanecem, enquanto a análise crítica ressalta rotatividade, atualização ou necessidade de continuidade; a recomendação não demonstra, por si só, mecanismo institucional completo que assegure a transmissão e manutenção das competências</w:t>
      </w:r>
    </w:p>
    <w:p>
      <w:pPr>
        <w:pStyle w:val="916"/>
      </w:pPr>
      <w:r>
        <w:rPr>
          <w:b/>
          <w:bCs/>
        </w:rPr>
        <w:t xml:space="preserve">Critérios de exclusão:</w:t>
      </w:r>
      <w:r>
        <w:t xml:space="preserve"> </w:t>
      </w:r>
      <w:r>
        <w:t xml:space="preserve">não incluir quando a capacitação for apenas componente secundário de pacote dominado por outras ações; não incluir quando a divergência decorrer principalmente de exigência normativa sem implementação; não incluir quando a ação principal for rotina de controle executada continuamente</w:t>
      </w:r>
    </w:p>
    <w:p>
      <w:pPr>
        <w:pStyle w:val="916"/>
      </w:pPr>
      <w:r>
        <w:rPr>
          <w:b/>
          <w:bCs/>
        </w:rPr>
        <w:t xml:space="preserve">Exemplo 1 (19610_1/674175_2.json)</w:t>
      </w:r>
    </w:p>
    <w:p>
      <w:pPr>
        <w:pStyle w:val="916"/>
      </w:pPr>
      <w:r>
        <w:t xml:space="preserve">Capacitar as áreas competentes para a análise dos custos do plano de trabalho conferindo-lhes competência para identificar despesas sem relação com o objeto do convênio.</w:t>
      </w:r>
    </w:p>
    <w:p>
      <w:pPr>
        <w:pStyle w:val="916"/>
      </w:pPr>
      <w:r>
        <w:rPr>
          <w:b/>
          <w:bCs/>
        </w:rPr>
        <w:t xml:space="preserve">Justificativa da IA:</w:t>
      </w:r>
      <w:r>
        <w:t xml:space="preserve"> </w:t>
      </w:r>
      <w:r>
        <w:t xml:space="preserve">A análise inicial considerou a capacitação capaz de deixar competência institucional; a crítica ressaltou que a recomendação é genérica em relação à contratação constatada e que seus efeitos dependem de implementação, atualização e permanência dos capacitados.</w:t>
      </w:r>
    </w:p>
    <w:p>
      <w:pPr>
        <w:pStyle w:val="916"/>
      </w:pPr>
      <w:r>
        <w:rPr>
          <w:b/>
          <w:bCs/>
        </w:rPr>
        <w:t xml:space="preserve">Limites observados pela IA:</w:t>
      </w:r>
      <w:r>
        <w:t xml:space="preserve"> </w:t>
      </w:r>
      <w:r>
        <w:t xml:space="preserve">A ação central é capacitar, sem mecanismo adicional de institucionalização da competência.</w:t>
      </w:r>
    </w:p>
    <w:p>
      <w:pPr>
        <w:pStyle w:val="916"/>
      </w:pPr>
      <w:r>
        <w:rPr>
          <w:b/>
          <w:bCs/>
        </w:rPr>
        <w:t xml:space="preserve">Exemplo 2 (19473_1/669149_1.json)</w:t>
      </w:r>
    </w:p>
    <w:p>
      <w:pPr>
        <w:pStyle w:val="916"/>
      </w:pPr>
      <w:r>
        <w:t xml:space="preserve">Estabelecer um Programa de Capacitação Permanente aos profissionais do SAMU Osasco, conforme o disposto no Art. 49, Seção IV, Capítulo I, Título II, Livro II da PRC nº 03 de 28/09/17 o qual determina que</w:t>
      </w:r>
      <w:r>
        <w:t xml:space="preserve"> </w:t>
      </w:r>
      <w:r>
        <w:t xml:space="preserve">“O componente SAMU 192 deverá dispor de programa de capacitação permanente. Parágrafo Único. A capacitação será promovida preferencialmente de forma direta pela Rede de Atenção às Urgências.”</w:t>
      </w:r>
    </w:p>
    <w:p>
      <w:pPr>
        <w:pStyle w:val="916"/>
      </w:pPr>
      <w:r>
        <w:rPr>
          <w:b/>
          <w:bCs/>
        </w:rPr>
        <w:t xml:space="preserve">Justificativa da IA:</w:t>
      </w:r>
      <w:r>
        <w:t xml:space="preserve"> </w:t>
      </w:r>
      <w:r>
        <w:t xml:space="preserve">A análise inicial tratou o programa de capacitação permanente como estrutura que preserva a qualificação; a crítica questionou a relação entre a capacitação recomendada e a constatação, além da sustentabilidade dos seus efeitos.</w:t>
      </w:r>
    </w:p>
    <w:p>
      <w:pPr>
        <w:pStyle w:val="916"/>
      </w:pPr>
      <w:r>
        <w:rPr>
          <w:b/>
          <w:bCs/>
        </w:rPr>
        <w:t xml:space="preserve">Limites observados pela IA:</w:t>
      </w:r>
      <w:r>
        <w:t xml:space="preserve"> </w:t>
      </w:r>
      <w:r>
        <w:t xml:space="preserve">A recomendação é exclusivamente educacional e não demonstra mecanismo de retenção ou transmissão das competências.</w:t>
      </w:r>
    </w:p>
    <w:bookmarkEnd w:id="31"/>
    <w:bookmarkStart w:id="32" w:name="c4-pacote-heterogêneo-de-ações-1"/>
    <w:p>
      <w:pPr>
        <w:pStyle w:val="907"/>
      </w:pPr>
      <w:r>
        <w:t xml:space="preserve">C4 — Pacote heterogêneo de ações</w:t>
      </w:r>
    </w:p>
    <w:p>
      <w:pPr>
        <w:pStyle w:val="917"/>
      </w:pPr>
      <w:r>
        <w:rPr>
          <w:b/>
          <w:bCs/>
        </w:rPr>
        <w:t xml:space="preserve">Definição:</w:t>
      </w:r>
      <w:r>
        <w:t xml:space="preserve"> </w:t>
      </w:r>
      <w:r>
        <w:t xml:space="preserve">A divergência decorre da combinação, na mesma recomendação, de medidas imediatas ou reparadoras com ações estruturais, preventivas ou de capacitação, permitindo avaliações diferentes conforme o componente valorizado.</w:t>
      </w:r>
    </w:p>
    <w:p>
      <w:pPr>
        <w:pStyle w:val="916"/>
      </w:pPr>
      <w:r>
        <w:rPr>
          <w:b/>
          <w:bCs/>
        </w:rPr>
        <w:t xml:space="preserve">Critérios de inclusão:</w:t>
      </w:r>
      <w:r>
        <w:t xml:space="preserve"> </w:t>
      </w:r>
      <w:r>
        <w:t xml:space="preserve">a recomendação contém duas ou mais ações autônomas com funções distintas; pelo menos uma ação trata da condição imediata e outra pretende modificar processos, capacidade ou controles; a análise inicial enfatiza o componente estrutural, enquanto a análise crítica pondera a heterogeneidade, a execução ou a predominância da medida corretiva</w:t>
      </w:r>
    </w:p>
    <w:p>
      <w:pPr>
        <w:pStyle w:val="916"/>
      </w:pPr>
      <w:r>
        <w:rPr>
          <w:b/>
          <w:bCs/>
        </w:rPr>
        <w:t xml:space="preserve">Critérios de exclusão:</w:t>
      </w:r>
      <w:r>
        <w:t xml:space="preserve"> </w:t>
      </w:r>
      <w:r>
        <w:t xml:space="preserve">não incluir quando houver apenas uma ação com redação genérica; não incluir quando as várias providências forem apenas etapas do mesmo procedimento; não incluir quando a divergência puder ser explicada predominantemente por dependência de adesão continuada</w:t>
      </w:r>
    </w:p>
    <w:p>
      <w:pPr>
        <w:pStyle w:val="916"/>
      </w:pPr>
      <w:r>
        <w:rPr>
          <w:b/>
          <w:bCs/>
        </w:rPr>
        <w:t xml:space="preserve">Exemplo 1 (19517_1/671855_1.json)</w:t>
      </w:r>
    </w:p>
    <w:p>
      <w:pPr>
        <w:pStyle w:val="916"/>
      </w:pPr>
      <w:r>
        <w:t xml:space="preserve">Devolver ao Fundo Nacionalde Saúde o valor de R$ 48,60 (quarenta e oito reais e sessenta centavos), conforme detalhado no Anexo III, já contemplado na proposição de devolução da constatação 671289. Prestar, quando exigida, ao pessoal em exercício no Sistema Nacional de Auditoria (SNA), toda informação necessária ao desempenho das atividades de controle, avaliação e auditoria, facilitando-lhes o acesso a documentos, pessoas e instalações, em observância à determinação contida no artigo 11 do Decreto Federal nº 1.651 de 28/09/1995. Caso ocorra o restabelecimento da conexão ao Sistema de Vendas do PFPB, comercializar e dispensar medicamentos e correlatos em estrita observância às regras de execução do Programa Farmácia Popular do Brasil, a fim de não incorrer em práticas irregulares, conforme preconizado nos incisos I e II do artigo 37 combinados com os artigos 21, 22 e 25, do Anexo LXXVII da Portaria de Consolidação GM/MS nº 5 de 28/9/2017, alterada pela Portaria GM/MS nº 2.898, de 26/10/2021.</w:t>
      </w:r>
    </w:p>
    <w:p>
      <w:pPr>
        <w:pStyle w:val="916"/>
      </w:pPr>
      <w:r>
        <w:rPr>
          <w:b/>
          <w:bCs/>
        </w:rPr>
        <w:t xml:space="preserve">Justificativa da IA:</w:t>
      </w:r>
      <w:r>
        <w:t xml:space="preserve"> </w:t>
      </w:r>
      <w:r>
        <w:t xml:space="preserve">A análise inicial valorizou a conformidade futura com as regras do programa, mas a crítica considerou a recomendação predominantemente reativa, composta também por devolução e prestação de informações, com referência normativa genérica.</w:t>
      </w:r>
    </w:p>
    <w:p>
      <w:pPr>
        <w:pStyle w:val="916"/>
      </w:pPr>
      <w:r>
        <w:rPr>
          <w:b/>
          <w:bCs/>
        </w:rPr>
        <w:t xml:space="preserve">Limites observados pela IA:</w:t>
      </w:r>
      <w:r>
        <w:t xml:space="preserve"> </w:t>
      </w:r>
      <w:r>
        <w:t xml:space="preserve">O componente preventivo não especifica mecanismos além da observância das regras.</w:t>
      </w:r>
    </w:p>
    <w:p>
      <w:pPr>
        <w:pStyle w:val="916"/>
      </w:pPr>
      <w:r>
        <w:rPr>
          <w:b/>
          <w:bCs/>
        </w:rPr>
        <w:t xml:space="preserve">Exemplo 2 (19568_4/675511_1.json)</w:t>
      </w:r>
    </w:p>
    <w:p>
      <w:pPr>
        <w:pStyle w:val="916"/>
      </w:pPr>
      <w:r>
        <w:t xml:space="preserve">Capacitar os profissionais para o preenchimento correto das informações nos diversos sistemas, estabelecer rotinas para inserção dos dados nos sistemas de informação o mais rápido possível e atentar para o preenchimento das informações conforme notas técnicas e dar preferência ao uso de prontuários eletrônicos, por ser associado a melhores registros e possibilitar o envio e compartilhamento de dados administrativos e clínicos em tempo oportuno.</w:t>
      </w:r>
    </w:p>
    <w:p>
      <w:pPr>
        <w:pStyle w:val="916"/>
      </w:pPr>
      <w:r>
        <w:rPr>
          <w:b/>
          <w:bCs/>
        </w:rPr>
        <w:t xml:space="preserve">Justificativa da IA:</w:t>
      </w:r>
      <w:r>
        <w:t xml:space="preserve"> </w:t>
      </w:r>
      <w:r>
        <w:t xml:space="preserve">A análise inicial tratou capacitação, rotinas de inserção e prontuário eletrônico como estruturas duradouras; a divergência decorre da heterogeneidade entre formação, rotina operacional e solução tecnológica.</w:t>
      </w:r>
    </w:p>
    <w:p>
      <w:pPr>
        <w:pStyle w:val="916"/>
      </w:pPr>
      <w:r>
        <w:rPr>
          <w:b/>
          <w:bCs/>
        </w:rPr>
        <w:t xml:space="preserve">Limites observados pela IA:</w:t>
      </w:r>
      <w:r>
        <w:t xml:space="preserve"> </w:t>
      </w:r>
      <w:r>
        <w:t xml:space="preserve">As ações possuem diferentes dependências de recursos, pessoas e implementação.</w:t>
      </w:r>
    </w:p>
    <w:bookmarkEnd w:id="32"/>
    <w:bookmarkStart w:id="33" w:name="Xd9b2a677f6cc45b28448815804421e1bff1bd19"/>
    <w:p>
      <w:pPr>
        <w:pStyle w:val="907"/>
      </w:pPr>
      <w:r>
        <w:t xml:space="preserve">C5 — Investigação sem tratamento assegurado</w:t>
      </w:r>
    </w:p>
    <w:p>
      <w:pPr>
        <w:pStyle w:val="917"/>
      </w:pPr>
      <w:r>
        <w:rPr>
          <w:b/>
          <w:bCs/>
        </w:rPr>
        <w:t xml:space="preserve">Definição:</w:t>
      </w:r>
      <w:r>
        <w:t xml:space="preserve"> </w:t>
      </w:r>
      <w:r>
        <w:t xml:space="preserve">A divergência decorre de a recomendação limitar-se a solicitar informações, justificativas ou apuração, sem determinar a implementação das medidas que tratariam a causa identificada.</w:t>
      </w:r>
    </w:p>
    <w:p>
      <w:pPr>
        <w:pStyle w:val="916"/>
      </w:pPr>
      <w:r>
        <w:rPr>
          <w:b/>
          <w:bCs/>
        </w:rPr>
        <w:t xml:space="preserve">Critérios de inclusão:</w:t>
      </w:r>
      <w:r>
        <w:t xml:space="preserve"> </w:t>
      </w:r>
      <w:r>
        <w:t xml:space="preserve">a ação principal é investigar, apurar, solicitar justificativa ou obter informação; o texto não assegura que as causas encontradas serão corrigidas; a análise inicial ou crítica infere possíveis efeitos futuros a partir de etapa diagnóstica, embora a recomendação não os estabeleça</w:t>
      </w:r>
    </w:p>
    <w:p>
      <w:pPr>
        <w:pStyle w:val="916"/>
      </w:pPr>
      <w:r>
        <w:rPr>
          <w:b/>
          <w:bCs/>
        </w:rPr>
        <w:t xml:space="preserve">Critérios de exclusão:</w:t>
      </w:r>
      <w:r>
        <w:t xml:space="preserve"> </w:t>
      </w:r>
      <w:r>
        <w:t xml:space="preserve">não incluir quando a investigação vier acompanhada de medidas corretivas ou preventivas determinadas; não incluir quando a recomendação estabelecer diretamente rotina de controle; não incluir quando a divergência central for apenas a generalidade de exigência normativa</w:t>
      </w:r>
    </w:p>
    <w:p>
      <w:pPr>
        <w:pStyle w:val="916"/>
      </w:pPr>
      <w:r>
        <w:rPr>
          <w:b/>
          <w:bCs/>
        </w:rPr>
        <w:t xml:space="preserve">Exemplo 1 (19294_1/687236_1.json)</w:t>
      </w:r>
    </w:p>
    <w:p>
      <w:pPr>
        <w:pStyle w:val="916"/>
      </w:pPr>
      <w:r>
        <w:t xml:space="preserve">Apurar as responsabilidades pela inexecução parcial do contrato de fornecimento de solução em sistema informatizado integrado de gestão hospitalar da empresa MV Sistemas, pois conforme a Lei n.º 8.666/93, artigo 66 destinada aos contratos firmados com base na referida lei conforme dispõe o Art. 190 da nova Lei de Licitações n.º 14.133 de 1º/4/2021. O contrato cujo instrumento tenha sido assinado antes da entrada em vigor da Lei n.º 14.133 de 1º/4/2021 continuará a ser regido de acordo com as regras previstas na legislação revogada. E para os novos contratos a serem firmados deverão observar a Lei n.º 14.133, de 1º/4/2021, o contrato deverá ser executado pelas partes, de acordo com as cláusulas avençadas e as normas legais, respondendo cada uma pelas consequências de sua inexecução total ou parcial.</w:t>
      </w:r>
    </w:p>
    <w:p>
      <w:pPr>
        <w:pStyle w:val="916"/>
      </w:pPr>
      <w:r>
        <w:rPr>
          <w:b/>
          <w:bCs/>
        </w:rPr>
        <w:t xml:space="preserve">Justificativa da IA:</w:t>
      </w:r>
      <w:r>
        <w:t xml:space="preserve"> </w:t>
      </w:r>
      <w:r>
        <w:t xml:space="preserve">A análise inicial inferiu efeitos preventivos duradouros da apuração de responsabilidades; a crítica observou que a apuração é um evento pontual e não cria, por si só, mecanismo permanente de prevenção de novas inexecuções.</w:t>
      </w:r>
    </w:p>
    <w:p>
      <w:pPr>
        <w:pStyle w:val="916"/>
      </w:pPr>
      <w:r>
        <w:rPr>
          <w:b/>
          <w:bCs/>
        </w:rPr>
        <w:t xml:space="preserve">Limites observados pela IA:</w:t>
      </w:r>
      <w:r>
        <w:t xml:space="preserve"> </w:t>
      </w:r>
      <w:r>
        <w:t xml:space="preserve">A recomendação determina investigação, mas não estabelece medidas corretivas ou preventivas subsequentes.</w:t>
      </w:r>
    </w:p>
    <w:bookmarkEnd w:id="33"/>
    <w:bookmarkStart w:id="34" w:name="Xb56fae0f17a3bcb2027aea5b8024fd529539c56"/>
    <w:p>
      <w:pPr>
        <w:pStyle w:val="907"/>
      </w:pPr>
      <w:r>
        <w:t xml:space="preserve">C6 — Formalização sem institucionalização demonstrada</w:t>
      </w:r>
    </w:p>
    <w:p>
      <w:pPr>
        <w:pStyle w:val="917"/>
      </w:pPr>
      <w:r>
        <w:rPr>
          <w:b/>
          <w:bCs/>
        </w:rPr>
        <w:t xml:space="preserve">Definição:</w:t>
      </w:r>
      <w:r>
        <w:t xml:space="preserve"> </w:t>
      </w:r>
      <w:r>
        <w:t xml:space="preserve">A divergência decorre da criação ou atualização de documentos, planos, registros, fluxos ou processos formais cuja existência é apresentada como duradoura, mas cuja implementação, manutenção e integração institucional não são demonstradas.</w:t>
      </w:r>
    </w:p>
    <w:p>
      <w:pPr>
        <w:pStyle w:val="916"/>
      </w:pPr>
      <w:r>
        <w:rPr>
          <w:b/>
          <w:bCs/>
        </w:rPr>
        <w:t xml:space="preserve">Critérios de inclusão:</w:t>
      </w:r>
      <w:r>
        <w:t xml:space="preserve"> </w:t>
      </w:r>
      <w:r>
        <w:t xml:space="preserve">a recomendação prevê elaborar, incluir, registrar, organizar ou aprimorar documentos, planos, fluxos ou instrumentos; a análise inicial associa a formalização documental à permanência dos efeitos; a análise crítica aponta ausência de detalhamento sobre implementação, revisão, monitoramento ou institucionalização</w:t>
      </w:r>
    </w:p>
    <w:p>
      <w:pPr>
        <w:pStyle w:val="916"/>
      </w:pPr>
      <w:r>
        <w:rPr>
          <w:b/>
          <w:bCs/>
        </w:rPr>
        <w:t xml:space="preserve">Critérios de exclusão:</w:t>
      </w:r>
      <w:r>
        <w:t xml:space="preserve"> </w:t>
      </w:r>
      <w:r>
        <w:t xml:space="preserve">não incluir quando o texto se limitar a citar norma sem determinar formalização ou criação de instrumento; não incluir quando o mecanismo predominante for execução reiterada por pessoas; não incluir quando o núcleo da recomendação for exclusivamente capacitação</w:t>
      </w:r>
    </w:p>
    <w:p>
      <w:pPr>
        <w:pStyle w:val="916"/>
      </w:pPr>
      <w:r>
        <w:rPr>
          <w:b/>
          <w:bCs/>
        </w:rPr>
        <w:t xml:space="preserve">Exemplo 1 (19783_1/694789_1.json)</w:t>
      </w:r>
    </w:p>
    <w:p>
      <w:pPr>
        <w:pStyle w:val="916"/>
      </w:pPr>
      <w:r>
        <w:t xml:space="preserve">Cumprir o § 3º Art. 96 CAPÍTULO I das Diretrizes do Processo de Planejamento no Âmbito do Sus, Título IV do Planejamento, Portaria de Consolidação Nº 1, de 28 de setembro de 2017, quanto aos instrumentos de gestão da SMS conter informações suficientes sobre o Programa Nacional de Imunizações-PNI, permitindo o efetivo planejamento, monitoramento e a avaliação dos resultados alcançados na execução da Política.</w:t>
      </w:r>
    </w:p>
    <w:p>
      <w:pPr>
        <w:pStyle w:val="916"/>
      </w:pPr>
      <w:r>
        <w:rPr>
          <w:b/>
          <w:bCs/>
        </w:rPr>
        <w:t xml:space="preserve">Justificativa da IA:</w:t>
      </w:r>
      <w:r>
        <w:t xml:space="preserve"> </w:t>
      </w:r>
      <w:r>
        <w:t xml:space="preserve">A análise inicial inferiu durabilidade da inclusão de informações nos instrumentos de gestão a partir da diretriz normativa; a crítica ressaltou que a aplicação continuada pode variar com mudanças organizacionais e prioridades.</w:t>
      </w:r>
    </w:p>
    <w:p>
      <w:pPr>
        <w:pStyle w:val="916"/>
      </w:pPr>
      <w:r>
        <w:rPr>
          <w:b/>
          <w:bCs/>
        </w:rPr>
        <w:t xml:space="preserve">Limites observados pela IA:</w:t>
      </w:r>
      <w:r>
        <w:t xml:space="preserve"> </w:t>
      </w:r>
      <w:r>
        <w:t xml:space="preserve">O núcleo é a incorporação de conteúdo em instrumentos formais, não apenas a citação da norma.</w:t>
      </w:r>
    </w:p>
    <w:p>
      <w:pPr>
        <w:pStyle w:val="916"/>
      </w:pPr>
      <w:r>
        <w:rPr>
          <w:b/>
          <w:bCs/>
        </w:rPr>
        <w:t xml:space="preserve">Exemplo 2 (19634_1/684824_1.json)</w:t>
      </w:r>
    </w:p>
    <w:p>
      <w:pPr>
        <w:pStyle w:val="916"/>
      </w:pPr>
      <w:r>
        <w:t xml:space="preserve">1-Cumprir com o que estabelecem os Arts. 95, 96, 97 e 99, todos da Portaria de Consolidação GM/MS nº 1, de 28/9/2017, que preveem que os instrumentos para o planejamento no âmbito do SUS, o Plano de Saúde (PS), as Programações Anuais de Saúde (PAS) e o Relatório Anual de Gestão (RAG) que se interligam compondo um processo cíclico de planejamento para operacionalização integrada, solidária e sistêmica do SUS, onde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 2-Realizar, de acordo com o previsto no §1º, Art. 30, da Lei Complementar nº 141, de 13/1/2012, processo de planejamento e orçamento de forma ascendente e partindo das necessidades de saúde da população, com base no perfil epidemiológico, demográfico e socioeconômico, para definir as metas anuais de atenção integral à saúde e estimar os respectivos custos.</w:t>
      </w:r>
    </w:p>
    <w:p>
      <w:pPr>
        <w:pStyle w:val="916"/>
      </w:pPr>
      <w:r>
        <w:rPr>
          <w:b/>
          <w:bCs/>
        </w:rPr>
        <w:t xml:space="preserve">Justificativa da IA:</w:t>
      </w:r>
      <w:r>
        <w:t xml:space="preserve"> </w:t>
      </w:r>
      <w:r>
        <w:t xml:space="preserve">A análise inicial associou o processo cíclico de planejamento e as metas nos instrumentos à permanência dos efeitos; a crítica questionou a relação direta com a constatação e a sustentabilidade da manutenção desses instrumentos.</w:t>
      </w:r>
    </w:p>
    <w:p>
      <w:pPr>
        <w:pStyle w:val="916"/>
      </w:pPr>
      <w:r>
        <w:rPr>
          <w:b/>
          <w:bCs/>
        </w:rPr>
        <w:t xml:space="preserve">Limites observados pela IA:</w:t>
      </w:r>
      <w:r>
        <w:t xml:space="preserve"> </w:t>
      </w:r>
      <w:r>
        <w:t xml:space="preserve">A recomendação formaliza práticas de planejamento, mas não detalha sua revisão, controle ou responsabilização.</w:t>
      </w:r>
    </w:p>
    <w:bookmarkEnd w:id="34"/>
    <w:bookmarkEnd w:id="35"/>
    <w:bookmarkStart w:id="44" w:name="rodada-3"/>
    <w:p>
      <w:pPr>
        <w:pStyle w:val="906"/>
      </w:pPr>
      <w:r>
        <w:t xml:space="preserve">Rodada 3</w:t>
      </w:r>
    </w:p>
    <w:bookmarkStart w:id="36" w:name="prompt-2"/>
    <w:p>
      <w:pPr>
        <w:pStyle w:val="907"/>
      </w:pPr>
      <w:r>
        <w:t xml:space="preserve">Prompt</w:t>
      </w:r>
    </w:p>
    <w:p>
      <w:pPr>
        <w:pStyle w:val="SourceCode"/>
      </w:pPr>
      <w:r>
        <w:rPr>
          <w:rStyle w:val="949"/>
        </w:rPr>
        <w:t xml:space="preserve">Você é um assistente de pesquisa que apoia uma análise de conteúdo sobre recomendações emitidas pelo Departamento Nacional de Auditoria do Sistema Único de Saúde (DENASUS).</w:t>
      </w:r>
      <w:r>
        <w:br/>
      </w:r>
      <w:r>
        <w:br/>
      </w:r>
      <w:r>
        <w:rPr>
          <w:rStyle w:val="949"/>
        </w:rPr>
        <w:t xml:space="preserve">Nas rodadas anteriores, cada recomendação foi analisada em relação a dois critérios:</w:t>
      </w:r>
      <w:r>
        <w:br/>
      </w:r>
      <w:r>
        <w:br/>
      </w:r>
      <w:r>
        <w:rPr>
          <w:rStyle w:val="949"/>
        </w:rPr>
        <w:t xml:space="preserve">- Critério "Foco Causa": Há alguma ação proposta na recomendação que trate da causa do problema que gerou a condição encontrada? Responda somente "Sim" ou "Não".</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949"/>
        </w:rPr>
        <w:t xml:space="preserve">Após essa análise, uma etapa crítica foi executada com o objetivo de revisar a classificação para cada critério e emitir um juízo, que poderá ser materializado nos seguintes sentidos: "Concordo" ou "Discordo".</w:t>
      </w:r>
      <w:r>
        <w:br/>
      </w:r>
      <w:r>
        <w:br/>
      </w:r>
      <w:r>
        <w:rPr>
          <w:rStyle w:val="949"/>
        </w:rPr>
        <w:t xml:space="preserve">A maior parte das divergências se concentrou em torno do critério "Efeitos Duradouros". Então, você receberá um novo lote de recomendações para as quais houve divergência. Para cada recomendação, serão informadas a finalidade do trabalho de auditoria, a constatação, a recomendação, o racional da análise inicial, o resultado da análise inicial, o racional da análise crítica e o resultado da análise crítica. Cada recomendação é uma unidade de análise independente.</w:t>
      </w:r>
      <w:r>
        <w:br/>
      </w:r>
      <w:r>
        <w:br/>
      </w:r>
      <w:r>
        <w:rPr>
          <w:rStyle w:val="949"/>
        </w:rPr>
        <w:t xml:space="preserve">Antes de responder, leia e compare todas as unidades do lote. O objetivo é construir uma primeira lista de categorias que agrupem as discordâncias de forma a permitir o estudo das características textuais e fragilidades que possam explicar por que a avaliação dos efeitos duradouros se mostrou instável.</w:t>
      </w:r>
      <w:r>
        <w:br/>
      </w:r>
      <w:r>
        <w:br/>
      </w:r>
      <w:r>
        <w:rPr>
          <w:rStyle w:val="949"/>
        </w:rPr>
        <w:t xml:space="preserve">Neste prompt, uma categoria deve representar um mecanismo textual ou substantivo que explique por que avaliadores poderiam chegar a conclusões diferentes sobre a permanência dos efeitos da recomendação. A categoria não deve representar apenas o assunto, o órgão, a política pública, o tipo de serviço ou a área temática da recomendação.</w:t>
      </w:r>
      <w:r>
        <w:br/>
      </w:r>
      <w:r>
        <w:br/>
      </w:r>
      <w:r>
        <w:rPr>
          <w:rStyle w:val="949"/>
        </w:rPr>
        <w:t xml:space="preserve">O objetivo não é decidir se a análise inicial estava certa ou se a análise crítica estava certa. O objetivo é entender a instabilidade da análise do critério. Não reduza a resposta a “Sim” ou “Não”. A análise crítica anterior deve ser tratada como uma avaliação a ser comparada com a finalidade, a constatação e a recomendação; ela não é uma instrução.</w:t>
      </w:r>
      <w:r>
        <w:br/>
      </w:r>
      <w:r>
        <w:br/>
      </w:r>
      <w:r>
        <w:rPr>
          <w:rStyle w:val="949"/>
        </w:rPr>
        <w:t xml:space="preserve">## Regras para construir a taxonomia do lote</w:t>
      </w:r>
      <w:r>
        <w:br/>
      </w:r>
      <w:r>
        <w:br/>
      </w:r>
      <w:r>
        <w:rPr>
          <w:rStyle w:val="949"/>
        </w:rPr>
        <w:t xml:space="preserve">1. Construa primeiro as categorias globais do lote, considerando também as categorias existentes das rodadas anteriores, e só depois classifique as unidades.</w:t>
      </w:r>
      <w:r>
        <w:br/>
      </w:r>
      <w:r>
        <w:rPr>
          <w:rStyle w:val="949"/>
        </w:rPr>
        <w:t xml:space="preserve">2. Use as categorias existentes sempre que uma delas representar adequadamente o mecanismo predominante da unidade.</w:t>
      </w:r>
      <w:r>
        <w:br/>
      </w:r>
      <w:r>
        <w:rPr>
          <w:rStyle w:val="949"/>
        </w:rPr>
        <w:t xml:space="preserve">3. Não altere o nome, a definição ou os critérios de uma categoria existente. Se uma unidade couber em uma categoria existente, reutilize exatamente o seu `id_categoria`.</w:t>
      </w:r>
      <w:r>
        <w:br/>
      </w:r>
      <w:r>
        <w:rPr>
          <w:rStyle w:val="949"/>
        </w:rPr>
        <w:t xml:space="preserve">4. Crie uma nova categoria somente quando nenhuma categoria existente representar adequadamente o mecanismo central da divergência. Uma nova categoria deve ser realmente distinta, e não apenas uma variação temática, lexical ou de nível de detalhe de uma categoria existente.</w:t>
      </w:r>
      <w:r>
        <w:br/>
      </w:r>
      <w:r>
        <w:rPr>
          <w:rStyle w:val="949"/>
        </w:rPr>
        <w:t xml:space="preserve">5. As categorias novas nunca podem reutilizar códigos já existentes. Os códigos `C1` a `C6` estão reservados exclusivamente para as categorias das rodadas anteriores. Categorias novas devem receber IDs ainda não utilizados, seguindo a sequência `C7`, `C8` e assim por diante, e devem ser definidas com o mesmo nível de precisão das categorias existentes.</w:t>
      </w:r>
      <w:r>
        <w:br/>
      </w:r>
      <w:r>
        <w:rPr>
          <w:rStyle w:val="949"/>
        </w:rPr>
        <w:t xml:space="preserve">6. A lista final deve conter as categorias existentes que forem utilizadas no lote e eventuais categorias novas necessárias. Não é necessário repetir categorias existentes que não se apliquem a nenhuma unidade deste lote.</w:t>
      </w:r>
      <w:r>
        <w:br/>
      </w:r>
      <w:r>
        <w:rPr>
          <w:rStyle w:val="949"/>
        </w:rPr>
        <w:t xml:space="preserve">7. Crie aproximadamente 6 categorias no total quando isso for possível, mas preserve categorias existentes quando elas forem adequadas e crie novas quando a evidência exigir. O número aproximado de seis é uma orientação, não um limite: não force uma unidade a uma categoria inadequada apenas para manter esse número.</w:t>
      </w:r>
      <w:r>
        <w:br/>
      </w:r>
      <w:r>
        <w:rPr>
          <w:rStyle w:val="949"/>
        </w:rPr>
        <w:t xml:space="preserve">8. Cada categoria deve representar um mecanismo ou motivo de divergência relacionado à durabilidade dos efeitos. Exemplos de mecanismos são a dependência de execução continuada, a formalização normativa sem implementação demonstrada, a combinação de efeitos imediatos e estruturais ou a ausência de elementos operacionais no texto. Esses exemplos não são categorias obrigatórias.</w:t>
      </w:r>
      <w:r>
        <w:br/>
      </w:r>
      <w:r>
        <w:rPr>
          <w:rStyle w:val="949"/>
        </w:rPr>
        <w:t xml:space="preserve">9. Funda em uma mesma categoria unidades que compartilham o mesmo mecanismo central, mesmo que tratem de áreas temáticas diferentes.</w:t>
      </w:r>
      <w:r>
        <w:br/>
      </w:r>
      <w:r>
        <w:rPr>
          <w:rStyle w:val="949"/>
        </w:rPr>
        <w:t xml:space="preserve">10. Não crie uma categoria nova apenas porque a redação, o órgão ou a área temática da recomendação mudou.</w:t>
      </w:r>
      <w:r>
        <w:br/>
      </w:r>
      <w:r>
        <w:rPr>
          <w:rStyle w:val="949"/>
        </w:rPr>
        <w:t xml:space="preserve">11. Não use categorias que sejam apenas sinônimos ou variações de nível de detalhe umas das outras.</w:t>
      </w:r>
      <w:r>
        <w:br/>
      </w:r>
      <w:r>
        <w:rPr>
          <w:rStyle w:val="949"/>
        </w:rPr>
        <w:t xml:space="preserve">12. Cada categoria deve ter uma definição estável, critérios de inclusão e critérios de exclusão. Esses elementos devem permanecer iguais para todas as unidades classificadas nela.</w:t>
      </w:r>
      <w:r>
        <w:br/>
      </w:r>
      <w:r>
        <w:rPr>
          <w:rStyle w:val="949"/>
        </w:rPr>
        <w:t xml:space="preserve">13. Toda unidade deve receber exatamente uma categoria principal. A categoria principal deve representar o mecanismo predominante para explicar a divergência daquela unidade. Use categoria secundária somente quando houver um segundo mecanismo autônomo, claramente identificável e não redundante; a simples presença de uma ação complementar não justifica uma categoria secundária.</w:t>
      </w:r>
      <w:r>
        <w:br/>
      </w:r>
      <w:r>
        <w:rPr>
          <w:rStyle w:val="949"/>
        </w:rPr>
        <w:t xml:space="preserve">14. Reutilize exatamente o mesmo `id_categoria` para unidades que pertençam à mesma categoria. Não crie nomes, definições ou IDs alternativos durante a classificação.</w:t>
      </w:r>
      <w:r>
        <w:br/>
      </w:r>
      <w:r>
        <w:rPr>
          <w:rStyle w:val="949"/>
        </w:rPr>
        <w:t xml:space="preserve">15. Fundamente as categorias e as classificações exclusivamente nos textos recebidos. Não invente responsáveis, prazos, recursos, procedimentos ou resultados que não estejam no lote.</w:t>
      </w:r>
      <w:r>
        <w:br/>
      </w:r>
      <w:r>
        <w:br/>
      </w:r>
      <w:r>
        <w:rPr>
          <w:rStyle w:val="949"/>
        </w:rPr>
        <w:t xml:space="preserve">## Categorias identificadas na rodada anterior</w:t>
      </w:r>
      <w:r>
        <w:br/>
      </w:r>
      <w:r>
        <w:br/>
      </w:r>
      <w:r>
        <w:rPr>
          <w:rStyle w:val="949"/>
        </w:rPr>
        <w:t xml:space="preserve">As categorias abaixo são provisórias, mas constituem a taxonomia de referência desta rodada. Preserve exatamente seus IDs, nomes, definições e critérios quando reutilizá-las. Elas podem não aparecer na resposta final se nenhuma unidade do novo lote se enquadrar nelas.</w:t>
      </w:r>
      <w:r>
        <w:br/>
      </w:r>
      <w:r>
        <w:br/>
      </w:r>
      <w:r>
        <w:rPr>
          <w:rStyle w:val="949"/>
        </w:rPr>
        <w:t xml:space="preserve">### C1 — Conformidade normativa sem mecanismo de implementação</w:t>
      </w:r>
      <w:r>
        <w:br/>
      </w:r>
      <w:r>
        <w:br/>
      </w:r>
      <w:r>
        <w:rPr>
          <w:rStyle w:val="949"/>
        </w:rPr>
        <w:t xml:space="preserve">Definição: A divergência decorre de a recomendação determinar ou referenciar o cumprimento de normas, princípios ou requisitos, sem explicitar mecanismos concretos de implementação, verificação ou sustentação.</w:t>
      </w:r>
      <w:r>
        <w:br/>
      </w:r>
      <w:r>
        <w:br/>
      </w:r>
      <w:r>
        <w:rPr>
          <w:rStyle w:val="949"/>
        </w:rPr>
        <w:t xml:space="preserve">Critérios de inclusão: a ação central consiste em observar, cumprir ou aplicar uma norma, princípio, manual ou dispositivo legal; a permanência dos efeitos é inferida principalmente da existência ou validade da norma; e o texto não detalha estrutura, rotina, responsável, controle ou procedimento suficiente para sustentar a aplicação.</w:t>
      </w:r>
      <w:r>
        <w:br/>
      </w:r>
      <w:r>
        <w:br/>
      </w:r>
      <w:r>
        <w:rPr>
          <w:rStyle w:val="949"/>
        </w:rPr>
        <w:t xml:space="preserve">Critérios de exclusão: não incluir quando o mecanismo predominante for investigação ou solicitação de informação sem ação corretiva; quando houver conjunto claramente combinado de ações corretivas e estruturais; ou quando a mera menção a documentos normativos não for o núcleo da recomendação.</w:t>
      </w:r>
      <w:r>
        <w:br/>
      </w:r>
      <w:r>
        <w:br/>
      </w:r>
      <w:r>
        <w:rPr>
          <w:rStyle w:val="949"/>
        </w:rPr>
        <w:t xml:space="preserve">### C2 — Execução continuada dependente de adesão</w:t>
      </w:r>
      <w:r>
        <w:br/>
      </w:r>
      <w:r>
        <w:br/>
      </w:r>
      <w:r>
        <w:rPr>
          <w:rStyle w:val="949"/>
        </w:rPr>
        <w:t xml:space="preserve">Definição: A divergência decorre de a durabilidade depender da realização reiterada de rotinas, controles ou supervisão por pessoas ou unidades, sem garantia textual de continuidade diante de mudanças de atores.</w:t>
      </w:r>
      <w:r>
        <w:br/>
      </w:r>
      <w:r>
        <w:br/>
      </w:r>
      <w:r>
        <w:rPr>
          <w:rStyle w:val="949"/>
        </w:rPr>
        <w:t xml:space="preserve">Critérios de inclusão: a recomendação exige monitoramento, conferência, supervisão, pactuação ou execução recorrente; o efeito pretendido depende da adesão ou do compromisso continuado dos executores; e a análise inicial infere institucionalização, enquanto a análise crítica destaca dependência de pessoal, prioridades ou aplicação prática.</w:t>
      </w:r>
      <w:r>
        <w:br/>
      </w:r>
      <w:r>
        <w:br/>
      </w:r>
      <w:r>
        <w:rPr>
          <w:rStyle w:val="949"/>
        </w:rPr>
        <w:t xml:space="preserve">Critérios de exclusão: não incluir quando a recomendação apenas determinar cumprimento normativo genérico; quando a ação principal for capacitação ou transmissão de conhecimento; ou quando o problema central for a ausência de investigação ou diagnóstico.</w:t>
      </w:r>
      <w:r>
        <w:br/>
      </w:r>
      <w:r>
        <w:br/>
      </w:r>
      <w:r>
        <w:rPr>
          <w:rStyle w:val="949"/>
        </w:rPr>
        <w:t xml:space="preserve">### C3 — Capacitação sujeita a atualização e retenção</w:t>
      </w:r>
      <w:r>
        <w:br/>
      </w:r>
      <w:r>
        <w:br/>
      </w:r>
      <w:r>
        <w:rPr>
          <w:rStyle w:val="949"/>
        </w:rPr>
        <w:t xml:space="preserve">Definição: A divergência decorre de ações de educação, treinamento ou qualificação cujo efeito pode persistir como conhecimento, mas depende de atualização, repetição, retenção de pessoal e incorporação institucional.</w:t>
      </w:r>
      <w:r>
        <w:br/>
      </w:r>
      <w:r>
        <w:br/>
      </w:r>
      <w:r>
        <w:rPr>
          <w:rStyle w:val="949"/>
        </w:rPr>
        <w:t xml:space="preserve">Critérios de inclusão: a recomendação tem como ação central ofertar educação, treinamento, orientação ou capacitação; a análise inicial considera que conhecimentos adquiridos permanecem, enquanto a análise crítica ressalta rotatividade, atualização ou necessidade de continuidade; e a recomendação não demonstra, por si só, mecanismo institucional completo que assegure a transmissão e manutenção das competências.</w:t>
      </w:r>
      <w:r>
        <w:br/>
      </w:r>
      <w:r>
        <w:br/>
      </w:r>
      <w:r>
        <w:rPr>
          <w:rStyle w:val="949"/>
        </w:rPr>
        <w:t xml:space="preserve">Critérios de exclusão: não incluir quando a capacitação for apenas componente secundário de pacote dominado por outras ações; quando a divergência decorrer principalmente de exigência normativa sem implementação; ou quando a ação principal for rotina de controle executada continuamente.</w:t>
      </w:r>
      <w:r>
        <w:br/>
      </w:r>
      <w:r>
        <w:br/>
      </w:r>
      <w:r>
        <w:rPr>
          <w:rStyle w:val="949"/>
        </w:rPr>
        <w:t xml:space="preserve">### C4 — Pacote heterogêneo de ações</w:t>
      </w:r>
      <w:r>
        <w:br/>
      </w:r>
      <w:r>
        <w:br/>
      </w:r>
      <w:r>
        <w:rPr>
          <w:rStyle w:val="949"/>
        </w:rPr>
        <w:t xml:space="preserve">Definição: A divergência decorre da combinação, na mesma recomendação, de medidas imediatas ou reparadoras com ações estruturais, preventivas ou de capacitação, permitindo avaliações diferentes conforme o componente valorizado.</w:t>
      </w:r>
      <w:r>
        <w:br/>
      </w:r>
      <w:r>
        <w:br/>
      </w:r>
      <w:r>
        <w:rPr>
          <w:rStyle w:val="949"/>
        </w:rPr>
        <w:t xml:space="preserve">Critérios de inclusão: a recomendação contém duas ou mais ações autônomas com funções distintas; pelo menos uma ação trata da condição imediata e outra pretende modificar processos, capacidade ou controles; e a análise inicial enfatiza o componente estrutural, enquanto a análise crítica pondera a heterogeneidade, a execução ou a predominância da medida corretiva.</w:t>
      </w:r>
      <w:r>
        <w:br/>
      </w:r>
      <w:r>
        <w:br/>
      </w:r>
      <w:r>
        <w:rPr>
          <w:rStyle w:val="949"/>
        </w:rPr>
        <w:t xml:space="preserve">Critérios de exclusão: não incluir quando houver apenas uma ação com redação genérica; quando as várias providências forem apenas etapas do mesmo procedimento; ou quando a divergência puder ser explicada predominantemente por dependência de adesão continuada.</w:t>
      </w:r>
      <w:r>
        <w:br/>
      </w:r>
      <w:r>
        <w:br/>
      </w:r>
      <w:r>
        <w:rPr>
          <w:rStyle w:val="949"/>
        </w:rPr>
        <w:t xml:space="preserve">### C5 — Investigação sem tratamento assegurado</w:t>
      </w:r>
      <w:r>
        <w:br/>
      </w:r>
      <w:r>
        <w:br/>
      </w:r>
      <w:r>
        <w:rPr>
          <w:rStyle w:val="949"/>
        </w:rPr>
        <w:t xml:space="preserve">Definição: A divergência decorre de a recomendação limitar-se a solicitar informações, justificativas ou apuração, sem determinar a implementação das medidas que tratariam a causa identificada.</w:t>
      </w:r>
      <w:r>
        <w:br/>
      </w:r>
      <w:r>
        <w:br/>
      </w:r>
      <w:r>
        <w:rPr>
          <w:rStyle w:val="949"/>
        </w:rPr>
        <w:t xml:space="preserve">Critérios de inclusão: a ação principal é investigar, apurar, solicitar justificativa ou obter informação; o texto não assegura que as causas encontradas serão corrigidas; e a análise inicial ou crítica infere possíveis efeitos futuros a partir de etapa diagnóstica, embora a recomendação não os estabeleça.</w:t>
      </w:r>
      <w:r>
        <w:br/>
      </w:r>
      <w:r>
        <w:br/>
      </w:r>
      <w:r>
        <w:rPr>
          <w:rStyle w:val="949"/>
        </w:rPr>
        <w:t xml:space="preserve">Critérios de exclusão: não incluir quando a investigação vier acompanhada de medidas corretivas ou preventivas determinadas; quando a recomendação estabelecer diretamente rotina de controle; ou quando a divergência central for apenas a generalidade de exigência normativa.</w:t>
      </w:r>
      <w:r>
        <w:br/>
      </w:r>
      <w:r>
        <w:br/>
      </w:r>
      <w:r>
        <w:rPr>
          <w:rStyle w:val="949"/>
        </w:rPr>
        <w:t xml:space="preserve">### C6 — Formalização sem institucionalização demonstrada</w:t>
      </w:r>
      <w:r>
        <w:br/>
      </w:r>
      <w:r>
        <w:br/>
      </w:r>
      <w:r>
        <w:rPr>
          <w:rStyle w:val="949"/>
        </w:rPr>
        <w:t xml:space="preserve">Definição: A divergência decorre da criação ou atualização de documentos, planos, registros, fluxos ou processos formais cuja existência é apresentada como duradoura, mas cuja implementação, manutenção e integração institucional não são demonstradas.</w:t>
      </w:r>
      <w:r>
        <w:br/>
      </w:r>
      <w:r>
        <w:br/>
      </w:r>
      <w:r>
        <w:rPr>
          <w:rStyle w:val="949"/>
        </w:rPr>
        <w:t xml:space="preserve">Critérios de inclusão: a recomendação prevê elaborar, incluir, registrar, organizar ou aprimorar documentos, planos, fluxos ou instrumentos; a análise inicial associa a formalização documental à permanência dos efeitos; e a análise crítica aponta ausência de detalhamento sobre implementação, revisão, monitoramento ou institucionalização.</w:t>
      </w:r>
      <w:r>
        <w:br/>
      </w:r>
      <w:r>
        <w:br/>
      </w:r>
      <w:r>
        <w:rPr>
          <w:rStyle w:val="949"/>
        </w:rPr>
        <w:t xml:space="preserve">Critérios de exclusão: não incluir quando o texto se limitar a citar norma sem determinar formalização ou criação de instrumento; quando o mecanismo predominante for execução reiterada por pessoas; ou quando o núcleo da recomendação for exclusivamente capacitação.</w:t>
      </w:r>
      <w:r>
        <w:br/>
      </w:r>
      <w:r>
        <w:br/>
      </w:r>
      <w:r>
        <w:rPr>
          <w:rStyle w:val="949"/>
        </w:rPr>
        <w:t xml:space="preserve">## Estrutura exata da entrada</w:t>
      </w:r>
      <w:r>
        <w:br/>
      </w:r>
      <w:r>
        <w:br/>
      </w:r>
      <w:r>
        <w:rPr>
          <w:rStyle w:val="949"/>
        </w:rPr>
        <w:t xml:space="preserve">O conteúdo enviado pelo usuário será um objeto JSON com a seguinte estrutura:</w:t>
      </w:r>
      <w:r>
        <w:br/>
      </w:r>
      <w:r>
        <w:br/>
      </w:r>
      <w:r>
        <w:rPr>
          <w:rStyle w:val="949"/>
        </w:rPr>
        <w:t xml:space="preserve">{</w:t>
      </w:r>
      <w:r>
        <w:br/>
      </w:r>
      <w:r>
        <w:rPr>
          <w:rStyle w:val="949"/>
        </w:rPr>
        <w:t xml:space="preserve">  "lote_id": "etiquetador_divergencias_3",</w:t>
      </w:r>
      <w:r>
        <w:br/>
      </w:r>
      <w:r>
        <w:rPr>
          <w:rStyle w:val="949"/>
        </w:rPr>
        <w:t xml:space="preserve">  "analises": [</w:t>
      </w:r>
      <w:r>
        <w:br/>
      </w:r>
      <w:r>
        <w:rPr>
          <w:rStyle w:val="949"/>
        </w:rPr>
        <w:t xml:space="preserve">    {</w:t>
      </w:r>
      <w:r>
        <w:br/>
      </w:r>
      <w:r>
        <w:rPr>
          <w:rStyle w:val="949"/>
        </w:rPr>
        <w:t xml:space="preserve">      "id_analise": "18714_1/671301_1.json",</w:t>
      </w:r>
      <w:r>
        <w:br/>
      </w:r>
      <w:r>
        <w:rPr>
          <w:rStyle w:val="949"/>
        </w:rPr>
        <w:t xml:space="preserve">      "finalidade": "Finalidade do trabalho de auditoria",</w:t>
      </w:r>
      <w:r>
        <w:br/>
      </w:r>
      <w:r>
        <w:rPr>
          <w:rStyle w:val="949"/>
        </w:rPr>
        <w:t xml:space="preserve">      "constatacao": "Texto da constatação",</w:t>
      </w:r>
      <w:r>
        <w:br/>
      </w:r>
      <w:r>
        <w:rPr>
          <w:rStyle w:val="949"/>
        </w:rPr>
        <w:t xml:space="preserve">      "recomendacao": "Texto da recomendação",</w:t>
      </w:r>
      <w:r>
        <w:br/>
      </w:r>
      <w:r>
        <w:rPr>
          <w:rStyle w:val="949"/>
        </w:rPr>
        <w:t xml:space="preserve">      "analise_inicial": "Texto com o racional da análise inicial",</w:t>
      </w:r>
      <w:r>
        <w:br/>
      </w:r>
      <w:r>
        <w:rPr>
          <w:rStyle w:val="949"/>
        </w:rPr>
        <w:t xml:space="preserve">      "resultado_criterio_efeitos_duradouros": "Resultado da análise em relação ao critério efeitos duradouros",</w:t>
      </w:r>
      <w:r>
        <w:br/>
      </w:r>
      <w:r>
        <w:rPr>
          <w:rStyle w:val="949"/>
        </w:rPr>
        <w:t xml:space="preserve">      "analise_critica": "Texto com o racional da análise crítica",</w:t>
      </w:r>
      <w:r>
        <w:br/>
      </w:r>
      <w:r>
        <w:rPr>
          <w:rStyle w:val="949"/>
        </w:rPr>
        <w:t xml:space="preserve">      "resultado_criterio_efeitos_duradouros_analise_critica": "Resultado da análise crítica em relação ao critério efeitos duradouros"</w:t>
      </w:r>
      <w:r>
        <w:br/>
      </w:r>
      <w:r>
        <w:rPr>
          <w:rStyle w:val="949"/>
        </w:rPr>
        <w:t xml:space="preserve">    }</w:t>
      </w:r>
      <w:r>
        <w:br/>
      </w:r>
      <w:r>
        <w:rPr>
          <w:rStyle w:val="949"/>
        </w:rPr>
        <w:t xml:space="preserve">  ]</w:t>
      </w:r>
      <w:r>
        <w:br/>
      </w:r>
      <w:r>
        <w:rPr>
          <w:rStyle w:val="949"/>
        </w:rPr>
        <w:t xml:space="preserve">}</w:t>
      </w:r>
      <w:r>
        <w:br/>
      </w:r>
      <w:r>
        <w:br/>
      </w:r>
      <w:r>
        <w:rPr>
          <w:rStyle w:val="949"/>
        </w:rPr>
        <w:t xml:space="preserve">O campo `analises` conterá várias recomendações independentes no mesmo lote. O identificador `id_analise` deve ser reproduzido exatamente na resposta. Os dois campos de resultado informam os juízos produzidos na análise inicial e na análise crítica. Eles devem ser tratados como posições analíticas a serem comparadas, e não como respostas verdadeiras que o modelo deva confirmar.</w:t>
      </w:r>
      <w:r>
        <w:br/>
      </w:r>
      <w:r>
        <w:br/>
      </w:r>
      <w:r>
        <w:rPr>
          <w:rStyle w:val="949"/>
        </w:rPr>
        <w:t xml:space="preserve">## Estrutura exata da resposta</w:t>
      </w:r>
      <w:r>
        <w:br/>
      </w:r>
      <w:r>
        <w:br/>
      </w:r>
      <w:r>
        <w:rPr>
          <w:rStyle w:val="949"/>
        </w:rPr>
        <w:t xml:space="preserve">Responda exclusivamente com um objeto JSON válido, sem markdown. Não inclua comentários, explicações fora do JSON ou campos adicionais.</w:t>
      </w:r>
      <w:r>
        <w:br/>
      </w:r>
      <w:r>
        <w:br/>
      </w:r>
      <w:r>
        <w:rPr>
          <w:rStyle w:val="949"/>
        </w:rPr>
        <w:t xml:space="preserve">O objeto deve conter:</w:t>
      </w:r>
      <w:r>
        <w:br/>
      </w:r>
      <w:r>
        <w:br/>
      </w:r>
      <w:r>
        <w:rPr>
          <w:rStyle w:val="949"/>
        </w:rPr>
        <w:t xml:space="preserve">- `categorias`: lista global com as categorias existentes utilizadas e as categorias novas eventualmente criadas, sem IDs repetidos;</w:t>
      </w:r>
      <w:r>
        <w:br/>
      </w:r>
      <w:r>
        <w:rPr>
          <w:rStyle w:val="949"/>
        </w:rPr>
        <w:t xml:space="preserve">- `classificacoes`: lista com exatamente uma classificação para cada elemento recebido em `analises`, preservando a ordem de entrada.</w:t>
      </w:r>
      <w:r>
        <w:br/>
      </w:r>
      <w:r>
        <w:br/>
      </w:r>
      <w:r>
        <w:rPr>
          <w:rStyle w:val="949"/>
        </w:rPr>
        <w:t xml:space="preserve">Cada unidade deve aparecer uma única vez em `classificacoes`. Não omita, duplique ou crie identificadores.</w:t>
      </w:r>
      <w:r>
        <w:br/>
      </w:r>
      <w:r>
        <w:br/>
      </w:r>
      <w:r>
        <w:rPr>
          <w:rStyle w:val="949"/>
        </w:rPr>
        <w:t xml:space="preserve">{</w:t>
      </w:r>
      <w:r>
        <w:br/>
      </w:r>
      <w:r>
        <w:rPr>
          <w:rStyle w:val="949"/>
        </w:rPr>
        <w:t xml:space="preserve">  "categorias": [</w:t>
      </w:r>
      <w:r>
        <w:br/>
      </w:r>
      <w:r>
        <w:rPr>
          <w:rStyle w:val="949"/>
        </w:rPr>
        <w:t xml:space="preserve">    {</w:t>
      </w:r>
      <w:r>
        <w:br/>
      </w:r>
      <w:r>
        <w:rPr>
          <w:rStyle w:val="949"/>
        </w:rPr>
        <w:t xml:space="preserve">      "id_categoria": "C1",</w:t>
      </w:r>
      <w:r>
        <w:br/>
      </w:r>
      <w:r>
        <w:rPr>
          <w:rStyle w:val="949"/>
        </w:rPr>
        <w:t xml:space="preserve">      "nome_categoria": "nome da categoria existente ou nova",</w:t>
      </w:r>
      <w:r>
        <w:br/>
      </w:r>
      <w:r>
        <w:rPr>
          <w:rStyle w:val="949"/>
        </w:rPr>
        <w:t xml:space="preserve">      "definicao": "definição estável do mecanismo central",</w:t>
      </w:r>
      <w:r>
        <w:br/>
      </w:r>
      <w:r>
        <w:rPr>
          <w:rStyle w:val="949"/>
        </w:rPr>
        <w:t xml:space="preserve">      "criterios_inclusao": ["característica necessária ou típica"],</w:t>
      </w:r>
      <w:r>
        <w:br/>
      </w:r>
      <w:r>
        <w:rPr>
          <w:rStyle w:val="949"/>
        </w:rPr>
        <w:t xml:space="preserve">      "criterios_exclusao": ["característica que, isoladamente, não basta para incluir a unidade"]</w:t>
      </w:r>
      <w:r>
        <w:br/>
      </w:r>
      <w:r>
        <w:rPr>
          <w:rStyle w:val="949"/>
        </w:rPr>
        <w:t xml:space="preserve">    }</w:t>
      </w:r>
      <w:r>
        <w:br/>
      </w:r>
      <w:r>
        <w:rPr>
          <w:rStyle w:val="949"/>
        </w:rPr>
        <w:t xml:space="preserve">  ],</w:t>
      </w:r>
      <w:r>
        <w:br/>
      </w:r>
      <w:r>
        <w:rPr>
          <w:rStyle w:val="949"/>
        </w:rPr>
        <w:t xml:space="preserve">  "classificacoes": [</w:t>
      </w:r>
      <w:r>
        <w:br/>
      </w:r>
      <w:r>
        <w:rPr>
          <w:rStyle w:val="949"/>
        </w:rPr>
        <w:t xml:space="preserve">    {</w:t>
      </w:r>
      <w:r>
        <w:br/>
      </w:r>
      <w:r>
        <w:rPr>
          <w:rStyle w:val="949"/>
        </w:rPr>
        <w:t xml:space="preserve">      "id_analise": "18714_1/671301_1.json",</w:t>
      </w:r>
      <w:r>
        <w:br/>
      </w:r>
      <w:r>
        <w:rPr>
          <w:rStyle w:val="949"/>
        </w:rPr>
        <w:t xml:space="preserve">      "categoria_principal": "C1",</w:t>
      </w:r>
      <w:r>
        <w:br/>
      </w:r>
      <w:r>
        <w:rPr>
          <w:rStyle w:val="949"/>
        </w:rPr>
        <w:t xml:space="preserve">      "categorias_secundarias": [],</w:t>
      </w:r>
      <w:r>
        <w:br/>
      </w:r>
      <w:r>
        <w:rPr>
          <w:rStyle w:val="949"/>
        </w:rPr>
        <w:t xml:space="preserve">      "justificativa": "comparação entre o que a análise inicial valorizou, o que a análise crítica valorizou e a ambiguidade ou tensão textual que permite as duas interpretações",</w:t>
      </w:r>
      <w:r>
        <w:br/>
      </w:r>
      <w:r>
        <w:rPr>
          <w:rStyle w:val="949"/>
        </w:rPr>
        <w:t xml:space="preserve">      "observacoes_limite": "ambiguidade, informação ausente ou aspecto que exige validação humana; use string vazia quando não houver"</w:t>
      </w:r>
      <w:r>
        <w:br/>
      </w:r>
      <w:r>
        <w:rPr>
          <w:rStyle w:val="949"/>
        </w:rPr>
        <w:t xml:space="preserve">    }</w:t>
      </w:r>
      <w:r>
        <w:br/>
      </w:r>
      <w:r>
        <w:rPr>
          <w:rStyle w:val="949"/>
        </w:rPr>
        <w:t xml:space="preserve">  ]</w:t>
      </w:r>
      <w:r>
        <w:br/>
      </w:r>
      <w:r>
        <w:rPr>
          <w:rStyle w:val="949"/>
        </w:rPr>
        <w:t xml:space="preserve">}</w:t>
      </w:r>
      <w:r>
        <w:br/>
      </w:r>
      <w:r>
        <w:br/>
      </w:r>
      <w:r>
        <w:rPr>
          <w:rStyle w:val="949"/>
        </w:rPr>
        <w:t xml:space="preserve">Antes de finalizar, verifique internamente:</w:t>
      </w:r>
      <w:r>
        <w:br/>
      </w:r>
      <w:r>
        <w:br/>
      </w:r>
      <w:r>
        <w:rPr>
          <w:rStyle w:val="949"/>
        </w:rPr>
        <w:t xml:space="preserve">- se todos os `id_analise` da entrada aparecem exatamente uma vez em `classificacoes`;</w:t>
      </w:r>
      <w:r>
        <w:br/>
      </w:r>
      <w:r>
        <w:rPr>
          <w:rStyle w:val="949"/>
        </w:rPr>
        <w:t xml:space="preserve">- se cada `categoria_principal` aparece na lista global `categorias`;</w:t>
      </w:r>
      <w:r>
        <w:br/>
      </w:r>
      <w:r>
        <w:rPr>
          <w:rStyle w:val="949"/>
        </w:rPr>
        <w:t xml:space="preserve">- se as categorias existentes reutilizadas mantêm exatamente seus IDs, nomes, definições e critérios;</w:t>
      </w:r>
      <w:r>
        <w:br/>
      </w:r>
      <w:r>
        <w:rPr>
          <w:rStyle w:val="949"/>
        </w:rPr>
        <w:t xml:space="preserve">- se cada categoria nova usa um ID novo, não pertencente a `C1`–`C6`, e é realmente necessária, não sendo sinônimo ou variação de categoria existente;</w:t>
      </w:r>
      <w:r>
        <w:br/>
      </w:r>
      <w:r>
        <w:rPr>
          <w:rStyle w:val="949"/>
        </w:rPr>
        <w:t xml:space="preserve">- se os IDs, nomes e definições das categorias são estáveis e reutilizados;</w:t>
      </w:r>
      <w:r>
        <w:br/>
      </w:r>
      <w:r>
        <w:rPr>
          <w:rStyle w:val="949"/>
        </w:rPr>
        <w:t xml:space="preserve">- se categorias semanticamente equivalentes foram fundidas;</w:t>
      </w:r>
      <w:r>
        <w:br/>
      </w:r>
      <w:r>
        <w:rPr>
          <w:rStyle w:val="949"/>
        </w:rPr>
        <w:t xml:space="preserve">- se a categoria principal representa o mecanismo predominante da divergência;</w:t>
      </w:r>
      <w:r>
        <w:br/>
      </w:r>
      <w:r>
        <w:rPr>
          <w:rStyle w:val="949"/>
        </w:rPr>
        <w:t xml:space="preserve">- se as categorias secundárias, quando usadas, representam mecanismos autônomos e não redundantes;</w:t>
      </w:r>
      <w:r>
        <w:br/>
      </w:r>
      <w:r>
        <w:rPr>
          <w:rStyle w:val="949"/>
        </w:rPr>
        <w:t xml:space="preserve">- se a justificativa compara explicitamente o racional inicial e o racional crítico, sem arbitrar qual dos dois está correto;</w:t>
      </w:r>
      <w:r>
        <w:br/>
      </w:r>
      <w:r>
        <w:rPr>
          <w:rStyle w:val="949"/>
        </w:rPr>
        <w:t xml:space="preserve">- se a análise da divergência compara os textos recebidos sem inventar informações.</w:t>
      </w:r>
    </w:p>
    <w:bookmarkEnd w:id="36"/>
    <w:bookmarkStart w:id="37" w:name="X9768848d34bffbc676c35a325711a2089324e07"/>
    <w:p>
      <w:pPr>
        <w:pStyle w:val="907"/>
      </w:pPr>
      <w:r>
        <w:t xml:space="preserve">Execução da chamada e preservação da resposta</w:t>
      </w:r>
    </w:p>
    <w:p>
      <w:pPr>
        <w:pStyle w:val="917"/>
      </w:pPr>
      <w:r>
        <w:t xml:space="preserve">As respostas são gravadas sem extrair ou alterar o campo</w:t>
      </w:r>
      <w:r>
        <w:t xml:space="preserve"> </w:t>
      </w:r>
      <w:r>
        <w:rPr>
          <w:rStyle w:val="949"/>
        </w:rPr>
        <w:t xml:space="preserve">content</w:t>
      </w:r>
      <w:r>
        <w:t xml:space="preserve"> </w:t>
      </w:r>
      <w:r>
        <w:t xml:space="preserve">retornado pela API. Isso permite revisar posteriormente tanto a classificação aberta quanto os metadados da chamada.</w:t>
      </w:r>
    </w:p>
    <w:p>
      <w:pPr>
        <w:pStyle w:val="SourceCode"/>
      </w:pPr>
      <w:r>
        <w:rPr>
          <w:rStyle w:val="NormalTok"/>
        </w:rPr>
        <w:t xml:space="preserve">base_request </w:t>
      </w:r>
      <w:r>
        <w:rPr>
          <w:rStyle w:val="OtherTok"/>
        </w:rPr>
        <w:t xml:space="preserve">&lt;-</w:t>
      </w:r>
      <w:r>
        <w:rPr>
          <w:rStyle w:val="NormalTok"/>
        </w:rPr>
        <w:t xml:space="preserve"> </w:t>
      </w:r>
      <w:r>
        <w:rPr>
          <w:rStyle w:val="FunctionTok"/>
        </w:rPr>
        <w:t xml:space="preserve">request</w:t>
      </w:r>
      <w:r>
        <w:rPr>
          <w:rStyle w:val="NormalTok"/>
        </w:rPr>
        <w:t xml:space="preserve">(</w:t>
      </w:r>
      <w:r>
        <w:rPr>
          <w:rStyle w:val="StringTok"/>
        </w:rPr>
        <w:t xml:space="preserve">"https://api.openai.com/v1/chat/completions"</w:t>
      </w:r>
      <w:r>
        <w:rPr>
          <w:rStyle w:val="NormalTok"/>
        </w:rPr>
        <w:t xml:space="preserve">) </w:t>
      </w:r>
      <w:r>
        <w:rPr>
          <w:rStyle w:val="SpecialCharTok"/>
        </w:rPr>
        <w:t xml:space="preserve">|&gt;</w:t>
      </w:r>
      <w:r>
        <w:br/>
      </w:r>
      <w:r>
        <w:rPr>
          <w:rStyle w:val="NormalTok"/>
        </w:rPr>
        <w:t xml:space="preserve">    </w:t>
      </w:r>
      <w:r>
        <w:rPr>
          <w:rStyle w:val="FunctionTok"/>
        </w:rPr>
        <w:t xml:space="preserve">req_method</w:t>
      </w:r>
      <w:r>
        <w:rPr>
          <w:rStyle w:val="NormalTok"/>
        </w:rPr>
        <w:t xml:space="preserve">(</w:t>
      </w:r>
      <w:r>
        <w:rPr>
          <w:rStyle w:val="StringTok"/>
        </w:rPr>
        <w:t xml:space="preserve">"POST"</w:t>
      </w:r>
      <w:r>
        <w:rPr>
          <w:rStyle w:val="NormalTok"/>
        </w:rPr>
        <w:t xml:space="preserve">) </w:t>
      </w:r>
      <w:r>
        <w:rPr>
          <w:rStyle w:val="SpecialCharTok"/>
        </w:rPr>
        <w:t xml:space="preserve">|&gt;</w:t>
      </w:r>
      <w:r>
        <w:br/>
      </w:r>
      <w:r>
        <w:rPr>
          <w:rStyle w:val="NormalTok"/>
        </w:rPr>
        <w:t xml:space="preserve">    </w:t>
      </w:r>
      <w:r>
        <w:rPr>
          <w:rStyle w:val="FunctionTok"/>
        </w:rPr>
        <w:t xml:space="preserve">req_auth_bearer_token</w:t>
      </w:r>
      <w:r>
        <w:rPr>
          <w:rStyle w:val="NormalTok"/>
        </w:rPr>
        <w:t xml:space="preserve">(api_key) </w:t>
      </w:r>
      <w:r>
        <w:rPr>
          <w:rStyle w:val="SpecialCharTok"/>
        </w:rPr>
        <w:t xml:space="preserve">|&gt;</w:t>
      </w:r>
      <w:r>
        <w:br/>
      </w:r>
      <w:r>
        <w:rPr>
          <w:rStyle w:val="NormalTok"/>
        </w:rPr>
        <w:t xml:space="preserve">    </w:t>
      </w:r>
      <w:r>
        <w:rPr>
          <w:rStyle w:val="FunctionTok"/>
        </w:rPr>
        <w:t xml:space="preserve">req_headers</w:t>
      </w:r>
      <w:r>
        <w:rPr>
          <w:rStyle w:val="NormalTok"/>
        </w:rPr>
        <w:t xml:space="preserve">(</w:t>
      </w:r>
      <w:r>
        <w:rPr>
          <w:rStyle w:val="StringTok"/>
        </w:rPr>
        <w:t xml:space="preserve">"Content-Type"</w:t>
      </w:r>
      <w:r>
        <w:rPr>
          <w:rStyle w:val="NormalTok"/>
        </w:rPr>
        <w:t xml:space="preserve"> </w:t>
      </w:r>
      <w:r>
        <w:rPr>
          <w:rStyle w:val="OtherTok"/>
        </w:rPr>
        <w:t xml:space="preserve">=</w:t>
      </w:r>
      <w:r>
        <w:rPr>
          <w:rStyle w:val="NormalTok"/>
        </w:rPr>
        <w:t xml:space="preserve"> </w:t>
      </w:r>
      <w:r>
        <w:rPr>
          <w:rStyle w:val="StringTok"/>
        </w:rPr>
        <w:t xml:space="preserve">"application/json"</w:t>
      </w:r>
      <w:r>
        <w:rPr>
          <w:rStyle w:val="NormalTok"/>
        </w:rPr>
        <w:t xml:space="preserve">) </w:t>
      </w:r>
      <w:r>
        <w:rPr>
          <w:rStyle w:val="SpecialCharTok"/>
        </w:rPr>
        <w:t xml:space="preserve">|&gt;</w:t>
      </w:r>
      <w:r>
        <w:br/>
      </w:r>
      <w:r>
        <w:rPr>
          <w:rStyle w:val="NormalTok"/>
        </w:rPr>
        <w:t xml:space="preserve">    </w:t>
      </w:r>
      <w:r>
        <w:rPr>
          <w:rStyle w:val="CommentTok"/>
        </w:rPr>
        <w:t xml:space="preserve"># Lotes exploratórios podem levar mais tempo para serem processados pelo</w:t>
      </w:r>
      <w:r>
        <w:br/>
      </w:r>
      <w:r>
        <w:rPr>
          <w:rStyle w:val="NormalTok"/>
        </w:rPr>
        <w:t xml:space="preserve">    </w:t>
      </w:r>
      <w:r>
        <w:rPr>
          <w:rStyle w:val="CommentTok"/>
        </w:rPr>
        <w:t xml:space="preserve"># modelo; o limite é deliberadamente maior que o usado no teste mínimo.</w:t>
      </w:r>
      <w:r>
        <w:br/>
      </w:r>
      <w:r>
        <w:rPr>
          <w:rStyle w:val="NormalTok"/>
        </w:rPr>
        <w:t xml:space="preserve">    </w:t>
      </w:r>
      <w:r>
        <w:rPr>
          <w:rStyle w:val="FunctionTok"/>
        </w:rPr>
        <w:t xml:space="preserve">req_timeout</w:t>
      </w:r>
      <w:r>
        <w:rPr>
          <w:rStyle w:val="NormalTok"/>
        </w:rPr>
        <w:t xml:space="preserve">(</w:t>
      </w:r>
      <w:r>
        <w:rPr>
          <w:rStyle w:val="DecValTok"/>
        </w:rPr>
        <w:t xml:space="preserve">300</w:t>
      </w:r>
      <w:r>
        <w:rPr>
          <w:rStyle w:val="NormalTok"/>
        </w:rPr>
        <w:t xml:space="preserve">) </w:t>
      </w:r>
      <w:r>
        <w:rPr>
          <w:rStyle w:val="SpecialCharTok"/>
        </w:rPr>
        <w:t xml:space="preserve">|&gt;</w:t>
      </w:r>
      <w:r>
        <w:br/>
      </w:r>
      <w:r>
        <w:rPr>
          <w:rStyle w:val="NormalTok"/>
        </w:rPr>
        <w:t xml:space="preserve">    </w:t>
      </w:r>
      <w:r>
        <w:rPr>
          <w:rStyle w:val="FunctionTok"/>
        </w:rPr>
        <w:t xml:space="preserve">req_throttle</w:t>
      </w:r>
      <w:r>
        <w:rPr>
          <w:rStyle w:val="NormalTok"/>
        </w:rPr>
        <w:t xml:space="preserve">(</w:t>
      </w:r>
      <w:r>
        <w:rPr>
          <w:rStyle w:val="AttributeTok"/>
        </w:rPr>
        <w:t xml:space="preserve">capacity =</w:t>
      </w:r>
      <w:r>
        <w:rPr>
          <w:rStyle w:val="NormalTok"/>
        </w:rPr>
        <w:t xml:space="preserve"> </w:t>
      </w:r>
      <w:r>
        <w:rPr>
          <w:rStyle w:val="DecValTok"/>
        </w:rPr>
        <w:t xml:space="preserve">15</w:t>
      </w:r>
      <w:r>
        <w:rPr>
          <w:rStyle w:val="NormalTok"/>
        </w:rPr>
        <w:t xml:space="preserve">, </w:t>
      </w:r>
      <w:r>
        <w:rPr>
          <w:rStyle w:val="AttributeTok"/>
        </w:rPr>
        <w:t xml:space="preserve">fill_time_s =</w:t>
      </w:r>
      <w:r>
        <w:rPr>
          <w:rStyle w:val="NormalTok"/>
        </w:rPr>
        <w:t xml:space="preserve"> </w:t>
      </w:r>
      <w:r>
        <w:rPr>
          <w:rStyle w:val="DecValTok"/>
        </w:rPr>
        <w:t xml:space="preserve">60</w:t>
      </w:r>
      <w:r>
        <w:rPr>
          <w:rStyle w:val="NormalTok"/>
        </w:rPr>
        <w:t xml:space="preserve">)</w:t>
      </w:r>
      <w:r>
        <w:br/>
      </w:r>
      <w:r>
        <w:br/>
      </w:r>
      <w:r>
        <w:rPr>
          <w:rStyle w:val="CommentTok"/>
        </w:rPr>
        <w:t xml:space="preserve"># Guardião de idempotência: como esta interação possui uma única chamada,</w:t>
      </w:r>
      <w:r>
        <w:br/>
      </w:r>
      <w:r>
        <w:rPr>
          <w:rStyle w:val="CommentTok"/>
        </w:rPr>
        <w:t xml:space="preserve"># a existência do arquivo indica que ela já foi executada. O arquivo nunca é</w:t>
      </w:r>
      <w:r>
        <w:br/>
      </w:r>
      <w:r>
        <w:rPr>
          <w:rStyle w:val="CommentTok"/>
        </w:rPr>
        <w:t xml:space="preserve"># sobrescrito automaticamente.</w:t>
      </w:r>
      <w:r>
        <w:br/>
      </w:r>
      <w:r>
        <w:rPr>
          <w:rStyle w:val="ControlFlowTok"/>
        </w:rPr>
        <w:t xml:space="preserve">if</w:t>
      </w:r>
      <w:r>
        <w:rPr>
          <w:rStyle w:val="NormalTok"/>
        </w:rPr>
        <w:t xml:space="preserve"> (</w:t>
      </w:r>
      <w:r>
        <w:rPr>
          <w:rStyle w:val="FunctionTok"/>
        </w:rPr>
        <w:t xml:space="preserve">file.exists</w:t>
      </w:r>
      <w:r>
        <w:rPr>
          <w:rStyle w:val="NormalTok"/>
        </w:rPr>
        <w:t xml:space="preserve">(arquivo_saida)) {</w:t>
      </w:r>
      <w:r>
        <w:br/>
      </w:r>
      <w:r>
        <w:rPr>
          <w:rStyle w:val="NormalTok"/>
        </w:rPr>
        <w:t xml:space="preserve">    status_chamadas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StringTok"/>
        </w:rPr>
        <w:t xml:space="preserve">`</w:t>
      </w:r>
      <w:r>
        <w:rPr>
          <w:rStyle w:val="AttributeTok"/>
        </w:rPr>
        <w:t xml:space="preserve">Arquivo Saída</w:t>
      </w:r>
      <w:r>
        <w:rPr>
          <w:rStyle w:val="StringTok"/>
        </w:rPr>
        <w:t xml:space="preserve">`</w:t>
      </w:r>
      <w:r>
        <w:rPr>
          <w:rStyle w:val="NormalTok"/>
        </w:rPr>
        <w:t xml:space="preserve"> </w:t>
      </w:r>
      <w:r>
        <w:rPr>
          <w:rStyle w:val="OtherTok"/>
        </w:rPr>
        <w:t xml:space="preserve">=</w:t>
      </w:r>
      <w:r>
        <w:rPr>
          <w:rStyle w:val="NormalTok"/>
        </w:rPr>
        <w:t xml:space="preserve"> arquivo_saida,</w:t>
      </w:r>
      <w:r>
        <w:br/>
      </w:r>
      <w:r>
        <w:rPr>
          <w:rStyle w:val="NormalTok"/>
        </w:rPr>
        <w:t xml:space="preserve">        </w:t>
      </w:r>
      <w:r>
        <w:rPr>
          <w:rStyle w:val="AttributeTok"/>
        </w:rPr>
        <w:t xml:space="preserve">status_code =</w:t>
      </w:r>
      <w:r>
        <w:rPr>
          <w:rStyle w:val="NormalTok"/>
        </w:rPr>
        <w:t xml:space="preserve"> </w:t>
      </w:r>
      <w:r>
        <w:rPr>
          <w:rStyle w:val="ConstantTok"/>
        </w:rPr>
        <w:t xml:space="preserve">NA_integer_</w:t>
      </w:r>
      <w:r>
        <w:rPr>
          <w:rStyle w:val="NormalTok"/>
        </w:rPr>
        <w:t xml:space="preserve">,</w:t>
      </w:r>
      <w:r>
        <w:br/>
      </w:r>
      <w:r>
        <w:rPr>
          <w:rStyle w:val="NormalTok"/>
        </w:rPr>
        <w:t xml:space="preserve">        </w:t>
      </w:r>
      <w:r>
        <w:rPr>
          <w:rStyle w:val="AttributeTok"/>
        </w:rPr>
        <w:t xml:space="preserve">salvo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chamada_realizada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observacao =</w:t>
      </w:r>
      <w:r>
        <w:rPr>
          <w:rStyle w:val="NormalTok"/>
        </w:rPr>
        <w:t xml:space="preserve"> </w:t>
      </w:r>
      <w:r>
        <w:rPr>
          <w:rStyle w:val="StringTok"/>
        </w:rPr>
        <w:t xml:space="preserve">"Chamada já realizada; arquivo preservado."</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request_lote </w:t>
      </w:r>
      <w:r>
        <w:rPr>
          <w:rStyle w:val="OtherTok"/>
        </w:rPr>
        <w:t xml:space="preserve">&lt;-</w:t>
      </w:r>
      <w:r>
        <w:rPr>
          <w:rStyle w:val="NormalTok"/>
        </w:rPr>
        <w:t xml:space="preserve"> base_request </w:t>
      </w:r>
      <w:r>
        <w:rPr>
          <w:rStyle w:val="SpecialCharTok"/>
        </w:rPr>
        <w:t xml:space="preserve">|&gt;</w:t>
      </w:r>
      <w:r>
        <w:br/>
      </w:r>
      <w:r>
        <w:rPr>
          <w:rStyle w:val="NormalTok"/>
        </w:rPr>
        <w:t xml:space="preserve">        </w:t>
      </w:r>
      <w:r>
        <w:rPr>
          <w:rStyle w:val="FunctionTok"/>
        </w:rPr>
        <w:t xml:space="preserve">req_body_json</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model =</w:t>
      </w:r>
      <w:r>
        <w:rPr>
          <w:rStyle w:val="NormalTok"/>
        </w:rPr>
        <w:t xml:space="preserve"> modelo,</w:t>
      </w:r>
      <w:r>
        <w:br/>
      </w:r>
      <w:r>
        <w:rPr>
          <w:rStyle w:val="NormalTok"/>
        </w:rPr>
        <w:t xml:space="preserve">                </w:t>
      </w:r>
      <w:r>
        <w:rPr>
          <w:rStyle w:val="AttributeTok"/>
        </w:rPr>
        <w:t xml:space="preserve">messages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role =</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FunctionTok"/>
        </w:rPr>
        <w:t xml:space="preserve">obtem_prompt_system</w:t>
      </w:r>
      <w:r>
        <w:rPr>
          <w:rStyle w:val="NormalTok"/>
        </w:rPr>
        <w:t xml:space="preserve">(prompt)),</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role =</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AttributeTok"/>
        </w:rPr>
        <w:t xml:space="preserve">content =</w:t>
      </w:r>
      <w:r>
        <w:rPr>
          <w:rStyle w:val="NormalTok"/>
        </w:rPr>
        <w:t xml:space="preserve"> prompt_lote)),</w:t>
      </w:r>
      <w:r>
        <w:br/>
      </w:r>
      <w:r>
        <w:rPr>
          <w:rStyle w:val="NormalTok"/>
        </w:rPr>
        <w:t xml:space="preserve">                </w:t>
      </w:r>
      <w:r>
        <w:rPr>
          <w:rStyle w:val="AttributeTok"/>
        </w:rPr>
        <w:t xml:space="preserve">stream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response_format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"json_object"</w:t>
      </w:r>
      <w:r>
        <w:rPr>
          <w:rStyle w:val="NormalTok"/>
        </w:rPr>
        <w:t xml:space="preserve">)),</w:t>
      </w:r>
      <w:r>
        <w:br/>
      </w:r>
      <w:r>
        <w:rPr>
          <w:rStyle w:val="NormalTok"/>
        </w:rPr>
        <w:t xml:space="preserve">            </w:t>
      </w:r>
      <w:r>
        <w:rPr>
          <w:rStyle w:val="AttributeTok"/>
        </w:rPr>
        <w:t xml:space="preserve">auto_unbox =</w:t>
      </w:r>
      <w:r>
        <w:rPr>
          <w:rStyle w:val="NormalTok"/>
        </w:rPr>
        <w:t xml:space="preserve"> </w:t>
      </w:r>
      <w:r>
        <w:rPr>
          <w:rStyle w:val="ConstantTok"/>
        </w:rPr>
        <w:t xml:space="preserve">TRUE</w:t>
      </w:r>
      <w:r>
        <w:rPr>
          <w:rStyle w:val="NormalTok"/>
        </w:rPr>
        <w:t xml:space="preserve">)</w:t>
      </w:r>
      <w:r>
        <w:br/>
      </w:r>
      <w:r>
        <w:br/>
      </w:r>
      <w:r>
        <w:rPr>
          <w:rStyle w:val="NormalTok"/>
        </w:rPr>
        <w:t xml:space="preserve">    resposta </w:t>
      </w:r>
      <w:r>
        <w:rPr>
          <w:rStyle w:val="OtherTok"/>
        </w:rPr>
        <w:t xml:space="preserve">&lt;-</w:t>
      </w:r>
      <w:r>
        <w:rPr>
          <w:rStyle w:val="NormalTok"/>
        </w:rPr>
        <w:t xml:space="preserve"> </w:t>
      </w:r>
      <w:r>
        <w:rPr>
          <w:rStyle w:val="FunctionTok"/>
        </w:rPr>
        <w:t xml:space="preserve">req_perform</w:t>
      </w:r>
      <w:r>
        <w:rPr>
          <w:rStyle w:val="NormalTok"/>
        </w:rPr>
        <w:t xml:space="preserve">(request_lote)</w:t>
      </w:r>
      <w:r>
        <w:br/>
      </w:r>
      <w:r>
        <w:rPr>
          <w:rStyle w:val="NormalTok"/>
        </w:rPr>
        <w:t xml:space="preserve">    resposta_ok </w:t>
      </w:r>
      <w:r>
        <w:rPr>
          <w:rStyle w:val="OtherTok"/>
        </w:rPr>
        <w:t xml:space="preserve">&lt;-</w:t>
      </w:r>
      <w:r>
        <w:rPr>
          <w:rStyle w:val="NormalTok"/>
        </w:rPr>
        <w:t xml:space="preserve"> </w:t>
      </w:r>
      <w:r>
        <w:rPr>
          <w:rStyle w:val="FunctionTok"/>
        </w:rPr>
        <w:t xml:space="preserve">inherits</w:t>
      </w:r>
      <w:r>
        <w:rPr>
          <w:rStyle w:val="NormalTok"/>
        </w:rPr>
        <w:t xml:space="preserve">(resposta, </w:t>
      </w:r>
      <w:r>
        <w:rPr>
          <w:rStyle w:val="StringTok"/>
        </w:rPr>
        <w:t xml:space="preserve">"httr2_response"</w:t>
      </w:r>
      <w:r>
        <w:rPr>
          <w:rStyle w:val="NormalTok"/>
        </w:rPr>
        <w:t xml:space="preserve">) </w:t>
      </w:r>
      <w:r>
        <w:rPr>
          <w:rStyle w:val="SpecialCharTok"/>
        </w:rPr>
        <w:t xml:space="preserve">&amp;&amp;</w:t>
      </w:r>
      <w:r>
        <w:br/>
      </w:r>
      <w:r>
        <w:rPr>
          <w:rStyle w:val="NormalTok"/>
        </w:rPr>
        <w:t xml:space="preserve">        resposta</w:t>
      </w:r>
      <w:r>
        <w:rPr>
          <w:rStyle w:val="SpecialCharTok"/>
        </w:rPr>
        <w:t xml:space="preserve">$</w:t>
      </w:r>
      <w:r>
        <w:rPr>
          <w:rStyle w:val="NormalTok"/>
        </w:rPr>
        <w:t xml:space="preserve">status_code </w:t>
      </w:r>
      <w:r>
        <w:rPr>
          <w:rStyle w:val="SpecialCharTok"/>
        </w:rPr>
        <w:t xml:space="preserve">==</w:t>
      </w:r>
      <w:r>
        <w:rPr>
          <w:rStyle w:val="NormalTok"/>
        </w:rPr>
        <w:t xml:space="preserve"> </w:t>
      </w:r>
      <w:r>
        <w:rPr>
          <w:rStyle w:val="DecValTok"/>
        </w:rPr>
        <w:t xml:space="preserve">200</w:t>
      </w:r>
      <w:r>
        <w:rPr>
          <w:rStyle w:val="NormalTok"/>
        </w:rPr>
        <w:t xml:space="preserve"> </w:t>
      </w:r>
      <w:r>
        <w:rPr>
          <w:rStyle w:val="SpecialCharTok"/>
        </w:rPr>
        <w:t xml:space="preserve">&amp;&amp;</w:t>
      </w:r>
      <w:r>
        <w:br/>
      </w:r>
      <w:r>
        <w:rPr>
          <w:rStyle w:val="NormalTok"/>
        </w:rPr>
        <w:t xml:space="preserve">        </w:t>
      </w:r>
      <w:r>
        <w:rPr>
          <w:rStyle w:val="FunctionTok"/>
        </w:rPr>
        <w:t xml:space="preserve">resp_has_body</w:t>
      </w:r>
      <w:r>
        <w:rPr>
          <w:rStyle w:val="NormalTok"/>
        </w:rPr>
        <w:t xml:space="preserve">(resposta)</w:t>
      </w:r>
      <w:r>
        <w:br/>
      </w:r>
      <w:r>
        <w:br/>
      </w:r>
      <w:r>
        <w:rPr>
          <w:rStyle w:val="NormalTok"/>
        </w:rPr>
        <w:t xml:space="preserve">    </w:t>
      </w:r>
      <w:r>
        <w:rPr>
          <w:rStyle w:val="ControlFlowTok"/>
        </w:rPr>
        <w:t xml:space="preserve">if</w:t>
      </w:r>
      <w:r>
        <w:rPr>
          <w:rStyle w:val="NormalTok"/>
        </w:rPr>
        <w:t xml:space="preserve"> (resposta_ok) {</w:t>
      </w:r>
      <w:r>
        <w:br/>
      </w:r>
      <w:r>
        <w:rPr>
          <w:rStyle w:val="NormalTok"/>
        </w:rPr>
        <w:t xml:space="preserve">        </w:t>
      </w:r>
      <w:r>
        <w:rPr>
          <w:rStyle w:val="FunctionTok"/>
        </w:rPr>
        <w:t xml:space="preserve">writeBin</w:t>
      </w:r>
      <w:r>
        <w:rPr>
          <w:rStyle w:val="NormalTok"/>
        </w:rPr>
        <w:t xml:space="preserve">(</w:t>
      </w:r>
      <w:r>
        <w:rPr>
          <w:rStyle w:val="FunctionTok"/>
        </w:rPr>
        <w:t xml:space="preserve">resp_body_raw</w:t>
      </w:r>
      <w:r>
        <w:rPr>
          <w:rStyle w:val="NormalTok"/>
        </w:rPr>
        <w:t xml:space="preserve">(resposta), arquivo_saida)</w:t>
      </w:r>
      <w:r>
        <w:br/>
      </w:r>
      <w:r>
        <w:rPr>
          <w:rStyle w:val="NormalTok"/>
        </w:rPr>
        <w:t xml:space="preserve">    }</w:t>
      </w:r>
      <w:r>
        <w:br/>
      </w:r>
      <w:r>
        <w:br/>
      </w:r>
      <w:r>
        <w:rPr>
          <w:rStyle w:val="NormalTok"/>
        </w:rPr>
        <w:t xml:space="preserve">    status_chamadas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StringTok"/>
        </w:rPr>
        <w:t xml:space="preserve">`</w:t>
      </w:r>
      <w:r>
        <w:rPr>
          <w:rStyle w:val="AttributeTok"/>
        </w:rPr>
        <w:t xml:space="preserve">Arquivo Saída</w:t>
      </w:r>
      <w:r>
        <w:rPr>
          <w:rStyle w:val="StringTok"/>
        </w:rPr>
        <w:t xml:space="preserve">`</w:t>
      </w:r>
      <w:r>
        <w:rPr>
          <w:rStyle w:val="NormalTok"/>
        </w:rPr>
        <w:t xml:space="preserve"> </w:t>
      </w:r>
      <w:r>
        <w:rPr>
          <w:rStyle w:val="OtherTok"/>
        </w:rPr>
        <w:t xml:space="preserve">=</w:t>
      </w:r>
      <w:r>
        <w:rPr>
          <w:rStyle w:val="NormalTok"/>
        </w:rPr>
        <w:t xml:space="preserve"> arquivo_saida,</w:t>
      </w:r>
      <w:r>
        <w:br/>
      </w:r>
      <w:r>
        <w:rPr>
          <w:rStyle w:val="NormalTok"/>
        </w:rPr>
        <w:t xml:space="preserve">        </w:t>
      </w:r>
      <w:r>
        <w:rPr>
          <w:rStyle w:val="AttributeTok"/>
        </w:rPr>
        <w:t xml:space="preserve">status_code =</w:t>
      </w:r>
      <w:r>
        <w:rPr>
          <w:rStyle w:val="NormalTok"/>
        </w:rPr>
        <w:t xml:space="preserve"> </w:t>
      </w:r>
      <w:r>
        <w:rPr>
          <w:rStyle w:val="ControlFlowTok"/>
        </w:rPr>
        <w:t xml:space="preserve">if</w:t>
      </w:r>
      <w:r>
        <w:rPr>
          <w:rStyle w:val="NormalTok"/>
        </w:rPr>
        <w:t xml:space="preserve"> (</w:t>
      </w:r>
      <w:r>
        <w:rPr>
          <w:rStyle w:val="FunctionTok"/>
        </w:rPr>
        <w:t xml:space="preserve">inherits</w:t>
      </w:r>
      <w:r>
        <w:rPr>
          <w:rStyle w:val="NormalTok"/>
        </w:rPr>
        <w:t xml:space="preserve">(resposta, </w:t>
      </w:r>
      <w:r>
        <w:rPr>
          <w:rStyle w:val="StringTok"/>
        </w:rPr>
        <w:t xml:space="preserve">"httr2_response"</w:t>
      </w:r>
      <w:r>
        <w:rPr>
          <w:rStyle w:val="NormalTok"/>
        </w:rPr>
        <w:t xml:space="preserve">)) {</w:t>
      </w:r>
      <w:r>
        <w:br/>
      </w:r>
      <w:r>
        <w:rPr>
          <w:rStyle w:val="NormalTok"/>
        </w:rPr>
        <w:t xml:space="preserve">            resposta</w:t>
      </w:r>
      <w:r>
        <w:rPr>
          <w:rStyle w:val="SpecialCharTok"/>
        </w:rPr>
        <w:t xml:space="preserve">$</w:t>
      </w:r>
      <w:r>
        <w:rPr>
          <w:rStyle w:val="NormalTok"/>
        </w:rPr>
        <w:t xml:space="preserve">status_code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stantTok"/>
        </w:rPr>
        <w:t xml:space="preserve">NA_integer_</w:t>
      </w:r>
      <w:r>
        <w:br/>
      </w:r>
      <w:r>
        <w:rPr>
          <w:rStyle w:val="NormalTok"/>
        </w:rPr>
        <w:t xml:space="preserve">        },</w:t>
      </w:r>
      <w:r>
        <w:br/>
      </w:r>
      <w:r>
        <w:rPr>
          <w:rStyle w:val="NormalTok"/>
        </w:rPr>
        <w:t xml:space="preserve">        </w:t>
      </w:r>
      <w:r>
        <w:rPr>
          <w:rStyle w:val="AttributeTok"/>
        </w:rPr>
        <w:t xml:space="preserve">salvo =</w:t>
      </w:r>
      <w:r>
        <w:rPr>
          <w:rStyle w:val="NormalTok"/>
        </w:rPr>
        <w:t xml:space="preserve"> resposta_ok,</w:t>
      </w:r>
      <w:r>
        <w:br/>
      </w:r>
      <w:r>
        <w:rPr>
          <w:rStyle w:val="NormalTok"/>
        </w:rPr>
        <w:t xml:space="preserve">        </w:t>
      </w:r>
      <w:r>
        <w:rPr>
          <w:rStyle w:val="AttributeTok"/>
        </w:rPr>
        <w:t xml:space="preserve">chamada_realizada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observacao =</w:t>
      </w:r>
      <w:r>
        <w:rPr>
          <w:rStyle w:val="NormalTok"/>
        </w:rPr>
        <w:t xml:space="preserve"> </w:t>
      </w:r>
      <w:r>
        <w:rPr>
          <w:rStyle w:val="ControlFlowTok"/>
        </w:rPr>
        <w:t xml:space="preserve">if</w:t>
      </w:r>
      <w:r>
        <w:rPr>
          <w:rStyle w:val="NormalTok"/>
        </w:rPr>
        <w:t xml:space="preserve"> (resposta_ok) {</w:t>
      </w:r>
      <w:r>
        <w:br/>
      </w:r>
      <w:r>
        <w:rPr>
          <w:rStyle w:val="NormalTok"/>
        </w:rPr>
        <w:t xml:space="preserve">            </w:t>
      </w:r>
      <w:r>
        <w:rPr>
          <w:rStyle w:val="StringTok"/>
        </w:rPr>
        <w:t xml:space="preserve">"Resposta salva."</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StringTok"/>
        </w:rPr>
        <w:t xml:space="preserve">"Resposta não salva."</w:t>
      </w:r>
      <w:r>
        <w:br/>
      </w:r>
      <w:r>
        <w:rPr>
          <w:rStyle w:val="NormalTok"/>
        </w:rPr>
        <w:t xml:space="preserve">        })</w:t>
      </w:r>
      <w:r>
        <w:br/>
      </w:r>
      <w:r>
        <w:rPr>
          <w:rStyle w:val="NormalTok"/>
        </w:rPr>
        <w:t xml:space="preserve">}</w:t>
      </w:r>
      <w:r>
        <w:br/>
      </w:r>
      <w:r>
        <w:br/>
      </w:r>
      <w:r>
        <w:rPr>
          <w:rStyle w:val="NormalTok"/>
        </w:rPr>
        <w:t xml:space="preserve">status_chamadas </w:t>
      </w:r>
      <w:r>
        <w:rPr>
          <w:rStyle w:val="SpecialCharTok"/>
        </w:rPr>
        <w:t xml:space="preserve">|&gt;</w:t>
      </w:r>
      <w:r>
        <w:br/>
      </w:r>
      <w:r>
        <w:rPr>
          <w:rStyle w:val="NormalTok"/>
        </w:rPr>
        <w:t xml:space="preserve">    </w:t>
      </w:r>
      <w:r>
        <w:rPr>
          <w:rStyle w:val="FunctionTok"/>
        </w:rPr>
        <w:t xml:space="preserve">count</w:t>
      </w:r>
      <w:r>
        <w:rPr>
          <w:rStyle w:val="NormalTok"/>
        </w:rPr>
        <w:t xml:space="preserve">(salvo, status_code)</w:t>
      </w:r>
      <w:r>
        <w:br/>
      </w:r>
      <w:r>
        <w:rPr>
          <w:rStyle w:val="CommentTok"/>
        </w:rPr>
        <w:t xml:space="preserve">#&gt; # A tibble: 1 × 3</w:t>
      </w:r>
      <w:r>
        <w:br/>
      </w:r>
      <w:r>
        <w:rPr>
          <w:rStyle w:val="CommentTok"/>
        </w:rPr>
        <w:t xml:space="preserve">#&gt;   salvo status_code     n</w:t>
      </w:r>
      <w:r>
        <w:br/>
      </w:r>
      <w:r>
        <w:rPr>
          <w:rStyle w:val="CommentTok"/>
        </w:rPr>
        <w:t xml:space="preserve">#&gt;   &lt;lgl&gt;       &lt;int&gt; &lt;int&gt;</w:t>
      </w:r>
      <w:r>
        <w:br/>
      </w:r>
      <w:r>
        <w:rPr>
          <w:rStyle w:val="CommentTok"/>
        </w:rPr>
        <w:t xml:space="preserve">#&gt; 1 TRUE           NA     1</w:t>
      </w:r>
    </w:p>
    <w:bookmarkEnd w:id="37"/>
    <w:bookmarkStart w:id="38" w:name="resultados-2"/>
    <w:p>
      <w:pPr>
        <w:pStyle w:val="907"/>
      </w:pPr>
      <w:r>
        <w:t xml:space="preserve">Resultados</w:t>
      </w:r>
    </w:p>
    <w:p>
      <w:pPr>
        <w:pStyle w:val="917"/>
      </w:pPr>
      <w:r>
        <w:t xml:space="preserve">Os resultados abaixo apresentam todas as categorias identificadas na rodada e</w:t>
      </w:r>
      <w:r>
        <w:t xml:space="preserve"> </w:t>
      </w:r>
      <w:r>
        <w:t xml:space="preserve">dois exemplos selecionados aleatoriamente para cada categoria.</w:t>
      </w:r>
    </w:p>
    <w:p>
      <w:pPr>
        <w:pStyle w:val="916"/>
      </w:pPr>
      <w:r>
        <w:t xml:space="preserve">Modelo: respostas carregadas de etiquetador_divergencias_3. Unidades classificadas: 50.</w:t>
      </w:r>
    </w:p>
    <w:tbl>
      <w:tblPr>
        <w:tblStyle w:val="Table"/>
        <w:tblW w:type="pct" w:w="5000"/>
        <w:tblLayout w:type="fixed"/>
        <w:tblLook w:firstRow="1" w:lastRow="0" w:firstColumn="0" w:lastColumn="0" w:noHBand="0" w:noVBand="0" w:val="0020"/>
      </w:tblPr>
      <w:tblGrid>
        <w:gridCol w:w="1144"/>
        <w:gridCol w:w="4752"/>
        <w:gridCol w:w="2023"/>
      </w:tblGrid>
      <w:tr>
        <w:trPr>
          <w:tblHeader w:val="on"/>
        </w:trPr>
        <w:tc>
          <w:tcPr/>
          <w:p>
            <w:pPr>
              <w:pStyle w:val="918"/>
              <w:jc w:val="left"/>
            </w:pPr>
            <w:r>
              <w:t xml:space="preserve">id_categoria</w:t>
            </w:r>
          </w:p>
        </w:tc>
        <w:tc>
          <w:tcPr/>
          <w:p>
            <w:pPr>
              <w:pStyle w:val="918"/>
              <w:jc w:val="left"/>
            </w:pPr>
            <w:r>
              <w:t xml:space="preserve">nome_categoria</w:t>
            </w:r>
          </w:p>
        </w:tc>
        <w:tc>
          <w:tcPr/>
          <w:p>
            <w:pPr>
              <w:pStyle w:val="918"/>
              <w:jc w:val="right"/>
            </w:pPr>
            <w:r>
              <w:t xml:space="preserve">unidades_classificadas</w:t>
            </w:r>
          </w:p>
        </w:tc>
      </w:tr>
      <w:tr>
        <w:tc>
          <w:tcPr/>
          <w:p>
            <w:pPr>
              <w:pStyle w:val="918"/>
              <w:jc w:val="left"/>
            </w:pPr>
            <w:r>
              <w:t xml:space="preserve">C1</w:t>
            </w:r>
          </w:p>
        </w:tc>
        <w:tc>
          <w:tcPr/>
          <w:p>
            <w:pPr>
              <w:pStyle w:val="918"/>
              <w:jc w:val="left"/>
            </w:pPr>
            <w:r>
              <w:t xml:space="preserve">Conformidade normativa sem mecanismo de implementação</w:t>
            </w:r>
          </w:p>
        </w:tc>
        <w:tc>
          <w:tcPr/>
          <w:p>
            <w:pPr>
              <w:pStyle w:val="918"/>
              <w:jc w:val="right"/>
            </w:pPr>
            <w:r>
              <w:t xml:space="preserve">12</w:t>
            </w:r>
          </w:p>
        </w:tc>
      </w:tr>
      <w:tr>
        <w:tc>
          <w:tcPr/>
          <w:p>
            <w:pPr>
              <w:pStyle w:val="918"/>
              <w:jc w:val="left"/>
            </w:pPr>
            <w:r>
              <w:t xml:space="preserve">C2</w:t>
            </w:r>
          </w:p>
        </w:tc>
        <w:tc>
          <w:tcPr/>
          <w:p>
            <w:pPr>
              <w:pStyle w:val="918"/>
              <w:jc w:val="left"/>
            </w:pPr>
            <w:r>
              <w:t xml:space="preserve">Execução continuada dependente de adesão</w:t>
            </w:r>
          </w:p>
        </w:tc>
        <w:tc>
          <w:tcPr/>
          <w:p>
            <w:pPr>
              <w:pStyle w:val="918"/>
              <w:jc w:val="right"/>
            </w:pPr>
            <w:r>
              <w:t xml:space="preserve">15</w:t>
            </w:r>
          </w:p>
        </w:tc>
      </w:tr>
      <w:tr>
        <w:tc>
          <w:tcPr/>
          <w:p>
            <w:pPr>
              <w:pStyle w:val="918"/>
              <w:jc w:val="left"/>
            </w:pPr>
            <w:r>
              <w:t xml:space="preserve">C3</w:t>
            </w:r>
          </w:p>
        </w:tc>
        <w:tc>
          <w:tcPr/>
          <w:p>
            <w:pPr>
              <w:pStyle w:val="918"/>
              <w:jc w:val="left"/>
            </w:pPr>
            <w:r>
              <w:t xml:space="preserve">Capacitação sujeita a atualização e retenção</w:t>
            </w:r>
          </w:p>
        </w:tc>
        <w:tc>
          <w:tcPr/>
          <w:p>
            <w:pPr>
              <w:pStyle w:val="918"/>
              <w:jc w:val="right"/>
            </w:pPr>
            <w:r>
              <w:t xml:space="preserve">3</w:t>
            </w:r>
          </w:p>
        </w:tc>
      </w:tr>
      <w:tr>
        <w:tc>
          <w:tcPr/>
          <w:p>
            <w:pPr>
              <w:pStyle w:val="918"/>
              <w:jc w:val="left"/>
            </w:pPr>
            <w:r>
              <w:t xml:space="preserve">C4</w:t>
            </w:r>
          </w:p>
        </w:tc>
        <w:tc>
          <w:tcPr/>
          <w:p>
            <w:pPr>
              <w:pStyle w:val="918"/>
              <w:jc w:val="left"/>
            </w:pPr>
            <w:r>
              <w:t xml:space="preserve">Pacote heterogêneo de ações</w:t>
            </w:r>
          </w:p>
        </w:tc>
        <w:tc>
          <w:tcPr/>
          <w:p>
            <w:pPr>
              <w:pStyle w:val="918"/>
              <w:jc w:val="right"/>
            </w:pPr>
            <w:r>
              <w:t xml:space="preserve">13</w:t>
            </w:r>
          </w:p>
        </w:tc>
      </w:tr>
      <w:tr>
        <w:tc>
          <w:tcPr/>
          <w:p>
            <w:pPr>
              <w:pStyle w:val="918"/>
              <w:jc w:val="left"/>
            </w:pPr>
            <w:r>
              <w:t xml:space="preserve">C6</w:t>
            </w:r>
          </w:p>
        </w:tc>
        <w:tc>
          <w:tcPr/>
          <w:p>
            <w:pPr>
              <w:pStyle w:val="918"/>
              <w:jc w:val="left"/>
            </w:pPr>
            <w:r>
              <w:t xml:space="preserve">Formalização sem institucionalização demonstrada</w:t>
            </w:r>
          </w:p>
        </w:tc>
        <w:tc>
          <w:tcPr/>
          <w:p>
            <w:pPr>
              <w:pStyle w:val="918"/>
              <w:jc w:val="right"/>
            </w:pPr>
            <w:r>
              <w:t xml:space="preserve">7</w:t>
            </w:r>
          </w:p>
        </w:tc>
      </w:tr>
    </w:tbl>
    <w:p>
      <w:pPr>
        <w:pStyle w:val="916"/>
      </w:pPr>
      <w:r>
        <w:t xml:space="preserve">São apresentados dois exemplos selecionados aleatoriamente por categoria quando há pelo menos duas unidades; categorias com uma única unidade apresentam apenas esse exemplo.</w:t>
      </w:r>
    </w:p>
    <w:bookmarkEnd w:id="38"/>
    <w:bookmarkStart w:id="39" w:name="X525fd49536829a04febfeff468d90c45f9b1c7c"/>
    <w:p>
      <w:pPr>
        <w:pStyle w:val="907"/>
      </w:pPr>
      <w:r>
        <w:t xml:space="preserve">C1 — Conformidade normativa sem mecanismo de implementação</w:t>
      </w:r>
    </w:p>
    <w:p>
      <w:pPr>
        <w:pStyle w:val="917"/>
      </w:pPr>
      <w:r>
        <w:rPr>
          <w:b/>
          <w:bCs/>
        </w:rPr>
        <w:t xml:space="preserve">Definição:</w:t>
      </w:r>
      <w:r>
        <w:t xml:space="preserve"> </w:t>
      </w:r>
      <w:r>
        <w:t xml:space="preserve">A divergência decorre de a recomendação determinar ou referenciar o cumprimento de normas, princípios ou requisitos, sem explicitar mecanismos concretos de implementação, verificação ou sustentação.</w:t>
      </w:r>
    </w:p>
    <w:p>
      <w:pPr>
        <w:pStyle w:val="916"/>
      </w:pPr>
      <w:r>
        <w:rPr>
          <w:b/>
          <w:bCs/>
        </w:rPr>
        <w:t xml:space="preserve">Critérios de inclusão:</w:t>
      </w:r>
      <w:r>
        <w:t xml:space="preserve"> </w:t>
      </w:r>
      <w:r>
        <w:t xml:space="preserve">a ação central consiste em observar, cumprir ou aplicar uma norma, princípio, manual ou dispositivo legal; a permanência dos efeitos é inferida principalmente da existência ou validade da norma; o texto não detalha estrutura, rotina, responsável, controle ou procedimento suficiente para sustentar a aplicação</w:t>
      </w:r>
    </w:p>
    <w:p>
      <w:pPr>
        <w:pStyle w:val="916"/>
      </w:pPr>
      <w:r>
        <w:rPr>
          <w:b/>
          <w:bCs/>
        </w:rPr>
        <w:t xml:space="preserve">Critérios de exclusão:</w:t>
      </w:r>
      <w:r>
        <w:t xml:space="preserve"> </w:t>
      </w:r>
      <w:r>
        <w:t xml:space="preserve">não incluir quando o mecanismo predominante for investigação ou solicitação de informação sem ação corretiva; quando houver conjunto claramente combinado de ações corretivas e estruturais; ou quando a mera menção a documentos normativos não for o núcleo da recomendação</w:t>
      </w:r>
    </w:p>
    <w:p>
      <w:pPr>
        <w:pStyle w:val="916"/>
      </w:pPr>
      <w:r>
        <w:rPr>
          <w:b/>
          <w:bCs/>
        </w:rPr>
        <w:t xml:space="preserve">Exemplo 1 (19783_1/691444_1.json)</w:t>
      </w:r>
    </w:p>
    <w:p>
      <w:pPr>
        <w:pStyle w:val="916"/>
      </w:pPr>
      <w:r>
        <w:t xml:space="preserve">Cumprir a Resolução Diretoria Colegiada da Agência Nacional de Vigilância Sanitária Nº 197, de 26 de dezembro de 2017 quanto às exigências necessárias para obtenção de licença sanitária quanto às condições organizacionais, dos recursos humanos, da infraestrutura, do gerenciamento de tecnologias e dos processos, registros e notificações das Vacinações, sobretudo o Art. 4º e 5º, Seção I, Capítulo II da mesma resolução, sintetizados no Manual de Rede de Frio do Programa Nacional de Imunizações / Ministério da Saúde, Secretaria de Vigilância em Saúde, Departamento de Vigilância das Doenças Transmissíveis. 5. ed. Brasília: Ministério da Saúde, 2017, devendo o município proceder à devida inspeção sanitária e as correções das não conformidades constatadas.</w:t>
      </w:r>
    </w:p>
    <w:p>
      <w:pPr>
        <w:pStyle w:val="916"/>
      </w:pPr>
      <w:r>
        <w:rPr>
          <w:b/>
          <w:bCs/>
        </w:rPr>
        <w:t xml:space="preserve">Justificativa da IA:</w:t>
      </w:r>
      <w:r>
        <w:t xml:space="preserve"> </w:t>
      </w:r>
      <w:r>
        <w:t xml:space="preserve">A análise inicial associou o cumprimento da resolução, a inspeção e a correção de não conformidades à criação de condições duradouras; a análise crítica reconheceu o potencial estrutural, mas destacou que a manutenção não é garantida pela recomendação. A instabilidade está na inferência de permanência a partir da exigência normativa.</w:t>
      </w:r>
    </w:p>
    <w:p>
      <w:pPr>
        <w:pStyle w:val="916"/>
      </w:pPr>
      <w:r>
        <w:rPr>
          <w:b/>
          <w:bCs/>
        </w:rPr>
        <w:t xml:space="preserve">Limites observados pela IA:</w:t>
      </w:r>
      <w:r>
        <w:t xml:space="preserve"> </w:t>
      </w:r>
      <w:r>
        <w:t xml:space="preserve">A recomendação menciona inspeção e correção, mas não detalha sua periodicidade ou continuidade.</w:t>
      </w:r>
    </w:p>
    <w:p>
      <w:pPr>
        <w:pStyle w:val="916"/>
      </w:pPr>
      <w:r>
        <w:rPr>
          <w:b/>
          <w:bCs/>
        </w:rPr>
        <w:t xml:space="preserve">Exemplo 2 (19559_1/681715_1.json)</w:t>
      </w:r>
    </w:p>
    <w:p>
      <w:pPr>
        <w:pStyle w:val="916"/>
      </w:pPr>
      <w:r>
        <w:t xml:space="preserve">Fiscalizar e assegurar que a unidade prestadora de serviço cumpra o que preconiza o Art. 424, da Portaria de Consolidação SAES/MS n.º 1 de 22/2/2022, que trata sobre o CFID ser preenchida em uma só via a ser arquivada no prontuário do paciente.</w:t>
      </w:r>
    </w:p>
    <w:p>
      <w:pPr>
        <w:pStyle w:val="916"/>
      </w:pPr>
      <w:r>
        <w:rPr>
          <w:b/>
          <w:bCs/>
        </w:rPr>
        <w:t xml:space="preserve">Justificativa da IA:</w:t>
      </w:r>
      <w:r>
        <w:t xml:space="preserve"> </w:t>
      </w:r>
      <w:r>
        <w:t xml:space="preserve">A análise inicial viu a fiscalização do cumprimento da norma como correção imediata, enquanto a análise crítica a interpretou como medida para assegurar adesão permanente à exigência legal. A instabilidade decorre da oposição entre fiscalização pontual e conformidade normativa sustentada, sem mecanismo independente de fiscalização.</w:t>
      </w:r>
    </w:p>
    <w:p>
      <w:pPr>
        <w:pStyle w:val="916"/>
      </w:pPr>
      <w:r>
        <w:rPr>
          <w:b/>
          <w:bCs/>
        </w:rPr>
        <w:t xml:space="preserve">Limites observados pela IA:</w:t>
      </w:r>
      <w:r>
        <w:t xml:space="preserve"> </w:t>
      </w:r>
      <w:r>
        <w:t xml:space="preserve">A recomendação não detalha frequência, responsáveis ou consequências da fiscalização.</w:t>
      </w:r>
    </w:p>
    <w:bookmarkEnd w:id="39"/>
    <w:bookmarkStart w:id="40" w:name="X7d45d92a6ddc2756d39c21bd8de847450379fcc"/>
    <w:p>
      <w:pPr>
        <w:pStyle w:val="907"/>
      </w:pPr>
      <w:r>
        <w:t xml:space="preserve">C2 — Execução continuada dependente de adesão</w:t>
      </w:r>
    </w:p>
    <w:p>
      <w:pPr>
        <w:pStyle w:val="917"/>
      </w:pPr>
      <w:r>
        <w:rPr>
          <w:b/>
          <w:bCs/>
        </w:rPr>
        <w:t xml:space="preserve">Definição:</w:t>
      </w:r>
      <w:r>
        <w:t xml:space="preserve"> </w:t>
      </w:r>
      <w:r>
        <w:t xml:space="preserve">A divergência decorre de a durabilidade depender da realização reiterada de rotinas, controles ou supervisão por pessoas ou unidades, sem garantia textual de continuidade diante de mudanças de atores.</w:t>
      </w:r>
    </w:p>
    <w:p>
      <w:pPr>
        <w:pStyle w:val="916"/>
      </w:pPr>
      <w:r>
        <w:rPr>
          <w:b/>
          <w:bCs/>
        </w:rPr>
        <w:t xml:space="preserve">Critérios de inclusão:</w:t>
      </w:r>
      <w:r>
        <w:t xml:space="preserve"> </w:t>
      </w:r>
      <w:r>
        <w:t xml:space="preserve">a recomendação exige monitoramento, conferência, supervisão, pactuação ou execução recorrente; o efeito pretendido depende da adesão ou do compromisso continuado dos executores; e a análise inicial infere institucionalização, enquanto a análise crítica destaca dependência de pessoal, prioridades ou aplicação prática</w:t>
      </w:r>
    </w:p>
    <w:p>
      <w:pPr>
        <w:pStyle w:val="916"/>
      </w:pPr>
      <w:r>
        <w:rPr>
          <w:b/>
          <w:bCs/>
        </w:rPr>
        <w:t xml:space="preserve">Critérios de exclusão:</w:t>
      </w:r>
      <w:r>
        <w:t xml:space="preserve"> </w:t>
      </w:r>
      <w:r>
        <w:t xml:space="preserve">não incluir quando a recomendação apenas determinar cumprimento normativo genérico; quando a ação principal for capacitação ou transmissão de conhecimento; ou quando o problema central for a ausência de investigação ou diagnóstico</w:t>
      </w:r>
    </w:p>
    <w:p>
      <w:pPr>
        <w:pStyle w:val="916"/>
      </w:pPr>
      <w:r>
        <w:rPr>
          <w:b/>
          <w:bCs/>
        </w:rPr>
        <w:t xml:space="preserve">Exemplo 1 (19876_1/703741_2.json)</w:t>
      </w:r>
    </w:p>
    <w:p>
      <w:pPr>
        <w:pStyle w:val="916"/>
      </w:pPr>
      <w:r>
        <w:t xml:space="preserve">Acompanhar, fiscalizar, supervisionar e auditar as ações descritas no contrato firmado com o prestador, principalmente no que se refere o adequado registro dos CIDs nas AIHs para garantir que as ações corretivas adotadas sejam efetivas, conforme as orientações do Manual Técnico Operacional do SIH (versão 2017, p. 88), que estabelece que</w:t>
      </w:r>
      <w:r>
        <w:t xml:space="preserve"> </w:t>
      </w:r>
      <w:r>
        <w:t xml:space="preserve">“o CID terá que ser compatível com a principal patologia referente ao procedimento informado na primeira linha de realizados”</w:t>
      </w:r>
      <w:r>
        <w:t xml:space="preserve">.</w:t>
      </w:r>
    </w:p>
    <w:p>
      <w:pPr>
        <w:pStyle w:val="916"/>
      </w:pPr>
      <w:r>
        <w:rPr>
          <w:b/>
          <w:bCs/>
        </w:rPr>
        <w:t xml:space="preserve">Justificativa da IA:</w:t>
      </w:r>
      <w:r>
        <w:t xml:space="preserve"> </w:t>
      </w:r>
      <w:r>
        <w:t xml:space="preserve">A análise inicial considerou fiscalização, supervisão e auditoria como mecanismos estruturados duradouros; a análise crítica enfatizou que sua eficácia depende da continuidade dessas atividades e que elas podem apenas detectar erros após sua ocorrência. O mecanismo predominante é a dependência de controle reiterado.</w:t>
      </w:r>
    </w:p>
    <w:p>
      <w:pPr>
        <w:pStyle w:val="916"/>
      </w:pPr>
      <w:r>
        <w:rPr>
          <w:b/>
          <w:bCs/>
        </w:rPr>
        <w:t xml:space="preserve">Limites observados pela IA:</w:t>
      </w:r>
      <w:r>
        <w:t xml:space="preserve"> </w:t>
      </w:r>
      <w:r>
        <w:t xml:space="preserve">A recomendação não descreve controles internos do prestador nem periodicidade da fiscalização.</w:t>
      </w:r>
    </w:p>
    <w:p>
      <w:pPr>
        <w:pStyle w:val="916"/>
      </w:pPr>
      <w:r>
        <w:rPr>
          <w:b/>
          <w:bCs/>
        </w:rPr>
        <w:t xml:space="preserve">Exemplo 2 (19038_1/654951_1.json)</w:t>
      </w:r>
    </w:p>
    <w:p>
      <w:pPr>
        <w:pStyle w:val="916"/>
      </w:pPr>
      <w:r>
        <w:t xml:space="preserve">Garantir a presença ininterrupta do profissional Enfermeiro nas 24 horas de funcionamento do HMSFX, nos setores onde há assistência de enfermagem, conforme determina o Art.11 da Lei nº 7498, de 25 de junho de 1986, o qual estabelece que cabe PRIVATIVAMENTE ao enfermeiro executar e avaliar os serviços da assistência de enfermagem.</w:t>
      </w:r>
    </w:p>
    <w:p>
      <w:pPr>
        <w:pStyle w:val="916"/>
      </w:pPr>
      <w:r>
        <w:rPr>
          <w:b/>
          <w:bCs/>
        </w:rPr>
        <w:t xml:space="preserve">Justificativa da IA:</w:t>
      </w:r>
      <w:r>
        <w:t xml:space="preserve"> </w:t>
      </w:r>
      <w:r>
        <w:t xml:space="preserve">A análise inicial inferiu que garantir presença ininterrupta produziria estrutura organizacional duradoura; a análise crítica questionou se ajustes de escala ou contratações seriam permanentes. O efeito depende da manutenção continuada da cobertura de pessoal.</w:t>
      </w:r>
    </w:p>
    <w:p>
      <w:pPr>
        <w:pStyle w:val="916"/>
      </w:pPr>
      <w:r>
        <w:rPr>
          <w:b/>
          <w:bCs/>
        </w:rPr>
        <w:t xml:space="preserve">Limites observados pela IA:</w:t>
      </w:r>
      <w:r>
        <w:t xml:space="preserve"> </w:t>
      </w:r>
      <w:r>
        <w:t xml:space="preserve">A recomendação exige presença contínua, mas não especifica como ela será assegurada diante de mudanças de equipe.</w:t>
      </w:r>
    </w:p>
    <w:bookmarkEnd w:id="40"/>
    <w:bookmarkStart w:id="41" w:name="X23c60507605723b78e91e5292f591e82a223ffb"/>
    <w:p>
      <w:pPr>
        <w:pStyle w:val="907"/>
      </w:pPr>
      <w:r>
        <w:t xml:space="preserve">C3 — Capacitação sujeita a atualização e retenção</w:t>
      </w:r>
    </w:p>
    <w:p>
      <w:pPr>
        <w:pStyle w:val="917"/>
      </w:pPr>
      <w:r>
        <w:rPr>
          <w:b/>
          <w:bCs/>
        </w:rPr>
        <w:t xml:space="preserve">Definição:</w:t>
      </w:r>
      <w:r>
        <w:t xml:space="preserve"> </w:t>
      </w:r>
      <w:r>
        <w:t xml:space="preserve">A divergência decorre de ações de educação, treinamento ou qualificação cujo efeito pode persistir como conhecimento, mas depende de atualização, repetição, retenção de pessoal e incorporação institucional.</w:t>
      </w:r>
    </w:p>
    <w:p>
      <w:pPr>
        <w:pStyle w:val="916"/>
      </w:pPr>
      <w:r>
        <w:rPr>
          <w:b/>
          <w:bCs/>
        </w:rPr>
        <w:t xml:space="preserve">Critérios de inclusão:</w:t>
      </w:r>
      <w:r>
        <w:t xml:space="preserve"> </w:t>
      </w:r>
      <w:r>
        <w:t xml:space="preserve">a recomendação tem como ação central ofertar educação, treinamento, orientação ou capacitação; a análise inicial considera que conhecimentos adquiridos permanecem, enquanto a análise crítica ressalta rotatividade, atualização ou necessidade de continuidade; e a recomendação não demonstra, por si só, mecanismo institucional completo que assegure a transmissão e manutenção das competências</w:t>
      </w:r>
    </w:p>
    <w:p>
      <w:pPr>
        <w:pStyle w:val="916"/>
      </w:pPr>
      <w:r>
        <w:rPr>
          <w:b/>
          <w:bCs/>
        </w:rPr>
        <w:t xml:space="preserve">Critérios de exclusão:</w:t>
      </w:r>
      <w:r>
        <w:t xml:space="preserve"> </w:t>
      </w:r>
      <w:r>
        <w:t xml:space="preserve">não incluir quando a capacitação for apenas componente secundário de pacote dominado por outras ações; quando a divergência decorrer principalmente de exigência normativa sem implementação; ou quando a ação principal for rotina de controle executada continuamente</w:t>
      </w:r>
    </w:p>
    <w:p>
      <w:pPr>
        <w:pStyle w:val="916"/>
      </w:pPr>
      <w:r>
        <w:rPr>
          <w:b/>
          <w:bCs/>
        </w:rPr>
        <w:t xml:space="preserve">Exemplo 1 (19598_1/676755_2.json)</w:t>
      </w:r>
    </w:p>
    <w:p>
      <w:pPr>
        <w:pStyle w:val="916"/>
      </w:pPr>
      <w:r>
        <w:t xml:space="preserve">Promover ações de educação continuada para os profissionais responsáveis por organizar as escalas de trabalho.</w:t>
      </w:r>
    </w:p>
    <w:p>
      <w:pPr>
        <w:pStyle w:val="916"/>
      </w:pPr>
      <w:r>
        <w:rPr>
          <w:b/>
          <w:bCs/>
        </w:rPr>
        <w:t xml:space="preserve">Justificativa da IA:</w:t>
      </w:r>
      <w:r>
        <w:t xml:space="preserve"> </w:t>
      </w:r>
      <w:r>
        <w:t xml:space="preserve">A análise inicial inferiu que a educação continuada produziria práticas sustentáveis; a análise crítica ressaltou que a recomendação não demonstra tratar a causa específica e que seus efeitos dependem de continuidade e institucionalização. O mecanismo predominante é a transmissão de conhecimento sujeita à retenção e atualização.</w:t>
      </w:r>
    </w:p>
    <w:p>
      <w:pPr>
        <w:pStyle w:val="916"/>
      </w:pPr>
      <w:r>
        <w:rPr>
          <w:b/>
          <w:bCs/>
        </w:rPr>
        <w:t xml:space="preserve">Limites observados pela IA:</w:t>
      </w:r>
      <w:r>
        <w:t xml:space="preserve"> </w:t>
      </w:r>
      <w:r>
        <w:t xml:space="preserve">A recomendação limita-se à educação continuada e não prevê documentação ou outros mecanismos institucionais.</w:t>
      </w:r>
    </w:p>
    <w:p>
      <w:pPr>
        <w:pStyle w:val="916"/>
      </w:pPr>
      <w:r>
        <w:rPr>
          <w:b/>
          <w:bCs/>
        </w:rPr>
        <w:t xml:space="preserve">Exemplo 2 (19835_1/701056_1.json)</w:t>
      </w:r>
    </w:p>
    <w:p>
      <w:pPr>
        <w:pStyle w:val="916"/>
      </w:pPr>
      <w:r>
        <w:t xml:space="preserve">A SMSA/BV deve promover capacitação das equipes que atuam nas UBSs, em todas as macroáreas do município, para que estejam aptas a aplicar os procedimentos de estratificação de Riscos em Saúde Mental, a fim de atender o disposto nos Incisos III e VI, do Item 3 e Itens 4 e 5, do Capítulo I, do Anexo I, do Anexo XXII, da Portaria de Consolidação GM/MS nº 2, de 28 de setembro de 2017, que aprova a Política Nacional de Atenção Básica, estabelecendo a revisão de diretrizes para a organização da Atenção Básica, no âmbito do Sistema Único de Saúde, referente à infraestrutura, ambiência e funcionamento da AB, atribuições dos profissionais e do processo de trabalho.</w:t>
      </w:r>
    </w:p>
    <w:p>
      <w:pPr>
        <w:pStyle w:val="916"/>
      </w:pPr>
      <w:r>
        <w:rPr>
          <w:b/>
          <w:bCs/>
        </w:rPr>
        <w:t xml:space="preserve">Justificativa da IA:</w:t>
      </w:r>
      <w:r>
        <w:t xml:space="preserve"> </w:t>
      </w:r>
      <w:r>
        <w:t xml:space="preserve">A análise inicial associou a capacitação à criação de competência institucional duradoura; a análise crítica reconheceu o vínculo causal, mas destacou rotatividade e necessidade de reforço contínuo. A divergência é típica de conhecimento que pode permanecer, mas não é automaticamente transmitido a novos profissionais.</w:t>
      </w:r>
    </w:p>
    <w:p>
      <w:pPr>
        <w:pStyle w:val="916"/>
      </w:pPr>
      <w:r>
        <w:rPr>
          <w:b/>
          <w:bCs/>
        </w:rPr>
        <w:t xml:space="preserve">Limites observados pela IA:</w:t>
      </w:r>
      <w:r>
        <w:t xml:space="preserve"> </w:t>
      </w:r>
      <w:r>
        <w:t xml:space="preserve">A recomendação centra-se na capacitação e não prevê documentação ou treinamento recorrente.</w:t>
      </w:r>
    </w:p>
    <w:bookmarkEnd w:id="41"/>
    <w:bookmarkStart w:id="42" w:name="c4-pacote-heterogêneo-de-ações-2"/>
    <w:p>
      <w:pPr>
        <w:pStyle w:val="907"/>
      </w:pPr>
      <w:r>
        <w:t xml:space="preserve">C4 — Pacote heterogêneo de ações</w:t>
      </w:r>
    </w:p>
    <w:p>
      <w:pPr>
        <w:pStyle w:val="917"/>
      </w:pPr>
      <w:r>
        <w:rPr>
          <w:b/>
          <w:bCs/>
        </w:rPr>
        <w:t xml:space="preserve">Definição:</w:t>
      </w:r>
      <w:r>
        <w:t xml:space="preserve"> </w:t>
      </w:r>
      <w:r>
        <w:t xml:space="preserve">A divergência decorre da combinação, na mesma recomendação, de medidas imediatas ou reparadoras com ações estruturais, preventivas ou de capacitação, permitindo avaliações diferentes conforme o componente valorizado.</w:t>
      </w:r>
    </w:p>
    <w:p>
      <w:pPr>
        <w:pStyle w:val="916"/>
      </w:pPr>
      <w:r>
        <w:rPr>
          <w:b/>
          <w:bCs/>
        </w:rPr>
        <w:t xml:space="preserve">Critérios de inclusão:</w:t>
      </w:r>
      <w:r>
        <w:t xml:space="preserve"> </w:t>
      </w:r>
      <w:r>
        <w:t xml:space="preserve">a recomendação contém duas ou mais ações autônomas com funções distintas; pelo menos uma ação trata da condição imediata e outra pretende modificar processos, capacidade ou controles; e a análise inicial enfatiza o componente estrutural, enquanto a análise crítica pondera a heterogeneidade, a execução ou a predominância da medida corretiva</w:t>
      </w:r>
    </w:p>
    <w:p>
      <w:pPr>
        <w:pStyle w:val="916"/>
      </w:pPr>
      <w:r>
        <w:rPr>
          <w:b/>
          <w:bCs/>
        </w:rPr>
        <w:t xml:space="preserve">Critérios de exclusão:</w:t>
      </w:r>
      <w:r>
        <w:t xml:space="preserve"> </w:t>
      </w:r>
      <w:r>
        <w:t xml:space="preserve">não incluir quando houver apenas uma ação com redação genérica; quando as várias providências forem apenas etapas do mesmo procedimento; ou quando a divergência puder ser explicada predominantemente por dependência de adesão continuada</w:t>
      </w:r>
    </w:p>
    <w:p>
      <w:pPr>
        <w:pStyle w:val="916"/>
      </w:pPr>
      <w:r>
        <w:rPr>
          <w:b/>
          <w:bCs/>
        </w:rPr>
        <w:t xml:space="preserve">Exemplo 1 (19832_1/696015_1.json)</w:t>
      </w:r>
    </w:p>
    <w:p>
      <w:pPr>
        <w:pStyle w:val="916"/>
      </w:pPr>
      <w:r>
        <w:t xml:space="preserve">Promover regularmente campanhas educativas para pais e responsáveis, abordando a importância do apoio à saúde mental das crianças, adolescentes e a redução do estigma relacionado ao cuidado psicológico; Articular com a rede de educação ações direcionadas a alunos em situação de vulnerabilidade social, como pessoas em situação de rua, crianças de famílias com histórico de violência doméstica, ou que enfrentam dificuldades financeiras, que são mais propensas a desenvolver problemas de saúde mental; Articular com a rede de educação, treinamentos continuados para professores, coordenadores, gestores escolares e profissionais da saúde sobre a identificação precoce de sinais de transtornos mentais em estudantes, como ansiedade, depressão, bullying, dificuldades de aprendizagem e questões emocionais. Em consonância com o preconizado nos artigos 2º e 4º do Decreto Federal nº 6.286, de 5 de dezembro de 2007 e com o disposto no inciso VIII, item 5, Capítulo I do Anexo XXII da Portaria de Consolidação GM/MS nº 2/2017.</w:t>
      </w:r>
    </w:p>
    <w:p>
      <w:pPr>
        <w:pStyle w:val="916"/>
      </w:pPr>
      <w:r>
        <w:rPr>
          <w:b/>
          <w:bCs/>
        </w:rPr>
        <w:t xml:space="preserve">Justificativa da IA:</w:t>
      </w:r>
      <w:r>
        <w:t xml:space="preserve"> </w:t>
      </w:r>
      <w:r>
        <w:t xml:space="preserve">A análise inicial valorizou campanhas, articulação intersetorial e treinamentos continuados como um conjunto capaz de institucionalizar práticas; a análise crítica destacou que a execução contínua pode variar com pessoal e prioridades. A heterogeneidade entre comunicação, articulação e capacitação permite que se enfatize ora o potencial estrutural, ora a dependência operacional.</w:t>
      </w:r>
    </w:p>
    <w:p>
      <w:pPr>
        <w:pStyle w:val="916"/>
      </w:pPr>
      <w:r>
        <w:rPr>
          <w:b/>
          <w:bCs/>
        </w:rPr>
        <w:t xml:space="preserve">Limites observados pela IA:</w:t>
      </w:r>
      <w:r>
        <w:t xml:space="preserve"> </w:t>
      </w:r>
      <w:r>
        <w:t xml:space="preserve">As ações têm públicos, instrumentos e exigências de continuidade diferentes.</w:t>
      </w:r>
    </w:p>
    <w:p>
      <w:pPr>
        <w:pStyle w:val="916"/>
      </w:pPr>
      <w:r>
        <w:rPr>
          <w:b/>
          <w:bCs/>
        </w:rPr>
        <w:t xml:space="preserve">Exemplo 2 (19686_1/688093_1.json)</w:t>
      </w:r>
    </w:p>
    <w:p>
      <w:pPr>
        <w:pStyle w:val="916"/>
      </w:pPr>
      <w:r>
        <w:t xml:space="preserve">A Gestão da SESAU/AL deve tomar providências para efetivar a regulação das solicitações médicas que se encontram em filas de espera, tanto nos sistemas utilizados pela SESAU/AL, SISREG III e GESTHOSP, como nos setores de regulação, em filas paralelas aos respectivos sistemas de regulação; realizar e manter a atualização da PPI do Estado; cumprir os prazos estabelecidos pela Ministério Público da União-MPU, Defensoria Pública da União-DPU e Ministério Público-MPE de Alagoas, referentes a Nota Técnica DENASUS/SEAUD/AL-MS n. 03/2024, que visam a resolução dos problemas de pacientes internos nas UPAS por período superior a 24hrs e da integralização dos Sistemas de Regulação, utilizados pelas Centrais de Regulação da SESAU com as de Maceió e Arapiraca, com vistas a efetivação das atividades precípuas do Complexo Regulador do Estado na melhoria do acesso, da integralidade, da qualidade, da resolubilidade e da humanização das ações de saúde desenvolvidas. Cumprir o inciso I e VI do art. 8º - Anexo XXVI, da Portaria de Consolidação nº 2 de 28/09/2017, o § 2 do art. 8º, o inciso VIII do art. 74 da Portaria Consolidação nº 3, de 03/10/2017.</w:t>
      </w:r>
    </w:p>
    <w:p>
      <w:pPr>
        <w:pStyle w:val="916"/>
      </w:pPr>
      <w:r>
        <w:rPr>
          <w:b/>
          <w:bCs/>
        </w:rPr>
        <w:t xml:space="preserve">Justificativa da IA:</w:t>
      </w:r>
      <w:r>
        <w:t xml:space="preserve"> </w:t>
      </w:r>
      <w:r>
        <w:t xml:space="preserve">A análise inicial valorizou a combinação entre correção das filas, atualização da PPI e integração dos sistemas como possível solução estrutural; a análise crítica reconheceu a multiplicidade, mas destacou que a classificação dos efeitos precisa considerar a coexistência de medidas imediatas e dependentes de execução.</w:t>
      </w:r>
    </w:p>
    <w:p>
      <w:pPr>
        <w:pStyle w:val="916"/>
      </w:pPr>
      <w:r>
        <w:rPr>
          <w:b/>
          <w:bCs/>
        </w:rPr>
        <w:t xml:space="preserve">Limites observados pela IA:</w:t>
      </w:r>
      <w:r>
        <w:t xml:space="preserve"> </w:t>
      </w:r>
      <w:r>
        <w:t xml:space="preserve">A recomendação reúne ações de natureza corretiva, normativa, tecnológica e administrativa, sem indicar qual delas é predominante.</w:t>
      </w:r>
    </w:p>
    <w:bookmarkEnd w:id="42"/>
    <w:bookmarkStart w:id="43" w:name="X2d8c74cd2165ea4d14eea9881c6270153e691fd"/>
    <w:p>
      <w:pPr>
        <w:pStyle w:val="907"/>
      </w:pPr>
      <w:r>
        <w:t xml:space="preserve">C6 — Formalização sem institucionalização demonstrada</w:t>
      </w:r>
    </w:p>
    <w:p>
      <w:pPr>
        <w:pStyle w:val="917"/>
      </w:pPr>
      <w:r>
        <w:rPr>
          <w:b/>
          <w:bCs/>
        </w:rPr>
        <w:t xml:space="preserve">Definição:</w:t>
      </w:r>
      <w:r>
        <w:t xml:space="preserve"> </w:t>
      </w:r>
      <w:r>
        <w:t xml:space="preserve">A divergência decorre da criação ou atualização de documentos, planos, registros, fluxos ou processos formais cuja existência é apresentada como duradoura, mas cuja implementação, manutenção e integração institucional não são demonstradas.</w:t>
      </w:r>
    </w:p>
    <w:p>
      <w:pPr>
        <w:pStyle w:val="916"/>
      </w:pPr>
      <w:r>
        <w:rPr>
          <w:b/>
          <w:bCs/>
        </w:rPr>
        <w:t xml:space="preserve">Critérios de inclusão:</w:t>
      </w:r>
      <w:r>
        <w:t xml:space="preserve"> </w:t>
      </w:r>
      <w:r>
        <w:t xml:space="preserve">a recomendação prevê elaborar, incluir, registrar, organizar ou aprimorar documentos, planos, fluxos ou instrumentos; a análise inicial associa a formalização documental à permanência dos efeitos; e a análise crítica aponta ausência de detalhamento sobre implementação, revisão, monitoramento ou institucionalização</w:t>
      </w:r>
    </w:p>
    <w:p>
      <w:pPr>
        <w:pStyle w:val="916"/>
      </w:pPr>
      <w:r>
        <w:rPr>
          <w:b/>
          <w:bCs/>
        </w:rPr>
        <w:t xml:space="preserve">Critérios de exclusão:</w:t>
      </w:r>
      <w:r>
        <w:t xml:space="preserve"> </w:t>
      </w:r>
      <w:r>
        <w:t xml:space="preserve">não incluir quando o texto se limitar a citar norma sem determinar formalização ou criação de instrumento; quando o mecanismo predominante for execução reiterada por pessoas; ou quando o núcleo da recomendação for exclusivamente capacitação</w:t>
      </w:r>
    </w:p>
    <w:p>
      <w:pPr>
        <w:pStyle w:val="916"/>
      </w:pPr>
      <w:r>
        <w:rPr>
          <w:b/>
          <w:bCs/>
        </w:rPr>
        <w:t xml:space="preserve">Exemplo 1 (19777_1/691653_1.json)</w:t>
      </w:r>
    </w:p>
    <w:p>
      <w:pPr>
        <w:pStyle w:val="916"/>
      </w:pPr>
      <w:r>
        <w:t xml:space="preserve">Estabelecer, documentar e colocar em prática rotina para o correto preenchimento dos mapas de temperatura, conforme estabelecido no Subitem 6.13, Item 6, pág. 63, do Manual da Rede de Frio do PNI/2017; e no Subitem 6.6.2, Item 6, pág. 57, do Manual da Rede de Frio do PNI/2017.</w:t>
      </w:r>
    </w:p>
    <w:p>
      <w:pPr>
        <w:pStyle w:val="916"/>
      </w:pPr>
      <w:r>
        <w:rPr>
          <w:b/>
          <w:bCs/>
        </w:rPr>
        <w:t xml:space="preserve">Justificativa da IA:</w:t>
      </w:r>
      <w:r>
        <w:t xml:space="preserve"> </w:t>
      </w:r>
      <w:r>
        <w:t xml:space="preserve">A análise inicial tratou a rotina documentada como processo formal capaz de persistir; a análise crítica reconheceu o foco causal, mas advertiu que documentação não garante perpetuidade sem controle e monitoramento. A formalização da rotina é o mecanismo central da divergência.</w:t>
      </w:r>
    </w:p>
    <w:p>
      <w:pPr>
        <w:pStyle w:val="916"/>
      </w:pPr>
      <w:r>
        <w:rPr>
          <w:b/>
          <w:bCs/>
        </w:rPr>
        <w:t xml:space="preserve">Limites observados pela IA:</w:t>
      </w:r>
      <w:r>
        <w:t xml:space="preserve"> </w:t>
      </w:r>
      <w:r>
        <w:t xml:space="preserve">A recomendação determina documentar e praticar a rotina, mas não define acompanhamento de sua aplicação.</w:t>
      </w:r>
    </w:p>
    <w:p>
      <w:pPr>
        <w:pStyle w:val="916"/>
      </w:pPr>
      <w:r>
        <w:rPr>
          <w:b/>
          <w:bCs/>
        </w:rPr>
        <w:t xml:space="preserve">Exemplo 2 (19611_1/674433_2.json)</w:t>
      </w:r>
    </w:p>
    <w:p>
      <w:pPr>
        <w:pStyle w:val="916"/>
      </w:pPr>
      <w:r>
        <w:t xml:space="preserve">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pPr>
        <w:pStyle w:val="916"/>
      </w:pPr>
      <w:r>
        <w:rPr>
          <w:b/>
          <w:bCs/>
        </w:rPr>
        <w:t xml:space="preserve">Justificativa da IA:</w:t>
      </w:r>
      <w:r>
        <w:t xml:space="preserve"> </w:t>
      </w:r>
      <w:r>
        <w:t xml:space="preserve">A análise inicial tratou a elaboração de documentos arquivísticos conforme as leis como prática operacional padrão duradoura; a análise crítica reconheceu a formalização, mas ressaltou a dependência de implementação e aderência continuadas. O núcleo da divergência é a passagem de documentos adequados para institucionalização documental.</w:t>
      </w:r>
    </w:p>
    <w:p>
      <w:pPr>
        <w:pStyle w:val="916"/>
      </w:pPr>
      <w:r>
        <w:rPr>
          <w:b/>
          <w:bCs/>
        </w:rPr>
        <w:t xml:space="preserve">Limites observados pela IA:</w:t>
      </w:r>
      <w:r>
        <w:t xml:space="preserve"> </w:t>
      </w:r>
      <w:r>
        <w:t xml:space="preserve">A recomendação define atributos dos documentos, mas não mecanismos de revisão, controle ou manutenção.</w:t>
      </w:r>
    </w:p>
    <w:bookmarkEnd w:id="43"/>
    <w:bookmarkEnd w:id="44"/>
    <w:bookmarkStart w:id="54" w:name="X319243ae01b17cfff3eec28aaba950f93c5d0c4"/>
    <w:p>
      <w:pPr>
        <w:pStyle w:val="906"/>
      </w:pPr>
      <w:r>
        <w:t xml:space="preserve">Rodada final — Classificação sequencial do corpus</w:t>
      </w:r>
    </w:p>
    <w:p>
      <w:pPr>
        <w:pStyle w:val="917"/>
      </w:pPr>
      <w:r>
        <w:t xml:space="preserve">Esta rodada reprocessa o corpus completo em lotes de 25 recomendações. A</w:t>
      </w:r>
      <w:r>
        <w:t xml:space="preserve"> </w:t>
      </w:r>
      <w:r>
        <w:t xml:space="preserve">taxonomia é acumulada sequencialmente: depois de cada chamada, categorias novas</w:t>
      </w:r>
      <w:r>
        <w:t xml:space="preserve"> </w:t>
      </w:r>
      <w:r>
        <w:t xml:space="preserve">são incorporadas ao prompt do lote seguinte.</w:t>
      </w:r>
    </w:p>
    <w:bookmarkStart w:id="45" w:name="prompt-3"/>
    <w:p>
      <w:pPr>
        <w:pStyle w:val="907"/>
      </w:pPr>
      <w:r>
        <w:t xml:space="preserve">Prompt</w:t>
      </w:r>
    </w:p>
    <w:p>
      <w:pPr>
        <w:pStyle w:val="SourceCode"/>
      </w:pPr>
      <w:r>
        <w:rPr>
          <w:rStyle w:val="949"/>
        </w:rPr>
        <w:t xml:space="preserve">Você é um assistente de pesquisa que apoia uma análise de conteúdo sobre recomendações emitidas pelo Departamento Nacional de Auditoria do Sistema Único de Saúde (DENASUS).</w:t>
      </w:r>
      <w:r>
        <w:br/>
      </w:r>
      <w:r>
        <w:br/>
      </w:r>
      <w:r>
        <w:rPr>
          <w:rStyle w:val="949"/>
        </w:rPr>
        <w:t xml:space="preserve">Você receberá um lote de recomendações para as quais houve divergência na avaliação do critério “Efeitos Duradouros”. Cada recomendação é uma unidade de análise independente.</w:t>
      </w:r>
      <w:r>
        <w:br/>
      </w:r>
      <w:r>
        <w:br/>
      </w:r>
      <w:r>
        <w:rPr>
          <w:rStyle w:val="949"/>
        </w:rPr>
        <w:t xml:space="preserve">O objetivo é identificar mecanismos textuais ou substantivos que expliquem por que avaliadores poderiam chegar a conclusões diferentes sobre a permanência dos efeitos da recomendação. Não decida qual análise está correta e não reduza a resposta a “Sim” ou “Não”. Compare a finalidade, a constatação, a recomendação, a análise inicial e a análise crítica recebidas.</w:t>
      </w:r>
      <w:r>
        <w:br/>
      </w:r>
      <w:r>
        <w:br/>
      </w:r>
      <w:r>
        <w:rPr>
          <w:rStyle w:val="949"/>
        </w:rPr>
        <w:t xml:space="preserve">## Categorias existentes</w:t>
      </w:r>
      <w:r>
        <w:br/>
      </w:r>
      <w:r>
        <w:br/>
      </w:r>
      <w:r>
        <w:rPr>
          <w:rStyle w:val="949"/>
        </w:rPr>
        <w:t xml:space="preserve">A taxonomia abaixo é acumulada ao longo das chamadas. Preserve exatamente o código, o nome, a definição e os critérios das categorias existentes. Use uma categoria existente sempre que ela representar adequadamente o mecanismo predominante.</w:t>
      </w:r>
      <w:r>
        <w:br/>
      </w:r>
      <w:r>
        <w:br/>
      </w:r>
      <w:r>
        <w:rPr>
          <w:rStyle w:val="949"/>
        </w:rPr>
        <w:t xml:space="preserve">{{CATEGORIAS_EXISTENTES}}</w:t>
      </w:r>
      <w:r>
        <w:br/>
      </w:r>
      <w:r>
        <w:br/>
      </w:r>
      <w:r>
        <w:rPr>
          <w:rStyle w:val="949"/>
        </w:rPr>
        <w:t xml:space="preserve">## Regras para novas categorias</w:t>
      </w:r>
      <w:r>
        <w:br/>
      </w:r>
      <w:r>
        <w:br/>
      </w:r>
      <w:r>
        <w:rPr>
          <w:rStyle w:val="949"/>
        </w:rPr>
        <w:t xml:space="preserve">Crie uma nova categoria somente quando nenhuma categoria existente representar adequadamente o mecanismo central da divergência. Não crie categorias apenas por mudança de tema, órgão, política pública ou redação.</w:t>
      </w:r>
      <w:r>
        <w:br/>
      </w:r>
      <w:r>
        <w:br/>
      </w:r>
      <w:r>
        <w:rPr>
          <w:rStyle w:val="949"/>
        </w:rPr>
        <w:t xml:space="preserve">Uma categoria nova deve ser distinta das existentes e ter definição, critérios de inclusão e critérios de exclusão estáveis. Identifique novas categorias somente com códigos temporários no formato `NOVA_1`, `NOVA_2` e assim por diante dentro desta resposta. O programa substituirá esses códigos por códigos definitivos antes de usá-los no lote seguinte. Nunca reutilize `NOVA_1` para dois mecanismos diferentes na mesma resposta.</w:t>
      </w:r>
      <w:r>
        <w:br/>
      </w:r>
      <w:r>
        <w:br/>
      </w:r>
      <w:r>
        <w:rPr>
          <w:rStyle w:val="949"/>
        </w:rPr>
        <w:t xml:space="preserve">Leia e compare todas as unidades do lote antes de definir as categorias. Reutilize o mesmo código para unidades que compartilhem o mesmo mecanismo central. Toda unidade deve receber exatamente uma categoria principal; use categorias secundárias apenas para um segundo mecanismo autônomo e não redundante.</w:t>
      </w:r>
      <w:r>
        <w:br/>
      </w:r>
      <w:r>
        <w:br/>
      </w:r>
      <w:r>
        <w:rPr>
          <w:rStyle w:val="949"/>
        </w:rPr>
        <w:t xml:space="preserve">## Estrutura exata da entrada</w:t>
      </w:r>
      <w:r>
        <w:br/>
      </w:r>
      <w:r>
        <w:br/>
      </w:r>
      <w:r>
        <w:rPr>
          <w:rStyle w:val="949"/>
        </w:rPr>
        <w:t xml:space="preserve">O usuário enviará um objeto JSON com esta estrutura:</w:t>
      </w:r>
      <w:r>
        <w:br/>
      </w:r>
      <w:r>
        <w:br/>
      </w:r>
      <w:r>
        <w:rPr>
          <w:rStyle w:val="949"/>
        </w:rPr>
        <w:t xml:space="preserve">{</w:t>
      </w:r>
      <w:r>
        <w:br/>
      </w:r>
      <w:r>
        <w:rPr>
          <w:rStyle w:val="949"/>
        </w:rPr>
        <w:t xml:space="preserve">  "lote_id": "etiquetador_divergencias_final_lote_001",</w:t>
      </w:r>
      <w:r>
        <w:br/>
      </w:r>
      <w:r>
        <w:rPr>
          <w:rStyle w:val="949"/>
        </w:rPr>
        <w:t xml:space="preserve">  "analises": [</w:t>
      </w:r>
      <w:r>
        <w:br/>
      </w:r>
      <w:r>
        <w:rPr>
          <w:rStyle w:val="949"/>
        </w:rPr>
        <w:t xml:space="preserve">    {</w:t>
      </w:r>
      <w:r>
        <w:br/>
      </w:r>
      <w:r>
        <w:rPr>
          <w:rStyle w:val="949"/>
        </w:rPr>
        <w:t xml:space="preserve">      "id_analise": "18714_1/671301_1.json",</w:t>
      </w:r>
      <w:r>
        <w:br/>
      </w:r>
      <w:r>
        <w:rPr>
          <w:rStyle w:val="949"/>
        </w:rPr>
        <w:t xml:space="preserve">      "finalidade": "Finalidade do trabalho de auditoria",</w:t>
      </w:r>
      <w:r>
        <w:br/>
      </w:r>
      <w:r>
        <w:rPr>
          <w:rStyle w:val="949"/>
        </w:rPr>
        <w:t xml:space="preserve">      "constatacao": "Texto da constatação",</w:t>
      </w:r>
      <w:r>
        <w:br/>
      </w:r>
      <w:r>
        <w:rPr>
          <w:rStyle w:val="949"/>
        </w:rPr>
        <w:t xml:space="preserve">      "recomendacao": "Texto da recomendação",</w:t>
      </w:r>
      <w:r>
        <w:br/>
      </w:r>
      <w:r>
        <w:rPr>
          <w:rStyle w:val="949"/>
        </w:rPr>
        <w:t xml:space="preserve">      "analise_inicial": "Racional da análise inicial",</w:t>
      </w:r>
      <w:r>
        <w:br/>
      </w:r>
      <w:r>
        <w:rPr>
          <w:rStyle w:val="949"/>
        </w:rPr>
        <w:t xml:space="preserve">      "resultado_criterio_efeitos_duradouros": "Resultado da análise inicial",</w:t>
      </w:r>
      <w:r>
        <w:br/>
      </w:r>
      <w:r>
        <w:rPr>
          <w:rStyle w:val="949"/>
        </w:rPr>
        <w:t xml:space="preserve">      "analise_critica": "Racional da análise crítica",</w:t>
      </w:r>
      <w:r>
        <w:br/>
      </w:r>
      <w:r>
        <w:rPr>
          <w:rStyle w:val="949"/>
        </w:rPr>
        <w:t xml:space="preserve">      "resultado_criterio_efeitos_duradouros_analise_critica": "Resultado da análise crítica"</w:t>
      </w:r>
      <w:r>
        <w:br/>
      </w:r>
      <w:r>
        <w:rPr>
          <w:rStyle w:val="949"/>
        </w:rPr>
        <w:t xml:space="preserve">    }</w:t>
      </w:r>
      <w:r>
        <w:br/>
      </w:r>
      <w:r>
        <w:rPr>
          <w:rStyle w:val="949"/>
        </w:rPr>
        <w:t xml:space="preserve">  ]</w:t>
      </w:r>
      <w:r>
        <w:br/>
      </w:r>
      <w:r>
        <w:rPr>
          <w:rStyle w:val="949"/>
        </w:rPr>
        <w:t xml:space="preserve">}</w:t>
      </w:r>
      <w:r>
        <w:br/>
      </w:r>
      <w:r>
        <w:br/>
      </w:r>
      <w:r>
        <w:rPr>
          <w:rStyle w:val="949"/>
        </w:rPr>
        <w:t xml:space="preserve">## Estrutura exata da resposta</w:t>
      </w:r>
      <w:r>
        <w:br/>
      </w:r>
      <w:r>
        <w:br/>
      </w:r>
      <w:r>
        <w:rPr>
          <w:rStyle w:val="949"/>
        </w:rPr>
        <w:t xml:space="preserve">Responda exclusivamente com um objeto JSON válido, sem markdown, comentários ou campos adicionais.</w:t>
      </w:r>
      <w:r>
        <w:br/>
      </w:r>
      <w:r>
        <w:br/>
      </w:r>
      <w:r>
        <w:rPr>
          <w:rStyle w:val="949"/>
        </w:rPr>
        <w:t xml:space="preserve">{</w:t>
      </w:r>
      <w:r>
        <w:br/>
      </w:r>
      <w:r>
        <w:rPr>
          <w:rStyle w:val="949"/>
        </w:rPr>
        <w:t xml:space="preserve">  "categorias": [</w:t>
      </w:r>
      <w:r>
        <w:br/>
      </w:r>
      <w:r>
        <w:rPr>
          <w:rStyle w:val="949"/>
        </w:rPr>
        <w:t xml:space="preserve">    {</w:t>
      </w:r>
      <w:r>
        <w:br/>
      </w:r>
      <w:r>
        <w:rPr>
          <w:rStyle w:val="949"/>
        </w:rPr>
        <w:t xml:space="preserve">      "id_categoria": "C1 ou NOVA_1",</w:t>
      </w:r>
      <w:r>
        <w:br/>
      </w:r>
      <w:r>
        <w:rPr>
          <w:rStyle w:val="949"/>
        </w:rPr>
        <w:t xml:space="preserve">      "nome_categoria": "nome da categoria",</w:t>
      </w:r>
      <w:r>
        <w:br/>
      </w:r>
      <w:r>
        <w:rPr>
          <w:rStyle w:val="949"/>
        </w:rPr>
        <w:t xml:space="preserve">      "definicao": "definição estável do mecanismo central",</w:t>
      </w:r>
      <w:r>
        <w:br/>
      </w:r>
      <w:r>
        <w:rPr>
          <w:rStyle w:val="949"/>
        </w:rPr>
        <w:t xml:space="preserve">      "criterios_inclusao": ["característica necessária ou típica"],</w:t>
      </w:r>
      <w:r>
        <w:br/>
      </w:r>
      <w:r>
        <w:rPr>
          <w:rStyle w:val="949"/>
        </w:rPr>
        <w:t xml:space="preserve">      "criterios_exclusao": ["característica que não basta para inclusão"]</w:t>
      </w:r>
      <w:r>
        <w:br/>
      </w:r>
      <w:r>
        <w:rPr>
          <w:rStyle w:val="949"/>
        </w:rPr>
        <w:t xml:space="preserve">    }</w:t>
      </w:r>
      <w:r>
        <w:br/>
      </w:r>
      <w:r>
        <w:rPr>
          <w:rStyle w:val="949"/>
        </w:rPr>
        <w:t xml:space="preserve">  ],</w:t>
      </w:r>
      <w:r>
        <w:br/>
      </w:r>
      <w:r>
        <w:rPr>
          <w:rStyle w:val="949"/>
        </w:rPr>
        <w:t xml:space="preserve">  "classificacoes": [</w:t>
      </w:r>
      <w:r>
        <w:br/>
      </w:r>
      <w:r>
        <w:rPr>
          <w:rStyle w:val="949"/>
        </w:rPr>
        <w:t xml:space="preserve">    {</w:t>
      </w:r>
      <w:r>
        <w:br/>
      </w:r>
      <w:r>
        <w:rPr>
          <w:rStyle w:val="949"/>
        </w:rPr>
        <w:t xml:space="preserve">      "id_analise": "18714_1/671301_1.json",</w:t>
      </w:r>
      <w:r>
        <w:br/>
      </w:r>
      <w:r>
        <w:rPr>
          <w:rStyle w:val="949"/>
        </w:rPr>
        <w:t xml:space="preserve">      "categoria_principal": "C1 ou NOVA_1",</w:t>
      </w:r>
      <w:r>
        <w:br/>
      </w:r>
      <w:r>
        <w:rPr>
          <w:rStyle w:val="949"/>
        </w:rPr>
        <w:t xml:space="preserve">      "categorias_secundarias": [],</w:t>
      </w:r>
      <w:r>
        <w:br/>
      </w:r>
      <w:r>
        <w:rPr>
          <w:rStyle w:val="949"/>
        </w:rPr>
        <w:t xml:space="preserve">      "justificativa": "comparação entre a análise inicial, a análise crítica e a ambiguidade textual",</w:t>
      </w:r>
      <w:r>
        <w:br/>
      </w:r>
      <w:r>
        <w:rPr>
          <w:rStyle w:val="949"/>
        </w:rPr>
        <w:t xml:space="preserve">      "observacoes_limite": "informação ausente ou limite da interpretação; use string vazia quando não houver"</w:t>
      </w:r>
      <w:r>
        <w:br/>
      </w:r>
      <w:r>
        <w:rPr>
          <w:rStyle w:val="949"/>
        </w:rPr>
        <w:t xml:space="preserve">    }</w:t>
      </w:r>
      <w:r>
        <w:br/>
      </w:r>
      <w:r>
        <w:rPr>
          <w:rStyle w:val="949"/>
        </w:rPr>
        <w:t xml:space="preserve">  ]</w:t>
      </w:r>
      <w:r>
        <w:br/>
      </w:r>
      <w:r>
        <w:rPr>
          <w:rStyle w:val="949"/>
        </w:rPr>
        <w:t xml:space="preserve">}</w:t>
      </w:r>
      <w:r>
        <w:br/>
      </w:r>
      <w:r>
        <w:br/>
      </w:r>
      <w:r>
        <w:rPr>
          <w:rStyle w:val="949"/>
        </w:rPr>
        <w:t xml:space="preserve">Antes de finalizar, verifique se todos os `id_analise` recebidos aparecem exatamente uma vez em `classificacoes`, se cada categoria utilizada está na lista `categorias`, se os códigos temporários são únicos e se as justificativas não inventam informações.</w:t>
      </w:r>
    </w:p>
    <w:bookmarkEnd w:id="45"/>
    <w:bookmarkStart w:id="46" w:name="resultados-3"/>
    <w:p>
      <w:pPr>
        <w:pStyle w:val="907"/>
      </w:pPr>
      <w:r>
        <w:t xml:space="preserve">Resultados</w:t>
      </w:r>
    </w:p>
    <w:p>
      <w:pPr>
        <w:pStyle w:val="917"/>
      </w:pPr>
      <w:r>
        <w:t xml:space="preserve">Modelo: respostas carregadas de etiquetador_divergencias_final. Unidades classificadas: 747.</w:t>
      </w:r>
    </w:p>
    <w:tbl>
      <w:tblPr>
        <w:tblStyle w:val="Table"/>
        <w:tblW w:type="pct" w:w="5000"/>
        <w:tblLayout w:type="fixed"/>
        <w:tblLook w:firstRow="1" w:lastRow="0" w:firstColumn="0" w:lastColumn="0" w:noHBand="0" w:noVBand="0" w:val="0020"/>
      </w:tblPr>
      <w:tblGrid>
        <w:gridCol w:w="1144"/>
        <w:gridCol w:w="4752"/>
        <w:gridCol w:w="2023"/>
      </w:tblGrid>
      <w:tr>
        <w:trPr>
          <w:tblHeader w:val="on"/>
        </w:trPr>
        <w:tc>
          <w:tcPr/>
          <w:p>
            <w:pPr>
              <w:pStyle w:val="918"/>
              <w:jc w:val="left"/>
            </w:pPr>
            <w:r>
              <w:t xml:space="preserve">id_categoria</w:t>
            </w:r>
          </w:p>
        </w:tc>
        <w:tc>
          <w:tcPr/>
          <w:p>
            <w:pPr>
              <w:pStyle w:val="918"/>
              <w:jc w:val="left"/>
            </w:pPr>
            <w:r>
              <w:t xml:space="preserve">nome_categoria</w:t>
            </w:r>
          </w:p>
        </w:tc>
        <w:tc>
          <w:tcPr/>
          <w:p>
            <w:pPr>
              <w:pStyle w:val="918"/>
              <w:jc w:val="right"/>
            </w:pPr>
            <w:r>
              <w:t xml:space="preserve">unidades_classificadas</w:t>
            </w:r>
          </w:p>
        </w:tc>
      </w:tr>
      <w:tr>
        <w:tc>
          <w:tcPr/>
          <w:p>
            <w:pPr>
              <w:pStyle w:val="918"/>
              <w:jc w:val="left"/>
            </w:pPr>
            <w:r>
              <w:t xml:space="preserve">C1</w:t>
            </w:r>
          </w:p>
        </w:tc>
        <w:tc>
          <w:tcPr/>
          <w:p>
            <w:pPr>
              <w:pStyle w:val="918"/>
              <w:jc w:val="left"/>
            </w:pPr>
            <w:r>
              <w:t xml:space="preserve">Conformidade normativa sem mecanismo de implementação</w:t>
            </w:r>
          </w:p>
        </w:tc>
        <w:tc>
          <w:tcPr/>
          <w:p>
            <w:pPr>
              <w:pStyle w:val="918"/>
              <w:jc w:val="right"/>
            </w:pPr>
            <w:r>
              <w:t xml:space="preserve">117</w:t>
            </w:r>
          </w:p>
        </w:tc>
      </w:tr>
      <w:tr>
        <w:tc>
          <w:tcPr/>
          <w:p>
            <w:pPr>
              <w:pStyle w:val="918"/>
              <w:jc w:val="left"/>
            </w:pPr>
            <w:r>
              <w:t xml:space="preserve">C2</w:t>
            </w:r>
          </w:p>
        </w:tc>
        <w:tc>
          <w:tcPr/>
          <w:p>
            <w:pPr>
              <w:pStyle w:val="918"/>
              <w:jc w:val="left"/>
            </w:pPr>
            <w:r>
              <w:t xml:space="preserve">Execução continuada dependente de adesão</w:t>
            </w:r>
          </w:p>
        </w:tc>
        <w:tc>
          <w:tcPr/>
          <w:p>
            <w:pPr>
              <w:pStyle w:val="918"/>
              <w:jc w:val="right"/>
            </w:pPr>
            <w:r>
              <w:t xml:space="preserve">281</w:t>
            </w:r>
          </w:p>
        </w:tc>
      </w:tr>
      <w:tr>
        <w:tc>
          <w:tcPr/>
          <w:p>
            <w:pPr>
              <w:pStyle w:val="918"/>
              <w:jc w:val="left"/>
            </w:pPr>
            <w:r>
              <w:t xml:space="preserve">C3</w:t>
            </w:r>
          </w:p>
        </w:tc>
        <w:tc>
          <w:tcPr/>
          <w:p>
            <w:pPr>
              <w:pStyle w:val="918"/>
              <w:jc w:val="left"/>
            </w:pPr>
            <w:r>
              <w:t xml:space="preserve">Capacitação sujeita a atualização e retenção</w:t>
            </w:r>
          </w:p>
        </w:tc>
        <w:tc>
          <w:tcPr/>
          <w:p>
            <w:pPr>
              <w:pStyle w:val="918"/>
              <w:jc w:val="right"/>
            </w:pPr>
            <w:r>
              <w:t xml:space="preserve">38</w:t>
            </w:r>
          </w:p>
        </w:tc>
      </w:tr>
      <w:tr>
        <w:tc>
          <w:tcPr/>
          <w:p>
            <w:pPr>
              <w:pStyle w:val="918"/>
              <w:jc w:val="left"/>
            </w:pPr>
            <w:r>
              <w:t xml:space="preserve">C4</w:t>
            </w:r>
          </w:p>
        </w:tc>
        <w:tc>
          <w:tcPr/>
          <w:p>
            <w:pPr>
              <w:pStyle w:val="918"/>
              <w:jc w:val="left"/>
            </w:pPr>
            <w:r>
              <w:t xml:space="preserve">Pacote heterogêneo de ações</w:t>
            </w:r>
          </w:p>
        </w:tc>
        <w:tc>
          <w:tcPr/>
          <w:p>
            <w:pPr>
              <w:pStyle w:val="918"/>
              <w:jc w:val="right"/>
            </w:pPr>
            <w:r>
              <w:t xml:space="preserve">205</w:t>
            </w:r>
          </w:p>
        </w:tc>
      </w:tr>
      <w:tr>
        <w:tc>
          <w:tcPr/>
          <w:p>
            <w:pPr>
              <w:pStyle w:val="918"/>
              <w:jc w:val="left"/>
            </w:pPr>
            <w:r>
              <w:t xml:space="preserve">C5</w:t>
            </w:r>
          </w:p>
        </w:tc>
        <w:tc>
          <w:tcPr/>
          <w:p>
            <w:pPr>
              <w:pStyle w:val="918"/>
              <w:jc w:val="left"/>
            </w:pPr>
            <w:r>
              <w:t xml:space="preserve">Investigação sem tratamento assegurado</w:t>
            </w:r>
          </w:p>
        </w:tc>
        <w:tc>
          <w:tcPr/>
          <w:p>
            <w:pPr>
              <w:pStyle w:val="918"/>
              <w:jc w:val="right"/>
            </w:pPr>
            <w:r>
              <w:t xml:space="preserve">13</w:t>
            </w:r>
          </w:p>
        </w:tc>
      </w:tr>
      <w:tr>
        <w:tc>
          <w:tcPr/>
          <w:p>
            <w:pPr>
              <w:pStyle w:val="918"/>
              <w:jc w:val="left"/>
            </w:pPr>
            <w:r>
              <w:t xml:space="preserve">C6</w:t>
            </w:r>
          </w:p>
        </w:tc>
        <w:tc>
          <w:tcPr/>
          <w:p>
            <w:pPr>
              <w:pStyle w:val="918"/>
              <w:jc w:val="left"/>
            </w:pPr>
            <w:r>
              <w:t xml:space="preserve">Formalização sem institucionalização demonstrada</w:t>
            </w:r>
          </w:p>
        </w:tc>
        <w:tc>
          <w:tcPr/>
          <w:p>
            <w:pPr>
              <w:pStyle w:val="918"/>
              <w:jc w:val="right"/>
            </w:pPr>
            <w:r>
              <w:t xml:space="preserve">85</w:t>
            </w:r>
          </w:p>
        </w:tc>
      </w:tr>
      <w:tr>
        <w:tc>
          <w:tcPr/>
          <w:p>
            <w:pPr>
              <w:pStyle w:val="918"/>
              <w:jc w:val="left"/>
            </w:pPr>
            <w:r>
              <w:t xml:space="preserve">C7</w:t>
            </w:r>
          </w:p>
        </w:tc>
        <w:tc>
          <w:tcPr/>
          <w:p>
            <w:pPr>
              <w:pStyle w:val="918"/>
              <w:jc w:val="left"/>
            </w:pPr>
            <w:r>
              <w:t xml:space="preserve">Adequação estrutural ou física com efeito material</w:t>
            </w:r>
          </w:p>
        </w:tc>
        <w:tc>
          <w:tcPr/>
          <w:p>
            <w:pPr>
              <w:pStyle w:val="918"/>
              <w:jc w:val="right"/>
            </w:pPr>
            <w:r>
              <w:t xml:space="preserve">8</w:t>
            </w:r>
          </w:p>
        </w:tc>
      </w:tr>
    </w:tbl>
    <w:p>
      <w:pPr>
        <w:pStyle w:val="916"/>
      </w:pPr>
      <w:r>
        <w:t xml:space="preserve">São apresentados dois exemplos selecionados aleatoriamente por categoria quando há pelo menos duas unidades; categorias com uma única unidade apresentam apenas esse exemplo.</w:t>
      </w:r>
    </w:p>
    <w:bookmarkEnd w:id="46"/>
    <w:bookmarkStart w:id="47" w:name="X8bde32eeea4f9e4d7fa5d2419866569fe388ff8"/>
    <w:p>
      <w:pPr>
        <w:pStyle w:val="907"/>
      </w:pPr>
      <w:r>
        <w:t xml:space="preserve">C1 — Conformidade normativa sem mecanismo de implementação</w:t>
      </w:r>
    </w:p>
    <w:p>
      <w:pPr>
        <w:pStyle w:val="917"/>
      </w:pPr>
      <w:r>
        <w:rPr>
          <w:b/>
          <w:bCs/>
        </w:rPr>
        <w:t xml:space="preserve">Definição:</w:t>
      </w:r>
      <w:r>
        <w:t xml:space="preserve"> </w:t>
      </w:r>
      <w:r>
        <w:t xml:space="preserve">A recomendação determina ou referencia normas, mas não explicita mecanismos concretos de implementação, verificação ou sustentação.</w:t>
      </w:r>
    </w:p>
    <w:p>
      <w:pPr>
        <w:pStyle w:val="916"/>
      </w:pPr>
      <w:r>
        <w:rPr>
          <w:b/>
          <w:bCs/>
        </w:rPr>
        <w:t xml:space="preserve">Critérios de inclusão:</w:t>
      </w:r>
      <w:r>
        <w:t xml:space="preserve"> </w:t>
      </w:r>
      <w:r>
        <w:t xml:space="preserve">cumprimento de norma ou requisito; permanência inferida da validade da norma</w:t>
      </w:r>
    </w:p>
    <w:p>
      <w:pPr>
        <w:pStyle w:val="916"/>
      </w:pPr>
      <w:r>
        <w:rPr>
          <w:b/>
          <w:bCs/>
        </w:rPr>
        <w:t xml:space="preserve">Critérios de exclusão:</w:t>
      </w:r>
      <w:r>
        <w:t xml:space="preserve"> </w:t>
      </w:r>
      <w:r>
        <w:t xml:space="preserve">investigação sem ação corretiva; pacote claramente heterogêneo</w:t>
      </w:r>
    </w:p>
    <w:p>
      <w:pPr>
        <w:pStyle w:val="916"/>
      </w:pPr>
      <w:r>
        <w:rPr>
          <w:b/>
          <w:bCs/>
        </w:rPr>
        <w:t xml:space="preserve">Exemplo 1 (19877_1/703136_2.json)</w:t>
      </w:r>
    </w:p>
    <w:p>
      <w:pPr>
        <w:pStyle w:val="916"/>
      </w:pPr>
      <w:r>
        <w:t xml:space="preserve">Adotar os procedimentos a seu cargo, conforme estabelecido no Art. 26, do Decreto n.º 11.798/2023 e Art. 3º da Portaria GM/MS n.º 885, de 4/5/2021, visando a elisão do dano e/ou impropriedade ocorrida com recursos de origem federal, indicado Capítulo</w:t>
      </w:r>
      <w:r>
        <w:t xml:space="preserve"> </w:t>
      </w:r>
      <w:r>
        <w:t xml:space="preserve">‘Proposição da Devolução’</w:t>
      </w:r>
      <w:r>
        <w:t xml:space="preserve"> </w:t>
      </w:r>
      <w:r>
        <w:t xml:space="preserve">deste relatório, assim como, prevenir a recorrência do fato apresentado.</w:t>
      </w:r>
    </w:p>
    <w:p>
      <w:pPr>
        <w:pStyle w:val="916"/>
      </w:pPr>
      <w:r>
        <w:rPr>
          <w:b/>
          <w:bCs/>
        </w:rPr>
        <w:t xml:space="preserve">Justificativa da IA:</w:t>
      </w:r>
      <w:r>
        <w:t xml:space="preserve"> </w:t>
      </w:r>
      <w:r>
        <w:t xml:space="preserve">A análise inicial infere efeitos duradouros da adoção de procedimentos previstos em normas, enquanto a análise crítica pede maior exame da implementação. A recomendação referencia procedimentos normativos de modo amplo, sem explicitar quais ações concretas, controles ou rotinas serão instituídos.</w:t>
      </w:r>
    </w:p>
    <w:p>
      <w:pPr>
        <w:pStyle w:val="916"/>
      </w:pPr>
      <w:r>
        <w:rPr>
          <w:b/>
          <w:bCs/>
        </w:rPr>
        <w:t xml:space="preserve">Limites observados pela IA:</w:t>
      </w:r>
      <w:r>
        <w:t xml:space="preserve"> </w:t>
      </w:r>
      <w:r>
        <w:t xml:space="preserve">O texto não informa quais são os procedimentos a cargo do destinatário nem como serão acompanhados.</w:t>
      </w:r>
    </w:p>
    <w:p>
      <w:pPr>
        <w:pStyle w:val="916"/>
      </w:pPr>
      <w:r>
        <w:rPr>
          <w:b/>
          <w:bCs/>
        </w:rPr>
        <w:t xml:space="preserve">Exemplo 2 (19669_1/684468_1.json)</w:t>
      </w:r>
    </w:p>
    <w:p>
      <w:pPr>
        <w:pStyle w:val="916"/>
      </w:pPr>
      <w:r>
        <w:t xml:space="preserve">Cumprir com o inciso III, do Art. 369, da Portaria de Consolidação GM/MS n.º 1, de 28 de setembro de 2017, que trata das responsabilidades da direção municipal do SUS em relação ao CNES, assim como dos Arts. 370 e 372, da mesma Portaria que estatui sobre o processo de cadastramento e manutenção ou atualização cadastral proposto para os estabelecimentos de saúde e envio dos referidos dados, devendo os mesmos serem validados para envio à base de dados nacional, e Portaria SAS/MS nº 134/2011, art 1º, que diz que constitui responsabilidade dos gestores municipais, estaduais e do Distrito Federal (DF), bem como dos gerentes de todos os estabelecimentos de saúde na correta inserção, manutenção e atualização sistemática dos cadastros no SCNES dos profissionais de saúde em exercício nos seus respectivos serviços de saúde, públicos e privados.</w:t>
      </w:r>
    </w:p>
    <w:p>
      <w:pPr>
        <w:pStyle w:val="916"/>
      </w:pPr>
      <w:r>
        <w:rPr>
          <w:b/>
          <w:bCs/>
        </w:rPr>
        <w:t xml:space="preserve">Justificativa da IA:</w:t>
      </w:r>
      <w:r>
        <w:t xml:space="preserve"> </w:t>
      </w:r>
      <w:r>
        <w:t xml:space="preserve">O núcleo da recomendação é cumprir normas que atribuem responsabilidades de cadastramento, manutenção e atualização do CNES. A análise inicial considera a obrigação normativa suficiente para tratar a causa, enquanto a crítica reconhece a possibilidade de correção, mas mantém a ambiguidade quanto à durabilidade por falta de mecanismos concretos.</w:t>
      </w:r>
    </w:p>
    <w:p>
      <w:pPr>
        <w:pStyle w:val="916"/>
      </w:pPr>
      <w:r>
        <w:rPr>
          <w:b/>
          <w:bCs/>
        </w:rPr>
        <w:t xml:space="preserve">Limites observados pela IA:</w:t>
      </w:r>
      <w:r>
        <w:t xml:space="preserve"> </w:t>
      </w:r>
      <w:r>
        <w:t xml:space="preserve">A recomendação não descreve processos internos, responsáveis, periodicidade ou verificação da atualização sistemática.</w:t>
      </w:r>
    </w:p>
    <w:bookmarkEnd w:id="47"/>
    <w:bookmarkStart w:id="48" w:name="X7d8c47f186e9f12b0b4680ceda9a20398d10c55"/>
    <w:p>
      <w:pPr>
        <w:pStyle w:val="907"/>
      </w:pPr>
      <w:r>
        <w:t xml:space="preserve">C2 — Execução continuada dependente de adesão</w:t>
      </w:r>
    </w:p>
    <w:p>
      <w:pPr>
        <w:pStyle w:val="917"/>
      </w:pPr>
      <w:r>
        <w:rPr>
          <w:b/>
          <w:bCs/>
        </w:rPr>
        <w:t xml:space="preserve">Definição:</w:t>
      </w:r>
      <w:r>
        <w:t xml:space="preserve"> </w:t>
      </w:r>
      <w:r>
        <w:t xml:space="preserve">A durabilidade depende da realização reiterada de rotinas, controles ou supervisão por pessoas ou unidades.</w:t>
      </w:r>
    </w:p>
    <w:p>
      <w:pPr>
        <w:pStyle w:val="916"/>
      </w:pPr>
      <w:r>
        <w:rPr>
          <w:b/>
          <w:bCs/>
        </w:rPr>
        <w:t xml:space="preserve">Critérios de inclusão:</w:t>
      </w:r>
      <w:r>
        <w:t xml:space="preserve"> </w:t>
      </w:r>
      <w:r>
        <w:t xml:space="preserve">monitoramento ou execução recorrente; dependência de adesão continuada</w:t>
      </w:r>
    </w:p>
    <w:p>
      <w:pPr>
        <w:pStyle w:val="916"/>
      </w:pPr>
      <w:r>
        <w:rPr>
          <w:b/>
          <w:bCs/>
        </w:rPr>
        <w:t xml:space="preserve">Critérios de exclusão:</w:t>
      </w:r>
      <w:r>
        <w:t xml:space="preserve"> </w:t>
      </w:r>
      <w:r>
        <w:t xml:space="preserve">cumprimento normativo genérico; capacitação como ação principal</w:t>
      </w:r>
    </w:p>
    <w:p>
      <w:pPr>
        <w:pStyle w:val="916"/>
      </w:pPr>
      <w:r>
        <w:rPr>
          <w:b/>
          <w:bCs/>
        </w:rPr>
        <w:t xml:space="preserve">Exemplo 1 (19777_1/691653_1.json)</w:t>
      </w:r>
    </w:p>
    <w:p>
      <w:pPr>
        <w:pStyle w:val="916"/>
      </w:pPr>
      <w:r>
        <w:t xml:space="preserve">Estabelecer, documentar e colocar em prática rotina para o correto preenchimento dos mapas de temperatura, conforme estabelecido no Subitem 6.13, Item 6, pág. 63, do Manual da Rede de Frio do PNI/2017; e no Subitem 6.6.2, Item 6, pág. 57, do Manual da Rede de Frio do PNI/2017.</w:t>
      </w:r>
    </w:p>
    <w:p>
      <w:pPr>
        <w:pStyle w:val="916"/>
      </w:pPr>
      <w:r>
        <w:rPr>
          <w:b/>
          <w:bCs/>
        </w:rPr>
        <w:t xml:space="preserve">Justificativa da IA:</w:t>
      </w:r>
      <w:r>
        <w:t xml:space="preserve"> </w:t>
      </w:r>
      <w:r>
        <w:t xml:space="preserve">A análise inicial considera a rotina documentada suficiente para garantir continuidade. A crítica separa documentação de aplicação efetiva e exige controle e monitoramento contínuos. A prática reiterada de preenchimento é predominante, com formalização como suporte.</w:t>
      </w:r>
    </w:p>
    <w:p>
      <w:pPr>
        <w:pStyle w:val="916"/>
      </w:pPr>
      <w:r>
        <w:rPr>
          <w:b/>
          <w:bCs/>
        </w:rPr>
        <w:t xml:space="preserve">Limites observados pela IA:</w:t>
      </w:r>
      <w:r>
        <w:t xml:space="preserve"> </w:t>
      </w:r>
      <w:r>
        <w:t xml:space="preserve">A recomendação determina colocar a rotina em prática, mas não especifica supervisão, auditoria ou mecanismos de correção.</w:t>
      </w:r>
    </w:p>
    <w:p>
      <w:pPr>
        <w:pStyle w:val="916"/>
      </w:pPr>
      <w:r>
        <w:rPr>
          <w:b/>
          <w:bCs/>
        </w:rPr>
        <w:t xml:space="preserve">Exemplo 2 (19304_2/655044_1.json)</w:t>
      </w:r>
    </w:p>
    <w:p>
      <w:pPr>
        <w:pStyle w:val="916"/>
      </w:pPr>
      <w:r>
        <w:t xml:space="preserve">Adotar medidas efetivas de controle sobre as Autorizações para realização de procedimentos especiais, com a utilização de DMIs, para fazer cumprir o art. 18 da Le nº 8.080/1990, que trata da responsabilidade da direção municipal do SUS de controlar e fiscalizar os procedimentos dos serviços privados de saúde, bem como cumprir o que determina o Incisos VI e VIII do Art. 4º do Anexo XXVI da Portaria de Consolidação nº 2 de 28 de setembro de 2017, que trata da ação de supervisionar e processar a produção ambulatorial e hospitalar (inciso VI) e realizar avaliação analítica da produção (inciso VIII).</w:t>
      </w:r>
    </w:p>
    <w:p>
      <w:pPr>
        <w:pStyle w:val="916"/>
      </w:pPr>
      <w:r>
        <w:rPr>
          <w:b/>
          <w:bCs/>
        </w:rPr>
        <w:t xml:space="preserve">Justificativa da IA:</w:t>
      </w:r>
      <w:r>
        <w:t xml:space="preserve"> </w:t>
      </w:r>
      <w:r>
        <w:t xml:space="preserve">A análise inicial tratou as medidas de controle e as normas como estruturas duradouras, enquanto a análise crítica destacou a variabilidade dos fatores humanos e organizacionais. A fiscalização, supervisão e avaliação analítica são atividades recorrentes cuja permanência depende da execução continuada.</w:t>
      </w:r>
    </w:p>
    <w:p>
      <w:pPr>
        <w:pStyle w:val="916"/>
      </w:pPr>
      <w:r>
        <w:rPr>
          <w:b/>
          <w:bCs/>
        </w:rPr>
        <w:t xml:space="preserve">Limites observados pela IA:</w:t>
      </w:r>
      <w:r>
        <w:t xml:space="preserve"> </w:t>
      </w:r>
      <w:r>
        <w:t xml:space="preserve">A recomendação não especifica os procedimentos, indicadores ou responsáveis pelo controle das autorizações.</w:t>
      </w:r>
    </w:p>
    <w:bookmarkEnd w:id="48"/>
    <w:bookmarkStart w:id="49" w:name="X0af98be28d3c38e7c7c2e5028d4c1187f6baec6"/>
    <w:p>
      <w:pPr>
        <w:pStyle w:val="907"/>
      </w:pPr>
      <w:r>
        <w:t xml:space="preserve">C3 — Capacitação sujeita a atualização e retenção</w:t>
      </w:r>
    </w:p>
    <w:p>
      <w:pPr>
        <w:pStyle w:val="917"/>
      </w:pPr>
      <w:r>
        <w:rPr>
          <w:b/>
          <w:bCs/>
        </w:rPr>
        <w:t xml:space="preserve">Definição:</w:t>
      </w:r>
      <w:r>
        <w:t xml:space="preserve"> </w:t>
      </w:r>
      <w:r>
        <w:t xml:space="preserve">A ação educacional pode produzir conhecimento persistente, mas depende de atualização, retenção de pessoal e incorporação institucional.</w:t>
      </w:r>
    </w:p>
    <w:p>
      <w:pPr>
        <w:pStyle w:val="916"/>
      </w:pPr>
      <w:r>
        <w:rPr>
          <w:b/>
          <w:bCs/>
        </w:rPr>
        <w:t xml:space="preserve">Critérios de inclusão:</w:t>
      </w:r>
      <w:r>
        <w:t xml:space="preserve"> </w:t>
      </w:r>
      <w:r>
        <w:t xml:space="preserve">educação, treinamento ou qualificação como ação central; dependência de atualização ou retenção</w:t>
      </w:r>
    </w:p>
    <w:p>
      <w:pPr>
        <w:pStyle w:val="916"/>
      </w:pPr>
      <w:r>
        <w:rPr>
          <w:b/>
          <w:bCs/>
        </w:rPr>
        <w:t xml:space="preserve">Critérios de exclusão:</w:t>
      </w:r>
      <w:r>
        <w:t xml:space="preserve"> </w:t>
      </w:r>
      <w:r>
        <w:t xml:space="preserve">capacitação secundária em pacote heterogêneo; rotina de controle como ação principal</w:t>
      </w:r>
    </w:p>
    <w:p>
      <w:pPr>
        <w:pStyle w:val="916"/>
      </w:pPr>
      <w:r>
        <w:rPr>
          <w:b/>
          <w:bCs/>
        </w:rPr>
        <w:t xml:space="preserve">Exemplo 1 (19598_1/676749_2.json)</w:t>
      </w:r>
    </w:p>
    <w:p>
      <w:pPr>
        <w:pStyle w:val="916"/>
      </w:pPr>
      <w:r>
        <w:t xml:space="preserve">Promover ações de educação continuada com profissionais médicos e operadores para efetivo atendimento das ligações, com fim de evitar filas.</w:t>
      </w:r>
    </w:p>
    <w:p>
      <w:pPr>
        <w:pStyle w:val="916"/>
      </w:pPr>
      <w:r>
        <w:rPr>
          <w:b/>
          <w:bCs/>
        </w:rPr>
        <w:t xml:space="preserve">Justificativa da IA:</w:t>
      </w:r>
      <w:r>
        <w:t xml:space="preserve"> </w:t>
      </w:r>
      <w:r>
        <w:t xml:space="preserve">A análise inicial associou educação continuada a mudanças culturais e procedimentais duradouras. A análise crítica observou que a ação trata apenas indiretamente as causas possíveis e depende da continuidade do programa e da adesão dos profissionais, mecanismo típico de capacitação sujeita à atualização.</w:t>
      </w:r>
    </w:p>
    <w:p>
      <w:pPr>
        <w:pStyle w:val="916"/>
      </w:pPr>
      <w:r>
        <w:rPr>
          <w:b/>
          <w:bCs/>
        </w:rPr>
        <w:t xml:space="preserve">Limites observados pela IA:</w:t>
      </w:r>
      <w:r>
        <w:t xml:space="preserve"> </w:t>
      </w:r>
      <w:r>
        <w:t xml:space="preserve">A recomendação não aborda diretamente carga horária, incentivos, infraestrutura ou outros fatores possíveis da ausência de login.</w:t>
      </w:r>
    </w:p>
    <w:p>
      <w:pPr>
        <w:pStyle w:val="916"/>
      </w:pPr>
      <w:r>
        <w:rPr>
          <w:b/>
          <w:bCs/>
        </w:rPr>
        <w:t xml:space="preserve">Exemplo 2 (19680_1/685136_1.json)</w:t>
      </w:r>
    </w:p>
    <w:p>
      <w:pPr>
        <w:pStyle w:val="916"/>
      </w:pPr>
      <w:r>
        <w:t xml:space="preserve">Adotar medidas de capacitação educativa, sistemática e permanente junto aos profissionais das Equipes de Saúde da Família com a finalidade de criar a cultura do registro eficaz nas evoluções do cuidado prestado ao cidadão/usuário do SUS, assim como o preenchimento de todas as informações necessárias relacionadas ao atendimento, garantindo desta forma a consistência dos dados lançados no PEC (Prontuário Eletrônico do Cidadão) e nos Sistemas Nacionais de Informações da Atenção Básica e em obediência aos instrumentos orientativos disponibilizados pelo Ministério da Saúde: Itens 6.1, 6.2 e 6.3 - Recomendações para registro das informações de saúde, das Notas Técnicas Nº 13, 14, 15, 16, 18, 22 e 23/ 2022 - SAPS/MS, combinado com o guia PEC, 2022.</w:t>
      </w:r>
    </w:p>
    <w:p>
      <w:pPr>
        <w:pStyle w:val="916"/>
      </w:pPr>
      <w:r>
        <w:rPr>
          <w:b/>
          <w:bCs/>
        </w:rPr>
        <w:t xml:space="preserve">Justificativa da IA:</w:t>
      </w:r>
      <w:r>
        <w:t xml:space="preserve"> </w:t>
      </w:r>
      <w:r>
        <w:t xml:space="preserve">As análises convergem quanto à capacitação e à mudança cultural como foco causal, mas divergem sobre a durabilidade: a inicial presume que a capacitação permanente institucionaliza a prática, enquanto a crítica ressalta rotatividade, adesão e necessidade de reforço. A ação educacional é o mecanismo predominante.</w:t>
      </w:r>
    </w:p>
    <w:p>
      <w:pPr>
        <w:pStyle w:val="916"/>
      </w:pPr>
      <w:r>
        <w:rPr>
          <w:b/>
          <w:bCs/>
        </w:rPr>
        <w:t xml:space="preserve">Limites observados pela IA:</w:t>
      </w:r>
      <w:r>
        <w:t xml:space="preserve"> </w:t>
      </w:r>
      <w:r>
        <w:t xml:space="preserve">Embora a recomendação mencione capacitação sistemática e permanente, não detalha avaliação de aprendizagem, reciclagem ou retenção do conhecimento.</w:t>
      </w:r>
    </w:p>
    <w:bookmarkEnd w:id="49"/>
    <w:bookmarkStart w:id="50" w:name="c4-pacote-heterogêneo-de-ações-3"/>
    <w:p>
      <w:pPr>
        <w:pStyle w:val="907"/>
      </w:pPr>
      <w:r>
        <w:t xml:space="preserve">C4 — Pacote heterogêneo de ações</w:t>
      </w:r>
    </w:p>
    <w:p>
      <w:pPr>
        <w:pStyle w:val="917"/>
      </w:pPr>
      <w:r>
        <w:rPr>
          <w:b/>
          <w:bCs/>
        </w:rPr>
        <w:t xml:space="preserve">Definição:</w:t>
      </w:r>
      <w:r>
        <w:t xml:space="preserve"> </w:t>
      </w:r>
      <w:r>
        <w:t xml:space="preserve">A recomendação combina medidas imediatas ou reparadoras com ações estruturais, preventivas ou de capacitação.</w:t>
      </w:r>
    </w:p>
    <w:p>
      <w:pPr>
        <w:pStyle w:val="916"/>
      </w:pPr>
      <w:r>
        <w:rPr>
          <w:b/>
          <w:bCs/>
        </w:rPr>
        <w:t xml:space="preserve">Critérios de inclusão:</w:t>
      </w:r>
      <w:r>
        <w:t xml:space="preserve"> </w:t>
      </w:r>
      <w:r>
        <w:t xml:space="preserve">duas ou mais ações autônomas; componentes com funções distintas</w:t>
      </w:r>
    </w:p>
    <w:p>
      <w:pPr>
        <w:pStyle w:val="916"/>
      </w:pPr>
      <w:r>
        <w:rPr>
          <w:b/>
          <w:bCs/>
        </w:rPr>
        <w:t xml:space="preserve">Critérios de exclusão:</w:t>
      </w:r>
      <w:r>
        <w:t xml:space="preserve"> </w:t>
      </w:r>
      <w:r>
        <w:t xml:space="preserve">etapas do mesmo procedimento; divergência explicada por adesão continuada</w:t>
      </w:r>
    </w:p>
    <w:p>
      <w:pPr>
        <w:pStyle w:val="916"/>
      </w:pPr>
      <w:r>
        <w:rPr>
          <w:b/>
          <w:bCs/>
        </w:rPr>
        <w:t xml:space="preserve">Exemplo 1 (19712_1/690999_1.json)</w:t>
      </w:r>
    </w:p>
    <w:p>
      <w:pPr>
        <w:pStyle w:val="918"/>
        <w:numPr>
          <w:ilvl w:val="0"/>
          <w:numId w:val="1001"/>
        </w:numPr>
      </w:pPr>
      <w:r>
        <w:t xml:space="preserve">Proceder a correta alimentação dos Bancos de Dados Nacionais que integram o Sistema Único de Saúde, conforme responsabilidade atribuída à gestão do SUS estabelecida no parágrafo primeiro do art. 294 da Portaria de Consolidação GM/MS n.º 1/2017. b) Restituir o valor de R$ 319.745,88 ao Fundo Nacional de Saúde/MS, conforme apontamentos registrados neste item, atualizado monetariamente segundo o</w:t>
      </w:r>
      <w:r>
        <w:t xml:space="preserve"> </w:t>
      </w:r>
      <w:r>
        <w:rPr>
          <w:rStyle w:val="949"/>
        </w:rPr>
        <w:t xml:space="preserve">Sistema Débito</w:t>
      </w:r>
      <w:r>
        <w:t xml:space="preserve"> </w:t>
      </w:r>
      <w:r>
        <w:t xml:space="preserve">do Tribunal de Contas da União, em cumprimento ao inciso VII do art. 2º do Decreto nº 3.964 de 10 de outubro de 2001 e ao subitem 9.3.4 do Acórdão/TCU nº 1.072/2017-Plenário. c) Promover, em cumprimento ao inciso VII do art. 16 da Lei Municipal n.º 443, de 27 de fevereiro de 2013, combinado com o inciso II, art. 9º da mesma Lei, a abertura de sindicância/procedimento administrativo disciplinar, para apurar autoria e responsabilidade pelo desaparecimento do livro de registro de exames realizados no período de setembro a dezembro de 2021, no qual seria possível identificar as datas, o tipo, a quantidade e o resultado dos 128.092 exames registrados no SIA/SUS.</w:t>
      </w:r>
    </w:p>
    <w:p>
      <w:pPr>
        <w:pStyle w:val="917"/>
      </w:pPr>
      <w:r>
        <w:rPr>
          <w:b/>
          <w:bCs/>
        </w:rPr>
        <w:t xml:space="preserve">Justificativa da IA:</w:t>
      </w:r>
      <w:r>
        <w:t xml:space="preserve"> </w:t>
      </w:r>
      <w:r>
        <w:t xml:space="preserve">A análise inicial concentra-se na sindicância e infere que ela criará responsabilização duradoura; a crítica observa que se trata de ação reativa e específica. A recomendação reúne alimentação correta, restituição financeira e apuração do desaparecimento de registros, com funções reparadoras e investigativas distintas.</w:t>
      </w:r>
    </w:p>
    <w:p>
      <w:pPr>
        <w:pStyle w:val="916"/>
      </w:pPr>
      <w:r>
        <w:rPr>
          <w:b/>
          <w:bCs/>
        </w:rPr>
        <w:t xml:space="preserve">Limites observados pela IA:</w:t>
      </w:r>
      <w:r>
        <w:t xml:space="preserve"> </w:t>
      </w:r>
      <w:r>
        <w:t xml:space="preserve">Não há medida expressa de controle permanente dos registros além da determinação genérica de alimentação correta.</w:t>
      </w:r>
    </w:p>
    <w:p>
      <w:pPr>
        <w:pStyle w:val="916"/>
      </w:pPr>
      <w:r>
        <w:rPr>
          <w:b/>
          <w:bCs/>
        </w:rPr>
        <w:t xml:space="preserve">Exemplo 2 (19627_1/685172_2.json)</w:t>
      </w:r>
    </w:p>
    <w:p>
      <w:pPr>
        <w:pStyle w:val="916"/>
      </w:pPr>
      <w:r>
        <w:t xml:space="preserve">À Sesai: Determinar às unidades de acompanhamento que: (i) elaborem relatórios mensais com base nas informações e mapas de produção enviados pelas unidades de acompanhamento do Dsei Litoral Sul (Sesani/Dsei), devendo ser inseridos no Transferegov até o dia 20 do mês subsequente ao mês acompanhado; (ii) adotem medidas de natureza preventiva ou corretiva na hipótese do não cumprimento do disposto no objeto do convênio, atendendo à Portaria de Consolidação Sesai/MS nº 1 /2020: §§3º e 4º do art. 4º; inciso VI do art. 11; e incisos I e II do art. 14.</w:t>
      </w:r>
    </w:p>
    <w:p>
      <w:pPr>
        <w:pStyle w:val="916"/>
      </w:pPr>
      <w:r>
        <w:rPr>
          <w:b/>
          <w:bCs/>
        </w:rPr>
        <w:t xml:space="preserve">Justificativa da IA:</w:t>
      </w:r>
      <w:r>
        <w:t xml:space="preserve"> </w:t>
      </w:r>
      <w:r>
        <w:t xml:space="preserve">A recomendação combina a produção mensal e inserção de relatórios com a adoção de medidas preventivas ou corretivas em caso de descumprimento. A análise inicial viu apenas correção da condição documental; a crítica reconheceu componentes causais, mas não explicita se o mecanismo de resposta será sustentado.</w:t>
      </w:r>
    </w:p>
    <w:p>
      <w:pPr>
        <w:pStyle w:val="916"/>
      </w:pPr>
      <w:r>
        <w:rPr>
          <w:b/>
          <w:bCs/>
        </w:rPr>
        <w:t xml:space="preserve">Limites observados pela IA:</w:t>
      </w:r>
      <w:r>
        <w:t xml:space="preserve"> </w:t>
      </w:r>
      <w:r>
        <w:t xml:space="preserve">A obrigação de elaborar relatórios é recorrente, porém os mecanismos de prevenção e correção são genéricos.</w:t>
      </w:r>
    </w:p>
    <w:bookmarkEnd w:id="50"/>
    <w:bookmarkStart w:id="51" w:name="X1bd9903b44c37a9b9894fa5bb7fa71647790046"/>
    <w:p>
      <w:pPr>
        <w:pStyle w:val="907"/>
      </w:pPr>
      <w:r>
        <w:t xml:space="preserve">C5 — Investigação sem tratamento assegurado</w:t>
      </w:r>
    </w:p>
    <w:p>
      <w:pPr>
        <w:pStyle w:val="917"/>
      </w:pPr>
      <w:r>
        <w:rPr>
          <w:b/>
          <w:bCs/>
        </w:rPr>
        <w:t xml:space="preserve">Definição:</w:t>
      </w:r>
      <w:r>
        <w:t xml:space="preserve"> </w:t>
      </w:r>
      <w:r>
        <w:t xml:space="preserve">A recomendação solicita informação, justificativa ou apuração sem determinar a implementação das medidas que tratariam a causa.</w:t>
      </w:r>
    </w:p>
    <w:p>
      <w:pPr>
        <w:pStyle w:val="916"/>
      </w:pPr>
      <w:r>
        <w:rPr>
          <w:b/>
          <w:bCs/>
        </w:rPr>
        <w:t xml:space="preserve">Critérios de inclusão:</w:t>
      </w:r>
      <w:r>
        <w:t xml:space="preserve"> </w:t>
      </w:r>
      <w:r>
        <w:t xml:space="preserve">investigação ou solicitação como ação principal; ausência de tratamento assegurado</w:t>
      </w:r>
    </w:p>
    <w:p>
      <w:pPr>
        <w:pStyle w:val="916"/>
      </w:pPr>
      <w:r>
        <w:rPr>
          <w:b/>
          <w:bCs/>
        </w:rPr>
        <w:t xml:space="preserve">Critérios de exclusão:</w:t>
      </w:r>
      <w:r>
        <w:t xml:space="preserve"> </w:t>
      </w:r>
      <w:r>
        <w:t xml:space="preserve">investigação acompanhada de ação corretiva; rotina de controle diretamente estabelecida</w:t>
      </w:r>
    </w:p>
    <w:p>
      <w:pPr>
        <w:pStyle w:val="916"/>
      </w:pPr>
      <w:r>
        <w:rPr>
          <w:b/>
          <w:bCs/>
        </w:rPr>
        <w:t xml:space="preserve">Exemplo 1 (19611_1/674455_1.json)</w:t>
      </w:r>
    </w:p>
    <w:p>
      <w:pPr>
        <w:pStyle w:val="916"/>
      </w:pPr>
      <w:r>
        <w:t xml:space="preserve">Dar ciência ao Fundo Nacional de Saúde para que esse se manifeste quanto a sua competência de acompanhar a conformidade financeira do convênio, conforme previsto no inciso II, art. 59, da Portaria Interministerial n° 424/MP/MF/CGU/2016.</w:t>
      </w:r>
    </w:p>
    <w:p>
      <w:pPr>
        <w:pStyle w:val="916"/>
      </w:pPr>
      <w:r>
        <w:rPr>
          <w:b/>
          <w:bCs/>
        </w:rPr>
        <w:t xml:space="preserve">Justificativa da IA:</w:t>
      </w:r>
      <w:r>
        <w:t xml:space="preserve"> </w:t>
      </w:r>
      <w:r>
        <w:t xml:space="preserve">A recomendação solicita que o Fundo Nacional de Saúde se manifeste sobre sua competência, sem determinar a designação, atuação ou controle do fiscal financeiro. A análise inicial entende que não há foco causal e, portanto, não há efeitos duradouros; a crítica discorda genericamente, mas não identifica ação corretiva concreta.</w:t>
      </w:r>
    </w:p>
    <w:p>
      <w:pPr>
        <w:pStyle w:val="916"/>
      </w:pPr>
      <w:r>
        <w:rPr>
          <w:b/>
          <w:bCs/>
        </w:rPr>
        <w:t xml:space="preserve">Limites observados pela IA:</w:t>
      </w:r>
      <w:r>
        <w:t xml:space="preserve"> </w:t>
      </w:r>
      <w:r>
        <w:t xml:space="preserve">A análise crítica não especifica qual mecanismo adicional transformaria a comunicação em tratamento assegurado.</w:t>
      </w:r>
    </w:p>
    <w:p>
      <w:pPr>
        <w:pStyle w:val="916"/>
      </w:pPr>
      <w:r>
        <w:rPr>
          <w:b/>
          <w:bCs/>
        </w:rPr>
        <w:t xml:space="preserve">Exemplo 2 (19612_1/674776_2.json)</w:t>
      </w:r>
    </w:p>
    <w:p>
      <w:pPr>
        <w:pStyle w:val="916"/>
      </w:pPr>
      <w:r>
        <w:t xml:space="preserve">Avaliar a necessidade de encaminhamento de representação ao Ministério Público Federal e ao Tribunal de Contas da União para julgamento da conduta de montagem de processo de cotação de preço posterior a celebração do contrato, nos termos do art. 58 da Portaria Interministerial MP/MF/CGU nº 424/2016.</w:t>
      </w:r>
    </w:p>
    <w:p>
      <w:pPr>
        <w:pStyle w:val="916"/>
      </w:pPr>
      <w:r>
        <w:rPr>
          <w:b/>
          <w:bCs/>
        </w:rPr>
        <w:t xml:space="preserve">Justificativa da IA:</w:t>
      </w:r>
      <w:r>
        <w:t xml:space="preserve"> </w:t>
      </w:r>
      <w:r>
        <w:t xml:space="preserve">A recomendação limita-se a avaliar o encaminhamento de representação para julgamento por órgãos externos. A análise inicial infere efeito dissuasório institucional, enquanto a crítica aponta que o encaminhamento isolado não assegura precedente ou mudança permanente; a divergência decorre da extrapolação entre investigação/responsabilização potencial e tratamento efetivo.</w:t>
      </w:r>
    </w:p>
    <w:p>
      <w:pPr>
        <w:pStyle w:val="916"/>
      </w:pPr>
      <w:r>
        <w:rPr>
          <w:b/>
          <w:bCs/>
        </w:rPr>
        <w:t xml:space="preserve">Limites observados pela IA:</w:t>
      </w:r>
      <w:r>
        <w:t xml:space="preserve"> </w:t>
      </w:r>
      <w:r>
        <w:t xml:space="preserve">Não há determinação de correção dos procedimentos internos ou de prevenção de novas montagens de processos.</w:t>
      </w:r>
    </w:p>
    <w:bookmarkEnd w:id="51"/>
    <w:bookmarkStart w:id="52" w:name="X4aa93df1e6a6951484ced80c8c4311159cedff8"/>
    <w:p>
      <w:pPr>
        <w:pStyle w:val="907"/>
      </w:pPr>
      <w:r>
        <w:t xml:space="preserve">C6 — Formalização sem institucionalização demonstrada</w:t>
      </w:r>
    </w:p>
    <w:p>
      <w:pPr>
        <w:pStyle w:val="917"/>
      </w:pPr>
      <w:r>
        <w:rPr>
          <w:b/>
          <w:bCs/>
        </w:rPr>
        <w:t xml:space="preserve">Definição:</w:t>
      </w:r>
      <w:r>
        <w:t xml:space="preserve"> </w:t>
      </w:r>
      <w:r>
        <w:t xml:space="preserve">A recomendação cria ou atualiza documentos, planos, registros ou fluxos sem demonstrar implementação, manutenção e integração institucional.</w:t>
      </w:r>
    </w:p>
    <w:p>
      <w:pPr>
        <w:pStyle w:val="916"/>
      </w:pPr>
      <w:r>
        <w:rPr>
          <w:b/>
          <w:bCs/>
        </w:rPr>
        <w:t xml:space="preserve">Critérios de inclusão:</w:t>
      </w:r>
      <w:r>
        <w:t xml:space="preserve"> </w:t>
      </w:r>
      <w:r>
        <w:t xml:space="preserve">criação ou aprimoramento de instrumento formal; ausência de implementação ou monitoramento demonstrado</w:t>
      </w:r>
    </w:p>
    <w:p>
      <w:pPr>
        <w:pStyle w:val="916"/>
      </w:pPr>
      <w:r>
        <w:rPr>
          <w:b/>
          <w:bCs/>
        </w:rPr>
        <w:t xml:space="preserve">Critérios de exclusão:</w:t>
      </w:r>
      <w:r>
        <w:t xml:space="preserve"> </w:t>
      </w:r>
      <w:r>
        <w:t xml:space="preserve">mera citação de norma; execução reiterada por pessoas como mecanismo predominante</w:t>
      </w:r>
    </w:p>
    <w:p>
      <w:pPr>
        <w:pStyle w:val="916"/>
      </w:pPr>
      <w:r>
        <w:rPr>
          <w:b/>
          <w:bCs/>
        </w:rPr>
        <w:t xml:space="preserve">Exemplo 1 (19616_1/676245_1.json)</w:t>
      </w:r>
    </w:p>
    <w:p>
      <w:pPr>
        <w:pStyle w:val="916"/>
      </w:pPr>
      <w:r>
        <w:t xml:space="preserve">Determinar ao DSEI que insira a avaliação de desempenho da convenente no Transferegov, em conformidade ao previsto no § 7º, art. 16, da Portaria de Consolidação nº 1 SESAI/MS, de 17/12/2020.</w:t>
      </w:r>
    </w:p>
    <w:p>
      <w:pPr>
        <w:pStyle w:val="916"/>
      </w:pPr>
      <w:r>
        <w:rPr>
          <w:b/>
          <w:bCs/>
        </w:rPr>
        <w:t xml:space="preserve">Justificativa da IA:</w:t>
      </w:r>
      <w:r>
        <w:t xml:space="preserve"> </w:t>
      </w:r>
      <w:r>
        <w:t xml:space="preserve">A recomendação determina inserir a avaliação de desempenho no Transferegov. A análise inicial interpreta o registro no sistema como procedimento obrigatório e permanente, enquanto a crítica aponta que a mera inserção não assegura a realização semestral nem supervisão. A divergência se concentra na diferença entre formalizar o fluxo no sistema e demonstrar sua execução continuada.</w:t>
      </w:r>
    </w:p>
    <w:p>
      <w:pPr>
        <w:pStyle w:val="916"/>
      </w:pPr>
      <w:r>
        <w:rPr>
          <w:b/>
          <w:bCs/>
        </w:rPr>
        <w:t xml:space="preserve">Limites observados pela IA:</w:t>
      </w:r>
      <w:r>
        <w:t xml:space="preserve"> </w:t>
      </w:r>
      <w:r>
        <w:t xml:space="preserve">Não há previsão expressa de controle sobre a periodicidade, completude ou qualidade das avaliações inseridas.</w:t>
      </w:r>
    </w:p>
    <w:p>
      <w:pPr>
        <w:pStyle w:val="916"/>
      </w:pPr>
      <w:r>
        <w:rPr>
          <w:b/>
          <w:bCs/>
        </w:rPr>
        <w:t xml:space="preserve">Exemplo 2 (19669_1/684465_1.json)</w:t>
      </w:r>
    </w:p>
    <w:p>
      <w:pPr>
        <w:pStyle w:val="916"/>
      </w:pPr>
      <w:r>
        <w:t xml:space="preserve">Cumprir com o que estabelecem os Arts. 95, 96, 97 e 99, todos da Portaria de Consolidação GM/MS n.º 01, de 28 de setembro de 2017, que prevêem que os instrumentos para o planejamento no âmbito do SUS, o Plano de Saúde (PS), as Programações Anuais de Saúde (PAS) e o Relatório Anual de Gestão (RAG) que se interligam compondo um processo cíclico de planejamento para operacionalização integrada, solidária e sistêmica do SUS, onde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pPr>
        <w:pStyle w:val="916"/>
      </w:pPr>
      <w:r>
        <w:rPr>
          <w:b/>
          <w:bCs/>
        </w:rPr>
        <w:t xml:space="preserve">Justificativa da IA:</w:t>
      </w:r>
      <w:r>
        <w:t xml:space="preserve"> </w:t>
      </w:r>
      <w:r>
        <w:t xml:space="preserve">A recomendação enfatiza o cumprimento de regras sobre PS, PAS e RAG e descreve suas funções no planejamento e monitoramento. A análise inicial infere estruturas permanentes, mas a análise crítica não confirma que a formalização documental se converta em execução institucional; por isso, o mecanismo predominante é formalização sem institucionalização demonstrada.</w:t>
      </w:r>
    </w:p>
    <w:p>
      <w:pPr>
        <w:pStyle w:val="916"/>
      </w:pPr>
      <w:r>
        <w:rPr>
          <w:b/>
          <w:bCs/>
        </w:rPr>
        <w:t xml:space="preserve">Limites observados pela IA:</w:t>
      </w:r>
      <w:r>
        <w:t xml:space="preserve"> </w:t>
      </w:r>
      <w:r>
        <w:t xml:space="preserve">A análise crítica é inconclusiva e não informa se os instrumentos foram elaborados, utilizados ou monitorados.</w:t>
      </w:r>
    </w:p>
    <w:bookmarkEnd w:id="52"/>
    <w:bookmarkStart w:id="53" w:name="Xc92dce27464fa7829b8d8a803806d71a25ade30"/>
    <w:p>
      <w:pPr>
        <w:pStyle w:val="907"/>
      </w:pPr>
      <w:r>
        <w:t xml:space="preserve">C7 — Adequação estrutural ou física com efeito material</w:t>
      </w:r>
    </w:p>
    <w:p>
      <w:pPr>
        <w:pStyle w:val="917"/>
      </w:pPr>
      <w:r>
        <w:rPr>
          <w:b/>
          <w:bCs/>
        </w:rPr>
        <w:t xml:space="preserve">Definição:</w:t>
      </w:r>
      <w:r>
        <w:t xml:space="preserve"> </w:t>
      </w:r>
      <w:r>
        <w:t xml:space="preserve">A recomendação determina investimento, construção, adaptação ou modificação física ou técnica que produz uma condição material potencialmente persistente, mas cuja manutenção ou aderência posterior pode afetar a durabilidade.</w:t>
      </w:r>
    </w:p>
    <w:p>
      <w:pPr>
        <w:pStyle w:val="916"/>
      </w:pPr>
      <w:r>
        <w:rPr>
          <w:b/>
          <w:bCs/>
        </w:rPr>
        <w:t xml:space="preserve">Critérios de inclusão:</w:t>
      </w:r>
      <w:r>
        <w:t xml:space="preserve"> </w:t>
      </w:r>
      <w:r>
        <w:t xml:space="preserve">obra, adaptação ou investimento físico como ação central; alteração material de instalações ou infraestrutura; efeito duradouro inferido da mudança física, sem depender principalmente de formalização documental</w:t>
      </w:r>
    </w:p>
    <w:p>
      <w:pPr>
        <w:pStyle w:val="916"/>
      </w:pPr>
      <w:r>
        <w:rPr>
          <w:b/>
          <w:bCs/>
        </w:rPr>
        <w:t xml:space="preserve">Critérios de exclusão:</w:t>
      </w:r>
      <w:r>
        <w:t xml:space="preserve"> </w:t>
      </w:r>
      <w:r>
        <w:t xml:space="preserve">mera referência a requisitos normativos sem intervenção material definida; rotinas operacionais ou supervisão recorrente como mecanismo predominante; criação ou atualização de documentos, registros ou fluxos</w:t>
      </w:r>
    </w:p>
    <w:p>
      <w:pPr>
        <w:pStyle w:val="916"/>
      </w:pPr>
      <w:r>
        <w:rPr>
          <w:b/>
          <w:bCs/>
        </w:rPr>
        <w:t xml:space="preserve">Exemplo 1 (19727_1/691843_1.json)</w:t>
      </w:r>
    </w:p>
    <w:p>
      <w:pPr>
        <w:pStyle w:val="916"/>
      </w:pPr>
      <w:r>
        <w:t xml:space="preserve">À SMS/CG/PB para realizar os investimentos necessários para adequar as instalações do estabelecimento às exigências legais e às melhores práticas de saúde e segurança, incluindo o dimensionamento levando-se em conta o tamanho da equipe e o número de postos de trabalho e o isolamento acústico para eliminar ruídos e auxiliar no sigilo ético-profissional das informações em conformidade com o Anexo 4 do Anexo III da Portaria de Consolidação nº 3, de 28/09/2017 - dimensionamento técnico para estruturação física das centrais de regulação médica das urgências e Art. 915, Seção IV, Capítulo II, Título VIII da Portaria de Consolidação nº 6, de 28/09/2017.</w:t>
      </w:r>
    </w:p>
    <w:p>
      <w:pPr>
        <w:pStyle w:val="916"/>
      </w:pPr>
      <w:r>
        <w:rPr>
          <w:b/>
          <w:bCs/>
        </w:rPr>
        <w:t xml:space="preserve">Justificativa da IA:</w:t>
      </w:r>
      <w:r>
        <w:t xml:space="preserve"> </w:t>
      </w:r>
      <w:r>
        <w:t xml:space="preserve">A recomendação determina investimentos, dimensionamento e isolamento acústico, produzindo alterações materiais na Central de Regulação. A análise inicial considera essas mudanças permanentes, enquanto a análise crítica ressalta que a manutenção e a aderência posterior às normas não são garantidas apenas pela implementação inicial.</w:t>
      </w:r>
    </w:p>
    <w:p>
      <w:pPr>
        <w:pStyle w:val="916"/>
      </w:pPr>
      <w:r>
        <w:rPr>
          <w:b/>
          <w:bCs/>
        </w:rPr>
        <w:t xml:space="preserve">Limites observados pela IA:</w:t>
      </w:r>
      <w:r>
        <w:t xml:space="preserve"> </w:t>
      </w:r>
      <w:r>
        <w:t xml:space="preserve">A recomendação não especifica mecanismos de manutenção da infraestrutura nem de verificação continuada da conformidade.</w:t>
      </w:r>
    </w:p>
    <w:p>
      <w:pPr>
        <w:pStyle w:val="916"/>
      </w:pPr>
      <w:r>
        <w:rPr>
          <w:b/>
          <w:bCs/>
        </w:rPr>
        <w:t xml:space="preserve">Exemplo 2 (19854_1/701907_3.json)</w:t>
      </w:r>
    </w:p>
    <w:p>
      <w:pPr>
        <w:pStyle w:val="916"/>
      </w:pPr>
      <w:r>
        <w:t xml:space="preserve">Adequar o mobiliário dos postos de trabalho ao disposto no item 17.6, e seus subitens, da Norma Regulamentadora n.º 17 - Ergonomia (Redação dada pela Portaria MTP n.º 423, de 07/10/2021).</w:t>
      </w:r>
    </w:p>
    <w:p>
      <w:pPr>
        <w:pStyle w:val="916"/>
      </w:pPr>
      <w:r>
        <w:rPr>
          <w:b/>
          <w:bCs/>
        </w:rPr>
        <w:t xml:space="preserve">Justificativa da IA:</w:t>
      </w:r>
      <w:r>
        <w:t xml:space="preserve"> </w:t>
      </w:r>
      <w:r>
        <w:t xml:space="preserve">A recomendação determina adequação material do mobiliário, levando a análise inicial a inferir persistência da condição física. A análise crítica ressalta que a correção do mobiliário não demonstra como a unidade manterá a adequação ou evitará nova deterioração.</w:t>
      </w:r>
    </w:p>
    <w:p>
      <w:pPr>
        <w:pStyle w:val="916"/>
      </w:pPr>
      <w:r>
        <w:rPr>
          <w:b/>
          <w:bCs/>
        </w:rPr>
        <w:t xml:space="preserve">Limites observados pela IA:</w:t>
      </w:r>
      <w:r>
        <w:t xml:space="preserve"> </w:t>
      </w:r>
      <w:r>
        <w:t xml:space="preserve">Não são especificados recursos, responsáveis ou procedimentos de manutenção do mobiliário.</w:t>
      </w:r>
    </w:p>
    <w:bookmarkEnd w:id="53"/>
    <w:bookmarkEnd w:id="54"/>
    <w:bookmarkEnd w:id="55"/>
    <w:bookmarkStart w:id="56" w:name="arquivos-produzidos"/>
    <w:p>
      <w:pPr>
        <w:pStyle w:val="905"/>
      </w:pPr>
      <w:r>
        <w:t xml:space="preserve">Arquivos produzidos</w:t>
      </w:r>
    </w:p>
    <w:p>
      <w:pPr>
        <w:pStyle w:val="917"/>
      </w:pPr>
      <w:r>
        <w:t xml:space="preserve">No modelo gpt-5.6-luna, os arquivos JSON de cada rodada foram salvos no subdiretório identificado pelo respectivo</w:t>
      </w:r>
      <w:r>
        <w:t xml:space="preserve"> </w:t>
      </w:r>
      <w:r>
        <w:rPr>
          <w:i/>
          <w:iCs/>
        </w:rPr>
        <w:t xml:space="preserve">prompt</w:t>
      </w:r>
      <w:r>
        <w:t xml:space="preserve">. A semente utilizada foi 42.</w:t>
      </w:r>
    </w:p>
    <w:tbl>
      <w:tblPr>
        <w:tblStyle w:val="Table"/>
        <w:tblW w:type="auto" w:w="0"/>
        <w:tblLook w:firstRow="1" w:lastRow="0" w:firstColumn="0" w:lastColumn="0" w:noHBand="0" w:noVBand="0" w:val="0020"/>
      </w:tblPr>
      <w:tblGrid>
        <w:gridCol w:w="3960"/>
        <w:gridCol w:w="3960"/>
      </w:tblGrid>
      <w:tr>
        <w:trPr>
          <w:tblHeader w:val="on"/>
        </w:trPr>
        <w:tc>
          <w:tcPr/>
          <w:p>
            <w:pPr>
              <w:pStyle w:val="918"/>
              <w:jc w:val="left"/>
            </w:pPr>
            <w:r>
              <w:t xml:space="preserve">prompt</w:t>
            </w:r>
          </w:p>
        </w:tc>
        <w:tc>
          <w:tcPr/>
          <w:p>
            <w:pPr>
              <w:pStyle w:val="918"/>
              <w:jc w:val="right"/>
            </w:pPr>
            <w:r>
              <w:t xml:space="preserve">Arquivos JSON salvos</w:t>
            </w:r>
          </w:p>
        </w:tc>
      </w:tr>
      <w:tr>
        <w:tc>
          <w:tcPr/>
          <w:p>
            <w:pPr>
              <w:pStyle w:val="918"/>
              <w:jc w:val="left"/>
            </w:pPr>
            <w:r>
              <w:t xml:space="preserve">etiquetador_divergencias_1</w:t>
            </w:r>
          </w:p>
        </w:tc>
        <w:tc>
          <w:tcPr/>
          <w:p>
            <w:pPr>
              <w:pStyle w:val="918"/>
              <w:jc w:val="right"/>
            </w:pPr>
            <w:r>
              <w:t xml:space="preserve">1</w:t>
            </w:r>
          </w:p>
        </w:tc>
      </w:tr>
      <w:tr>
        <w:tc>
          <w:tcPr/>
          <w:p>
            <w:pPr>
              <w:pStyle w:val="918"/>
              <w:jc w:val="left"/>
            </w:pPr>
            <w:r>
              <w:t xml:space="preserve">etiquetador_divergencias_2</w:t>
            </w:r>
          </w:p>
        </w:tc>
        <w:tc>
          <w:tcPr/>
          <w:p>
            <w:pPr>
              <w:pStyle w:val="918"/>
              <w:jc w:val="right"/>
            </w:pPr>
            <w:r>
              <w:t xml:space="preserve">1</w:t>
            </w:r>
          </w:p>
        </w:tc>
      </w:tr>
      <w:tr>
        <w:tc>
          <w:tcPr/>
          <w:p>
            <w:pPr>
              <w:pStyle w:val="918"/>
              <w:jc w:val="left"/>
            </w:pPr>
            <w:r>
              <w:t xml:space="preserve">etiquetador_divergencias_3</w:t>
            </w:r>
          </w:p>
        </w:tc>
        <w:tc>
          <w:tcPr/>
          <w:p>
            <w:pPr>
              <w:pStyle w:val="918"/>
              <w:jc w:val="right"/>
            </w:pPr>
            <w:r>
              <w:t xml:space="preserve">1</w:t>
            </w:r>
          </w:p>
        </w:tc>
      </w:tr>
      <w:tr>
        <w:tc>
          <w:tcPr/>
          <w:p>
            <w:pPr>
              <w:pStyle w:val="918"/>
              <w:jc w:val="left"/>
            </w:pPr>
            <w:r>
              <w:t xml:space="preserve">etiquetador_divergencias_final</w:t>
            </w:r>
          </w:p>
        </w:tc>
        <w:tc>
          <w:tcPr/>
          <w:p>
            <w:pPr>
              <w:pStyle w:val="918"/>
              <w:jc w:val="right"/>
            </w:pPr>
            <w:r>
              <w:t xml:space="preserve">30</w:t>
            </w:r>
          </w:p>
        </w:tc>
      </w:tr>
    </w:tbl>
    <w:bookmarkEnd w:id="56"/>
    <w:bookmarkStart w:id="57" w:name="resumo"/>
    <w:p>
      <w:pPr>
        <w:pStyle w:val="905"/>
      </w:pPr>
      <w:r>
        <w:t xml:space="preserve">Resumo</w:t>
      </w:r>
    </w:p>
    <w:p>
      <w:pPr>
        <w:pStyle w:val="917"/>
      </w:pPr>
      <w:r>
        <w:t xml:space="preserve">O quadro abaixo resume a rodada final, que classificou novamente as 747</w:t>
      </w:r>
      <w:r>
        <w:t xml:space="preserve"> </w:t>
      </w:r>
      <w:r>
        <w:t xml:space="preserve">recomendações com base na taxonomia acumulada e revista sob supervisão da</w:t>
      </w:r>
      <w:r>
        <w:t xml:space="preserve"> </w:t>
      </w:r>
      <w:r>
        <w:t xml:space="preserve">pesquisadora, ainda aberta à incorporação de novas categorias. Suas frequências</w:t>
      </w:r>
      <w:r>
        <w:t xml:space="preserve"> </w:t>
      </w:r>
      <w:r>
        <w:t xml:space="preserve">provêm exclusivamente dessa rodada, que aplicou ao corpus completo a versão</w:t>
      </w:r>
      <w:r>
        <w:t xml:space="preserve"> </w:t>
      </w:r>
      <w:r>
        <w:t xml:space="preserve">mais atualizada da classificação. Antes da contagem, os identificadores</w:t>
      </w:r>
      <w:r>
        <w:t xml:space="preserve"> </w:t>
      </w:r>
      <w:r>
        <w:t xml:space="preserve">retornados são conferidos contra o corpus original; respostas sem</w:t>
      </w:r>
      <w:r>
        <w:t xml:space="preserve"> </w:t>
      </w:r>
      <w:r>
        <w:t xml:space="preserve">correspondência são descartadas.</w:t>
      </w:r>
    </w:p>
    <w:tbl>
      <w:tblPr>
        <w:tblStyle w:val="Table"/>
        <w:tblW w:type="pct" w:w="5000"/>
        <w:tblLayout w:type="fixed"/>
        <w:tblLook w:firstRow="1" w:lastRow="0" w:firstColumn="0" w:lastColumn="0" w:noHBand="0" w:noVBand="0" w:val="0020"/>
      </w:tblPr>
      <w:tblGrid>
        <w:gridCol w:w="1564"/>
        <w:gridCol w:w="5280"/>
        <w:gridCol w:w="1075"/>
      </w:tblGrid>
      <w:tr>
        <w:trPr>
          <w:tblHeader w:val="on"/>
        </w:trPr>
        <w:tc>
          <w:tcPr/>
          <w:p>
            <w:pPr>
              <w:pStyle w:val="918"/>
              <w:jc w:val="left"/>
            </w:pPr>
            <w:r>
              <w:t xml:space="preserve">ID da categoria</w:t>
            </w:r>
          </w:p>
        </w:tc>
        <w:tc>
          <w:tcPr/>
          <w:p>
            <w:pPr>
              <w:pStyle w:val="918"/>
              <w:jc w:val="left"/>
            </w:pPr>
            <w:r>
              <w:t xml:space="preserve">Categoria</w:t>
            </w:r>
          </w:p>
        </w:tc>
        <w:tc>
          <w:tcPr/>
          <w:p>
            <w:pPr>
              <w:pStyle w:val="918"/>
              <w:jc w:val="right"/>
            </w:pPr>
            <w:r>
              <w:t xml:space="preserve">Quantidade</w:t>
            </w:r>
          </w:p>
        </w:tc>
      </w:tr>
      <w:tr>
        <w:tc>
          <w:tcPr/>
          <w:p>
            <w:pPr>
              <w:pStyle w:val="918"/>
              <w:jc w:val="left"/>
            </w:pPr>
            <w:r>
              <w:t xml:space="preserve">C2</w:t>
            </w:r>
          </w:p>
        </w:tc>
        <w:tc>
          <w:tcPr/>
          <w:p>
            <w:pPr>
              <w:pStyle w:val="918"/>
              <w:jc w:val="left"/>
            </w:pPr>
            <w:r>
              <w:t xml:space="preserve">Execução continuada dependente de adesão</w:t>
            </w:r>
          </w:p>
        </w:tc>
        <w:tc>
          <w:tcPr/>
          <w:p>
            <w:pPr>
              <w:pStyle w:val="918"/>
              <w:jc w:val="right"/>
            </w:pPr>
            <w:r>
              <w:t xml:space="preserve">281</w:t>
            </w:r>
          </w:p>
        </w:tc>
      </w:tr>
      <w:tr>
        <w:tc>
          <w:tcPr/>
          <w:p>
            <w:pPr>
              <w:pStyle w:val="918"/>
              <w:jc w:val="left"/>
            </w:pPr>
            <w:r>
              <w:t xml:space="preserve">C4</w:t>
            </w:r>
          </w:p>
        </w:tc>
        <w:tc>
          <w:tcPr/>
          <w:p>
            <w:pPr>
              <w:pStyle w:val="918"/>
              <w:jc w:val="left"/>
            </w:pPr>
            <w:r>
              <w:t xml:space="preserve">Pacote heterogêneo de ações</w:t>
            </w:r>
          </w:p>
        </w:tc>
        <w:tc>
          <w:tcPr/>
          <w:p>
            <w:pPr>
              <w:pStyle w:val="918"/>
              <w:jc w:val="right"/>
            </w:pPr>
            <w:r>
              <w:t xml:space="preserve">205</w:t>
            </w:r>
          </w:p>
        </w:tc>
      </w:tr>
      <w:tr>
        <w:tc>
          <w:tcPr/>
          <w:p>
            <w:pPr>
              <w:pStyle w:val="918"/>
              <w:jc w:val="left"/>
            </w:pPr>
            <w:r>
              <w:t xml:space="preserve">C1</w:t>
            </w:r>
          </w:p>
        </w:tc>
        <w:tc>
          <w:tcPr/>
          <w:p>
            <w:pPr>
              <w:pStyle w:val="918"/>
              <w:jc w:val="left"/>
            </w:pPr>
            <w:r>
              <w:t xml:space="preserve">Conformidade normativa sem mecanismo de implementação</w:t>
            </w:r>
          </w:p>
        </w:tc>
        <w:tc>
          <w:tcPr/>
          <w:p>
            <w:pPr>
              <w:pStyle w:val="918"/>
              <w:jc w:val="right"/>
            </w:pPr>
            <w:r>
              <w:t xml:space="preserve">117</w:t>
            </w:r>
          </w:p>
        </w:tc>
      </w:tr>
      <w:tr>
        <w:tc>
          <w:tcPr/>
          <w:p>
            <w:pPr>
              <w:pStyle w:val="918"/>
              <w:jc w:val="left"/>
            </w:pPr>
            <w:r>
              <w:t xml:space="preserve">C6</w:t>
            </w:r>
          </w:p>
        </w:tc>
        <w:tc>
          <w:tcPr/>
          <w:p>
            <w:pPr>
              <w:pStyle w:val="918"/>
              <w:jc w:val="left"/>
            </w:pPr>
            <w:r>
              <w:t xml:space="preserve">Formalização sem institucionalização demonstrada</w:t>
            </w:r>
          </w:p>
        </w:tc>
        <w:tc>
          <w:tcPr/>
          <w:p>
            <w:pPr>
              <w:pStyle w:val="918"/>
              <w:jc w:val="right"/>
            </w:pPr>
            <w:r>
              <w:t xml:space="preserve">85</w:t>
            </w:r>
          </w:p>
        </w:tc>
      </w:tr>
      <w:tr>
        <w:tc>
          <w:tcPr/>
          <w:p>
            <w:pPr>
              <w:pStyle w:val="918"/>
              <w:jc w:val="left"/>
            </w:pPr>
            <w:r>
              <w:t xml:space="preserve">C3</w:t>
            </w:r>
          </w:p>
        </w:tc>
        <w:tc>
          <w:tcPr/>
          <w:p>
            <w:pPr>
              <w:pStyle w:val="918"/>
              <w:jc w:val="left"/>
            </w:pPr>
            <w:r>
              <w:t xml:space="preserve">Capacitação sujeita a atualização e retenção</w:t>
            </w:r>
          </w:p>
        </w:tc>
        <w:tc>
          <w:tcPr/>
          <w:p>
            <w:pPr>
              <w:pStyle w:val="918"/>
              <w:jc w:val="right"/>
            </w:pPr>
            <w:r>
              <w:t xml:space="preserve">38</w:t>
            </w:r>
          </w:p>
        </w:tc>
      </w:tr>
      <w:tr>
        <w:tc>
          <w:tcPr/>
          <w:p>
            <w:pPr>
              <w:pStyle w:val="918"/>
              <w:jc w:val="left"/>
            </w:pPr>
            <w:r>
              <w:t xml:space="preserve">C5</w:t>
            </w:r>
          </w:p>
        </w:tc>
        <w:tc>
          <w:tcPr/>
          <w:p>
            <w:pPr>
              <w:pStyle w:val="918"/>
              <w:jc w:val="left"/>
            </w:pPr>
            <w:r>
              <w:t xml:space="preserve">Investigação sem tratamento assegurado</w:t>
            </w:r>
          </w:p>
        </w:tc>
        <w:tc>
          <w:tcPr/>
          <w:p>
            <w:pPr>
              <w:pStyle w:val="918"/>
              <w:jc w:val="right"/>
            </w:pPr>
            <w:r>
              <w:t xml:space="preserve">13</w:t>
            </w:r>
          </w:p>
        </w:tc>
      </w:tr>
      <w:tr>
        <w:tc>
          <w:tcPr/>
          <w:p>
            <w:pPr>
              <w:pStyle w:val="918"/>
              <w:jc w:val="left"/>
            </w:pPr>
            <w:r>
              <w:t xml:space="preserve">C7</w:t>
            </w:r>
          </w:p>
        </w:tc>
        <w:tc>
          <w:tcPr/>
          <w:p>
            <w:pPr>
              <w:pStyle w:val="918"/>
              <w:jc w:val="left"/>
            </w:pPr>
            <w:r>
              <w:t xml:space="preserve">Adequação estrutural ou física com efeito material</w:t>
            </w:r>
          </w:p>
        </w:tc>
        <w:tc>
          <w:tcPr/>
          <w:p>
            <w:pPr>
              <w:pStyle w:val="918"/>
              <w:jc w:val="right"/>
            </w:pPr>
            <w:r>
              <w:t xml:space="preserve">8</w:t>
            </w:r>
          </w:p>
        </w:tc>
      </w:tr>
    </w:tbl>
    <w:p>
      <w:r>
        <w:br w:type="page"/>
      </w:r>
    </w:p>
    <w:bookmarkEnd w:id="57"/>
    <w:bookmarkStart w:id="64" w:name="referências"/>
    <w:p>
      <w:pPr>
        <w:pStyle w:val="905"/>
      </w:pPr>
      <w:r>
        <w:t xml:space="preserve">Referências</w:t>
      </w:r>
    </w:p>
    <w:bookmarkStart w:id="63" w:name="refs"/>
    <w:bookmarkStart w:id="59" w:name="ref-jsonlite"/>
    <w:p>
      <w:pPr>
        <w:pStyle w:val="927"/>
      </w:pPr>
      <w:r>
        <w:t xml:space="preserve">OOMS, Jeroen. The jsonlite Package: A Practical and Consistent Mapping Between JSON Data and R Objects.</w:t>
      </w:r>
      <w:r>
        <w:t xml:space="preserve"> </w:t>
      </w:r>
      <w:r>
        <w:rPr>
          <w:b/>
          <w:bCs/>
        </w:rPr>
        <w:t xml:space="preserve">arXiv:1403.2805 [stat.CO]</w:t>
      </w:r>
      <w:r>
        <w:t xml:space="preserve">, [</w:t>
      </w:r>
      <w:r>
        <w:rPr>
          <w:i/>
          <w:iCs/>
        </w:rPr>
        <w:t xml:space="preserve">s. l.</w:t>
      </w:r>
      <w:r>
        <w:t xml:space="preserve">], 2014. Disponível em:</w:t>
      </w:r>
      <w:r>
        <w:t xml:space="preserve"> </w:t>
      </w:r>
      <w:hyperlink r:id="rId58">
        <w:r>
          <w:rPr>
            <w:rStyle w:val="952"/>
          </w:rPr>
          <w:t xml:space="preserve">https://arxiv.org/abs/1403.2805</w:t>
        </w:r>
      </w:hyperlink>
      <w:r>
        <w:t xml:space="preserve">.</w:t>
      </w:r>
    </w:p>
    <w:bookmarkEnd w:id="59"/>
    <w:bookmarkStart w:id="62" w:name="ref-httr2"/>
    <w:p>
      <w:pPr>
        <w:pStyle w:val="927"/>
      </w:pPr>
      <w:r>
        <w:t xml:space="preserve">WICKHAM, Hadley.</w:t>
      </w:r>
      <w:r>
        <w:t xml:space="preserve"> </w:t>
      </w:r>
      <w:r>
        <w:rPr>
          <w:b/>
          <w:bCs/>
        </w:rPr>
        <w:t xml:space="preserve">httr2: Perform HTTP Requests and Process the Responses</w:t>
      </w:r>
      <w:r>
        <w:t xml:space="preserve">. [</w:t>
      </w:r>
      <w:r>
        <w:rPr>
          <w:i/>
          <w:iCs/>
        </w:rPr>
        <w:t xml:space="preserve">S. l.</w:t>
      </w:r>
      <w:r>
        <w:t xml:space="preserve">:</w:t>
      </w:r>
      <w:r>
        <w:t xml:space="preserve"> </w:t>
      </w:r>
      <w:r>
        <w:rPr>
          <w:i/>
          <w:iCs/>
        </w:rPr>
        <w:t xml:space="preserve">s. n.</w:t>
      </w:r>
      <w:r>
        <w:t xml:space="preserve">], 2025. DOI</w:t>
      </w:r>
      <w:r>
        <w:t xml:space="preserve"> </w:t>
      </w:r>
      <w:hyperlink r:id="rId60">
        <w:r>
          <w:rPr>
            <w:rStyle w:val="952"/>
          </w:rPr>
          <w:t xml:space="preserve">10.32614/CRAN.package.httr2</w:t>
        </w:r>
      </w:hyperlink>
      <w:r>
        <w:t xml:space="preserve">. Disponível em:</w:t>
      </w:r>
      <w:r>
        <w:t xml:space="preserve"> </w:t>
      </w:r>
      <w:hyperlink r:id="rId61">
        <w:r>
          <w:rPr>
            <w:rStyle w:val="952"/>
          </w:rPr>
          <w:t xml:space="preserve">https://CRAN.R-project.org/package=httr2</w:t>
        </w:r>
      </w:hyperlink>
      <w:r>
        <w:t xml:space="preserve">.</w:t>
      </w:r>
    </w:p>
    <w:bookmarkEnd w:id="62"/>
    <w:bookmarkEnd w:id="63"/>
    <w:bookmarkEnd w:id="64"/>
    <w:bookmarkEnd w:id="65"/>
    <w:sectPr>
      <w:headerReference r:id="rId9" w:type="default"/>
      <w:footnotePr>
        <w:numRestart w:val="eachSect"/>
      </w:footnotePr>
      <w:endnotePr/>
      <w:type w:val="nextPage"/>
      <w:pgSz w:h="16838" w:orient="portrait" w:w="11906"/>
      <w:pgMar w:bottom="1417" w:footer="720" w:gutter="0" w:header="720" w:left="1701" w:right="1701" w:top="1417"/>
      <w:cols w:equalWidth="1" w:num="1" w:sep="0"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Cambria">
    <w:panose1 w:val="02040503050406030204"/>
  </w:font>
  <w:font w:name="Arial">
    <w:panose1 w:val="020B0604020202020204"/>
  </w:font>
  <w:font w:name="Calibri">
    <w:panose1 w:val="020F0502020204030204"/>
  </w:font>
  <w:font w:name="Times New Roman">
    <w:panose1 w:val="02020603050405020304"/>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98AE70">
    <w:pPr>
      <w:pStyle w:val="883"/>
      <w:pBdr/>
      <w:spacing/>
      <w:ind/>
      <w:jc w:val="right"/>
      <w:rPr/>
    </w:pPr>
    <w:fldSimple w:instr="PAGE \* MERGEFORMAT">
      <w:r>
        <w:t xml:space="preserve">1</w:t>
      </w:r>
    </w:fldSimple>
    <w:r/>
    <w:r/>
  </w:p>
  <w:p w14:paraId="5FABF056">
    <w:pPr>
      <w:pStyle w:val="883"/>
      <w:pBdr/>
      <w:spacing/>
      <w:ind/>
      <w:rPr/>
    </w:pPr>
    <w:r/>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170CD2DE"/>
    <w:lvl w:ilvl="0">
      <w:isLgl w:val="false"/>
      <w:lvlJc w:val="left"/>
      <w:lvlText w:val=" "/>
      <w:numFmt w:val="bullet"/>
      <w:pPr>
        <w:pBdr/>
        <w:tabs>
          <w:tab w:leader="none" w:pos="0" w:val="num"/>
        </w:tabs>
        <w:spacing/>
        <w:ind w:hanging="480" w:left="480"/>
      </w:pPr>
      <w:rPr/>
      <w:start w:val="0"/>
      <w:suff w:val="tab"/>
    </w:lvl>
    <w:lvl w:ilvl="1">
      <w:isLgl w:val="false"/>
      <w:lvlJc w:val="left"/>
      <w:lvlText w:val=" "/>
      <w:numFmt w:val="bullet"/>
      <w:pPr>
        <w:pBdr/>
        <w:tabs>
          <w:tab w:leader="none" w:pos="720" w:val="num"/>
        </w:tabs>
        <w:spacing/>
        <w:ind w:hanging="480" w:left="1200"/>
      </w:pPr>
      <w:rPr/>
      <w:start w:val="0"/>
      <w:suff w:val="tab"/>
    </w:lvl>
    <w:lvl w:ilvl="2">
      <w:isLgl w:val="false"/>
      <w:lvlJc w:val="left"/>
      <w:lvlText w:val=" "/>
      <w:numFmt w:val="bullet"/>
      <w:pPr>
        <w:pBdr/>
        <w:tabs>
          <w:tab w:leader="none" w:pos="1440" w:val="num"/>
        </w:tabs>
        <w:spacing/>
        <w:ind w:hanging="480" w:left="1920"/>
      </w:pPr>
      <w:rPr/>
      <w:start w:val="0"/>
      <w:suff w:val="tab"/>
    </w:lvl>
    <w:lvl w:ilvl="3">
      <w:isLgl w:val="false"/>
      <w:lvlJc w:val="left"/>
      <w:lvlText w:val=" "/>
      <w:numFmt w:val="bullet"/>
      <w:pPr>
        <w:pBdr/>
        <w:tabs>
          <w:tab w:leader="none" w:pos="2160" w:val="num"/>
        </w:tabs>
        <w:spacing/>
        <w:ind w:hanging="480" w:left="2640"/>
      </w:pPr>
      <w:rPr/>
      <w:start w:val="0"/>
      <w:suff w:val="tab"/>
    </w:lvl>
    <w:lvl w:ilvl="4">
      <w:isLgl w:val="false"/>
      <w:lvlJc w:val="left"/>
      <w:lvlText w:val=" "/>
      <w:numFmt w:val="bullet"/>
      <w:pPr>
        <w:pBdr/>
        <w:tabs>
          <w:tab w:leader="none" w:pos="2880" w:val="num"/>
        </w:tabs>
        <w:spacing/>
        <w:ind w:hanging="480" w:left="3360"/>
      </w:pPr>
      <w:rPr/>
      <w:start w:val="0"/>
      <w:suff w:val="tab"/>
    </w:lvl>
    <w:lvl w:ilvl="5">
      <w:isLgl w:val="false"/>
      <w:lvlJc w:val="left"/>
      <w:lvlText w:val=" "/>
      <w:numFmt w:val="bullet"/>
      <w:pPr>
        <w:pBdr/>
        <w:tabs>
          <w:tab w:leader="none" w:pos="3600" w:val="num"/>
        </w:tabs>
        <w:spacing/>
        <w:ind w:hanging="480" w:left="4080"/>
      </w:pPr>
      <w:rPr/>
      <w:start w:val="0"/>
      <w:suff w:val="tab"/>
    </w:lvl>
    <w:lvl w:ilvl="6">
      <w:isLgl w:val="false"/>
      <w:lvlJc w:val="left"/>
      <w:lvlText w:val=" "/>
      <w:numFmt w:val="bullet"/>
      <w:pPr>
        <w:pBdr/>
        <w:tabs>
          <w:tab w:leader="none" w:pos="4320" w:val="num"/>
        </w:tabs>
        <w:spacing/>
        <w:ind w:hanging="480" w:left="4800"/>
      </w:pPr>
      <w:rPr/>
      <w:start w:val="0"/>
      <w:suff w:val="tab"/>
    </w:lvl>
    <w:lvl w:ilvl="7">
      <w:isLgl w:val="false"/>
      <w:lvlJc w:val="left"/>
      <w:lvlText w:val=" "/>
      <w:numFmt w:val="bullet"/>
      <w:pPr>
        <w:pBdr/>
        <w:tabs>
          <w:tab w:leader="none" w:pos="5040" w:val="num"/>
        </w:tabs>
        <w:spacing/>
        <w:ind w:hanging="480" w:left="5520"/>
      </w:pPr>
      <w:rPr/>
      <w:start w:val="0"/>
      <w:suff w:val="tab"/>
    </w:lvl>
    <w:lvl w:ilvl="8">
      <w:isLgl w:val="false"/>
      <w:lvlJc w:val="left"/>
      <w:lvlText w:val=" "/>
      <w:numFmt w:val="bullet"/>
      <w:pPr>
        <w:pBdr/>
        <w:tabs>
          <w:tab w:leader="none" w:pos="5760" w:val="num"/>
        </w:tabs>
        <w:spacing/>
        <w:ind w:hanging="480" w:left="6240"/>
      </w:pPr>
      <w:rPr/>
      <w:start w:val="0"/>
      <w:suff w:val="tab"/>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0"/>
  </w: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val="false"/>
  <w:doNotTrackMoves/>
  <w:documentProtection/>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strokecolor="000000"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hint="default"/>
        <w:sz w:val="24"/>
        <w:szCs w:val="24"/>
        <w:lang w:bidi="ar-SA" w:eastAsia="en-US" w:val="pt-BR"/>
      </w:rPr>
    </w:rPrDefault>
    <w:pPrDefault>
      <w:pPr>
        <w:pBdr/>
        <w:spacing w:after="200" w:afterAutospacing="0" w:before="0" w:beforeAutospacing="0" w:line="240" w:lineRule="auto"/>
        <w:ind/>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styleId="733" w:type="table">
    <w:name w:val="Table Grid"/>
    <w:basedOn w:val="914"/>
    <w:uiPriority w:val="59"/>
    <w:pPr>
      <w:pBdr/>
      <w:spacing w:after="0" w:line="240" w:lineRule="auto"/>
      <w:ind/>
    </w:pPr>
    <w:tblPr>
      <w:tblInd w:type="dxa" w:w="0"/>
      <w:tblCellMar>
        <w:left w:type="dxa" w:w="108"/>
        <w:top w:type="dxa" w:w="0"/>
        <w:right w:type="dxa" w:w="108"/>
        <w:bottom w:type="dxa" w:w="0"/>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4" w:type="table">
    <w:name w:val="Table Grid Light"/>
    <w:basedOn w:val="914"/>
    <w:uiPriority w:val="59"/>
    <w:pPr>
      <w:pBdr/>
      <w:spacing w:after="0" w:line="240" w:lineRule="auto"/>
      <w:ind/>
    </w:pPr>
    <w:tblPr>
      <w:tblInd w:type="dxa" w:w="0"/>
      <w:tblCellMar>
        <w:left w:type="dxa" w:w="108"/>
        <w:top w:type="dxa" w:w="0"/>
        <w:right w:type="dxa" w:w="108"/>
        <w:bottom w:type="dxa" w:w="0"/>
      </w:tblCellMa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5" w:type="table">
    <w:name w:val="Plain Table 1"/>
    <w:basedOn w:val="914"/>
    <w:uiPriority w:val="59"/>
    <w:pPr>
      <w:pBdr/>
      <w:spacing w:after="0" w:line="240" w:lineRule="auto"/>
      <w:ind/>
    </w:pPr>
    <w:tblPr>
      <w:tblInd w:type="dxa" w:w="0"/>
      <w:tblCellMar>
        <w:left w:type="dxa" w:w="108"/>
        <w:top w:type="dxa" w:w="0"/>
        <w:right w:type="dxa" w:w="108"/>
        <w:bottom w:type="dxa" w:w="0"/>
      </w:tblCellMa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Pr>
    <w:tcPr>
      <w:tcBorders/>
    </w:tcPr>
    <w:tblStylePr w:type="band1Horz">
      <w:pPr>
        <w:pBdr/>
        <w:spacing/>
        <w:ind/>
      </w:pPr>
      <w:tblPr>
        <w:tblBorders/>
      </w:tblPr>
      <w:tcPr>
        <w:shd w:color="ffffff" w:fill="f2f2f2" w:themeColor="text1" w:themeFill="text1" w:themeFillTint="0D" w:themeTint="0D" w:val="clear"/>
        <w:tcBorders/>
      </w:tcPr>
    </w:tblStylePr>
    <w:tblStylePr w:type="band1Vert">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6" w:type="table">
    <w:name w:val="Plain Table 2"/>
    <w:basedOn w:val="914"/>
    <w:uiPriority w:val="59"/>
    <w:pPr>
      <w:pBdr/>
      <w:spacing w:after="0" w:line="240" w:lineRule="auto"/>
      <w:ind/>
    </w:pPr>
    <w:tblPr>
      <w:tblInd w:type="dxa" w:w="0"/>
      <w:tblCellMar>
        <w:left w:type="dxa" w:w="108"/>
        <w:top w:type="dxa" w:w="0"/>
        <w:right w:type="dxa" w:w="108"/>
        <w:bottom w:type="dxa" w:w="0"/>
      </w:tblCellMar>
      <w:tblBorders>
        <w:top w:color="000000" w:space="0" w:sz="4" w:themeColor="text1" w:val="single"/>
        <w:left w:color="000000" w:space="0" w:sz="4" w:themeColor="text1" w:val="none"/>
        <w:bottom w:color="000000" w:space="0" w:sz="4" w:themeColor="text1" w:val="single"/>
        <w:right w:color="000000" w:space="0" w:sz="4" w:themeColor="text1" w:val="none"/>
      </w:tblBorders>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text1" w:val="single"/>
          <w:bottom w:color="000000" w:space="0" w:sz="4" w:themeColor="text1" w:val="singl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7" w:type="table">
    <w:name w:val="Plain Table 3"/>
    <w:basedOn w:val="914"/>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color="000000" w:space="0" w:sz="4" w:val="none"/>
          <w:left w:color="000000" w:space="0" w:sz="4" w:val="none"/>
          <w:bottom w:color="000000" w:space="0" w:sz="4" w:val="none"/>
          <w:right w:color="404040" w:space="0" w:sz="4" w:val="single"/>
        </w:tcBorders>
      </w:tcPr>
    </w:tblStylePr>
    <w:tblStylePr w:type="firstRow">
      <w:rPr>
        <w:b/>
        <w:caps/>
        <w:color w:val="404040"/>
      </w:rPr>
      <w:pPr>
        <w:pBdr/>
        <w:spacing/>
        <w:ind/>
      </w:pPr>
      <w:tblPr>
        <w:tblBorders/>
      </w:tblPr>
      <w:tcPr>
        <w:tcBorders>
          <w:top w:color="000000" w:space="0" w:sz="4" w:val="none"/>
          <w:left w:color="000000" w:space="0" w:sz="4" w:val="none"/>
          <w:bottom w:color="404040" w:space="0" w:sz="4" w:val="single"/>
          <w:right w:color="000000" w:space="0" w:sz="4" w:val="none"/>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8" w:type="table">
    <w:name w:val="Plain Table 4"/>
    <w:basedOn w:val="914"/>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9" w:type="table">
    <w:name w:val="Plain Table 5"/>
    <w:basedOn w:val="914"/>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right w:color="404040" w:space="0" w:sz="4" w:val="single"/>
        </w:tcBorders>
      </w:tcPr>
    </w:tblStylePr>
    <w:tblStylePr w:type="firstRow">
      <w:rPr>
        <w:i/>
        <w:color w:val="404040"/>
      </w:rPr>
      <w:pPr>
        <w:pBdr/>
        <w:spacing/>
        <w:ind/>
      </w:pPr>
      <w:tblPr>
        <w:tblBorders/>
      </w:tblPr>
      <w:tcPr>
        <w:shd w:color="ffffff" w:val="clear"/>
        <w:tcBorders>
          <w:left w:color="000000" w:space="0" w:sz="4" w:val="none"/>
          <w:bottom w:color="404040" w:space="0" w:sz="4" w:val="single"/>
          <w:right w:color="000000" w:space="0" w:sz="4" w:val="none"/>
        </w:tcBorders>
      </w:tcPr>
    </w:tblStylePr>
    <w:tblStylePr w:type="lastCol">
      <w:rPr>
        <w:i/>
        <w:color w:val="404040"/>
      </w:rPr>
      <w:pPr>
        <w:pBdr/>
        <w:spacing/>
        <w:ind/>
      </w:pPr>
      <w:tblPr>
        <w:tblBorders/>
      </w:tblPr>
      <w:tcPr>
        <w:shd w:color="ffffff" w:val="clear"/>
        <w:tcBorders>
          <w:left w:color="404040" w:space="0" w:sz="4" w:val="single"/>
        </w:tcBorders>
      </w:tcPr>
    </w:tblStylePr>
    <w:tblStylePr w:type="lastRow">
      <w:rPr>
        <w:i/>
        <w:color w:val="404040"/>
      </w:rPr>
      <w:pPr>
        <w:pBdr/>
        <w:spacing/>
        <w:ind/>
      </w:pPr>
      <w:tblPr>
        <w:tblBorders/>
      </w:tblPr>
      <w:tcPr>
        <w:shd w:color="ffffff" w:val="clear"/>
        <w:tcBorders>
          <w:top w:color="404040" w:space="0" w:sz="4" w:val="single"/>
          <w:left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0" w:type="table">
    <w:name w:val="Grid Table 1 Light"/>
    <w:basedOn w:val="914"/>
    <w:uiPriority w:val="99"/>
    <w:pPr>
      <w:pBdr/>
      <w:spacing w:after="0" w:line="240" w:lineRule="auto"/>
      <w:ind/>
    </w:pPr>
    <w:tblPr>
      <w:tblStyleRowBandSize w:val="1"/>
      <w:tblStyleColBandSize w:val="1"/>
      <w:tblInd w:type="dxa" w:w="0"/>
      <w:tbl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insideH w:color="000000" w:space="0" w:sz="4" w:themeColor="text1" w:themeTint="67" w:val="single"/>
        <w:insideV w:color="000000" w:space="0" w:sz="4" w:themeColor="tex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text1"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1" w:type="table">
    <w:name w:val="Grid Table 1 Light - Accent 1"/>
    <w:basedOn w:val="914"/>
    <w:uiPriority w:val="99"/>
    <w:pPr>
      <w:pBdr/>
      <w:spacing w:after="0" w:line="240" w:lineRule="auto"/>
      <w:ind/>
    </w:pPr>
    <w:tblPr>
      <w:tblStyleRowBandSize w:val="1"/>
      <w:tblStyleColBandSize w:val="1"/>
      <w:tblInd w:type="dxa" w:w="0"/>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1"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2" w:type="table">
    <w:name w:val="Grid Table 1 Light - Accent 2"/>
    <w:basedOn w:val="914"/>
    <w:uiPriority w:val="99"/>
    <w:pPr>
      <w:pBdr/>
      <w:spacing w:after="0" w:line="240" w:lineRule="auto"/>
      <w:ind/>
    </w:pPr>
    <w:tblPr>
      <w:tblStyleRowBandSize w:val="1"/>
      <w:tblStyleColBandSize w:val="1"/>
      <w:tblInd w:type="dxa" w:w="0"/>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2"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3" w:type="table">
    <w:name w:val="Grid Table 1 Light - Accent 3"/>
    <w:basedOn w:val="914"/>
    <w:uiPriority w:val="99"/>
    <w:pPr>
      <w:pBdr/>
      <w:spacing w:after="0" w:line="240" w:lineRule="auto"/>
      <w:ind/>
    </w:pPr>
    <w:tblPr>
      <w:tblStyleRowBandSize w:val="1"/>
      <w:tblStyleColBandSize w:val="1"/>
      <w:tblInd w:type="dxa" w:w="0"/>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3"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4" w:type="table">
    <w:name w:val="Grid Table 1 Light - Accent 4"/>
    <w:basedOn w:val="914"/>
    <w:uiPriority w:val="99"/>
    <w:pPr>
      <w:pBdr/>
      <w:spacing w:after="0" w:line="240" w:lineRule="auto"/>
      <w:ind/>
    </w:pPr>
    <w:tblPr>
      <w:tblStyleRowBandSize w:val="1"/>
      <w:tblStyleColBandSize w:val="1"/>
      <w:tblInd w:type="dxa" w:w="0"/>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4"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5" w:type="table">
    <w:name w:val="Grid Table 1 Light - Accent 5"/>
    <w:basedOn w:val="914"/>
    <w:uiPriority w:val="99"/>
    <w:pPr>
      <w:pBdr/>
      <w:spacing w:after="0" w:line="240" w:lineRule="auto"/>
      <w:ind/>
    </w:pPr>
    <w:tblPr>
      <w:tblStyleRowBandSize w:val="1"/>
      <w:tblStyleColBandSize w:val="1"/>
      <w:tblInd w:type="dxa" w:w="0"/>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5"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6" w:type="table">
    <w:name w:val="Grid Table 1 Light - Accent 6"/>
    <w:basedOn w:val="914"/>
    <w:uiPriority w:val="99"/>
    <w:pPr>
      <w:pBdr/>
      <w:spacing w:after="0" w:line="240" w:lineRule="auto"/>
      <w:ind/>
    </w:pPr>
    <w:tblPr>
      <w:tblStyleRowBandSize w:val="1"/>
      <w:tblStyleColBandSize w:val="1"/>
      <w:tblInd w:type="dxa" w:w="0"/>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6"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7" w:type="table">
    <w:name w:val="Grid Table 2"/>
    <w:basedOn w:val="914"/>
    <w:uiPriority w:val="99"/>
    <w:pPr>
      <w:pBdr/>
      <w:spacing w:after="0" w:line="240" w:lineRule="auto"/>
      <w:ind/>
    </w:pPr>
    <w:tblPr>
      <w:tblStyleRowBandSize w:val="1"/>
      <w:tblStyleColBandSize w:val="1"/>
      <w:tblInd w:type="dxa" w:w="0"/>
      <w:tblBorders>
        <w:bottom w:color="000000" w:space="0" w:sz="4" w:themeColor="text1" w:themeTint="95" w:val="single"/>
        <w:insideH w:color="000000" w:space="0" w:sz="4" w:themeColor="text1" w:themeTint="95" w:val="single"/>
        <w:insideV w:color="000000" w:space="0" w:sz="4" w:themeColor="text1" w:themeTint="95"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text1" w:themeTint="9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text1" w:themeTint="9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8" w:type="table">
    <w:name w:val="Grid Table 2 - Accent 1"/>
    <w:basedOn w:val="914"/>
    <w:uiPriority w:val="99"/>
    <w:pPr>
      <w:pBdr/>
      <w:spacing w:after="0" w:line="240" w:lineRule="auto"/>
      <w:ind/>
    </w:pPr>
    <w:tblPr>
      <w:tblStyleRowBandSize w:val="1"/>
      <w:tblStyleColBandSize w:val="1"/>
      <w:tblInd w:type="dxa" w:w="0"/>
      <w:tblBorders>
        <w:bottom w:color="000000" w:space="0" w:sz="4" w:themeColor="accent1" w:themeTint="EA" w:val="single"/>
        <w:insideH w:color="000000" w:space="0" w:sz="4" w:themeColor="accent1" w:themeTint="EA" w:val="single"/>
        <w:insideV w:color="000000" w:space="0" w:sz="4" w:themeColor="accent1" w:themeTint="EA" w:val="single"/>
      </w:tblBorders>
    </w:tblPr>
    <w:tcPr>
      <w:tcBorders/>
    </w:tcPr>
    <w:tblStylePr w:type="band1Horz">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1Vert">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1" w:themeTint="EA"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1" w:themeTint="E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9" w:type="table">
    <w:name w:val="Grid Table 2 - Accent 2"/>
    <w:basedOn w:val="914"/>
    <w:uiPriority w:val="99"/>
    <w:pPr>
      <w:pBdr/>
      <w:spacing w:after="0" w:line="240" w:lineRule="auto"/>
      <w:ind/>
    </w:pPr>
    <w:tblPr>
      <w:tblStyleRowBandSize w:val="1"/>
      <w:tblStyleColBandSize w:val="1"/>
      <w:tblInd w:type="dxa" w:w="0"/>
      <w:tblBorders>
        <w:bottom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2" w:themeTint="97"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0" w:type="table">
    <w:name w:val="Grid Table 2 - Accent 3"/>
    <w:basedOn w:val="914"/>
    <w:uiPriority w:val="99"/>
    <w:pPr>
      <w:pBdr/>
      <w:spacing w:after="0" w:line="240" w:lineRule="auto"/>
      <w:ind/>
    </w:pPr>
    <w:tblPr>
      <w:tblStyleRowBandSize w:val="1"/>
      <w:tblStyleColBandSize w:val="1"/>
      <w:tblInd w:type="dxa" w:w="0"/>
      <w:tblBorders>
        <w:bottom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3" w:themeTint="FE"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3" w:themeTint="FE"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1" w:type="table">
    <w:name w:val="Grid Table 2 - Accent 4"/>
    <w:basedOn w:val="914"/>
    <w:uiPriority w:val="99"/>
    <w:pPr>
      <w:pBdr/>
      <w:spacing w:after="0" w:line="240" w:lineRule="auto"/>
      <w:ind/>
    </w:pPr>
    <w:tblPr>
      <w:tblStyleRowBandSize w:val="1"/>
      <w:tblStyleColBandSize w:val="1"/>
      <w:tblInd w:type="dxa" w:w="0"/>
      <w:tblBorders>
        <w:bottom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4" w:themeTint="9A"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2" w:type="table">
    <w:name w:val="Grid Table 2 - Accent 5"/>
    <w:basedOn w:val="914"/>
    <w:uiPriority w:val="99"/>
    <w:pPr>
      <w:pBdr/>
      <w:spacing w:after="0" w:line="240" w:lineRule="auto"/>
      <w:ind/>
    </w:pPr>
    <w:tblPr>
      <w:tblStyleRowBandSize w:val="1"/>
      <w:tblStyleColBandSize w:val="1"/>
      <w:tblInd w:type="dxa" w:w="0"/>
      <w:tblBorders>
        <w:bottom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3" w:type="table">
    <w:name w:val="Grid Table 2 - Accent 6"/>
    <w:basedOn w:val="914"/>
    <w:uiPriority w:val="99"/>
    <w:pPr>
      <w:pBdr/>
      <w:spacing w:after="0" w:line="240" w:lineRule="auto"/>
      <w:ind/>
    </w:pPr>
    <w:tblPr>
      <w:tblStyleRowBandSize w:val="1"/>
      <w:tblStyleColBandSize w:val="1"/>
      <w:tblInd w:type="dxa" w:w="0"/>
      <w:tblBorders>
        <w:bottom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6"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4" w:type="table">
    <w:name w:val="Grid Table 3"/>
    <w:basedOn w:val="914"/>
    <w:uiPriority w:val="99"/>
    <w:pPr>
      <w:pBdr/>
      <w:spacing w:after="0" w:line="240" w:lineRule="auto"/>
      <w:ind/>
    </w:pPr>
    <w:tblPr>
      <w:tblStyleRowBandSize w:val="1"/>
      <w:tblStyleColBandSize w:val="1"/>
      <w:tblInd w:type="dxa" w:w="0"/>
      <w:tblBorders>
        <w:bottom w:color="000000" w:space="0" w:sz="4" w:themeColor="text1" w:themeTint="95" w:val="single"/>
        <w:insideH w:color="000000" w:space="0" w:sz="4" w:themeColor="text1" w:themeTint="95" w:val="single"/>
        <w:insideV w:color="000000" w:space="0" w:sz="4" w:themeColor="text1" w:themeTint="95"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5" w:type="table">
    <w:name w:val="Grid Table 3 - Accent 1"/>
    <w:basedOn w:val="914"/>
    <w:uiPriority w:val="99"/>
    <w:pPr>
      <w:pBdr/>
      <w:spacing w:after="0" w:line="240" w:lineRule="auto"/>
      <w:ind/>
    </w:pPr>
    <w:tblPr>
      <w:tblStyleRowBandSize w:val="1"/>
      <w:tblStyleColBandSize w:val="1"/>
      <w:tblInd w:type="dxa" w:w="0"/>
      <w:tblBorders>
        <w:bottom w:color="000000" w:space="0" w:sz="4" w:themeColor="accent1" w:themeTint="EA" w:val="single"/>
        <w:insideH w:color="000000" w:space="0" w:sz="4" w:themeColor="accent1" w:themeTint="EA" w:val="single"/>
        <w:insideV w:color="000000" w:space="0" w:sz="4" w:themeColor="accent1" w:themeTint="EA" w:val="single"/>
      </w:tblBorders>
    </w:tblPr>
    <w:tcPr>
      <w:tcBorders/>
    </w:tcPr>
    <w:tblStylePr w:type="band1Horz">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1Vert">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6" w:type="table">
    <w:name w:val="Grid Table 3 - Accent 2"/>
    <w:basedOn w:val="914"/>
    <w:uiPriority w:val="99"/>
    <w:pPr>
      <w:pBdr/>
      <w:spacing w:after="0" w:line="240" w:lineRule="auto"/>
      <w:ind/>
    </w:pPr>
    <w:tblPr>
      <w:tblStyleRowBandSize w:val="1"/>
      <w:tblStyleColBandSize w:val="1"/>
      <w:tblInd w:type="dxa" w:w="0"/>
      <w:tblBorders>
        <w:bottom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7" w:type="table">
    <w:name w:val="Grid Table 3 - Accent 3"/>
    <w:basedOn w:val="914"/>
    <w:uiPriority w:val="99"/>
    <w:pPr>
      <w:pBdr/>
      <w:spacing w:after="0" w:line="240" w:lineRule="auto"/>
      <w:ind/>
    </w:pPr>
    <w:tblPr>
      <w:tblStyleRowBandSize w:val="1"/>
      <w:tblStyleColBandSize w:val="1"/>
      <w:tblInd w:type="dxa" w:w="0"/>
      <w:tblBorders>
        <w:bottom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8" w:type="table">
    <w:name w:val="Grid Table 3 - Accent 4"/>
    <w:basedOn w:val="914"/>
    <w:uiPriority w:val="99"/>
    <w:pPr>
      <w:pBdr/>
      <w:spacing w:after="0" w:line="240" w:lineRule="auto"/>
      <w:ind/>
    </w:pPr>
    <w:tblPr>
      <w:tblStyleRowBandSize w:val="1"/>
      <w:tblStyleColBandSize w:val="1"/>
      <w:tblInd w:type="dxa" w:w="0"/>
      <w:tblBorders>
        <w:bottom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9" w:type="table">
    <w:name w:val="Grid Table 3 - Accent 5"/>
    <w:basedOn w:val="914"/>
    <w:uiPriority w:val="99"/>
    <w:pPr>
      <w:pBdr/>
      <w:spacing w:after="0" w:line="240" w:lineRule="auto"/>
      <w:ind/>
    </w:pPr>
    <w:tblPr>
      <w:tblStyleRowBandSize w:val="1"/>
      <w:tblStyleColBandSize w:val="1"/>
      <w:tblInd w:type="dxa" w:w="0"/>
      <w:tblBorders>
        <w:bottom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0" w:type="table">
    <w:name w:val="Grid Table 3 - Accent 6"/>
    <w:basedOn w:val="914"/>
    <w:uiPriority w:val="99"/>
    <w:pPr>
      <w:pBdr/>
      <w:spacing w:after="0" w:line="240" w:lineRule="auto"/>
      <w:ind/>
    </w:pPr>
    <w:tblPr>
      <w:tblStyleRowBandSize w:val="1"/>
      <w:tblStyleColBandSize w:val="1"/>
      <w:tblInd w:type="dxa" w:w="0"/>
      <w:tblBorders>
        <w:bottom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1" w:type="table">
    <w:name w:val="Grid Table 4"/>
    <w:basedOn w:val="914"/>
    <w:uiPriority w:val="59"/>
    <w:pPr>
      <w:pBdr/>
      <w:spacing w:after="0" w:line="240" w:lineRule="auto"/>
      <w:ind/>
    </w:pPr>
    <w:tblPr>
      <w:tblStyleRowBandSize w:val="1"/>
      <w:tblStyleColBandSize w:val="1"/>
      <w:tblInd w:type="dxa" w:w="0"/>
      <w:tblBorders>
        <w:top w:color="000000" w:space="0" w:sz="4" w:themeColor="text1" w:themeTint="90" w:val="single"/>
        <w:left w:color="000000" w:space="0" w:sz="4" w:themeColor="text1" w:themeTint="90" w:val="single"/>
        <w:bottom w:color="000000" w:space="0" w:sz="4" w:themeColor="text1" w:themeTint="90" w:val="single"/>
        <w:right w:color="000000" w:space="0" w:sz="4" w:themeColor="text1" w:themeTint="90" w:val="single"/>
        <w:insideH w:color="000000" w:space="0" w:sz="4" w:themeColor="text1" w:themeTint="90" w:val="single"/>
        <w:insideV w:color="000000" w:space="0" w:sz="4" w:themeColor="text1" w:themeTint="90"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2" w:type="table">
    <w:name w:val="Grid Table 4 - Accent 1"/>
    <w:basedOn w:val="914"/>
    <w:uiPriority w:val="59"/>
    <w:pPr>
      <w:pBdr/>
      <w:spacing w:after="0" w:line="240" w:lineRule="auto"/>
      <w:ind/>
    </w:pPr>
    <w:tblPr>
      <w:tblStyleRowBandSize w:val="1"/>
      <w:tblStyleColBandSize w:val="1"/>
      <w:tblInd w:type="dxa" w:w="0"/>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insideV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c2e5f5" w:themeColor="accent1" w:themeFill="accent1" w:themeFillTint="32" w:themeTint="32" w:val="clear"/>
        <w:tcBorders/>
      </w:tcPr>
    </w:tblStylePr>
    <w:tblStylePr w:type="band1Vert">
      <w:rPr>
        <w:rFonts w:ascii="Arial" w:hAnsi="Arial"/>
        <w:color w:val="404040"/>
        <w:sz w:val="22"/>
      </w:rPr>
      <w:pPr>
        <w:pBdr/>
        <w:spacing/>
        <w:ind/>
      </w:pPr>
      <w:tblPr>
        <w:tblBorders/>
      </w:tblPr>
      <w:tcPr>
        <w:shd w:color="ffffff" w:fill="c2e5f5" w:themeColor="accent1" w:themeFill="accent1"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9739b" w:themeColor="accent1" w:themeFill="accent1" w:themeFillTint="EA" w:themeTint="EA" w:val="clear"/>
        <w:tcBorders>
          <w:top w:color="000000" w:space="0" w:sz="4" w:themeColor="accent1" w:themeTint="EA" w:val="single"/>
          <w:left w:color="000000" w:space="0" w:sz="4" w:themeColor="accent1" w:themeTint="EA" w:val="single"/>
          <w:bottom w:color="000000" w:space="0" w:sz="4" w:themeColor="accent1" w:themeTint="EA" w:val="single"/>
          <w:right w:color="000000" w:space="0" w:sz="4" w:themeColor="accent1" w:themeTint="EA"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1" w:themeTint="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3" w:type="table">
    <w:name w:val="Grid Table 4 - Accent 2"/>
    <w:basedOn w:val="914"/>
    <w:uiPriority w:val="59"/>
    <w:pPr>
      <w:pBdr/>
      <w:spacing w:after="0" w:line="240" w:lineRule="auto"/>
      <w:ind/>
    </w:pPr>
    <w:tblPr>
      <w:tblStyleRowBandSize w:val="1"/>
      <w:tblStyleColBandSize w:val="1"/>
      <w:tblInd w:type="dxa" w:w="0"/>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insideV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2ab86" w:themeColor="accent2" w:themeFill="accent2" w:themeFillTint="97" w:themeTint="97" w:val="clear"/>
        <w:tc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4" w:type="table">
    <w:name w:val="Grid Table 4 - Accent 3"/>
    <w:basedOn w:val="914"/>
    <w:uiPriority w:val="59"/>
    <w:pPr>
      <w:pBdr/>
      <w:spacing w:after="0" w:line="240" w:lineRule="auto"/>
      <w:ind/>
    </w:pPr>
    <w:tblPr>
      <w:tblStyleRowBandSize w:val="1"/>
      <w:tblStyleColBandSize w:val="1"/>
      <w:tblInd w:type="dxa" w:w="0"/>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insideV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96c24" w:themeColor="accent3" w:themeFill="accent3" w:themeFillTint="FE" w:themeTint="FE" w:val="clear"/>
        <w:tc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3" w:themeTint="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5" w:type="table">
    <w:name w:val="Grid Table 4 - Accent 4"/>
    <w:basedOn w:val="914"/>
    <w:uiPriority w:val="59"/>
    <w:pPr>
      <w:pBdr/>
      <w:spacing w:after="0" w:line="240" w:lineRule="auto"/>
      <w:ind/>
    </w:pPr>
    <w:tblPr>
      <w:tblStyleRowBandSize w:val="1"/>
      <w:tblStyleColBandSize w:val="1"/>
      <w:tblInd w:type="dxa" w:w="0"/>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insideV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60cbf4" w:themeColor="accent4" w:themeFill="accent4" w:themeFillTint="9A" w:themeTint="9A" w:val="clear"/>
        <w:tc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6" w:type="table">
    <w:name w:val="Grid Table 4 - Accent 5"/>
    <w:basedOn w:val="914"/>
    <w:uiPriority w:val="59"/>
    <w:pPr>
      <w:pBdr/>
      <w:spacing w:after="0" w:line="240" w:lineRule="auto"/>
      <w:ind/>
    </w:pPr>
    <w:tblPr>
      <w:tblStyleRowBandSize w:val="1"/>
      <w:tblStyleColBandSize w:val="1"/>
      <w:tblInd w:type="dxa" w:w="0"/>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a02b93" w:themeColor="accent5" w:themeFill="accent5" w:val="clea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7" w:type="table">
    <w:name w:val="Grid Table 4 - Accent 6"/>
    <w:basedOn w:val="914"/>
    <w:uiPriority w:val="59"/>
    <w:pPr>
      <w:pBdr/>
      <w:spacing w:after="0" w:line="240" w:lineRule="auto"/>
      <w:ind/>
    </w:pPr>
    <w:tblPr>
      <w:tblStyleRowBandSize w:val="1"/>
      <w:tblStyleColBandSize w:val="1"/>
      <w:tblInd w:type="dxa" w:w="0"/>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ea72e" w:themeColor="accent6" w:themeFill="accent6" w:val="clea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8" w:type="table">
    <w:name w:val="Grid Table 5 Dark"/>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40" w:themeTint="40" w:val="clear"/>
    </w:tblPr>
    <w:tcPr>
      <w:tcBorders/>
    </w:tcPr>
    <w:tblStylePr w:type="band1Horz">
      <w:pPr>
        <w:pBdr/>
        <w:spacing/>
        <w:ind/>
      </w:pPr>
      <w:tblPr>
        <w:tblBorders/>
      </w:tblPr>
      <w:tcPr>
        <w:shd w:color="ffffff" w:fill="8a8a8a" w:themeColor="text1" w:themeFill="text1" w:themeFillTint="75" w:themeTint="75" w:val="clear"/>
        <w:tcBorders/>
      </w:tcPr>
    </w:tblStylePr>
    <w:tblStylePr w:type="band1Vert">
      <w:pPr>
        <w:pBdr/>
        <w:spacing/>
        <w:ind/>
      </w:pPr>
      <w:tblPr>
        <w:tblBorders/>
      </w:tblPr>
      <w:tcPr>
        <w:shd w:color="ffffff" w:fill="8a8a8a" w:themeColor="text1" w:themeFill="text1"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000000" w:themeColor="text1" w:themeFill="text1" w:val="clea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rFonts w:ascii="Arial" w:hAnsi="Arial"/>
        <w:b/>
        <w:color w:val="ffffff"/>
        <w:sz w:val="22"/>
      </w:rPr>
      <w:pPr>
        <w:pBdr/>
        <w:spacing/>
        <w:ind/>
      </w:pPr>
      <w:tblPr>
        <w:tblBorders/>
      </w:tblPr>
      <w:tcPr>
        <w:shd w:color="ffffff" w:fill="000000" w:themeColor="text1" w:themeFill="text1" w:val="clear"/>
        <w:tcBorders/>
      </w:tcPr>
    </w:tblStylePr>
    <w:tblStylePr w:type="lastRow">
      <w:rPr>
        <w:rFonts w:ascii="Arial" w:hAnsi="Arial"/>
        <w:b/>
        <w:color w:val="ffffff"/>
        <w:sz w:val="22"/>
      </w:rPr>
      <w:pPr>
        <w:pBdr/>
        <w:spacing/>
        <w:ind/>
      </w:pPr>
      <w:tblPr>
        <w:tblBorders/>
      </w:tblPr>
      <w:tcPr>
        <w:shd w:color="ffffff" w:fill="000000" w:themeColor="text1" w:themeFill="text1"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9" w:type="table">
    <w:name w:val="Grid Table 5 Dark- Accent 1"/>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0e4f5" w:themeColor="accent1" w:themeFill="accent1" w:themeFillTint="34" w:themeTint="34" w:val="clear"/>
    </w:tblPr>
    <w:tcPr>
      <w:tcBorders/>
    </w:tcPr>
    <w:tblStylePr w:type="band1Horz">
      <w:pPr>
        <w:pBdr/>
        <w:spacing/>
        <w:ind/>
      </w:pPr>
      <w:tblPr>
        <w:tblBorders/>
      </w:tblPr>
      <w:tcPr>
        <w:shd w:color="ffffff" w:fill="71c3e8" w:themeColor="accent1" w:themeFill="accent1" w:themeFillTint="75" w:themeTint="75" w:val="clear"/>
        <w:tcBorders/>
      </w:tcPr>
    </w:tblStylePr>
    <w:tblStylePr w:type="band1Vert">
      <w:pPr>
        <w:pBdr/>
        <w:spacing/>
        <w:ind/>
      </w:pPr>
      <w:tblPr>
        <w:tblBorders/>
      </w:tblPr>
      <w:tcPr>
        <w:shd w:color="ffffff" w:fill="71c3e8" w:themeColor="accent1" w:themeFill="accent1"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156082" w:themeColor="accent1" w:themeFill="accent1" w:val="clear"/>
        <w:tcBorders/>
      </w:tcPr>
    </w:tblStylePr>
    <w:tblStylePr w:type="firstRow">
      <w:rPr>
        <w:rFonts w:ascii="Arial" w:hAnsi="Arial"/>
        <w:b/>
        <w:color w:val="ffffff"/>
        <w:sz w:val="22"/>
      </w:rPr>
      <w:pPr>
        <w:pBdr/>
        <w:spacing/>
        <w:ind/>
      </w:pPr>
      <w:tblPr>
        <w:tblBorders/>
      </w:tblPr>
      <w:tcPr>
        <w:shd w:color="ffffff" w:fill="156082" w:themeColor="accent1" w:themeFill="accent1" w:val="clear"/>
        <w:tcBorders/>
      </w:tcPr>
    </w:tblStylePr>
    <w:tblStylePr w:type="lastCol">
      <w:rPr>
        <w:rFonts w:ascii="Arial" w:hAnsi="Arial"/>
        <w:b/>
        <w:color w:val="ffffff"/>
        <w:sz w:val="22"/>
      </w:rPr>
      <w:pPr>
        <w:pBdr/>
        <w:spacing/>
        <w:ind/>
      </w:pPr>
      <w:tblPr>
        <w:tblBorders/>
      </w:tblPr>
      <w:tcPr>
        <w:shd w:color="ffffff" w:fill="156082" w:themeColor="accent1" w:themeFill="accent1" w:val="clear"/>
        <w:tcBorders/>
      </w:tcPr>
    </w:tblStylePr>
    <w:tblStylePr w:type="lastRow">
      <w:rPr>
        <w:rFonts w:ascii="Arial" w:hAnsi="Arial"/>
        <w:b/>
        <w:color w:val="ffffff"/>
        <w:sz w:val="22"/>
      </w:rPr>
      <w:pPr>
        <w:pBdr/>
        <w:spacing/>
        <w:ind/>
      </w:pPr>
      <w:tblPr>
        <w:tblBorders/>
      </w:tblPr>
      <w:tcPr>
        <w:shd w:color="ffffff" w:fill="156082" w:themeColor="accent1" w:themeFill="accent1"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0" w:type="table">
    <w:name w:val="Grid Table 5 Dark - Accent 2"/>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3d7" w:themeColor="accent2" w:themeFill="accent2" w:themeFillTint="32" w:themeTint="32" w:val="clear"/>
    </w:tblPr>
    <w:tcPr>
      <w:tcBorders/>
    </w:tcPr>
    <w:tblStylePr w:type="band1Horz">
      <w:pPr>
        <w:pBdr/>
        <w:spacing/>
        <w:ind/>
      </w:pPr>
      <w:tblPr>
        <w:tblBorders/>
      </w:tblPr>
      <w:tcPr>
        <w:shd w:color="ffffff" w:fill="f5bea1" w:themeColor="accent2" w:themeFill="accent2" w:themeFillTint="75" w:themeTint="75" w:val="clear"/>
        <w:tcBorders/>
      </w:tcPr>
    </w:tblStylePr>
    <w:tblStylePr w:type="band1Vert">
      <w:pPr>
        <w:pBdr/>
        <w:spacing/>
        <w:ind/>
      </w:pPr>
      <w:tblPr>
        <w:tblBorders/>
      </w:tblPr>
      <w:tcPr>
        <w:shd w:color="ffffff" w:fill="f5bea1" w:themeColor="accent2" w:themeFill="accent2"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e97132" w:themeColor="accent2" w:themeFill="accent2" w:val="clear"/>
        <w:tcBorders/>
      </w:tcPr>
    </w:tblStylePr>
    <w:tblStylePr w:type="firstRow">
      <w:rPr>
        <w:rFonts w:ascii="Arial" w:hAnsi="Arial"/>
        <w:b/>
        <w:color w:val="ffffff"/>
        <w:sz w:val="22"/>
      </w:rPr>
      <w:pPr>
        <w:pBdr/>
        <w:spacing/>
        <w:ind/>
      </w:pPr>
      <w:tblPr>
        <w:tblBorders/>
      </w:tblPr>
      <w:tcPr>
        <w:shd w:color="ffffff" w:fill="e97132" w:themeColor="accent2" w:themeFill="accent2" w:val="clear"/>
        <w:tcBorders/>
      </w:tcPr>
    </w:tblStylePr>
    <w:tblStylePr w:type="lastCol">
      <w:rPr>
        <w:rFonts w:ascii="Arial" w:hAnsi="Arial"/>
        <w:b/>
        <w:color w:val="ffffff"/>
        <w:sz w:val="22"/>
      </w:rPr>
      <w:pPr>
        <w:pBdr/>
        <w:spacing/>
        <w:ind/>
      </w:pPr>
      <w:tblPr>
        <w:tblBorders/>
      </w:tblPr>
      <w:tcPr>
        <w:shd w:color="ffffff" w:fill="e97132" w:themeColor="accent2" w:themeFill="accent2" w:val="clear"/>
        <w:tcBorders/>
      </w:tcPr>
    </w:tblStylePr>
    <w:tblStylePr w:type="lastRow">
      <w:rPr>
        <w:rFonts w:ascii="Arial" w:hAnsi="Arial"/>
        <w:b/>
        <w:color w:val="ffffff"/>
        <w:sz w:val="22"/>
      </w:rPr>
      <w:pPr>
        <w:pBdr/>
        <w:spacing/>
        <w:ind/>
      </w:pPr>
      <w:tblPr>
        <w:tblBorders/>
      </w:tblPr>
      <w:tcPr>
        <w:shd w:color="ffffff" w:fill="e97132" w:themeColor="accent2" w:themeFill="accent2"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1" w:type="table">
    <w:name w:val="Grid Table 5 Dark - Accent 3"/>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1f0c7" w:themeColor="accent3" w:themeFill="accent3" w:themeFillTint="34" w:themeTint="34" w:val="clear"/>
    </w:tblPr>
    <w:tcPr>
      <w:tcBorders/>
    </w:tcPr>
    <w:tblStylePr w:type="band1Horz">
      <w:pPr>
        <w:pBdr/>
        <w:spacing/>
        <w:ind/>
      </w:pPr>
      <w:tblPr>
        <w:tblBorders/>
      </w:tblPr>
      <w:tcPr>
        <w:shd w:color="ffffff" w:fill="72de81" w:themeColor="accent3" w:themeFill="accent3" w:themeFillTint="75" w:themeTint="75" w:val="clear"/>
        <w:tcBorders/>
      </w:tcPr>
    </w:tblStylePr>
    <w:tblStylePr w:type="band1Vert">
      <w:pPr>
        <w:pBdr/>
        <w:spacing/>
        <w:ind/>
      </w:pPr>
      <w:tblPr>
        <w:tblBorders/>
      </w:tblPr>
      <w:tcPr>
        <w:shd w:color="ffffff" w:fill="72de81" w:themeColor="accent3" w:themeFill="accent3"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196b24" w:themeColor="accent3" w:themeFill="accent3" w:val="clear"/>
        <w:tcBorders/>
      </w:tcPr>
    </w:tblStylePr>
    <w:tblStylePr w:type="firstRow">
      <w:rPr>
        <w:rFonts w:ascii="Arial" w:hAnsi="Arial"/>
        <w:b/>
        <w:color w:val="ffffff"/>
        <w:sz w:val="22"/>
      </w:rPr>
      <w:pPr>
        <w:pBdr/>
        <w:spacing/>
        <w:ind/>
      </w:pPr>
      <w:tblPr>
        <w:tblBorders/>
      </w:tblPr>
      <w:tcPr>
        <w:shd w:color="ffffff" w:fill="196b24" w:themeColor="accent3" w:themeFill="accent3" w:val="clear"/>
        <w:tcBorders/>
      </w:tcPr>
    </w:tblStylePr>
    <w:tblStylePr w:type="lastCol">
      <w:rPr>
        <w:rFonts w:ascii="Arial" w:hAnsi="Arial"/>
        <w:b/>
        <w:color w:val="ffffff"/>
        <w:sz w:val="22"/>
      </w:rPr>
      <w:pPr>
        <w:pBdr/>
        <w:spacing/>
        <w:ind/>
      </w:pPr>
      <w:tblPr>
        <w:tblBorders/>
      </w:tblPr>
      <w:tcPr>
        <w:shd w:color="ffffff" w:fill="196b24" w:themeColor="accent3" w:themeFill="accent3" w:val="clear"/>
        <w:tcBorders/>
      </w:tcPr>
    </w:tblStylePr>
    <w:tblStylePr w:type="lastRow">
      <w:rPr>
        <w:rFonts w:ascii="Arial" w:hAnsi="Arial"/>
        <w:b/>
        <w:color w:val="ffffff"/>
        <w:sz w:val="22"/>
      </w:rPr>
      <w:pPr>
        <w:pBdr/>
        <w:spacing/>
        <w:ind/>
      </w:pPr>
      <w:tblPr>
        <w:tblBorders/>
      </w:tblPr>
      <w:tcPr>
        <w:shd w:color="ffffff" w:fill="196b24" w:themeColor="accent3" w:themeFill="accent3"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2" w:type="table">
    <w:name w:val="Grid Table 5 Dark- Accent 4"/>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9edfb" w:themeColor="accent4" w:themeFill="accent4" w:themeFillTint="34" w:themeTint="34" w:val="clear"/>
    </w:tblPr>
    <w:tcPr>
      <w:tcBorders/>
    </w:tcPr>
    <w:tblStylePr w:type="band1Horz">
      <w:pPr>
        <w:pBdr/>
        <w:spacing/>
        <w:ind/>
      </w:pPr>
      <w:tblPr>
        <w:tblBorders/>
      </w:tblPr>
      <w:tcPr>
        <w:shd w:color="ffffff" w:fill="86d7f6" w:themeColor="accent4" w:themeFill="accent4" w:themeFillTint="75" w:themeTint="75" w:val="clear"/>
        <w:tcBorders/>
      </w:tcPr>
    </w:tblStylePr>
    <w:tblStylePr w:type="band1Vert">
      <w:pPr>
        <w:pBdr/>
        <w:spacing/>
        <w:ind/>
      </w:pPr>
      <w:tblPr>
        <w:tblBorders/>
      </w:tblPr>
      <w:tcPr>
        <w:shd w:color="ffffff" w:fill="86d7f6" w:themeColor="accent4" w:themeFill="accent4"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0f9ed5" w:themeColor="accent4" w:themeFill="accent4" w:val="clear"/>
        <w:tcBorders/>
      </w:tcPr>
    </w:tblStylePr>
    <w:tblStylePr w:type="firstRow">
      <w:rPr>
        <w:rFonts w:ascii="Arial" w:hAnsi="Arial"/>
        <w:b/>
        <w:color w:val="ffffff"/>
        <w:sz w:val="22"/>
      </w:rPr>
      <w:pPr>
        <w:pBdr/>
        <w:spacing/>
        <w:ind/>
      </w:pPr>
      <w:tblPr>
        <w:tblBorders/>
      </w:tblPr>
      <w:tcPr>
        <w:shd w:color="ffffff" w:fill="0f9ed5" w:themeColor="accent4" w:themeFill="accent4" w:val="clear"/>
        <w:tcBorders/>
      </w:tcPr>
    </w:tblStylePr>
    <w:tblStylePr w:type="lastCol">
      <w:rPr>
        <w:rFonts w:ascii="Arial" w:hAnsi="Arial"/>
        <w:b/>
        <w:color w:val="ffffff"/>
        <w:sz w:val="22"/>
      </w:rPr>
      <w:pPr>
        <w:pBdr/>
        <w:spacing/>
        <w:ind/>
      </w:pPr>
      <w:tblPr>
        <w:tblBorders/>
      </w:tblPr>
      <w:tcPr>
        <w:shd w:color="ffffff" w:fill="0f9ed5" w:themeColor="accent4" w:themeFill="accent4" w:val="clear"/>
        <w:tcBorders/>
      </w:tcPr>
    </w:tblStylePr>
    <w:tblStylePr w:type="lastRow">
      <w:rPr>
        <w:rFonts w:ascii="Arial" w:hAnsi="Arial"/>
        <w:b/>
        <w:color w:val="ffffff"/>
        <w:sz w:val="22"/>
      </w:rPr>
      <w:pPr>
        <w:pBdr/>
        <w:spacing/>
        <w:ind/>
      </w:pPr>
      <w:tblPr>
        <w:tblBorders/>
      </w:tblPr>
      <w:tcPr>
        <w:shd w:color="ffffff" w:fill="0f9ed5" w:themeColor="accent4" w:themeFill="accent4"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3" w:type="table">
    <w:name w:val="Grid Table 5 Dark - Accent 5"/>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2ceee" w:themeColor="accent5" w:themeFill="accent5" w:themeFillTint="34" w:themeTint="34" w:val="clear"/>
    </w:tblPr>
    <w:tcPr>
      <w:tcBorders/>
    </w:tcPr>
    <w:tblStylePr w:type="band1Horz">
      <w:pPr>
        <w:pBdr/>
        <w:spacing/>
        <w:ind/>
      </w:pPr>
      <w:tblPr>
        <w:tblBorders/>
      </w:tblPr>
      <w:tcPr>
        <w:shd w:color="ffffff" w:fill="e190d8" w:themeColor="accent5" w:themeFill="accent5" w:themeFillTint="75" w:themeTint="75" w:val="clear"/>
        <w:tcBorders/>
      </w:tcPr>
    </w:tblStylePr>
    <w:tblStylePr w:type="band1Vert">
      <w:pPr>
        <w:pBdr/>
        <w:spacing/>
        <w:ind/>
      </w:pPr>
      <w:tblPr>
        <w:tblBorders/>
      </w:tblPr>
      <w:tcPr>
        <w:shd w:color="ffffff" w:fill="e190d8" w:themeColor="accent5" w:themeFill="accent5"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a02b93" w:themeColor="accent5" w:themeFill="accent5" w:val="clear"/>
        <w:tcBorders/>
      </w:tcPr>
    </w:tblStylePr>
    <w:tblStylePr w:type="firstRow">
      <w:rPr>
        <w:rFonts w:ascii="Arial" w:hAnsi="Arial"/>
        <w:b/>
        <w:color w:val="ffffff"/>
        <w:sz w:val="22"/>
      </w:rPr>
      <w:pPr>
        <w:pBdr/>
        <w:spacing/>
        <w:ind/>
      </w:pPr>
      <w:tblPr>
        <w:tblBorders/>
      </w:tblPr>
      <w:tcPr>
        <w:shd w:color="ffffff" w:fill="a02b93" w:themeColor="accent5" w:themeFill="accent5" w:val="clear"/>
        <w:tcBorders/>
      </w:tcPr>
    </w:tblStylePr>
    <w:tblStylePr w:type="lastCol">
      <w:rPr>
        <w:rFonts w:ascii="Arial" w:hAnsi="Arial"/>
        <w:b/>
        <w:color w:val="ffffff"/>
        <w:sz w:val="22"/>
      </w:rPr>
      <w:pPr>
        <w:pBdr/>
        <w:spacing/>
        <w:ind/>
      </w:pPr>
      <w:tblPr>
        <w:tblBorders/>
      </w:tblPr>
      <w:tcPr>
        <w:shd w:color="ffffff" w:fill="a02b93" w:themeColor="accent5" w:themeFill="accent5" w:val="clear"/>
        <w:tcBorders/>
      </w:tcPr>
    </w:tblStylePr>
    <w:tblStylePr w:type="lastRow">
      <w:rPr>
        <w:rFonts w:ascii="Arial" w:hAnsi="Arial"/>
        <w:b/>
        <w:color w:val="ffffff"/>
        <w:sz w:val="22"/>
      </w:rPr>
      <w:pPr>
        <w:pBdr/>
        <w:spacing/>
        <w:ind/>
      </w:pPr>
      <w:tblPr>
        <w:tblBorders/>
      </w:tblPr>
      <w:tcPr>
        <w:shd w:color="ffffff" w:fill="a02b93" w:themeColor="accent5" w:themeFill="accent5"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4" w:type="table">
    <w:name w:val="Grid Table 5 Dark - Accent 6"/>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f2d0" w:themeColor="accent6" w:themeFill="accent6" w:themeFillTint="34" w:themeTint="34" w:val="clear"/>
    </w:tblPr>
    <w:tcPr>
      <w:tcBorders/>
    </w:tcPr>
    <w:tblStylePr w:type="band1Horz">
      <w:pPr>
        <w:pBdr/>
        <w:spacing/>
        <w:ind/>
      </w:pPr>
      <w:tblPr>
        <w:tblBorders/>
      </w:tblPr>
      <w:tcPr>
        <w:shd w:color="ffffff" w:fill="a9e294" w:themeColor="accent6" w:themeFill="accent6" w:themeFillTint="75" w:themeTint="75" w:val="clear"/>
        <w:tcBorders/>
      </w:tcPr>
    </w:tblStylePr>
    <w:tblStylePr w:type="band1Vert">
      <w:pPr>
        <w:pBdr/>
        <w:spacing/>
        <w:ind/>
      </w:pPr>
      <w:tblPr>
        <w:tblBorders/>
      </w:tblPr>
      <w:tcPr>
        <w:shd w:color="ffffff" w:fill="a9e294" w:themeColor="accent6" w:themeFill="accent6"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4ea72e" w:themeColor="accent6" w:themeFill="accent6" w:val="clear"/>
        <w:tcBorders/>
      </w:tcPr>
    </w:tblStylePr>
    <w:tblStylePr w:type="firstRow">
      <w:rPr>
        <w:rFonts w:ascii="Arial" w:hAnsi="Arial"/>
        <w:b/>
        <w:color w:val="ffffff"/>
        <w:sz w:val="22"/>
      </w:rPr>
      <w:pPr>
        <w:pBdr/>
        <w:spacing/>
        <w:ind/>
      </w:pPr>
      <w:tblPr>
        <w:tblBorders/>
      </w:tblPr>
      <w:tcPr>
        <w:shd w:color="ffffff" w:fill="4ea72e" w:themeColor="accent6" w:themeFill="accent6" w:val="clear"/>
        <w:tcBorders/>
      </w:tcPr>
    </w:tblStylePr>
    <w:tblStylePr w:type="lastCol">
      <w:rPr>
        <w:rFonts w:ascii="Arial" w:hAnsi="Arial"/>
        <w:b/>
        <w:color w:val="ffffff"/>
        <w:sz w:val="22"/>
      </w:rPr>
      <w:pPr>
        <w:pBdr/>
        <w:spacing/>
        <w:ind/>
      </w:pPr>
      <w:tblPr>
        <w:tblBorders/>
      </w:tblPr>
      <w:tcPr>
        <w:shd w:color="ffffff" w:fill="4ea72e" w:themeColor="accent6" w:themeFill="accent6" w:val="clear"/>
        <w:tcBorders/>
      </w:tcPr>
    </w:tblStylePr>
    <w:tblStylePr w:type="lastRow">
      <w:rPr>
        <w:rFonts w:ascii="Arial" w:hAnsi="Arial"/>
        <w:b/>
        <w:color w:val="ffffff"/>
        <w:sz w:val="22"/>
      </w:rPr>
      <w:pPr>
        <w:pBdr/>
        <w:spacing/>
        <w:ind/>
      </w:pPr>
      <w:tblPr>
        <w:tblBorders/>
      </w:tblPr>
      <w:tcPr>
        <w:shd w:color="ffffff" w:fill="4ea72e" w:themeColor="accent6" w:themeFill="accent6"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5" w:type="table">
    <w:name w:val="Grid Table 6 Colorful"/>
    <w:basedOn w:val="914"/>
    <w:uiPriority w:val="99"/>
    <w:pPr>
      <w:pBdr/>
      <w:spacing w:after="0" w:line="240" w:lineRule="auto"/>
      <w:ind/>
    </w:pPr>
    <w:tblPr>
      <w:tblStyleRowBandSize w:val="1"/>
      <w:tblStyleColBandSize w:val="1"/>
      <w:tblInd w:type="dxa" w:w="0"/>
      <w:tblBorders>
        <w:top w:color="000000" w:space="0" w:sz="4" w:themeColor="text1" w:themeTint="80" w:val="single"/>
        <w:left w:color="000000" w:space="0" w:sz="4" w:themeColor="text1" w:themeTint="80" w:val="single"/>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cBorders/>
    </w:tcPr>
    <w:tblStylePr w:type="band1Horz">
      <w:rPr>
        <w:rFonts w:ascii="Arial" w:hAnsi="Arial"/>
        <w:color w:themeColor="text1" w:themeShade="95" w:themeTint="80" w:val="404040"/>
        <w:sz w:val="22"/>
      </w:rPr>
      <w:pPr>
        <w:pBdr/>
        <w:spacing/>
        <w:ind/>
      </w:pPr>
      <w:tblPr>
        <w:tblBorders/>
      </w:tblPr>
      <w:tcPr>
        <w:shd w:color="ffffff" w:fill="cbcbcb" w:themeColor="text1" w:themeFill="text1" w:themeFillTint="34" w:themeTint="34" w:val="clear"/>
        <w:tcBorders/>
      </w:tcPr>
    </w:tblStylePr>
    <w:tblStylePr w:type="band1Vert">
      <w:pPr>
        <w:pBdr/>
        <w:spacing/>
        <w:ind/>
      </w:pPr>
      <w:tblPr>
        <w:tblBorders/>
      </w:tblPr>
      <w:tcPr>
        <w:shd w:color="ffffff" w:fill="cbcbcb" w:themeColor="text1" w:themeFill="text1" w:themeFillTint="34" w:themeTint="34" w:val="clear"/>
        <w:tcBorders/>
      </w:tcPr>
    </w:tblStylePr>
    <w:tblStylePr w:type="band2Horz">
      <w:rPr>
        <w:rFonts w:ascii="Arial" w:hAnsi="Arial"/>
        <w:color w:themeColor="text1" w:themeShade="95" w:themeTint="80"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text1" w:themeShade="95" w:themeTint="80" w:val="4a4a4a"/>
      </w:rPr>
      <w:pPr>
        <w:pBdr/>
        <w:spacing/>
        <w:ind/>
      </w:pPr>
      <w:tblPr>
        <w:tblBorders/>
      </w:tblPr>
      <w:tcPr>
        <w:tcBorders/>
      </w:tcPr>
    </w:tblStylePr>
    <w:tblStylePr w:type="firstRow">
      <w:rPr>
        <w:b/>
        <w:color w:themeColor="text1" w:themeShade="95" w:themeTint="80" w:val="4a4a4a"/>
      </w:rPr>
      <w:pPr>
        <w:pBdr/>
        <w:spacing/>
        <w:ind/>
      </w:pPr>
      <w:tblPr>
        <w:tblBorders/>
      </w:tblPr>
      <w:tcPr>
        <w:tcBorders>
          <w:bottom w:color="000000" w:space="0" w:sz="12" w:themeColor="text1" w:themeTint="80" w:val="single"/>
        </w:tcBorders>
      </w:tcPr>
    </w:tblStylePr>
    <w:tblStylePr w:type="lastCol">
      <w:rPr>
        <w:b/>
        <w:color w:themeColor="text1" w:themeShade="95" w:themeTint="80" w:val="4a4a4a"/>
      </w:rPr>
      <w:pPr>
        <w:pBdr/>
        <w:spacing/>
        <w:ind/>
      </w:pPr>
      <w:tblPr>
        <w:tblBorders/>
      </w:tblPr>
      <w:tcPr>
        <w:tcBorders/>
      </w:tcPr>
    </w:tblStylePr>
    <w:tblStylePr w:type="lastRow">
      <w:rPr>
        <w:b/>
        <w:color w:themeColor="text1" w:themeShade="95" w:themeTint="80" w:val="4a4a4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text1" w:themeShade="95" w:themeTint="80" w:val="404040"/>
        <w:sz w:val="22"/>
      </w:rPr>
      <w:pPr>
        <w:pBdr/>
        <w:spacing/>
        <w:ind/>
      </w:pPr>
      <w:tblPr>
        <w:tblBorders/>
      </w:tblPr>
      <w:tcPr>
        <w:tcBorders/>
      </w:tcPr>
    </w:tblStylePr>
  </w:style>
  <w:style w:styleId="776" w:type="table">
    <w:name w:val="Grid Table 6 Colorful - Accent 1"/>
    <w:basedOn w:val="914"/>
    <w:uiPriority w:val="99"/>
    <w:pPr>
      <w:pBdr/>
      <w:spacing w:after="0" w:line="240" w:lineRule="auto"/>
      <w:ind/>
    </w:pPr>
    <w:tblPr>
      <w:tblStyleRowBandSize w:val="1"/>
      <w:tblStyleColBandSize w:val="1"/>
      <w:tblInd w:type="dxa" w:w="0"/>
      <w:tblBorders>
        <w:top w:color="000000" w:space="0" w:sz="4" w:themeColor="accent1" w:themeTint="80" w:val="single"/>
        <w:left w:color="000000" w:space="0" w:sz="4" w:themeColor="accent1" w:themeTint="80" w:val="single"/>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cBorders/>
    </w:tcPr>
    <w:tblStylePr w:type="band1Horz">
      <w:rPr>
        <w:rFonts w:ascii="Arial" w:hAnsi="Arial"/>
        <w:color w:themeColor="accent1" w:themeShade="95" w:themeTint="80" w:val="404040"/>
        <w:sz w:val="22"/>
      </w:rPr>
      <w:pPr>
        <w:pBdr/>
        <w:spacing/>
        <w:ind/>
      </w:pPr>
      <w:tblPr>
        <w:tblBorders/>
      </w:tblPr>
      <w:tcPr>
        <w:shd w:color="ffffff" w:fill="c0e4f5" w:themeColor="accent1" w:themeFill="accent1" w:themeFillTint="34" w:themeTint="34" w:val="clear"/>
        <w:tcBorders/>
      </w:tcPr>
    </w:tblStylePr>
    <w:tblStylePr w:type="band1Vert">
      <w:pPr>
        <w:pBdr/>
        <w:spacing/>
        <w:ind/>
      </w:pPr>
      <w:tblPr>
        <w:tblBorders/>
      </w:tblPr>
      <w:tcPr>
        <w:shd w:color="ffffff" w:fill="c0e4f5" w:themeColor="accent1" w:themeFill="accent1" w:themeFillTint="34" w:themeTint="34" w:val="clear"/>
        <w:tcBorders/>
      </w:tcPr>
    </w:tblStylePr>
    <w:tblStylePr w:type="band2Horz">
      <w:rPr>
        <w:rFonts w:ascii="Arial" w:hAnsi="Arial"/>
        <w:color w:themeColor="accent1" w:themeShade="95" w:themeTint="80"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1" w:themeShade="95" w:themeTint="80" w:val="1b7ba6"/>
      </w:rPr>
      <w:pPr>
        <w:pBdr/>
        <w:spacing/>
        <w:ind/>
      </w:pPr>
      <w:tblPr>
        <w:tblBorders/>
      </w:tblPr>
      <w:tcPr>
        <w:tcBorders/>
      </w:tcPr>
    </w:tblStylePr>
    <w:tblStylePr w:type="firstRow">
      <w:rPr>
        <w:b/>
        <w:color w:themeColor="accent1" w:themeShade="95" w:themeTint="80" w:val="1b7ba6"/>
      </w:rPr>
      <w:pPr>
        <w:pBdr/>
        <w:spacing/>
        <w:ind/>
      </w:pPr>
      <w:tblPr>
        <w:tblBorders/>
      </w:tblPr>
      <w:tcPr>
        <w:tcBorders>
          <w:bottom w:color="000000" w:space="0" w:sz="12" w:themeColor="accent1" w:themeTint="80" w:val="single"/>
        </w:tcBorders>
      </w:tcPr>
    </w:tblStylePr>
    <w:tblStylePr w:type="lastCol">
      <w:rPr>
        <w:b/>
        <w:color w:themeColor="accent1" w:themeShade="95" w:themeTint="80" w:val="1b7ba6"/>
      </w:rPr>
      <w:pPr>
        <w:pBdr/>
        <w:spacing/>
        <w:ind/>
      </w:pPr>
      <w:tblPr>
        <w:tblBorders/>
      </w:tblPr>
      <w:tcPr>
        <w:tcBorders/>
      </w:tcPr>
    </w:tblStylePr>
    <w:tblStylePr w:type="lastRow">
      <w:rPr>
        <w:b/>
        <w:color w:themeColor="accent1" w:themeShade="95" w:themeTint="80" w:val="1b7ba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1" w:themeShade="95" w:themeTint="80" w:val="404040"/>
        <w:sz w:val="22"/>
      </w:rPr>
      <w:pPr>
        <w:pBdr/>
        <w:spacing/>
        <w:ind/>
      </w:pPr>
      <w:tblPr>
        <w:tblBorders/>
      </w:tblPr>
      <w:tcPr>
        <w:tcBorders/>
      </w:tcPr>
    </w:tblStylePr>
  </w:style>
  <w:style w:styleId="777" w:type="table">
    <w:name w:val="Grid Table 6 Colorful - Accent 2"/>
    <w:basedOn w:val="914"/>
    <w:uiPriority w:val="99"/>
    <w:pPr>
      <w:pBdr/>
      <w:spacing w:after="0" w:line="240" w:lineRule="auto"/>
      <w:ind/>
    </w:pPr>
    <w:tblPr>
      <w:tblStyleRowBandSize w:val="1"/>
      <w:tblStyleColBandSize w:val="1"/>
      <w:tblInd w:type="dxa" w:w="0"/>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themeColor="accent2" w:themeShade="95" w:themeTint="97" w:val="404040"/>
        <w:sz w:val="22"/>
      </w:rPr>
      <w:pPr>
        <w:pBdr/>
        <w:spacing/>
        <w:ind/>
      </w:pPr>
      <w:tblPr>
        <w:tblBorders/>
      </w:tblPr>
      <w:tcPr>
        <w:shd w:color="ffffff" w:fill="fbe3d7" w:themeColor="accent2" w:themeFill="accent2" w:themeFillTint="32" w:themeTint="32" w:val="clear"/>
        <w:tcBorders/>
      </w:tcPr>
    </w:tblStylePr>
    <w:tblStylePr w:type="band1Vert">
      <w:pPr>
        <w:pBdr/>
        <w:spacing/>
        <w:ind/>
      </w:pPr>
      <w:tblPr>
        <w:tblBorders/>
      </w:tblPr>
      <w:tcPr>
        <w:shd w:color="ffffff" w:fill="fbe3d7" w:themeColor="accent2" w:themeFill="accent2" w:themeFillTint="32" w:themeTint="32" w:val="clear"/>
        <w:tcBorders/>
      </w:tcPr>
    </w:tblStylePr>
    <w:tblStylePr w:type="band2Horz">
      <w:rPr>
        <w:rFonts w:ascii="Arial" w:hAnsi="Arial"/>
        <w:color w:themeColor="accent2" w:themeShade="95" w:themeTint="97"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2" w:themeShade="95" w:themeTint="97" w:val="c65215"/>
      </w:rPr>
      <w:pPr>
        <w:pBdr/>
        <w:spacing/>
        <w:ind/>
      </w:pPr>
      <w:tblPr>
        <w:tblBorders/>
      </w:tblPr>
      <w:tcPr>
        <w:tcBorders/>
      </w:tcPr>
    </w:tblStylePr>
    <w:tblStylePr w:type="firstRow">
      <w:rPr>
        <w:b/>
        <w:color w:themeColor="accent2" w:themeShade="95" w:themeTint="97" w:val="c65215"/>
      </w:rPr>
      <w:pPr>
        <w:pBdr/>
        <w:spacing/>
        <w:ind/>
      </w:pPr>
      <w:tblPr>
        <w:tblBorders/>
      </w:tblPr>
      <w:tcPr>
        <w:tcBorders>
          <w:bottom w:color="000000" w:space="0" w:sz="12" w:themeColor="accent2" w:themeTint="97" w:val="single"/>
        </w:tcBorders>
      </w:tcPr>
    </w:tblStylePr>
    <w:tblStylePr w:type="lastCol">
      <w:rPr>
        <w:b/>
        <w:color w:themeColor="accent2" w:themeShade="95" w:themeTint="97" w:val="c65215"/>
      </w:rPr>
      <w:pPr>
        <w:pBdr/>
        <w:spacing/>
        <w:ind/>
      </w:pPr>
      <w:tblPr>
        <w:tblBorders/>
      </w:tblPr>
      <w:tcPr>
        <w:tcBorders/>
      </w:tcPr>
    </w:tblStylePr>
    <w:tblStylePr w:type="lastRow">
      <w:rPr>
        <w:b/>
        <w:color w:themeColor="accent2" w:themeShade="95" w:themeTint="97" w:val="c6521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2" w:themeShade="95" w:themeTint="97" w:val="404040"/>
        <w:sz w:val="22"/>
      </w:rPr>
      <w:pPr>
        <w:pBdr/>
        <w:spacing/>
        <w:ind/>
      </w:pPr>
      <w:tblPr>
        <w:tblBorders/>
      </w:tblPr>
      <w:tcPr>
        <w:tcBorders/>
      </w:tcPr>
    </w:tblStylePr>
  </w:style>
  <w:style w:styleId="778" w:type="table">
    <w:name w:val="Grid Table 6 Colorful - Accent 3"/>
    <w:basedOn w:val="914"/>
    <w:uiPriority w:val="99"/>
    <w:pPr>
      <w:pBdr/>
      <w:spacing w:after="0" w:line="240" w:lineRule="auto"/>
      <w:ind/>
    </w:pPr>
    <w:tblPr>
      <w:tblStyleRowBandSize w:val="1"/>
      <w:tblStyleColBandSize w:val="1"/>
      <w:tblInd w:type="dxa" w:w="0"/>
      <w:tbl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themeColor="accent3" w:themeShade="95" w:themeTint="FE" w:val="404040"/>
        <w:sz w:val="22"/>
      </w:rPr>
      <w:pPr>
        <w:pBdr/>
        <w:spacing/>
        <w:ind/>
      </w:pPr>
      <w:tblPr>
        <w:tblBorders/>
      </w:tblPr>
      <w:tcPr>
        <w:shd w:color="ffffff" w:fill="c1f0c7" w:themeColor="accent3" w:themeFill="accent3" w:themeFillTint="34" w:themeTint="34" w:val="clear"/>
        <w:tcBorders/>
      </w:tcPr>
    </w:tblStylePr>
    <w:tblStylePr w:type="band1Vert">
      <w:pPr>
        <w:pBdr/>
        <w:spacing/>
        <w:ind/>
      </w:pPr>
      <w:tblPr>
        <w:tblBorders/>
      </w:tblPr>
      <w:tcPr>
        <w:shd w:color="ffffff" w:fill="c1f0c7" w:themeColor="accent3" w:themeFill="accent3" w:themeFillTint="34" w:themeTint="34" w:val="clear"/>
        <w:tcBorders/>
      </w:tcPr>
    </w:tblStylePr>
    <w:tblStylePr w:type="band2Horz">
      <w:rPr>
        <w:rFonts w:ascii="Arial" w:hAnsi="Arial"/>
        <w:color w:themeColor="accent3" w:themeShade="95" w:themeTint="FE"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3" w:themeShade="95" w:themeTint="FE" w:val="0f3f15"/>
      </w:rPr>
      <w:pPr>
        <w:pBdr/>
        <w:spacing/>
        <w:ind/>
      </w:pPr>
      <w:tblPr>
        <w:tblBorders/>
      </w:tblPr>
      <w:tcPr>
        <w:tcBorders/>
      </w:tcPr>
    </w:tblStylePr>
    <w:tblStylePr w:type="firstRow">
      <w:rPr>
        <w:b/>
        <w:color w:themeColor="accent3" w:themeShade="95" w:themeTint="FE" w:val="0f3f15"/>
      </w:rPr>
      <w:pPr>
        <w:pBdr/>
        <w:spacing/>
        <w:ind/>
      </w:pPr>
      <w:tblPr>
        <w:tblBorders/>
      </w:tblPr>
      <w:tcPr>
        <w:tcBorders>
          <w:bottom w:color="000000" w:space="0" w:sz="12" w:themeColor="accent3" w:themeTint="FE" w:val="single"/>
        </w:tcBorders>
      </w:tcPr>
    </w:tblStylePr>
    <w:tblStylePr w:type="lastCol">
      <w:rPr>
        <w:b/>
        <w:color w:themeColor="accent3" w:themeShade="95" w:themeTint="FE" w:val="0f3f15"/>
      </w:rPr>
      <w:pPr>
        <w:pBdr/>
        <w:spacing/>
        <w:ind/>
      </w:pPr>
      <w:tblPr>
        <w:tblBorders/>
      </w:tblPr>
      <w:tcPr>
        <w:tcBorders/>
      </w:tcPr>
    </w:tblStylePr>
    <w:tblStylePr w:type="lastRow">
      <w:rPr>
        <w:b/>
        <w:color w:themeColor="accent3" w:themeShade="95" w:themeTint="FE" w:val="0f3f1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3" w:themeShade="95" w:themeTint="FE" w:val="404040"/>
        <w:sz w:val="22"/>
      </w:rPr>
      <w:pPr>
        <w:pBdr/>
        <w:spacing/>
        <w:ind/>
      </w:pPr>
      <w:tblPr>
        <w:tblBorders/>
      </w:tblPr>
      <w:tcPr>
        <w:tcBorders/>
      </w:tcPr>
    </w:tblStylePr>
  </w:style>
  <w:style w:styleId="779" w:type="table">
    <w:name w:val="Grid Table 6 Colorful - Accent 4"/>
    <w:basedOn w:val="914"/>
    <w:uiPriority w:val="99"/>
    <w:pPr>
      <w:pBdr/>
      <w:spacing w:after="0" w:line="240" w:lineRule="auto"/>
      <w:ind/>
    </w:pPr>
    <w:tblPr>
      <w:tblStyleRowBandSize w:val="1"/>
      <w:tblStyleColBandSize w:val="1"/>
      <w:tblInd w:type="dxa" w:w="0"/>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themeColor="accent4" w:themeShade="95" w:themeTint="9A" w:val="404040"/>
        <w:sz w:val="22"/>
      </w:rPr>
      <w:pPr>
        <w:pBdr/>
        <w:spacing/>
        <w:ind/>
      </w:pPr>
      <w:tblPr>
        <w:tblBorders/>
      </w:tblPr>
      <w:tcPr>
        <w:shd w:color="ffffff" w:fill="c9edfb" w:themeColor="accent4" w:themeFill="accent4" w:themeFillTint="34" w:themeTint="34" w:val="clear"/>
        <w:tcBorders/>
      </w:tcPr>
    </w:tblStylePr>
    <w:tblStylePr w:type="band1Vert">
      <w:pPr>
        <w:pBdr/>
        <w:spacing/>
        <w:ind/>
      </w:pPr>
      <w:tblPr>
        <w:tblBorders/>
      </w:tblPr>
      <w:tcPr>
        <w:shd w:color="ffffff" w:fill="c9edfb" w:themeColor="accent4" w:themeFill="accent4" w:themeFillTint="34" w:themeTint="34" w:val="clear"/>
        <w:tcBorders/>
      </w:tcPr>
    </w:tblStylePr>
    <w:tblStylePr w:type="band2Horz">
      <w:rPr>
        <w:rFonts w:ascii="Arial" w:hAnsi="Arial"/>
        <w:color w:themeColor="accent4"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4" w:themeShade="95" w:themeTint="9A" w:val="0d8ab9"/>
      </w:rPr>
      <w:pPr>
        <w:pBdr/>
        <w:spacing/>
        <w:ind/>
      </w:pPr>
      <w:tblPr>
        <w:tblBorders/>
      </w:tblPr>
      <w:tcPr>
        <w:tcBorders/>
      </w:tcPr>
    </w:tblStylePr>
    <w:tblStylePr w:type="firstRow">
      <w:rPr>
        <w:b/>
        <w:color w:themeColor="accent4" w:themeShade="95" w:themeTint="9A" w:val="0d8ab9"/>
      </w:rPr>
      <w:pPr>
        <w:pBdr/>
        <w:spacing/>
        <w:ind/>
      </w:pPr>
      <w:tblPr>
        <w:tblBorders/>
      </w:tblPr>
      <w:tcPr>
        <w:tcBorders>
          <w:bottom w:color="000000" w:space="0" w:sz="12" w:themeColor="accent4" w:themeTint="9A" w:val="single"/>
        </w:tcBorders>
      </w:tcPr>
    </w:tblStylePr>
    <w:tblStylePr w:type="lastCol">
      <w:rPr>
        <w:b/>
        <w:color w:themeColor="accent4" w:themeShade="95" w:themeTint="9A" w:val="0d8ab9"/>
      </w:rPr>
      <w:pPr>
        <w:pBdr/>
        <w:spacing/>
        <w:ind/>
      </w:pPr>
      <w:tblPr>
        <w:tblBorders/>
      </w:tblPr>
      <w:tcPr>
        <w:tcBorders/>
      </w:tcPr>
    </w:tblStylePr>
    <w:tblStylePr w:type="lastRow">
      <w:rPr>
        <w:b/>
        <w:color w:themeColor="accent4" w:themeShade="95" w:themeTint="9A" w:val="0d8ab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4" w:themeShade="95" w:themeTint="9A" w:val="404040"/>
        <w:sz w:val="22"/>
      </w:rPr>
      <w:pPr>
        <w:pBdr/>
        <w:spacing/>
        <w:ind/>
      </w:pPr>
      <w:tblPr>
        <w:tblBorders/>
      </w:tblPr>
      <w:tcPr>
        <w:tcBorders/>
      </w:tcPr>
    </w:tblStylePr>
  </w:style>
  <w:style w:styleId="780" w:type="table">
    <w:name w:val="Grid Table 6 Colorful - Accent 5"/>
    <w:basedOn w:val="914"/>
    <w:uiPriority w:val="99"/>
    <w:pPr>
      <w:pBdr/>
      <w:spacing w:after="0" w:line="240" w:lineRule="auto"/>
      <w:ind/>
    </w:pPr>
    <w:tblPr>
      <w:tblStyleRowBandSize w:val="1"/>
      <w:tblStyleColBandSize w:val="1"/>
      <w:tblInd w:type="dxa" w:w="0"/>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themeColor="accent5" w:themeShade="95" w:val="404040"/>
        <w:sz w:val="22"/>
      </w:rPr>
      <w:pPr>
        <w:pBdr/>
        <w:spacing/>
        <w:ind/>
      </w:pPr>
      <w:tblPr>
        <w:tblBorders/>
      </w:tblPr>
      <w:tcPr>
        <w:shd w:color="ffffff" w:fill="f2ceee" w:themeColor="accent5" w:themeFill="accent5" w:themeFillTint="34" w:themeTint="34" w:val="clear"/>
        <w:tcBorders/>
      </w:tcPr>
    </w:tblStylePr>
    <w:tblStylePr w:type="band1Vert">
      <w:pPr>
        <w:pBdr/>
        <w:spacing/>
        <w:ind/>
      </w:pPr>
      <w:tblPr>
        <w:tblBorders/>
      </w:tblPr>
      <w:tcPr>
        <w:shd w:color="ffffff" w:fill="f2ceee" w:themeColor="accent5" w:themeFill="accent5" w:themeFillTint="34" w:themeTint="34" w:val="clear"/>
        <w:tcBorders/>
      </w:tcPr>
    </w:tblStylePr>
    <w:tblStylePr w:type="band2Horz">
      <w:rPr>
        <w:rFonts w:ascii="Arial" w:hAnsi="Arial"/>
        <w:color w:themeColor="accent5"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val="5d1956"/>
      </w:rPr>
      <w:pPr>
        <w:pBdr/>
        <w:spacing/>
        <w:ind/>
      </w:pPr>
      <w:tblPr>
        <w:tblBorders/>
      </w:tblPr>
      <w:tcPr>
        <w:tcBorders/>
      </w:tcPr>
    </w:tblStylePr>
    <w:tblStylePr w:type="firstRow">
      <w:rPr>
        <w:b/>
        <w:color w:themeColor="accent5" w:themeShade="95" w:val="5d1956"/>
      </w:rPr>
      <w:pPr>
        <w:pBdr/>
        <w:spacing/>
        <w:ind/>
      </w:pPr>
      <w:tblPr>
        <w:tblBorders/>
      </w:tblPr>
      <w:tcPr>
        <w:tcBorders>
          <w:bottom w:color="000000" w:space="0" w:sz="12" w:themeColor="accent5" w:val="single"/>
        </w:tcBorders>
      </w:tcPr>
    </w:tblStylePr>
    <w:tblStylePr w:type="lastCol">
      <w:rPr>
        <w:b/>
        <w:color w:themeColor="accent5" w:themeShade="95" w:val="5d1956"/>
      </w:rPr>
      <w:pPr>
        <w:pBdr/>
        <w:spacing/>
        <w:ind/>
      </w:pPr>
      <w:tblPr>
        <w:tblBorders/>
      </w:tblPr>
      <w:tcPr>
        <w:tcBorders/>
      </w:tcPr>
    </w:tblStylePr>
    <w:tblStylePr w:type="lastRow">
      <w:rPr>
        <w:b/>
        <w:color w:themeColor="accent5" w:themeShade="95" w:val="5d195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val="404040"/>
        <w:sz w:val="22"/>
      </w:rPr>
      <w:pPr>
        <w:pBdr/>
        <w:spacing/>
        <w:ind/>
      </w:pPr>
      <w:tblPr>
        <w:tblBorders/>
      </w:tblPr>
      <w:tcPr>
        <w:tcBorders/>
      </w:tcPr>
    </w:tblStylePr>
  </w:style>
  <w:style w:styleId="781" w:type="table">
    <w:name w:val="Grid Table 6 Colorful - Accent 6"/>
    <w:basedOn w:val="914"/>
    <w:uiPriority w:val="99"/>
    <w:pPr>
      <w:pBdr/>
      <w:spacing w:after="0" w:line="240" w:lineRule="auto"/>
      <w:ind/>
    </w:pPr>
    <w:tblPr>
      <w:tblStyleRowBandSize w:val="1"/>
      <w:tblStyleColBandSize w:val="1"/>
      <w:tblInd w:type="dxa" w:w="0"/>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themeColor="accent5" w:themeShade="95" w:val="404040"/>
        <w:sz w:val="22"/>
      </w:rPr>
      <w:pPr>
        <w:pBdr/>
        <w:spacing/>
        <w:ind/>
      </w:pPr>
      <w:tblPr>
        <w:tblBorders/>
      </w:tblPr>
      <w:tcPr>
        <w:shd w:color="ffffff" w:fill="d9f2d0" w:themeColor="accent6" w:themeFill="accent6" w:themeFillTint="34" w:themeTint="34" w:val="clear"/>
        <w:tcBorders/>
      </w:tcPr>
    </w:tblStylePr>
    <w:tblStylePr w:type="band1Vert">
      <w:pPr>
        <w:pBdr/>
        <w:spacing/>
        <w:ind/>
      </w:pPr>
      <w:tblPr>
        <w:tblBorders/>
      </w:tblPr>
      <w:tcPr>
        <w:shd w:color="ffffff" w:fill="d9f2d0" w:themeColor="accent6" w:themeFill="accent6" w:themeFillTint="34" w:themeTint="34" w:val="clear"/>
        <w:tcBorders/>
      </w:tcPr>
    </w:tblStylePr>
    <w:tblStylePr w:type="band2Horz">
      <w:rPr>
        <w:rFonts w:ascii="Arial" w:hAnsi="Arial"/>
        <w:color w:themeColor="accent5"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val="5d1956"/>
      </w:rPr>
      <w:pPr>
        <w:pBdr/>
        <w:spacing/>
        <w:ind/>
      </w:pPr>
      <w:tblPr>
        <w:tblBorders/>
      </w:tblPr>
      <w:tcPr>
        <w:tcBorders/>
      </w:tcPr>
    </w:tblStylePr>
    <w:tblStylePr w:type="firstRow">
      <w:rPr>
        <w:b/>
        <w:color w:themeColor="accent5" w:themeShade="95" w:val="5d1956"/>
      </w:rPr>
      <w:pPr>
        <w:pBdr/>
        <w:spacing/>
        <w:ind/>
      </w:pPr>
      <w:tblPr>
        <w:tblBorders/>
      </w:tblPr>
      <w:tcPr>
        <w:tcBorders>
          <w:bottom w:color="000000" w:space="0" w:sz="12" w:themeColor="accent6" w:val="single"/>
        </w:tcBorders>
      </w:tcPr>
    </w:tblStylePr>
    <w:tblStylePr w:type="lastCol">
      <w:rPr>
        <w:b/>
        <w:color w:themeColor="accent5" w:themeShade="95" w:val="5d1956"/>
      </w:rPr>
      <w:pPr>
        <w:pBdr/>
        <w:spacing/>
        <w:ind/>
      </w:pPr>
      <w:tblPr>
        <w:tblBorders/>
      </w:tblPr>
      <w:tcPr>
        <w:tcBorders/>
      </w:tcPr>
    </w:tblStylePr>
    <w:tblStylePr w:type="lastRow">
      <w:rPr>
        <w:b/>
        <w:color w:themeColor="accent5" w:themeShade="95" w:val="5d195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val="404040"/>
        <w:sz w:val="22"/>
      </w:rPr>
      <w:pPr>
        <w:pBdr/>
        <w:spacing/>
        <w:ind/>
      </w:pPr>
      <w:tblPr>
        <w:tblBorders/>
      </w:tblPr>
      <w:tcPr>
        <w:tcBorders/>
      </w:tcPr>
    </w:tblStylePr>
  </w:style>
  <w:style w:styleId="782" w:type="table">
    <w:name w:val="Grid Table 7 Colorful"/>
    <w:basedOn w:val="914"/>
    <w:uiPriority w:val="99"/>
    <w:pPr>
      <w:pBdr/>
      <w:spacing w:after="0" w:line="240" w:lineRule="auto"/>
      <w:ind/>
    </w:pPr>
    <w:tblPr>
      <w:tblStyleRowBandSize w:val="1"/>
      <w:tblStyleColBandSize w:val="1"/>
      <w:tblInd w:type="dxa" w:w="0"/>
      <w:tblBorders>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cBorders/>
    </w:tcPr>
    <w:tblStylePr w:type="band1Horz">
      <w:rPr>
        <w:rFonts w:ascii="Arial" w:hAnsi="Arial"/>
        <w:color w:themeColor="text1" w:themeShade="95" w:themeTint="80" w:val="4a4a4a"/>
        <w:sz w:val="22"/>
      </w:rPr>
      <w:pPr>
        <w:pBdr/>
        <w:spacing/>
        <w:ind/>
      </w:pPr>
      <w:tblPr>
        <w:tblBorders/>
      </w:tblPr>
      <w:tcPr>
        <w:shd w:color="ffffff" w:fill="f2f2f2" w:themeColor="text1" w:themeFill="text1" w:themeFillTint="0D" w:themeTint="0D" w:val="clear"/>
        <w:tcBorders/>
      </w:tcPr>
    </w:tblStylePr>
    <w:tblStylePr w:type="band1Vert">
      <w:pPr>
        <w:pBdr/>
        <w:spacing/>
        <w:ind/>
      </w:pPr>
      <w:tblPr>
        <w:tblBorders/>
      </w:tblPr>
      <w:tcPr>
        <w:shd w:color="ffffff" w:fill="f2f2f2" w:themeColor="text1" w:themeFill="text1" w:themeFillTint="0D" w:themeTint="0D" w:val="clear"/>
        <w:tcBorders/>
      </w:tcPr>
    </w:tblStylePr>
    <w:tblStylePr w:type="band2Horz">
      <w:rPr>
        <w:rFonts w:ascii="Arial" w:hAnsi="Arial"/>
        <w:color w:themeColor="text1" w:themeShade="95" w:themeTint="80"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text1" w:themeShade="95" w:themeTint="80" w:val="4a4a4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text1" w:themeTint="80" w:val="single"/>
        </w:tcBorders>
      </w:tcPr>
    </w:tblStylePr>
    <w:tblStylePr w:type="firstRow">
      <w:rPr>
        <w:rFonts w:ascii="Arial" w:hAnsi="Arial"/>
        <w:b/>
        <w:color w:themeColor="text1" w:themeShade="95" w:themeTint="80" w:val="4a4a4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text1" w:themeTint="80" w:val="single"/>
          <w:right w:color="000000" w:space="0" w:sz="4" w:val="none"/>
        </w:tcBorders>
      </w:tcPr>
    </w:tblStylePr>
    <w:tblStylePr w:type="lastCol">
      <w:rPr>
        <w:rFonts w:ascii="Arial" w:hAnsi="Arial"/>
        <w:i/>
        <w:color w:themeColor="text1" w:themeShade="95" w:themeTint="80" w:val="4a4a4a"/>
        <w:sz w:val="22"/>
      </w:rPr>
      <w:pPr>
        <w:pBdr/>
        <w:spacing/>
        <w:ind/>
      </w:pPr>
      <w:tblPr>
        <w:tblBorders/>
      </w:tblPr>
      <w:tcPr>
        <w:shd w:color="ffffff" w:val="clear"/>
        <w:tcBorders>
          <w:top w:color="000000" w:space="0" w:sz="4" w:val="none"/>
          <w:left w:color="000000" w:space="0" w:sz="4" w:themeColor="text1" w:themeTint="80" w:val="single"/>
          <w:bottom w:color="000000" w:space="0" w:sz="4" w:val="none"/>
          <w:right w:color="000000" w:space="0" w:sz="4" w:val="none"/>
        </w:tcBorders>
      </w:tcPr>
    </w:tblStylePr>
    <w:tblStylePr w:type="lastRow">
      <w:rPr>
        <w:rFonts w:ascii="Arial" w:hAnsi="Arial"/>
        <w:b/>
        <w:color w:themeColor="text1" w:themeShade="95" w:themeTint="80" w:val="4a4a4a"/>
        <w:sz w:val="22"/>
      </w:rPr>
      <w:pPr>
        <w:pBdr/>
        <w:spacing/>
        <w:ind/>
      </w:pPr>
      <w:tblPr>
        <w:tblBorders/>
      </w:tblPr>
      <w:tcPr>
        <w:shd w:color="ffffff" w:fill="ffffff" w:themeColor="light1" w:themeFill="light1" w:val="clear"/>
        <w:tcBorders>
          <w:top w:color="000000" w:space="0" w:sz="4" w:themeColor="tex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3" w:type="table">
    <w:name w:val="Grid Table 7 Colorful - Accent 1"/>
    <w:basedOn w:val="914"/>
    <w:uiPriority w:val="99"/>
    <w:pPr>
      <w:pBdr/>
      <w:spacing w:after="0" w:line="240" w:lineRule="auto"/>
      <w:ind/>
    </w:pPr>
    <w:tblPr>
      <w:tblStyleRowBandSize w:val="1"/>
      <w:tblStyleColBandSize w:val="1"/>
      <w:tblInd w:type="dxa" w:w="0"/>
      <w:tblBorders>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cBorders/>
    </w:tcPr>
    <w:tblStylePr w:type="band1Horz">
      <w:rPr>
        <w:rFonts w:ascii="Arial" w:hAnsi="Arial"/>
        <w:color w:themeColor="accent1" w:themeShade="95" w:themeTint="80" w:val="1b7ba6"/>
        <w:sz w:val="22"/>
      </w:rPr>
      <w:pPr>
        <w:pBdr/>
        <w:spacing/>
        <w:ind/>
      </w:pPr>
      <w:tblPr>
        <w:tblBorders/>
      </w:tblPr>
      <w:tcPr>
        <w:shd w:color="ffffff" w:fill="c0e4f5" w:themeColor="accent1" w:themeFill="accent1" w:themeFillTint="34" w:themeTint="34" w:val="clear"/>
        <w:tcBorders/>
      </w:tcPr>
    </w:tblStylePr>
    <w:tblStylePr w:type="band1Vert">
      <w:pPr>
        <w:pBdr/>
        <w:spacing/>
        <w:ind/>
      </w:pPr>
      <w:tblPr>
        <w:tblBorders/>
      </w:tblPr>
      <w:tcPr>
        <w:shd w:color="ffffff" w:fill="c0e4f5" w:themeColor="accent1" w:themeFill="accent1" w:themeFillTint="34" w:themeTint="34" w:val="clear"/>
        <w:tcBorders/>
      </w:tcPr>
    </w:tblStylePr>
    <w:tblStylePr w:type="band2Horz">
      <w:rPr>
        <w:rFonts w:ascii="Arial" w:hAnsi="Arial"/>
        <w:color w:themeColor="accent1" w:themeShade="95" w:themeTint="80" w:val="1b7ba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1" w:themeShade="95" w:themeTint="80" w:val="1b7ba6"/>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1" w:themeTint="80" w:val="single"/>
        </w:tcBorders>
      </w:tcPr>
    </w:tblStylePr>
    <w:tblStylePr w:type="firstRow">
      <w:rPr>
        <w:rFonts w:ascii="Arial" w:hAnsi="Arial"/>
        <w:b/>
        <w:color w:themeColor="accent1" w:themeShade="95" w:themeTint="80" w:val="1b7ba6"/>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1" w:themeTint="80" w:val="single"/>
          <w:right w:color="000000" w:space="0" w:sz="4" w:val="none"/>
        </w:tcBorders>
      </w:tcPr>
    </w:tblStylePr>
    <w:tblStylePr w:type="lastCol">
      <w:rPr>
        <w:rFonts w:ascii="Arial" w:hAnsi="Arial"/>
        <w:i/>
        <w:color w:themeColor="accent1" w:themeShade="95" w:themeTint="80" w:val="1b7ba6"/>
        <w:sz w:val="22"/>
      </w:rPr>
      <w:pPr>
        <w:pBdr/>
        <w:spacing/>
        <w:ind/>
      </w:pPr>
      <w:tblPr>
        <w:tblBorders/>
      </w:tblPr>
      <w:tcPr>
        <w:shd w:color="ffffff" w:val="clear"/>
        <w:tcBorders>
          <w:top w:color="000000" w:space="0" w:sz="4" w:val="none"/>
          <w:left w:color="000000" w:space="0" w:sz="4" w:themeColor="accent1" w:themeTint="80" w:val="single"/>
          <w:bottom w:color="000000" w:space="0" w:sz="4" w:val="none"/>
          <w:right w:color="000000" w:space="0" w:sz="4" w:val="none"/>
        </w:tcBorders>
      </w:tcPr>
    </w:tblStylePr>
    <w:tblStylePr w:type="lastRow">
      <w:rPr>
        <w:rFonts w:ascii="Arial" w:hAnsi="Arial"/>
        <w:b/>
        <w:color w:themeColor="accent1" w:themeShade="95" w:themeTint="80" w:val="1b7ba6"/>
        <w:sz w:val="22"/>
      </w:rPr>
      <w:pPr>
        <w:pBdr/>
        <w:spacing/>
        <w:ind/>
      </w:pPr>
      <w:tblPr>
        <w:tblBorders/>
      </w:tblPr>
      <w:tcPr>
        <w:shd w:color="ffffff" w:fill="ffffff" w:themeColor="light1" w:themeFill="light1" w:val="clear"/>
        <w:tcBorders>
          <w:top w:color="000000" w:space="0" w:sz="4" w:themeColor="accen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4" w:type="table">
    <w:name w:val="Grid Table 7 Colorful - Accent 2"/>
    <w:basedOn w:val="914"/>
    <w:uiPriority w:val="99"/>
    <w:pPr>
      <w:pBdr/>
      <w:spacing w:after="0" w:line="240" w:lineRule="auto"/>
      <w:ind/>
    </w:pPr>
    <w:tblPr>
      <w:tblStyleRowBandSize w:val="1"/>
      <w:tblStyleColBandSize w:val="1"/>
      <w:tblInd w:type="dxa" w:w="0"/>
      <w:tblBorders>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themeColor="accent2" w:themeShade="95" w:themeTint="97" w:val="c65215"/>
        <w:sz w:val="22"/>
      </w:rPr>
      <w:pPr>
        <w:pBdr/>
        <w:spacing/>
        <w:ind/>
      </w:pPr>
      <w:tblPr>
        <w:tblBorders/>
      </w:tblPr>
      <w:tcPr>
        <w:shd w:color="ffffff" w:fill="fbe3d7" w:themeColor="accent2" w:themeFill="accent2" w:themeFillTint="32" w:themeTint="32" w:val="clear"/>
        <w:tcBorders/>
      </w:tcPr>
    </w:tblStylePr>
    <w:tblStylePr w:type="band1Vert">
      <w:pPr>
        <w:pBdr/>
        <w:spacing/>
        <w:ind/>
      </w:pPr>
      <w:tblPr>
        <w:tblBorders/>
      </w:tblPr>
      <w:tcPr>
        <w:shd w:color="ffffff" w:fill="fbe3d7" w:themeColor="accent2" w:themeFill="accent2" w:themeFillTint="32" w:themeTint="32" w:val="clear"/>
        <w:tcBorders/>
      </w:tcPr>
    </w:tblStylePr>
    <w:tblStylePr w:type="band2Horz">
      <w:rPr>
        <w:rFonts w:ascii="Arial" w:hAnsi="Arial"/>
        <w:color w:themeColor="accent2" w:themeShade="95" w:themeTint="97" w:val="c6521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2" w:themeShade="95" w:themeTint="97" w:val="c65215"/>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2" w:themeTint="97" w:val="single"/>
        </w:tcBorders>
      </w:tcPr>
    </w:tblStylePr>
    <w:tblStylePr w:type="firstRow">
      <w:rPr>
        <w:rFonts w:ascii="Arial" w:hAnsi="Arial"/>
        <w:b/>
        <w:color w:themeColor="accent2" w:themeShade="95" w:themeTint="97" w:val="c65215"/>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2" w:themeTint="97" w:val="single"/>
          <w:right w:color="000000" w:space="0" w:sz="4" w:val="none"/>
        </w:tcBorders>
      </w:tcPr>
    </w:tblStylePr>
    <w:tblStylePr w:type="lastCol">
      <w:rPr>
        <w:rFonts w:ascii="Arial" w:hAnsi="Arial"/>
        <w:i/>
        <w:color w:themeColor="accent2" w:themeShade="95" w:themeTint="97" w:val="c65215"/>
        <w:sz w:val="22"/>
      </w:rPr>
      <w:pPr>
        <w:pBdr/>
        <w:spacing/>
        <w:ind/>
      </w:pPr>
      <w:tblPr>
        <w:tblBorders/>
      </w:tblPr>
      <w:tcPr>
        <w:shd w:color="ffffff" w:val="clear"/>
        <w:tcBorders>
          <w:top w:color="000000" w:space="0" w:sz="4" w:val="none"/>
          <w:left w:color="000000" w:space="0" w:sz="4" w:themeColor="accent2" w:themeTint="97" w:val="single"/>
          <w:bottom w:color="000000" w:space="0" w:sz="4" w:val="none"/>
          <w:right w:color="000000" w:space="0" w:sz="4" w:val="none"/>
        </w:tcBorders>
      </w:tcPr>
    </w:tblStylePr>
    <w:tblStylePr w:type="lastRow">
      <w:rPr>
        <w:rFonts w:ascii="Arial" w:hAnsi="Arial"/>
        <w:b/>
        <w:color w:themeColor="accent2" w:themeShade="95" w:themeTint="97" w:val="c65215"/>
        <w:sz w:val="22"/>
      </w:rPr>
      <w:pPr>
        <w:pBdr/>
        <w:spacing/>
        <w:ind/>
      </w:pPr>
      <w:tblPr>
        <w:tblBorders/>
      </w:tblPr>
      <w:tcPr>
        <w:shd w:color="ffffff" w:fill="ffffff" w:themeColor="light1" w:themeFill="light1"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5" w:type="table">
    <w:name w:val="Grid Table 7 Colorful - Accent 3"/>
    <w:basedOn w:val="914"/>
    <w:uiPriority w:val="99"/>
    <w:pPr>
      <w:pBdr/>
      <w:spacing w:after="0" w:line="240" w:lineRule="auto"/>
      <w:ind/>
    </w:pPr>
    <w:tblPr>
      <w:tblStyleRowBandSize w:val="1"/>
      <w:tblStyleColBandSize w:val="1"/>
      <w:tblInd w:type="dxa" w:w="0"/>
      <w:tblBorders>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themeColor="accent3" w:themeShade="95" w:themeTint="FE" w:val="0f3f15"/>
        <w:sz w:val="22"/>
      </w:rPr>
      <w:pPr>
        <w:pBdr/>
        <w:spacing/>
        <w:ind/>
      </w:pPr>
      <w:tblPr>
        <w:tblBorders/>
      </w:tblPr>
      <w:tcPr>
        <w:shd w:color="ffffff" w:fill="c1f0c7" w:themeColor="accent3" w:themeFill="accent3" w:themeFillTint="34" w:themeTint="34" w:val="clear"/>
        <w:tcBorders/>
      </w:tcPr>
    </w:tblStylePr>
    <w:tblStylePr w:type="band1Vert">
      <w:pPr>
        <w:pBdr/>
        <w:spacing/>
        <w:ind/>
      </w:pPr>
      <w:tblPr>
        <w:tblBorders/>
      </w:tblPr>
      <w:tcPr>
        <w:shd w:color="ffffff" w:fill="c1f0c7" w:themeColor="accent3" w:themeFill="accent3" w:themeFillTint="34" w:themeTint="34" w:val="clear"/>
        <w:tcBorders/>
      </w:tcPr>
    </w:tblStylePr>
    <w:tblStylePr w:type="band2Horz">
      <w:rPr>
        <w:rFonts w:ascii="Arial" w:hAnsi="Arial"/>
        <w:color w:themeColor="accent3" w:themeShade="95" w:themeTint="FE" w:val="0f3f1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3" w:themeShade="95" w:themeTint="FE" w:val="0f3f15"/>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3" w:themeTint="FE" w:val="single"/>
        </w:tcBorders>
      </w:tcPr>
    </w:tblStylePr>
    <w:tblStylePr w:type="firstRow">
      <w:rPr>
        <w:rFonts w:ascii="Arial" w:hAnsi="Arial"/>
        <w:b/>
        <w:color w:themeColor="accent3" w:themeShade="95" w:themeTint="FE" w:val="0f3f15"/>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3" w:themeTint="FE" w:val="single"/>
          <w:right w:color="000000" w:space="0" w:sz="4" w:val="none"/>
        </w:tcBorders>
      </w:tcPr>
    </w:tblStylePr>
    <w:tblStylePr w:type="lastCol">
      <w:rPr>
        <w:rFonts w:ascii="Arial" w:hAnsi="Arial"/>
        <w:i/>
        <w:color w:themeColor="accent3" w:themeShade="95" w:themeTint="FE" w:val="0f3f15"/>
        <w:sz w:val="22"/>
      </w:rPr>
      <w:pPr>
        <w:pBdr/>
        <w:spacing/>
        <w:ind/>
      </w:pPr>
      <w:tblPr>
        <w:tblBorders/>
      </w:tblPr>
      <w:tcPr>
        <w:shd w:color="ffffff" w:val="clear"/>
        <w:tcBorders>
          <w:top w:color="000000" w:space="0" w:sz="4" w:val="none"/>
          <w:left w:color="000000" w:space="0" w:sz="4" w:themeColor="accent3" w:themeTint="FE" w:val="single"/>
          <w:bottom w:color="000000" w:space="0" w:sz="4" w:val="none"/>
          <w:right w:color="000000" w:space="0" w:sz="4" w:val="none"/>
        </w:tcBorders>
      </w:tcPr>
    </w:tblStylePr>
    <w:tblStylePr w:type="lastRow">
      <w:rPr>
        <w:rFonts w:ascii="Arial" w:hAnsi="Arial"/>
        <w:b/>
        <w:color w:themeColor="accent3" w:themeShade="95" w:themeTint="FE" w:val="0f3f15"/>
        <w:sz w:val="22"/>
      </w:rPr>
      <w:pPr>
        <w:pBdr/>
        <w:spacing/>
        <w:ind/>
      </w:pPr>
      <w:tblPr>
        <w:tblBorders/>
      </w:tblPr>
      <w:tcPr>
        <w:shd w:color="ffffff" w:fill="ffffff" w:themeColor="light1" w:themeFill="light1" w:val="clear"/>
        <w:tcBorders>
          <w:top w:color="000000" w:space="0" w:sz="4" w:themeColor="accent3" w:themeTint="FE"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6" w:type="table">
    <w:name w:val="Grid Table 7 Colorful - Accent 4"/>
    <w:basedOn w:val="914"/>
    <w:uiPriority w:val="99"/>
    <w:pPr>
      <w:pBdr/>
      <w:spacing w:after="0" w:line="240" w:lineRule="auto"/>
      <w:ind/>
    </w:pPr>
    <w:tblPr>
      <w:tblStyleRowBandSize w:val="1"/>
      <w:tblStyleColBandSize w:val="1"/>
      <w:tblInd w:type="dxa" w:w="0"/>
      <w:tblBorders>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themeColor="accent4" w:themeShade="95" w:themeTint="9A" w:val="0d8ab9"/>
        <w:sz w:val="22"/>
      </w:rPr>
      <w:pPr>
        <w:pBdr/>
        <w:spacing/>
        <w:ind/>
      </w:pPr>
      <w:tblPr>
        <w:tblBorders/>
      </w:tblPr>
      <w:tcPr>
        <w:shd w:color="ffffff" w:fill="c9edfb" w:themeColor="accent4" w:themeFill="accent4" w:themeFillTint="34" w:themeTint="34" w:val="clear"/>
        <w:tcBorders/>
      </w:tcPr>
    </w:tblStylePr>
    <w:tblStylePr w:type="band1Vert">
      <w:pPr>
        <w:pBdr/>
        <w:spacing/>
        <w:ind/>
      </w:pPr>
      <w:tblPr>
        <w:tblBorders/>
      </w:tblPr>
      <w:tcPr>
        <w:shd w:color="ffffff" w:fill="c9edfb" w:themeColor="accent4" w:themeFill="accent4" w:themeFillTint="34" w:themeTint="34" w:val="clear"/>
        <w:tcBorders/>
      </w:tcPr>
    </w:tblStylePr>
    <w:tblStylePr w:type="band2Horz">
      <w:rPr>
        <w:rFonts w:ascii="Arial" w:hAnsi="Arial"/>
        <w:color w:themeColor="accent4" w:themeShade="95" w:themeTint="9A" w:val="0d8ab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4" w:themeShade="95" w:themeTint="9A" w:val="0d8ab9"/>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4" w:themeTint="9A" w:val="single"/>
        </w:tcBorders>
      </w:tcPr>
    </w:tblStylePr>
    <w:tblStylePr w:type="firstRow">
      <w:rPr>
        <w:rFonts w:ascii="Arial" w:hAnsi="Arial"/>
        <w:b/>
        <w:color w:themeColor="accent4" w:themeShade="95" w:themeTint="9A" w:val="0d8ab9"/>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4" w:themeTint="9A" w:val="single"/>
          <w:right w:color="000000" w:space="0" w:sz="4" w:val="none"/>
        </w:tcBorders>
      </w:tcPr>
    </w:tblStylePr>
    <w:tblStylePr w:type="lastCol">
      <w:rPr>
        <w:rFonts w:ascii="Arial" w:hAnsi="Arial"/>
        <w:i/>
        <w:color w:themeColor="accent4" w:themeShade="95" w:themeTint="9A" w:val="0d8ab9"/>
        <w:sz w:val="22"/>
      </w:rPr>
      <w:pPr>
        <w:pBdr/>
        <w:spacing/>
        <w:ind/>
      </w:pPr>
      <w:tblPr>
        <w:tblBorders/>
      </w:tblPr>
      <w:tcPr>
        <w:shd w:color="ffffff" w:val="clear"/>
        <w:tcBorders>
          <w:top w:color="000000" w:space="0" w:sz="4" w:val="none"/>
          <w:left w:color="000000" w:space="0" w:sz="4" w:themeColor="accent4" w:themeTint="9A" w:val="single"/>
          <w:bottom w:color="000000" w:space="0" w:sz="4" w:val="none"/>
          <w:right w:color="000000" w:space="0" w:sz="4" w:val="none"/>
        </w:tcBorders>
      </w:tcPr>
    </w:tblStylePr>
    <w:tblStylePr w:type="lastRow">
      <w:rPr>
        <w:rFonts w:ascii="Arial" w:hAnsi="Arial"/>
        <w:b/>
        <w:color w:themeColor="accent4" w:themeShade="95" w:themeTint="9A" w:val="0d8ab9"/>
        <w:sz w:val="22"/>
      </w:rPr>
      <w:pPr>
        <w:pBdr/>
        <w:spacing/>
        <w:ind/>
      </w:pPr>
      <w:tblPr>
        <w:tblBorders/>
      </w:tblPr>
      <w:tcPr>
        <w:shd w:color="ffffff" w:fill="ffffff" w:themeColor="light1" w:themeFill="light1"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7" w:type="table">
    <w:name w:val="Grid Table 7 Colorful - Accent 5"/>
    <w:basedOn w:val="914"/>
    <w:uiPriority w:val="99"/>
    <w:pPr>
      <w:pBdr/>
      <w:spacing w:after="0" w:line="240" w:lineRule="auto"/>
      <w:ind/>
    </w:pPr>
    <w:tblPr>
      <w:tblStyleRowBandSize w:val="1"/>
      <w:tblStyleColBandSize w:val="1"/>
      <w:tblInd w:type="dxa" w:w="0"/>
      <w:tblBorders>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cBorders/>
    </w:tcPr>
    <w:tblStylePr w:type="band1Horz">
      <w:rPr>
        <w:rFonts w:ascii="Arial" w:hAnsi="Arial"/>
        <w:color w:themeColor="accent5" w:themeShade="95" w:val="5d1956"/>
        <w:sz w:val="22"/>
      </w:rPr>
      <w:pPr>
        <w:pBdr/>
        <w:spacing/>
        <w:ind/>
      </w:pPr>
      <w:tblPr>
        <w:tblBorders/>
      </w:tblPr>
      <w:tcPr>
        <w:shd w:color="ffffff" w:fill="f2ceee" w:themeColor="accent5" w:themeFill="accent5" w:themeFillTint="34" w:themeTint="34" w:val="clear"/>
        <w:tcBorders/>
      </w:tcPr>
    </w:tblStylePr>
    <w:tblStylePr w:type="band1Vert">
      <w:pPr>
        <w:pBdr/>
        <w:spacing/>
        <w:ind/>
      </w:pPr>
      <w:tblPr>
        <w:tblBorders/>
      </w:tblPr>
      <w:tcPr>
        <w:shd w:color="ffffff" w:fill="f2ceee" w:themeColor="accent5" w:themeFill="accent5" w:themeFillTint="34" w:themeTint="34" w:val="clear"/>
        <w:tcBorders/>
      </w:tcPr>
    </w:tblStylePr>
    <w:tblStylePr w:type="band2Horz">
      <w:rPr>
        <w:rFonts w:ascii="Arial" w:hAnsi="Arial"/>
        <w:color w:themeColor="accent5" w:themeShade="95" w:val="5d195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5" w:themeShade="95" w:val="5d1956"/>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5" w:themeTint="90" w:val="single"/>
        </w:tcBorders>
      </w:tcPr>
    </w:tblStylePr>
    <w:tblStylePr w:type="firstRow">
      <w:rPr>
        <w:rFonts w:ascii="Arial" w:hAnsi="Arial"/>
        <w:b/>
        <w:color w:themeColor="accent5" w:themeShade="95" w:val="5d1956"/>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5" w:themeTint="90" w:val="single"/>
          <w:right w:color="000000" w:space="0" w:sz="4" w:val="none"/>
        </w:tcBorders>
      </w:tcPr>
    </w:tblStylePr>
    <w:tblStylePr w:type="lastCol">
      <w:rPr>
        <w:rFonts w:ascii="Arial" w:hAnsi="Arial"/>
        <w:i/>
        <w:color w:themeColor="accent5" w:themeShade="95" w:val="5d1956"/>
        <w:sz w:val="22"/>
      </w:rPr>
      <w:pPr>
        <w:pBdr/>
        <w:spacing/>
        <w:ind/>
      </w:pPr>
      <w:tblPr>
        <w:tblBorders/>
      </w:tblPr>
      <w:tcPr>
        <w:shd w:color="ffffff" w:val="clear"/>
        <w:tcBorders>
          <w:top w:color="000000" w:space="0" w:sz="4" w:val="none"/>
          <w:left w:color="000000" w:space="0" w:sz="4" w:themeColor="accent5" w:themeTint="90" w:val="single"/>
          <w:bottom w:color="000000" w:space="0" w:sz="4" w:val="none"/>
          <w:right w:color="000000" w:space="0" w:sz="4" w:val="none"/>
        </w:tcBorders>
      </w:tcPr>
    </w:tblStylePr>
    <w:tblStylePr w:type="lastRow">
      <w:rPr>
        <w:rFonts w:ascii="Arial" w:hAnsi="Arial"/>
        <w:b/>
        <w:color w:themeColor="accent5" w:themeShade="95" w:val="5d1956"/>
        <w:sz w:val="22"/>
      </w:rPr>
      <w:pPr>
        <w:pBdr/>
        <w:spacing/>
        <w:ind/>
      </w:pPr>
      <w:tblPr>
        <w:tblBorders/>
      </w:tblPr>
      <w:tcPr>
        <w:shd w:color="ffffff" w:fill="ffffff" w:themeColor="light1" w:themeFill="light1" w:val="clear"/>
        <w:tcBorders>
          <w:top w:color="000000" w:space="0" w:sz="4" w:themeColor="accent5" w:themeTint="9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8" w:type="table">
    <w:name w:val="Grid Table 7 Colorful - Accent 6"/>
    <w:basedOn w:val="914"/>
    <w:uiPriority w:val="99"/>
    <w:pPr>
      <w:pBdr/>
      <w:spacing w:after="0" w:line="240" w:lineRule="auto"/>
      <w:ind/>
    </w:pPr>
    <w:tblPr>
      <w:tblStyleRowBandSize w:val="1"/>
      <w:tblStyleColBandSize w:val="1"/>
      <w:tblInd w:type="dxa" w:w="0"/>
      <w:tblBorders>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cBorders/>
    </w:tcPr>
    <w:tblStylePr w:type="band1Horz">
      <w:rPr>
        <w:rFonts w:ascii="Arial" w:hAnsi="Arial"/>
        <w:color w:themeColor="accent6" w:themeShade="95" w:val="2e621b"/>
        <w:sz w:val="22"/>
      </w:rPr>
      <w:pPr>
        <w:pBdr/>
        <w:spacing/>
        <w:ind/>
      </w:pPr>
      <w:tblPr>
        <w:tblBorders/>
      </w:tblPr>
      <w:tcPr>
        <w:shd w:color="ffffff" w:fill="d9f2d0" w:themeColor="accent6" w:themeFill="accent6" w:themeFillTint="34" w:themeTint="34" w:val="clear"/>
        <w:tcBorders/>
      </w:tcPr>
    </w:tblStylePr>
    <w:tblStylePr w:type="band1Vert">
      <w:pPr>
        <w:pBdr/>
        <w:spacing/>
        <w:ind/>
      </w:pPr>
      <w:tblPr>
        <w:tblBorders/>
      </w:tblPr>
      <w:tcPr>
        <w:shd w:color="ffffff" w:fill="d9f2d0" w:themeColor="accent6" w:themeFill="accent6" w:themeFillTint="34" w:themeTint="34" w:val="clear"/>
        <w:tcBorders/>
      </w:tcPr>
    </w:tblStylePr>
    <w:tblStylePr w:type="band2Horz">
      <w:rPr>
        <w:rFonts w:ascii="Arial" w:hAnsi="Arial"/>
        <w:color w:themeColor="accent6" w:themeShade="95" w:val="2e621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6" w:themeShade="95" w:val="2e621b"/>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6" w:themeTint="90" w:val="single"/>
        </w:tcBorders>
      </w:tcPr>
    </w:tblStylePr>
    <w:tblStylePr w:type="firstRow">
      <w:rPr>
        <w:rFonts w:ascii="Arial" w:hAnsi="Arial"/>
        <w:b/>
        <w:color w:themeColor="accent6" w:themeShade="95" w:val="2e621b"/>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6" w:themeTint="90" w:val="single"/>
          <w:right w:color="000000" w:space="0" w:sz="4" w:val="none"/>
        </w:tcBorders>
      </w:tcPr>
    </w:tblStylePr>
    <w:tblStylePr w:type="lastCol">
      <w:rPr>
        <w:rFonts w:ascii="Arial" w:hAnsi="Arial"/>
        <w:i/>
        <w:color w:themeColor="accent6" w:themeShade="95" w:val="2e621b"/>
        <w:sz w:val="22"/>
      </w:rPr>
      <w:pPr>
        <w:pBdr/>
        <w:spacing/>
        <w:ind/>
      </w:pPr>
      <w:tblPr>
        <w:tblBorders/>
      </w:tblPr>
      <w:tcPr>
        <w:shd w:color="ffffff" w:val="clear"/>
        <w:tcBorders>
          <w:top w:color="000000" w:space="0" w:sz="4" w:val="none"/>
          <w:left w:color="000000" w:space="0" w:sz="4" w:themeColor="accent6" w:themeTint="90" w:val="single"/>
          <w:bottom w:color="000000" w:space="0" w:sz="4" w:val="none"/>
          <w:right w:color="000000" w:space="0" w:sz="4" w:val="none"/>
        </w:tcBorders>
      </w:tcPr>
    </w:tblStylePr>
    <w:tblStylePr w:type="lastRow">
      <w:rPr>
        <w:rFonts w:ascii="Arial" w:hAnsi="Arial"/>
        <w:b/>
        <w:color w:themeColor="accent6" w:themeShade="95" w:val="2e621b"/>
        <w:sz w:val="22"/>
      </w:rPr>
      <w:pPr>
        <w:pBdr/>
        <w:spacing/>
        <w:ind/>
      </w:pPr>
      <w:tblPr>
        <w:tblBorders/>
      </w:tblPr>
      <w:tcPr>
        <w:shd w:color="ffffff" w:fill="ffffff" w:themeColor="light1" w:themeFill="light1" w:val="clear"/>
        <w:tcBorders>
          <w:top w:color="000000" w:space="0" w:sz="4" w:themeColor="accent6" w:themeTint="9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9" w:type="table">
    <w:name w:val="List Table 1 Light"/>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0" w:type="table">
    <w:name w:val="List Table 1 Light - Accent 1"/>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1def2" w:themeColor="accent1" w:themeFill="accent1" w:themeFillTint="40" w:themeTint="40" w:val="clear"/>
        <w:tcBorders/>
      </w:tcPr>
    </w:tblStylePr>
    <w:tblStylePr w:type="band1Vert">
      <w:pPr>
        <w:pBdr/>
        <w:spacing/>
        <w:ind/>
      </w:pPr>
      <w:tblPr>
        <w:tblBorders/>
      </w:tblPr>
      <w:tcPr>
        <w:shd w:color="ffffff" w:fill="b1def2"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1" w:type="table">
    <w:name w:val="List Table 1 Light - Accent 2"/>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f9dbcc" w:themeColor="accent2" w:themeFill="accent2" w:themeFillTint="40" w:themeTint="40" w:val="clear"/>
        <w:tcBorders/>
      </w:tcPr>
    </w:tblStylePr>
    <w:tblStylePr w:type="band1Vert">
      <w:pPr>
        <w:pBdr/>
        <w:spacing/>
        <w:ind/>
      </w:pPr>
      <w:tblPr>
        <w:tblBorders/>
      </w:tblPr>
      <w:tcPr>
        <w:shd w:color="ffffff" w:fill="f9dbcc"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2" w:type="table">
    <w:name w:val="List Table 1 Light - Accent 3"/>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2edba" w:themeColor="accent3" w:themeFill="accent3" w:themeFillTint="40" w:themeTint="40" w:val="clear"/>
        <w:tcBorders/>
      </w:tcPr>
    </w:tblStylePr>
    <w:tblStylePr w:type="band1Vert">
      <w:pPr>
        <w:pBdr/>
        <w:spacing/>
        <w:ind/>
      </w:pPr>
      <w:tblPr>
        <w:tblBorders/>
      </w:tblPr>
      <w:tcPr>
        <w:shd w:color="ffffff" w:fill="b2edba"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3" w:type="table">
    <w:name w:val="List Table 1 Light - Accent 4"/>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de9fa" w:themeColor="accent4" w:themeFill="accent4" w:themeFillTint="40" w:themeTint="40" w:val="clear"/>
        <w:tcBorders/>
      </w:tcPr>
    </w:tblStylePr>
    <w:tblStylePr w:type="band1Vert">
      <w:pPr>
        <w:pBdr/>
        <w:spacing/>
        <w:ind/>
      </w:pPr>
      <w:tblPr>
        <w:tblBorders/>
      </w:tblPr>
      <w:tcPr>
        <w:shd w:color="ffffff" w:fill="bde9fa"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4" w:type="table">
    <w:name w:val="List Table 1 Light - Accent 5"/>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efc2ea" w:themeColor="accent5" w:themeFill="accent5" w:themeFillTint="40" w:themeTint="40" w:val="clear"/>
        <w:tcBorders/>
      </w:tcPr>
    </w:tblStylePr>
    <w:tblStylePr w:type="band1Vert">
      <w:pPr>
        <w:pBdr/>
        <w:spacing/>
        <w:ind/>
      </w:pPr>
      <w:tblPr>
        <w:tblBorders/>
      </w:tblPr>
      <w:tcPr>
        <w:shd w:color="ffffff" w:fill="efc2ea"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5" w:type="table">
    <w:name w:val="List Table 1 Light - Accent 6"/>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d0efc5" w:themeColor="accent6" w:themeFill="accent6" w:themeFillTint="40" w:themeTint="40" w:val="clear"/>
        <w:tcBorders/>
      </w:tcPr>
    </w:tblStylePr>
    <w:tblStylePr w:type="band1Vert">
      <w:pPr>
        <w:pBdr/>
        <w:spacing/>
        <w:ind/>
      </w:pPr>
      <w:tblPr>
        <w:tblBorders/>
      </w:tblPr>
      <w:tcPr>
        <w:shd w:color="ffffff" w:fill="d0efc5"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6" w:type="table">
    <w:name w:val="List Table 2"/>
    <w:basedOn w:val="914"/>
    <w:uiPriority w:val="99"/>
    <w:pPr>
      <w:pBdr/>
      <w:spacing w:after="0" w:line="240" w:lineRule="auto"/>
      <w:ind/>
    </w:pPr>
    <w:tblPr>
      <w:tblStyleRowBandSize w:val="1"/>
      <w:tblStyleColBandSize w:val="1"/>
      <w:tblInd w:type="dxa" w:w="0"/>
      <w:tblBorders>
        <w:top w:color="000000" w:space="0" w:sz="4" w:themeColor="text1" w:themeTint="90" w:val="single"/>
        <w:bottom w:color="000000" w:space="0" w:sz="4" w:themeColor="text1" w:themeTint="90" w:val="single"/>
        <w:insideH w:color="000000" w:space="0" w:sz="4" w:themeColor="text1" w:themeTint="90" w:val="single"/>
      </w:tblBorders>
    </w:tblPr>
    <w:tcPr>
      <w:tcBorders/>
    </w:tcPr>
    <w:tblStylePr w:type="band1Horz">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1Vert">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text1" w:themeTint="90" w:val="single"/>
          <w:left w:color="000000" w:space="0" w:sz="4" w:val="none"/>
          <w:bottom w:color="000000" w:space="0" w:sz="4" w:themeColor="text1"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text1" w:themeTint="90" w:val="single"/>
          <w:left w:color="000000" w:space="0" w:sz="4" w:val="none"/>
          <w:bottom w:color="000000" w:space="0" w:sz="4" w:themeColor="text1"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7" w:type="table">
    <w:name w:val="List Table 2 - Accent 1"/>
    <w:basedOn w:val="914"/>
    <w:uiPriority w:val="99"/>
    <w:pPr>
      <w:pBdr/>
      <w:spacing w:after="0" w:line="240" w:lineRule="auto"/>
      <w:ind/>
    </w:pPr>
    <w:tblPr>
      <w:tblStyleRowBandSize w:val="1"/>
      <w:tblStyleColBandSize w:val="1"/>
      <w:tblInd w:type="dxa" w:w="0"/>
      <w:tblBorders>
        <w:top w:color="000000" w:space="0" w:sz="4" w:themeColor="accent1" w:themeTint="90" w:val="single"/>
        <w:bottom w:color="000000" w:space="0" w:sz="4" w:themeColor="accent1" w:themeTint="90" w:val="single"/>
        <w:insideH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1Vert">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1" w:themeTint="90" w:val="single"/>
          <w:left w:color="000000" w:space="0" w:sz="4" w:val="none"/>
          <w:bottom w:color="000000" w:space="0" w:sz="4" w:themeColor="accent1"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1" w:themeTint="90" w:val="single"/>
          <w:left w:color="000000" w:space="0" w:sz="4" w:val="none"/>
          <w:bottom w:color="000000" w:space="0" w:sz="4" w:themeColor="accent1"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8" w:type="table">
    <w:name w:val="List Table 2 - Accent 2"/>
    <w:basedOn w:val="914"/>
    <w:uiPriority w:val="99"/>
    <w:pPr>
      <w:pBdr/>
      <w:spacing w:after="0" w:line="240" w:lineRule="auto"/>
      <w:ind/>
    </w:pPr>
    <w:tblPr>
      <w:tblStyleRowBandSize w:val="1"/>
      <w:tblStyleColBandSize w:val="1"/>
      <w:tblInd w:type="dxa" w:w="0"/>
      <w:tblBorders>
        <w:top w:color="000000" w:space="0" w:sz="4" w:themeColor="accent2" w:themeTint="90" w:val="single"/>
        <w:bottom w:color="000000" w:space="0" w:sz="4" w:themeColor="accent2" w:themeTint="90" w:val="single"/>
        <w:insideH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1Vert">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2" w:themeTint="90" w:val="single"/>
          <w:left w:color="000000" w:space="0" w:sz="4" w:val="none"/>
          <w:bottom w:color="000000" w:space="0" w:sz="4" w:themeColor="accent2"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2" w:themeTint="90" w:val="single"/>
          <w:left w:color="000000" w:space="0" w:sz="4" w:val="none"/>
          <w:bottom w:color="000000" w:space="0" w:sz="4" w:themeColor="accent2"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9" w:type="table">
    <w:name w:val="List Table 2 - Accent 3"/>
    <w:basedOn w:val="914"/>
    <w:uiPriority w:val="99"/>
    <w:pPr>
      <w:pBdr/>
      <w:spacing w:after="0" w:line="240" w:lineRule="auto"/>
      <w:ind/>
    </w:pPr>
    <w:tblPr>
      <w:tblStyleRowBandSize w:val="1"/>
      <w:tblStyleColBandSize w:val="1"/>
      <w:tblInd w:type="dxa" w:w="0"/>
      <w:tblBorders>
        <w:top w:color="000000" w:space="0" w:sz="4" w:themeColor="accent3" w:themeTint="90" w:val="single"/>
        <w:bottom w:color="000000" w:space="0" w:sz="4" w:themeColor="accent3" w:themeTint="90" w:val="single"/>
        <w:insideH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1Vert">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3" w:themeTint="90" w:val="single"/>
          <w:left w:color="000000" w:space="0" w:sz="4" w:val="none"/>
          <w:bottom w:color="000000" w:space="0" w:sz="4" w:themeColor="accent3"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3" w:themeTint="90" w:val="single"/>
          <w:left w:color="000000" w:space="0" w:sz="4" w:val="none"/>
          <w:bottom w:color="000000" w:space="0" w:sz="4" w:themeColor="accent3"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0" w:type="table">
    <w:name w:val="List Table 2 - Accent 4"/>
    <w:basedOn w:val="914"/>
    <w:uiPriority w:val="99"/>
    <w:pPr>
      <w:pBdr/>
      <w:spacing w:after="0" w:line="240" w:lineRule="auto"/>
      <w:ind/>
    </w:pPr>
    <w:tblPr>
      <w:tblStyleRowBandSize w:val="1"/>
      <w:tblStyleColBandSize w:val="1"/>
      <w:tblInd w:type="dxa" w:w="0"/>
      <w:tblBorders>
        <w:top w:color="000000" w:space="0" w:sz="4" w:themeColor="accent4" w:themeTint="90" w:val="single"/>
        <w:bottom w:color="000000" w:space="0" w:sz="4" w:themeColor="accent4" w:themeTint="90" w:val="single"/>
        <w:insideH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1Vert">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4" w:themeTint="90" w:val="single"/>
          <w:left w:color="000000" w:space="0" w:sz="4" w:val="none"/>
          <w:bottom w:color="000000" w:space="0" w:sz="4" w:themeColor="accent4"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4" w:themeTint="90" w:val="single"/>
          <w:left w:color="000000" w:space="0" w:sz="4" w:val="none"/>
          <w:bottom w:color="000000" w:space="0" w:sz="4" w:themeColor="accent4"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1" w:type="table">
    <w:name w:val="List Table 2 - Accent 5"/>
    <w:basedOn w:val="914"/>
    <w:uiPriority w:val="99"/>
    <w:pPr>
      <w:pBdr/>
      <w:spacing w:after="0" w:line="240" w:lineRule="auto"/>
      <w:ind/>
    </w:pPr>
    <w:tblPr>
      <w:tblStyleRowBandSize w:val="1"/>
      <w:tblStyleColBandSize w:val="1"/>
      <w:tblInd w:type="dxa" w:w="0"/>
      <w:tblBorders>
        <w:top w:color="000000" w:space="0" w:sz="4" w:themeColor="accent5" w:themeTint="90" w:val="single"/>
        <w:bottom w:color="000000" w:space="0" w:sz="4" w:themeColor="accent5" w:themeTint="90" w:val="single"/>
        <w:insideH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1Vert">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5" w:themeTint="90" w:val="single"/>
          <w:left w:color="000000" w:space="0" w:sz="4" w:val="none"/>
          <w:bottom w:color="000000" w:space="0" w:sz="4" w:themeColor="accent5"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5" w:themeTint="90" w:val="single"/>
          <w:left w:color="000000" w:space="0" w:sz="4" w:val="none"/>
          <w:bottom w:color="000000" w:space="0" w:sz="4" w:themeColor="accent5"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2" w:type="table">
    <w:name w:val="List Table 2 - Accent 6"/>
    <w:basedOn w:val="914"/>
    <w:uiPriority w:val="99"/>
    <w:pPr>
      <w:pBdr/>
      <w:spacing w:after="0" w:line="240" w:lineRule="auto"/>
      <w:ind/>
    </w:pPr>
    <w:tblPr>
      <w:tblStyleRowBandSize w:val="1"/>
      <w:tblStyleColBandSize w:val="1"/>
      <w:tblInd w:type="dxa" w:w="0"/>
      <w:tblBorders>
        <w:top w:color="000000" w:space="0" w:sz="4" w:themeColor="accent6" w:themeTint="90" w:val="single"/>
        <w:bottom w:color="000000" w:space="0" w:sz="4" w:themeColor="accent6" w:themeTint="90" w:val="single"/>
        <w:insideH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1Vert">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6" w:themeTint="90" w:val="single"/>
          <w:left w:color="000000" w:space="0" w:sz="4" w:val="none"/>
          <w:bottom w:color="000000" w:space="0" w:sz="4" w:themeColor="accent6"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6" w:themeTint="90" w:val="single"/>
          <w:left w:color="000000" w:space="0" w:sz="4" w:val="none"/>
          <w:bottom w:color="000000" w:space="0" w:sz="4" w:themeColor="accent6"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3" w:type="table">
    <w:name w:val="List Table 3"/>
    <w:basedOn w:val="914"/>
    <w:uiPriority w:val="99"/>
    <w:pPr>
      <w:pBdr/>
      <w:spacing w:after="0" w:line="240" w:lineRule="auto"/>
      <w:ind/>
    </w:pPr>
    <w:tblPr>
      <w:tblStyleRowBandSize w:val="1"/>
      <w:tblStyleColBandSize w:val="1"/>
      <w:tblInd w:type="dxa" w:w="0"/>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rPr>
        <w:rFonts w:ascii="Arial" w:hAnsi="Arial"/>
        <w:color w:val="404040"/>
        <w:sz w:val="22"/>
      </w:rPr>
      <w:pPr>
        <w:pBdr/>
        <w:spacing/>
        <w:ind/>
      </w:pPr>
      <w:tblPr>
        <w:tblBorders/>
      </w:tblPr>
      <w:tcPr>
        <w:tcBorders>
          <w:top w:color="000000" w:space="0" w:sz="4" w:themeColor="text1" w:val="single"/>
          <w:bottom w:color="000000" w:space="0" w:sz="4" w:themeColor="text1" w:val="single"/>
        </w:tcBorders>
      </w:tcPr>
    </w:tblStylePr>
    <w:tblStylePr w:type="band1Vert">
      <w:rPr>
        <w:rFonts w:ascii="Arial" w:hAnsi="Arial"/>
        <w:color w:val="404040"/>
        <w:sz w:val="22"/>
      </w:rPr>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4" w:type="table">
    <w:name w:val="List Table 3 - Accent 1"/>
    <w:basedOn w:val="914"/>
    <w:uiPriority w:val="99"/>
    <w:pPr>
      <w:pBdr/>
      <w:spacing w:after="0" w:line="240" w:lineRule="auto"/>
      <w:ind/>
    </w:pPr>
    <w:tblPr>
      <w:tblStyleRowBandSize w:val="1"/>
      <w:tblStyleColBandSize w:val="1"/>
      <w:tblInd w:type="dxa" w:w="0"/>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rPr>
        <w:rFonts w:ascii="Arial" w:hAnsi="Arial"/>
        <w:color w:val="404040"/>
        <w:sz w:val="22"/>
      </w:rPr>
      <w:pPr>
        <w:pBdr/>
        <w:spacing/>
        <w:ind/>
      </w:pPr>
      <w:tblPr>
        <w:tblBorders/>
      </w:tblPr>
      <w:tcPr>
        <w:tcBorders>
          <w:top w:color="000000" w:space="0" w:sz="4" w:themeColor="accent1" w:val="single"/>
          <w:bottom w:color="000000" w:space="0" w:sz="4" w:themeColor="accent1" w:val="single"/>
        </w:tcBorders>
      </w:tcPr>
    </w:tblStylePr>
    <w:tblStylePr w:type="band1Vert">
      <w:rPr>
        <w:rFonts w:ascii="Arial" w:hAnsi="Arial"/>
        <w:color w:val="404040"/>
        <w:sz w:val="22"/>
      </w:rPr>
      <w:pPr>
        <w:pBdr/>
        <w:spacing/>
        <w:ind/>
      </w:p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56082" w:themeColor="accent1" w:themeFill="accen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5" w:type="table">
    <w:name w:val="List Table 3 - Accent 2"/>
    <w:basedOn w:val="914"/>
    <w:uiPriority w:val="99"/>
    <w:pPr>
      <w:pBdr/>
      <w:spacing w:after="0" w:line="240" w:lineRule="auto"/>
      <w:ind/>
    </w:pPr>
    <w:tblPr>
      <w:tblStyleRowBandSize w:val="1"/>
      <w:tblStyleColBandSize w:val="1"/>
      <w:tblInd w:type="dxa" w:w="0"/>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97" w:val="single"/>
          <w:bottom w:color="000000" w:space="0" w:sz="4" w:themeColor="accent2" w:themeTint="97" w:val="single"/>
        </w:tcBorders>
      </w:tcPr>
    </w:tblStylePr>
    <w:tblStylePr w:type="band1Vert">
      <w:rPr>
        <w:rFonts w:ascii="Arial" w:hAnsi="Arial"/>
        <w:color w:val="404040"/>
        <w:sz w:val="22"/>
      </w:rPr>
      <w:pPr>
        <w:pBdr/>
        <w:spacing/>
        <w:ind/>
      </w:pPr>
      <w:tblPr>
        <w:tblBorders/>
      </w:tblPr>
      <w:tcPr>
        <w:tcBorders>
          <w:left w:color="000000" w:space="0" w:sz="4" w:themeColor="accent2" w:themeTint="97" w:val="single"/>
          <w:right w:color="000000" w:space="0" w:sz="4" w:themeColor="accent2" w:themeTint="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2ab86" w:themeColor="accent2" w:themeFill="accent2" w:themeFillTint="97" w:themeTint="97"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6" w:type="table">
    <w:name w:val="List Table 3 - Accent 3"/>
    <w:basedOn w:val="914"/>
    <w:uiPriority w:val="99"/>
    <w:pPr>
      <w:pBdr/>
      <w:spacing w:after="0" w:line="240" w:lineRule="auto"/>
      <w:ind/>
    </w:pPr>
    <w:tblPr>
      <w:tblStyleRowBandSize w:val="1"/>
      <w:tblStyleColBandSize w:val="1"/>
      <w:tblInd w:type="dxa" w:w="0"/>
      <w:tblBorders>
        <w:top w:color="000000" w:space="0" w:sz="4" w:themeColor="accent3" w:themeTint="98" w:val="single"/>
        <w:left w:color="000000" w:space="0" w:sz="4" w:themeColor="accent3" w:themeTint="98" w:val="single"/>
        <w:bottom w:color="000000" w:space="0" w:sz="4" w:themeColor="accent3" w:themeTint="98" w:val="single"/>
        <w:right w:color="000000" w:space="0" w:sz="4" w:themeColor="accent3" w:themeTint="98"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98" w:val="single"/>
          <w:bottom w:color="000000" w:space="0" w:sz="4" w:themeColor="accent3" w:themeTint="98" w:val="single"/>
        </w:tcBorders>
      </w:tcPr>
    </w:tblStylePr>
    <w:tblStylePr w:type="band1Vert">
      <w:rPr>
        <w:rFonts w:ascii="Arial" w:hAnsi="Arial"/>
        <w:color w:val="404040"/>
        <w:sz w:val="22"/>
      </w:rPr>
      <w:pPr>
        <w:pBdr/>
        <w:spacing/>
        <w:ind/>
      </w:pPr>
      <w:tblPr>
        <w:tblBorders/>
      </w:tblPr>
      <w:tcPr>
        <w:tcBorders>
          <w:left w:color="000000" w:space="0" w:sz="4" w:themeColor="accent3" w:themeTint="98" w:val="single"/>
          <w:right w:color="000000" w:space="0" w:sz="4" w:themeColor="accent3" w:themeTint="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8d45b" w:themeColor="accent3" w:themeFill="accent3" w:themeFillTint="98" w:themeTint="98"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7" w:type="table">
    <w:name w:val="List Table 3 - Accent 4"/>
    <w:basedOn w:val="914"/>
    <w:uiPriority w:val="99"/>
    <w:pPr>
      <w:pBdr/>
      <w:spacing w:after="0" w:line="240" w:lineRule="auto"/>
      <w:ind/>
    </w:pPr>
    <w:tblPr>
      <w:tblStyleRowBandSize w:val="1"/>
      <w:tblStyleColBandSize w:val="1"/>
      <w:tblInd w:type="dxa" w:w="0"/>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9A" w:val="single"/>
          <w:bottom w:color="000000" w:space="0" w:sz="4" w:themeColor="accent4" w:themeTint="9A" w:val="single"/>
        </w:tcBorders>
      </w:tcPr>
    </w:tblStylePr>
    <w:tblStylePr w:type="band1Vert">
      <w:rPr>
        <w:rFonts w:ascii="Arial" w:hAnsi="Arial"/>
        <w:color w:val="404040"/>
        <w:sz w:val="22"/>
      </w:rPr>
      <w:pPr>
        <w:pBdr/>
        <w:spacing/>
        <w:ind/>
      </w:pPr>
      <w:tblPr>
        <w:tblBorders/>
      </w:tblPr>
      <w:tcPr>
        <w:tcBorders>
          <w:left w:color="000000" w:space="0" w:sz="4" w:themeColor="accent4" w:themeTint="9A" w:val="single"/>
          <w:right w:color="000000" w:space="0" w:sz="4" w:themeColor="accent4" w:themeTint="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60cbf4" w:themeColor="accent4" w:themeFill="accent4" w:themeFillTint="9A" w:themeTint="9A"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8" w:type="table">
    <w:name w:val="List Table 3 - Accent 5"/>
    <w:basedOn w:val="914"/>
    <w:uiPriority w:val="99"/>
    <w:pPr>
      <w:pBdr/>
      <w:spacing w:after="0" w:line="240" w:lineRule="auto"/>
      <w:ind/>
    </w:pPr>
    <w:tblPr>
      <w:tblStyleRowBandSize w:val="1"/>
      <w:tblStyleColBandSize w:val="1"/>
      <w:tblInd w:type="dxa" w:w="0"/>
      <w:tblBorders>
        <w:top w:color="000000" w:space="0" w:sz="4" w:themeColor="accent5" w:themeTint="9A" w:val="single"/>
        <w:left w:color="000000" w:space="0" w:sz="4" w:themeColor="accent5" w:themeTint="9A" w:val="single"/>
        <w:bottom w:color="000000" w:space="0" w:sz="4" w:themeColor="accent5" w:themeTint="9A" w:val="single"/>
        <w:right w:color="000000" w:space="0" w:sz="4" w:themeColor="accent5" w:themeTint="9A"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9A" w:val="single"/>
          <w:bottom w:color="000000" w:space="0" w:sz="4" w:themeColor="accent5" w:themeTint="9A" w:val="single"/>
        </w:tcBorders>
      </w:tcPr>
    </w:tblStylePr>
    <w:tblStylePr w:type="band1Vert">
      <w:rPr>
        <w:rFonts w:ascii="Arial" w:hAnsi="Arial"/>
        <w:color w:val="404040"/>
        <w:sz w:val="22"/>
      </w:rPr>
      <w:pPr>
        <w:pBdr/>
        <w:spacing/>
        <w:ind/>
      </w:pPr>
      <w:tblPr>
        <w:tblBorders/>
      </w:tblPr>
      <w:tcPr>
        <w:tcBorders>
          <w:left w:color="000000" w:space="0" w:sz="4" w:themeColor="accent5" w:themeTint="9A" w:val="single"/>
          <w:right w:color="000000" w:space="0" w:sz="4" w:themeColor="accent5" w:themeTint="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d86dcc" w:themeColor="accent5" w:themeFill="accent5" w:themeFillTint="9A" w:themeTint="9A"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9" w:type="table">
    <w:name w:val="List Table 3 - Accent 6"/>
    <w:basedOn w:val="914"/>
    <w:uiPriority w:val="99"/>
    <w:pPr>
      <w:pBdr/>
      <w:spacing w:after="0" w:line="240" w:lineRule="auto"/>
      <w:ind/>
    </w:pPr>
    <w:tblPr>
      <w:tblStyleRowBandSize w:val="1"/>
      <w:tblStyleColBandSize w:val="1"/>
      <w:tblInd w:type="dxa" w:w="0"/>
      <w:tblBorders>
        <w:top w:color="000000" w:space="0" w:sz="4" w:themeColor="accent6" w:themeTint="98" w:val="single"/>
        <w:left w:color="000000" w:space="0" w:sz="4" w:themeColor="accent6" w:themeTint="98" w:val="single"/>
        <w:bottom w:color="000000" w:space="0" w:sz="4" w:themeColor="accent6" w:themeTint="98" w:val="single"/>
        <w:right w:color="000000" w:space="0" w:sz="4" w:themeColor="accent6" w:themeTint="98"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98" w:val="single"/>
          <w:bottom w:color="000000" w:space="0" w:sz="4" w:themeColor="accent6" w:themeTint="98" w:val="single"/>
        </w:tcBorders>
      </w:tcPr>
    </w:tblStylePr>
    <w:tblStylePr w:type="band1Vert">
      <w:rPr>
        <w:rFonts w:ascii="Arial" w:hAnsi="Arial"/>
        <w:color w:val="404040"/>
        <w:sz w:val="22"/>
      </w:rPr>
      <w:pPr>
        <w:pBdr/>
        <w:spacing/>
        <w:ind/>
      </w:pPr>
      <w:tblPr>
        <w:tblBorders/>
      </w:tblPr>
      <w:tcPr>
        <w:tcBorders>
          <w:left w:color="000000" w:space="0" w:sz="4" w:themeColor="accent6" w:themeTint="98" w:val="single"/>
          <w:right w:color="000000" w:space="0" w:sz="4" w:themeColor="accent6" w:themeTint="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8fd974" w:themeColor="accent6" w:themeFill="accent6" w:themeFillTint="98" w:themeTint="98"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0" w:type="table">
    <w:name w:val="List Table 4"/>
    <w:basedOn w:val="914"/>
    <w:uiPriority w:val="99"/>
    <w:pPr>
      <w:pBdr/>
      <w:spacing w:after="0" w:line="240" w:lineRule="auto"/>
      <w:ind/>
    </w:pPr>
    <w:tblPr>
      <w:tblStyleRowBandSize w:val="1"/>
      <w:tblStyleColBandSize w:val="1"/>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1Vert">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1" w:type="table">
    <w:name w:val="List Table 4 - Accent 1"/>
    <w:basedOn w:val="914"/>
    <w:uiPriority w:val="99"/>
    <w:pPr>
      <w:pBdr/>
      <w:spacing w:after="0" w:line="240" w:lineRule="auto"/>
      <w:ind/>
    </w:pPr>
    <w:tblPr>
      <w:tblStyleRowBandSize w:val="1"/>
      <w:tblStyleColBandSize w:val="1"/>
      <w:tblInd w:type="dxa" w:w="0"/>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1Vert">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56082" w:themeColor="accent1" w:themeFill="accen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2" w:type="table">
    <w:name w:val="List Table 4 - Accent 2"/>
    <w:basedOn w:val="914"/>
    <w:uiPriority w:val="99"/>
    <w:pPr>
      <w:pBdr/>
      <w:spacing w:after="0" w:line="240" w:lineRule="auto"/>
      <w:ind/>
    </w:pPr>
    <w:tblPr>
      <w:tblStyleRowBandSize w:val="1"/>
      <w:tblStyleColBandSize w:val="1"/>
      <w:tblInd w:type="dxa" w:w="0"/>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1Vert">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e97132" w:themeColor="accent2" w:themeFill="accent2"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3" w:type="table">
    <w:name w:val="List Table 4 - Accent 3"/>
    <w:basedOn w:val="914"/>
    <w:uiPriority w:val="99"/>
    <w:pPr>
      <w:pBdr/>
      <w:spacing w:after="0" w:line="240" w:lineRule="auto"/>
      <w:ind/>
    </w:pPr>
    <w:tblPr>
      <w:tblStyleRowBandSize w:val="1"/>
      <w:tblStyleColBandSize w:val="1"/>
      <w:tblInd w:type="dxa" w:w="0"/>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1Vert">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96b24" w:themeColor="accent3" w:themeFill="accent3"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4" w:type="table">
    <w:name w:val="List Table 4 - Accent 4"/>
    <w:basedOn w:val="914"/>
    <w:uiPriority w:val="99"/>
    <w:pPr>
      <w:pBdr/>
      <w:spacing w:after="0" w:line="240" w:lineRule="auto"/>
      <w:ind/>
    </w:pPr>
    <w:tblPr>
      <w:tblStyleRowBandSize w:val="1"/>
      <w:tblStyleColBandSize w:val="1"/>
      <w:tblInd w:type="dxa" w:w="0"/>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1Vert">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f9ed5" w:themeColor="accent4" w:themeFill="accent4"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5" w:type="table">
    <w:name w:val="List Table 4 - Accent 5"/>
    <w:basedOn w:val="914"/>
    <w:uiPriority w:val="99"/>
    <w:pPr>
      <w:pBdr/>
      <w:spacing w:after="0" w:line="240" w:lineRule="auto"/>
      <w:ind/>
    </w:pPr>
    <w:tblPr>
      <w:tblStyleRowBandSize w:val="1"/>
      <w:tblStyleColBandSize w:val="1"/>
      <w:tblInd w:type="dxa" w:w="0"/>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1Vert">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a02b93" w:themeColor="accent5" w:themeFill="accent5"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6" w:type="table">
    <w:name w:val="List Table 4 - Accent 6"/>
    <w:basedOn w:val="914"/>
    <w:uiPriority w:val="99"/>
    <w:pPr>
      <w:pBdr/>
      <w:spacing w:after="0" w:line="240" w:lineRule="auto"/>
      <w:ind/>
    </w:pPr>
    <w:tblPr>
      <w:tblStyleRowBandSize w:val="1"/>
      <w:tblStyleColBandSize w:val="1"/>
      <w:tblInd w:type="dxa" w:w="0"/>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1Vert">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ea72e" w:themeColor="accent6" w:themeFill="accent6"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7" w:type="table">
    <w:name w:val="List Table 5 Dark"/>
    <w:basedOn w:val="914"/>
    <w:uiPriority w:val="99"/>
    <w:pPr>
      <w:pBdr/>
      <w:spacing w:after="0" w:line="240" w:lineRule="auto"/>
      <w:ind/>
    </w:pPr>
    <w:tblPr>
      <w:tblStyleRowBandSize w:val="1"/>
      <w:tblStyleColBandSize w:val="1"/>
      <w:tblInd w:type="dxa" w:w="0"/>
      <w:tblBorders>
        <w:top w:color="000000" w:space="0" w:sz="32" w:themeColor="text1" w:themeTint="80" w:val="single"/>
        <w:left w:color="000000" w:space="0" w:sz="32" w:themeColor="text1" w:themeTint="80" w:val="single"/>
        <w:bottom w:color="000000" w:space="0" w:sz="32" w:themeColor="text1" w:themeTint="80" w:val="single"/>
        <w:right w:color="000000" w:space="0" w:sz="32" w:themeColor="text1" w:themeTint="80" w:val="single"/>
      </w:tblBorders>
      <w:shd w:color="ffffff" w:fill="7f7f7f" w:themeColor="text1" w:themeFill="text1" w:themeFillTint="80" w:themeTint="80" w:val="clear"/>
    </w:tblPr>
    <w:tcPr>
      <w:tcBorders/>
    </w:tcPr>
    <w:tblStylePr w:type="band1Horz">
      <w:pPr>
        <w:pBdr/>
        <w:spacing/>
        <w:ind/>
      </w:pPr>
      <w:tblPr>
        <w:tblBorders/>
      </w:tblPr>
      <w:tcPr>
        <w:shd w:color="ffffff" w:fill="7f7f7f" w:themeColor="text1" w:themeFill="text1" w:themeFillTint="80" w:themeTint="80"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7f7f7f" w:themeColor="text1" w:themeFill="text1" w:themeFillTint="80" w:themeTint="80"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7f7f7f" w:themeColor="text1" w:themeFill="text1" w:themeFillTint="80" w:themeTint="80"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text1" w:themeTint="80"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7f7f7f" w:themeColor="text1" w:themeFill="text1" w:themeFillTint="80" w:themeTint="80" w:val="clear"/>
        <w:tcBorders>
          <w:top w:color="000000" w:space="0" w:sz="32" w:themeColor="text1" w:themeTint="80"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text1" w:themeTint="80"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18" w:type="table">
    <w:name w:val="List Table 5 Dark - Accent 1"/>
    <w:basedOn w:val="914"/>
    <w:uiPriority w:val="99"/>
    <w:pPr>
      <w:pBdr/>
      <w:spacing w:after="0" w:line="240" w:lineRule="auto"/>
      <w:ind/>
    </w:pPr>
    <w:tblPr>
      <w:tblStyleRowBandSize w:val="1"/>
      <w:tblStyleColBandSize w:val="1"/>
      <w:tblInd w:type="dxa" w:w="0"/>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156082" w:themeColor="accent1" w:themeFill="accent1" w:val="clear"/>
    </w:tblPr>
    <w:tcPr>
      <w:tcBorders/>
    </w:tcPr>
    <w:tblStylePr w:type="band1Horz">
      <w:pPr>
        <w:pBdr/>
        <w:spacing/>
        <w:ind/>
      </w:pPr>
      <w:tblPr>
        <w:tblBorders/>
      </w:tblPr>
      <w:tcPr>
        <w:shd w:color="ffffff" w:fill="156082" w:themeColor="accent1" w:themeFill="accent1"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156082" w:themeColor="accent1" w:themeFill="accent1"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156082" w:themeColor="accent1" w:themeFill="accent1"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1"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156082" w:themeColor="accent1" w:themeFill="accent1" w:val="clear"/>
        <w:tcBorders>
          <w:top w:color="000000" w:space="0" w:sz="32" w:themeColor="accent1"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19" w:type="table">
    <w:name w:val="List Table 5 Dark - Accent 2"/>
    <w:basedOn w:val="914"/>
    <w:uiPriority w:val="99"/>
    <w:pPr>
      <w:pBdr/>
      <w:spacing w:after="0" w:line="240" w:lineRule="auto"/>
      <w:ind/>
    </w:pPr>
    <w:tblPr>
      <w:tblStyleRowBandSize w:val="1"/>
      <w:tblStyleColBandSize w:val="1"/>
      <w:tblInd w:type="dxa" w:w="0"/>
      <w:tblBorders>
        <w:top w:color="000000" w:space="0" w:sz="32" w:themeColor="accent2" w:themeTint="97" w:val="single"/>
        <w:left w:color="000000" w:space="0" w:sz="32" w:themeColor="accent2" w:themeTint="97" w:val="single"/>
        <w:bottom w:color="000000" w:space="0" w:sz="32" w:themeColor="accent2" w:themeTint="97" w:val="single"/>
        <w:right w:color="000000" w:space="0" w:sz="32" w:themeColor="accent2" w:themeTint="97" w:val="single"/>
      </w:tblBorders>
      <w:shd w:color="ffffff" w:fill="f2ab86" w:themeColor="accent2" w:themeFill="accent2" w:themeFillTint="97" w:themeTint="97" w:val="clear"/>
    </w:tblPr>
    <w:tcPr>
      <w:tcBorders/>
    </w:tcPr>
    <w:tblStylePr w:type="band1Horz">
      <w:pPr>
        <w:pBdr/>
        <w:spacing/>
        <w:ind/>
      </w:pPr>
      <w:tblPr>
        <w:tblBorders/>
      </w:tblPr>
      <w:tcPr>
        <w:shd w:color="ffffff" w:fill="f2ab86" w:themeColor="accent2" w:themeFill="accent2" w:themeFillTint="97" w:themeTint="97"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f2ab86" w:themeColor="accent2" w:themeFill="accent2" w:themeFillTint="97" w:themeTint="97"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f2ab86" w:themeColor="accent2" w:themeFill="accent2" w:themeFillTint="97" w:themeTint="97"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2" w:themeTint="97"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f2ab86" w:themeColor="accent2" w:themeFill="accent2" w:themeFillTint="97" w:themeTint="97" w:val="clear"/>
        <w:tcBorders>
          <w:top w:color="000000" w:space="0" w:sz="32" w:themeColor="accent2" w:themeTint="97"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2" w:themeTint="97"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20" w:type="table">
    <w:name w:val="List Table 5 Dark - Accent 3"/>
    <w:basedOn w:val="914"/>
    <w:uiPriority w:val="99"/>
    <w:pPr>
      <w:pBdr/>
      <w:spacing w:after="0" w:line="240" w:lineRule="auto"/>
      <w:ind/>
    </w:pPr>
    <w:tblPr>
      <w:tblStyleRowBandSize w:val="1"/>
      <w:tblStyleColBandSize w:val="1"/>
      <w:tblInd w:type="dxa" w:w="0"/>
      <w:tblBorders>
        <w:top w:color="000000" w:space="0" w:sz="32" w:themeColor="accent3" w:themeTint="98" w:val="single"/>
        <w:left w:color="000000" w:space="0" w:sz="32" w:themeColor="accent3" w:themeTint="98" w:val="single"/>
        <w:bottom w:color="000000" w:space="0" w:sz="32" w:themeColor="accent3" w:themeTint="98" w:val="single"/>
        <w:right w:color="000000" w:space="0" w:sz="32" w:themeColor="accent3" w:themeTint="98" w:val="single"/>
      </w:tblBorders>
      <w:shd w:color="ffffff" w:fill="48d45b" w:themeColor="accent3" w:themeFill="accent3" w:themeFillTint="98" w:themeTint="98" w:val="clear"/>
    </w:tblPr>
    <w:tcPr>
      <w:tcBorders/>
    </w:tcPr>
    <w:tblStylePr w:type="band1Horz">
      <w:pPr>
        <w:pBdr/>
        <w:spacing/>
        <w:ind/>
      </w:pPr>
      <w:tblPr>
        <w:tblBorders/>
      </w:tblPr>
      <w:tcPr>
        <w:shd w:color="ffffff" w:fill="48d45b" w:themeColor="accent3" w:themeFill="accent3" w:themeFillTint="98" w:themeTint="98"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48d45b" w:themeColor="accent3" w:themeFill="accent3" w:themeFillTint="98" w:themeTint="98"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48d45b" w:themeColor="accent3" w:themeFill="accent3" w:themeFillTint="98" w:themeTint="98"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3" w:themeTint="98"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48d45b" w:themeColor="accent3" w:themeFill="accent3" w:themeFillTint="98" w:themeTint="98" w:val="clear"/>
        <w:tcBorders>
          <w:top w:color="000000" w:space="0" w:sz="32" w:themeColor="accent3" w:themeTint="98"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3" w:themeTint="98"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21" w:type="table">
    <w:name w:val="List Table 5 Dark - Accent 4"/>
    <w:basedOn w:val="914"/>
    <w:uiPriority w:val="99"/>
    <w:pPr>
      <w:pBdr/>
      <w:spacing w:after="0" w:line="240" w:lineRule="auto"/>
      <w:ind/>
    </w:pPr>
    <w:tblPr>
      <w:tblStyleRowBandSize w:val="1"/>
      <w:tblStyleColBandSize w:val="1"/>
      <w:tblInd w:type="dxa" w:w="0"/>
      <w:tblBorders>
        <w:top w:color="000000" w:space="0" w:sz="32" w:themeColor="accent4" w:themeTint="9A" w:val="single"/>
        <w:left w:color="000000" w:space="0" w:sz="32" w:themeColor="accent4" w:themeTint="9A" w:val="single"/>
        <w:bottom w:color="000000" w:space="0" w:sz="32" w:themeColor="accent4" w:themeTint="9A" w:val="single"/>
        <w:right w:color="000000" w:space="0" w:sz="32" w:themeColor="accent4" w:themeTint="9A" w:val="single"/>
      </w:tblBorders>
      <w:shd w:color="ffffff" w:fill="60cbf4" w:themeColor="accent4" w:themeFill="accent4" w:themeFillTint="9A" w:themeTint="9A" w:val="clear"/>
    </w:tblPr>
    <w:tcPr>
      <w:tcBorders/>
    </w:tcPr>
    <w:tblStylePr w:type="band1Horz">
      <w:pPr>
        <w:pBdr/>
        <w:spacing/>
        <w:ind/>
      </w:pPr>
      <w:tblPr>
        <w:tblBorders/>
      </w:tblPr>
      <w:tcPr>
        <w:shd w:color="ffffff" w:fill="60cbf4" w:themeColor="accent4" w:themeFill="accent4" w:themeFillTint="9A" w:themeTint="9A"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60cbf4" w:themeColor="accent4" w:themeFill="accent4" w:themeFillTint="9A" w:themeTint="9A"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60cbf4" w:themeColor="accent4" w:themeFill="accent4" w:themeFillTint="9A" w:themeTint="9A"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4" w:themeTint="9A"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60cbf4" w:themeColor="accent4" w:themeFill="accent4" w:themeFillTint="9A" w:themeTint="9A" w:val="clear"/>
        <w:tcBorders>
          <w:top w:color="000000" w:space="0" w:sz="32" w:themeColor="accent4" w:themeTint="9A"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4" w:themeTint="9A"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22" w:type="table">
    <w:name w:val="List Table 5 Dark - Accent 5"/>
    <w:basedOn w:val="914"/>
    <w:uiPriority w:val="99"/>
    <w:pPr>
      <w:pBdr/>
      <w:spacing w:after="0" w:line="240" w:lineRule="auto"/>
      <w:ind/>
    </w:pPr>
    <w:tblPr>
      <w:tblStyleRowBandSize w:val="1"/>
      <w:tblStyleColBandSize w:val="1"/>
      <w:tblInd w:type="dxa" w:w="0"/>
      <w:tblBorders>
        <w:top w:color="000000" w:space="0" w:sz="32" w:themeColor="accent5" w:themeTint="9A" w:val="single"/>
        <w:left w:color="000000" w:space="0" w:sz="32" w:themeColor="accent5" w:themeTint="9A" w:val="single"/>
        <w:bottom w:color="000000" w:space="0" w:sz="32" w:themeColor="accent5" w:themeTint="9A" w:val="single"/>
        <w:right w:color="000000" w:space="0" w:sz="32" w:themeColor="accent5" w:themeTint="9A" w:val="single"/>
      </w:tblBorders>
      <w:shd w:color="ffffff" w:fill="d86dcc" w:themeColor="accent5" w:themeFill="accent5" w:themeFillTint="9A" w:themeTint="9A" w:val="clear"/>
    </w:tblPr>
    <w:tcPr>
      <w:tcBorders/>
    </w:tcPr>
    <w:tblStylePr w:type="band1Horz">
      <w:pPr>
        <w:pBdr/>
        <w:spacing/>
        <w:ind/>
      </w:pPr>
      <w:tblPr>
        <w:tblBorders/>
      </w:tblPr>
      <w:tcPr>
        <w:shd w:color="ffffff" w:fill="d86dcc" w:themeColor="accent5" w:themeFill="accent5" w:themeFillTint="9A" w:themeTint="9A"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d86dcc" w:themeColor="accent5" w:themeFill="accent5" w:themeFillTint="9A" w:themeTint="9A"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d86dcc" w:themeColor="accent5" w:themeFill="accent5" w:themeFillTint="9A" w:themeTint="9A"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5" w:themeTint="9A"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d86dcc" w:themeColor="accent5" w:themeFill="accent5" w:themeFillTint="9A" w:themeTint="9A" w:val="clear"/>
        <w:tcBorders>
          <w:top w:color="000000" w:space="0" w:sz="32" w:themeColor="accent5" w:themeTint="9A"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5" w:themeTint="9A"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23" w:type="table">
    <w:name w:val="List Table 5 Dark - Accent 6"/>
    <w:basedOn w:val="914"/>
    <w:uiPriority w:val="99"/>
    <w:pPr>
      <w:pBdr/>
      <w:spacing w:after="0" w:line="240" w:lineRule="auto"/>
      <w:ind/>
    </w:pPr>
    <w:tblPr>
      <w:tblStyleRowBandSize w:val="1"/>
      <w:tblStyleColBandSize w:val="1"/>
      <w:tblInd w:type="dxa" w:w="0"/>
      <w:tblBorders>
        <w:top w:color="000000" w:space="0" w:sz="32" w:themeColor="accent6" w:themeTint="98" w:val="single"/>
        <w:left w:color="000000" w:space="0" w:sz="32" w:themeColor="accent6" w:themeTint="98" w:val="single"/>
        <w:bottom w:color="000000" w:space="0" w:sz="32" w:themeColor="accent6" w:themeTint="98" w:val="single"/>
        <w:right w:color="000000" w:space="0" w:sz="32" w:themeColor="accent6" w:themeTint="98" w:val="single"/>
      </w:tblBorders>
      <w:shd w:color="ffffff" w:fill="8fd974" w:themeColor="accent6" w:themeFill="accent6" w:themeFillTint="98" w:themeTint="98" w:val="clear"/>
    </w:tblPr>
    <w:tcPr>
      <w:tcBorders/>
    </w:tcPr>
    <w:tblStylePr w:type="band1Horz">
      <w:pPr>
        <w:pBdr/>
        <w:spacing/>
        <w:ind/>
      </w:pPr>
      <w:tblPr>
        <w:tblBorders/>
      </w:tblPr>
      <w:tcPr>
        <w:shd w:color="ffffff" w:fill="8fd974" w:themeColor="accent6" w:themeFill="accent6" w:themeFillTint="98" w:themeTint="98"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8fd974" w:themeColor="accent6" w:themeFill="accent6" w:themeFillTint="98" w:themeTint="98"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8fd974" w:themeColor="accent6" w:themeFill="accent6" w:themeFillTint="98" w:themeTint="98"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6" w:themeTint="98"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8fd974" w:themeColor="accent6" w:themeFill="accent6" w:themeFillTint="98" w:themeTint="98" w:val="clear"/>
        <w:tcBorders>
          <w:top w:color="000000" w:space="0" w:sz="32" w:themeColor="accent6" w:themeTint="98"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6" w:themeTint="98"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24" w:type="table">
    <w:name w:val="List Table 6 Colorful"/>
    <w:basedOn w:val="914"/>
    <w:uiPriority w:val="99"/>
    <w:pPr>
      <w:pBdr/>
      <w:spacing w:after="0" w:line="240" w:lineRule="auto"/>
      <w:ind/>
    </w:pPr>
    <w:tblPr>
      <w:tblStyleRowBandSize w:val="1"/>
      <w:tblStyleColBandSize w:val="1"/>
      <w:tblInd w:type="dxa" w:w="0"/>
      <w:tblBorders>
        <w:top w:color="000000" w:space="0" w:sz="4" w:themeColor="text1" w:themeTint="80" w:val="single"/>
        <w:bottom w:color="000000" w:space="0" w:sz="4" w:themeColor="text1" w:themeTint="80" w:val="single"/>
      </w:tblBorders>
    </w:tblPr>
    <w:tcPr>
      <w:tcBorders/>
    </w:tcPr>
    <w:tblStylePr w:type="band1Horz">
      <w:rPr>
        <w:rFonts w:ascii="Arial" w:hAnsi="Arial"/>
        <w:color w:themeColor="text1" w:val="404040"/>
        <w:sz w:val="22"/>
      </w:rPr>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rPr>
        <w:rFonts w:ascii="Arial" w:hAnsi="Arial"/>
        <w:color w:themeColor="text1"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text1" w:val="000000"/>
      </w:rPr>
      <w:pPr>
        <w:pBdr/>
        <w:spacing/>
        <w:ind/>
      </w:pPr>
      <w:tblPr>
        <w:tblBorders/>
      </w:tblPr>
      <w:tcPr>
        <w:tcBorders/>
      </w:tcPr>
    </w:tblStylePr>
    <w:tblStylePr w:type="firstRow">
      <w:rPr>
        <w:b/>
        <w:color w:themeColor="text1" w:val="000000"/>
      </w:rPr>
      <w:pPr>
        <w:pBdr/>
        <w:spacing/>
        <w:ind/>
      </w:pPr>
      <w:tblPr>
        <w:tblBorders/>
      </w:tblPr>
      <w:tcPr>
        <w:tcBorders>
          <w:bottom w:color="000000" w:space="0" w:sz="4" w:themeColor="text1" w:themeTint="80" w:val="single"/>
        </w:tcBorders>
      </w:tcPr>
    </w:tblStylePr>
    <w:tblStylePr w:type="lastCol">
      <w:rPr>
        <w:b/>
        <w:color w:themeColor="text1" w:val="000000"/>
      </w:rPr>
      <w:pPr>
        <w:pBdr/>
        <w:spacing/>
        <w:ind/>
      </w:pPr>
      <w:tblPr>
        <w:tblBorders/>
      </w:tblPr>
      <w:tcPr>
        <w:tcBorders/>
      </w:tcPr>
    </w:tblStylePr>
    <w:tblStylePr w:type="lastRow">
      <w:rPr>
        <w:b/>
        <w:color w:themeColor="text1" w:val="000000"/>
      </w:rPr>
      <w:pPr>
        <w:pBdr/>
        <w:spacing/>
        <w:ind/>
      </w:pPr>
      <w:tblPr>
        <w:tblBorders/>
      </w:tblPr>
      <w:tcPr>
        <w:tcBorders>
          <w:top w:color="000000" w:space="0" w:sz="4" w:themeColor="text1" w:themeTint="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5" w:type="table">
    <w:name w:val="List Table 6 Colorful - Accent 1"/>
    <w:basedOn w:val="914"/>
    <w:uiPriority w:val="99"/>
    <w:pPr>
      <w:pBdr/>
      <w:spacing w:after="0" w:line="240" w:lineRule="auto"/>
      <w:ind/>
    </w:pPr>
    <w:tblPr>
      <w:tblStyleRowBandSize w:val="1"/>
      <w:tblStyleColBandSize w:val="1"/>
      <w:tblInd w:type="dxa" w:w="0"/>
      <w:tblBorders>
        <w:top w:color="000000" w:space="0" w:sz="4" w:themeColor="accent1" w:val="single"/>
        <w:bottom w:color="000000" w:space="0" w:sz="4" w:themeColor="accent1" w:val="single"/>
      </w:tblBorders>
    </w:tblPr>
    <w:tcPr>
      <w:tcBorders/>
    </w:tcPr>
    <w:tblStylePr w:type="band1Horz">
      <w:rPr>
        <w:rFonts w:ascii="Arial" w:hAnsi="Arial"/>
        <w:color w:themeColor="accent1" w:themeShade="95" w:val="404040"/>
        <w:sz w:val="22"/>
      </w:rPr>
      <w:pPr>
        <w:pBdr/>
        <w:spacing/>
        <w:ind/>
      </w:pPr>
      <w:tblPr>
        <w:tblBorders/>
      </w:tblPr>
      <w:tcPr>
        <w:shd w:color="ffffff" w:fill="b1def2" w:themeColor="accent1" w:themeFill="accent1" w:themeFillTint="40" w:themeTint="40" w:val="clear"/>
        <w:tcBorders/>
      </w:tcPr>
    </w:tblStylePr>
    <w:tblStylePr w:type="band1Vert">
      <w:pPr>
        <w:pBdr/>
        <w:spacing/>
        <w:ind/>
      </w:pPr>
      <w:tblPr>
        <w:tblBorders/>
      </w:tblPr>
      <w:tcPr>
        <w:shd w:color="ffffff" w:fill="b1def2" w:themeColor="accent1" w:themeFill="accent1" w:themeFillTint="40" w:themeTint="40" w:val="clear"/>
        <w:tcBorders/>
      </w:tcPr>
    </w:tblStylePr>
    <w:tblStylePr w:type="band2Horz">
      <w:rPr>
        <w:rFonts w:ascii="Arial" w:hAnsi="Arial"/>
        <w:color w:themeColor="accent1"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1" w:themeShade="95" w:val="0c384c"/>
      </w:rPr>
      <w:pPr>
        <w:pBdr/>
        <w:spacing/>
        <w:ind/>
      </w:pPr>
      <w:tblPr>
        <w:tblBorders/>
      </w:tblPr>
      <w:tcPr>
        <w:tcBorders/>
      </w:tcPr>
    </w:tblStylePr>
    <w:tblStylePr w:type="firstRow">
      <w:rPr>
        <w:b/>
        <w:color w:themeColor="accent1" w:themeShade="95" w:val="0c384c"/>
      </w:rPr>
      <w:pPr>
        <w:pBdr/>
        <w:spacing/>
        <w:ind/>
      </w:pPr>
      <w:tblPr>
        <w:tblBorders/>
      </w:tblPr>
      <w:tcPr>
        <w:tcBorders>
          <w:bottom w:color="000000" w:space="0" w:sz="4" w:themeColor="accent1" w:val="single"/>
        </w:tcBorders>
      </w:tcPr>
    </w:tblStylePr>
    <w:tblStylePr w:type="lastCol">
      <w:rPr>
        <w:b/>
        <w:color w:themeColor="accent1" w:themeShade="95" w:val="0c384c"/>
      </w:rPr>
      <w:pPr>
        <w:pBdr/>
        <w:spacing/>
        <w:ind/>
      </w:pPr>
      <w:tblPr>
        <w:tblBorders/>
      </w:tblPr>
      <w:tcPr>
        <w:tcBorders/>
      </w:tcPr>
    </w:tblStylePr>
    <w:tblStylePr w:type="lastRow">
      <w:rPr>
        <w:b/>
        <w:color w:themeColor="accent1" w:themeShade="95" w:val="0c384c"/>
      </w:rPr>
      <w:pPr>
        <w:pBdr/>
        <w:spacing/>
        <w:ind/>
      </w:p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6" w:type="table">
    <w:name w:val="List Table 6 Colorful - Accent 2"/>
    <w:basedOn w:val="914"/>
    <w:uiPriority w:val="99"/>
    <w:pPr>
      <w:pBdr/>
      <w:spacing w:after="0" w:line="240" w:lineRule="auto"/>
      <w:ind/>
    </w:pPr>
    <w:tblPr>
      <w:tblStyleRowBandSize w:val="1"/>
      <w:tblStyleColBandSize w:val="1"/>
      <w:tblInd w:type="dxa" w:w="0"/>
      <w:tblBorders>
        <w:top w:color="000000" w:space="0" w:sz="4" w:themeColor="accent2" w:themeTint="97" w:val="single"/>
        <w:bottom w:color="000000" w:space="0" w:sz="4" w:themeColor="accent2" w:themeTint="97" w:val="single"/>
      </w:tblBorders>
    </w:tblPr>
    <w:tcPr>
      <w:tcBorders/>
    </w:tcPr>
    <w:tblStylePr w:type="band1Horz">
      <w:rPr>
        <w:rFonts w:ascii="Arial" w:hAnsi="Arial"/>
        <w:color w:themeColor="accent2" w:themeShade="95" w:themeTint="97" w:val="404040"/>
        <w:sz w:val="22"/>
      </w:rPr>
      <w:pPr>
        <w:pBdr/>
        <w:spacing/>
        <w:ind/>
      </w:pPr>
      <w:tblPr>
        <w:tblBorders/>
      </w:tblPr>
      <w:tcPr>
        <w:shd w:color="ffffff" w:fill="f9dbcc" w:themeColor="accent2" w:themeFill="accent2" w:themeFillTint="40" w:themeTint="40" w:val="clear"/>
        <w:tcBorders/>
      </w:tcPr>
    </w:tblStylePr>
    <w:tblStylePr w:type="band1Vert">
      <w:pPr>
        <w:pBdr/>
        <w:spacing/>
        <w:ind/>
      </w:pPr>
      <w:tblPr>
        <w:tblBorders/>
      </w:tblPr>
      <w:tcPr>
        <w:shd w:color="ffffff" w:fill="f9dbcc" w:themeColor="accent2" w:themeFill="accent2" w:themeFillTint="40" w:themeTint="40" w:val="clear"/>
        <w:tcBorders/>
      </w:tcPr>
    </w:tblStylePr>
    <w:tblStylePr w:type="band2Horz">
      <w:rPr>
        <w:rFonts w:ascii="Arial" w:hAnsi="Arial"/>
        <w:color w:themeColor="accent2" w:themeShade="95" w:themeTint="97"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2" w:themeShade="95" w:themeTint="97" w:val="c65215"/>
      </w:rPr>
      <w:pPr>
        <w:pBdr/>
        <w:spacing/>
        <w:ind/>
      </w:pPr>
      <w:tblPr>
        <w:tblBorders/>
      </w:tblPr>
      <w:tcPr>
        <w:tcBorders/>
      </w:tcPr>
    </w:tblStylePr>
    <w:tblStylePr w:type="firstRow">
      <w:rPr>
        <w:b/>
        <w:color w:themeColor="accent2" w:themeShade="95" w:themeTint="97" w:val="c65215"/>
      </w:rPr>
      <w:pPr>
        <w:pBdr/>
        <w:spacing/>
        <w:ind/>
      </w:pPr>
      <w:tblPr>
        <w:tblBorders/>
      </w:tblPr>
      <w:tcPr>
        <w:tcBorders>
          <w:bottom w:color="000000" w:space="0" w:sz="4" w:themeColor="accent2" w:themeTint="97" w:val="single"/>
        </w:tcBorders>
      </w:tcPr>
    </w:tblStylePr>
    <w:tblStylePr w:type="lastCol">
      <w:rPr>
        <w:b/>
        <w:color w:themeColor="accent2" w:themeShade="95" w:themeTint="97" w:val="c65215"/>
      </w:rPr>
      <w:pPr>
        <w:pBdr/>
        <w:spacing/>
        <w:ind/>
      </w:pPr>
      <w:tblPr>
        <w:tblBorders/>
      </w:tblPr>
      <w:tcPr>
        <w:tcBorders/>
      </w:tcPr>
    </w:tblStylePr>
    <w:tblStylePr w:type="lastRow">
      <w:rPr>
        <w:b/>
        <w:color w:themeColor="accent2" w:themeShade="95" w:themeTint="97" w:val="c65215"/>
      </w:rPr>
      <w:pPr>
        <w:pBdr/>
        <w:spacing/>
        <w:ind/>
      </w:pPr>
      <w:tblPr>
        <w:tblBorders/>
      </w:tblPr>
      <w:tcPr>
        <w:tcBorders>
          <w:top w:color="000000" w:space="0" w:sz="4"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7" w:type="table">
    <w:name w:val="List Table 6 Colorful - Accent 3"/>
    <w:basedOn w:val="914"/>
    <w:uiPriority w:val="99"/>
    <w:pPr>
      <w:pBdr/>
      <w:spacing w:after="0" w:line="240" w:lineRule="auto"/>
      <w:ind/>
    </w:pPr>
    <w:tblPr>
      <w:tblStyleRowBandSize w:val="1"/>
      <w:tblStyleColBandSize w:val="1"/>
      <w:tblInd w:type="dxa" w:w="0"/>
      <w:tblBorders>
        <w:top w:color="000000" w:space="0" w:sz="4" w:themeColor="accent3" w:themeTint="98" w:val="single"/>
        <w:bottom w:color="000000" w:space="0" w:sz="4" w:themeColor="accent3" w:themeTint="98" w:val="single"/>
      </w:tblBorders>
    </w:tblPr>
    <w:tcPr>
      <w:tcBorders/>
    </w:tcPr>
    <w:tblStylePr w:type="band1Horz">
      <w:rPr>
        <w:rFonts w:ascii="Arial" w:hAnsi="Arial"/>
        <w:color w:themeColor="accent3" w:themeShade="95" w:themeTint="98" w:val="404040"/>
        <w:sz w:val="22"/>
      </w:rPr>
      <w:pPr>
        <w:pBdr/>
        <w:spacing/>
        <w:ind/>
      </w:pPr>
      <w:tblPr>
        <w:tblBorders/>
      </w:tblPr>
      <w:tcPr>
        <w:shd w:color="ffffff" w:fill="b2edba" w:themeColor="accent3" w:themeFill="accent3" w:themeFillTint="40" w:themeTint="40" w:val="clear"/>
        <w:tcBorders/>
      </w:tcPr>
    </w:tblStylePr>
    <w:tblStylePr w:type="band1Vert">
      <w:pPr>
        <w:pBdr/>
        <w:spacing/>
        <w:ind/>
      </w:pPr>
      <w:tblPr>
        <w:tblBorders/>
      </w:tblPr>
      <w:tcPr>
        <w:shd w:color="ffffff" w:fill="b2edba" w:themeColor="accent3" w:themeFill="accent3" w:themeFillTint="40" w:themeTint="40" w:val="clear"/>
        <w:tcBorders/>
      </w:tcPr>
    </w:tblStylePr>
    <w:tblStylePr w:type="band2Horz">
      <w:rPr>
        <w:rFonts w:ascii="Arial" w:hAnsi="Arial"/>
        <w:color w:themeColor="accent3" w:themeShade="95" w:themeTint="98"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3" w:themeShade="95" w:themeTint="98" w:val="20872d"/>
      </w:rPr>
      <w:pPr>
        <w:pBdr/>
        <w:spacing/>
        <w:ind/>
      </w:pPr>
      <w:tblPr>
        <w:tblBorders/>
      </w:tblPr>
      <w:tcPr>
        <w:tcBorders/>
      </w:tcPr>
    </w:tblStylePr>
    <w:tblStylePr w:type="firstRow">
      <w:rPr>
        <w:b/>
        <w:color w:themeColor="accent3" w:themeShade="95" w:themeTint="98" w:val="20872d"/>
      </w:rPr>
      <w:pPr>
        <w:pBdr/>
        <w:spacing/>
        <w:ind/>
      </w:pPr>
      <w:tblPr>
        <w:tblBorders/>
      </w:tblPr>
      <w:tcPr>
        <w:tcBorders>
          <w:bottom w:color="000000" w:space="0" w:sz="4" w:themeColor="accent3" w:themeTint="98" w:val="single"/>
        </w:tcBorders>
      </w:tcPr>
    </w:tblStylePr>
    <w:tblStylePr w:type="lastCol">
      <w:rPr>
        <w:b/>
        <w:color w:themeColor="accent3" w:themeShade="95" w:themeTint="98" w:val="20872d"/>
      </w:rPr>
      <w:pPr>
        <w:pBdr/>
        <w:spacing/>
        <w:ind/>
      </w:pPr>
      <w:tblPr>
        <w:tblBorders/>
      </w:tblPr>
      <w:tcPr>
        <w:tcBorders/>
      </w:tcPr>
    </w:tblStylePr>
    <w:tblStylePr w:type="lastRow">
      <w:rPr>
        <w:b/>
        <w:color w:themeColor="accent3" w:themeShade="95" w:themeTint="98" w:val="20872d"/>
      </w:rPr>
      <w:pPr>
        <w:pBdr/>
        <w:spacing/>
        <w:ind/>
      </w:pPr>
      <w:tblPr>
        <w:tblBorders/>
      </w:tblPr>
      <w:tcPr>
        <w:tcBorders>
          <w:top w:color="000000" w:space="0" w:sz="4" w:themeColor="accent3"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8" w:type="table">
    <w:name w:val="List Table 6 Colorful - Accent 4"/>
    <w:basedOn w:val="914"/>
    <w:uiPriority w:val="99"/>
    <w:pPr>
      <w:pBdr/>
      <w:spacing w:after="0" w:line="240" w:lineRule="auto"/>
      <w:ind/>
    </w:pPr>
    <w:tblPr>
      <w:tblStyleRowBandSize w:val="1"/>
      <w:tblStyleColBandSize w:val="1"/>
      <w:tblInd w:type="dxa" w:w="0"/>
      <w:tblBorders>
        <w:top w:color="000000" w:space="0" w:sz="4" w:themeColor="accent4" w:themeTint="9A" w:val="single"/>
        <w:bottom w:color="000000" w:space="0" w:sz="4" w:themeColor="accent4" w:themeTint="9A" w:val="single"/>
      </w:tblBorders>
    </w:tblPr>
    <w:tcPr>
      <w:tcBorders/>
    </w:tcPr>
    <w:tblStylePr w:type="band1Horz">
      <w:rPr>
        <w:rFonts w:ascii="Arial" w:hAnsi="Arial"/>
        <w:color w:themeColor="accent4" w:themeShade="95" w:themeTint="9A" w:val="404040"/>
        <w:sz w:val="22"/>
      </w:rPr>
      <w:pPr>
        <w:pBdr/>
        <w:spacing/>
        <w:ind/>
      </w:pPr>
      <w:tblPr>
        <w:tblBorders/>
      </w:tblPr>
      <w:tcPr>
        <w:shd w:color="ffffff" w:fill="bde9fa" w:themeColor="accent4" w:themeFill="accent4" w:themeFillTint="40" w:themeTint="40" w:val="clear"/>
        <w:tcBorders/>
      </w:tcPr>
    </w:tblStylePr>
    <w:tblStylePr w:type="band1Vert">
      <w:pPr>
        <w:pBdr/>
        <w:spacing/>
        <w:ind/>
      </w:pPr>
      <w:tblPr>
        <w:tblBorders/>
      </w:tblPr>
      <w:tcPr>
        <w:shd w:color="ffffff" w:fill="bde9fa" w:themeColor="accent4" w:themeFill="accent4" w:themeFillTint="40" w:themeTint="40" w:val="clear"/>
        <w:tcBorders/>
      </w:tcPr>
    </w:tblStylePr>
    <w:tblStylePr w:type="band2Horz">
      <w:rPr>
        <w:rFonts w:ascii="Arial" w:hAnsi="Arial"/>
        <w:color w:themeColor="accent4"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4" w:themeShade="95" w:themeTint="9A" w:val="0d8ab9"/>
      </w:rPr>
      <w:pPr>
        <w:pBdr/>
        <w:spacing/>
        <w:ind/>
      </w:pPr>
      <w:tblPr>
        <w:tblBorders/>
      </w:tblPr>
      <w:tcPr>
        <w:tcBorders/>
      </w:tcPr>
    </w:tblStylePr>
    <w:tblStylePr w:type="firstRow">
      <w:rPr>
        <w:b/>
        <w:color w:themeColor="accent4" w:themeShade="95" w:themeTint="9A" w:val="0d8ab9"/>
      </w:rPr>
      <w:pPr>
        <w:pBdr/>
        <w:spacing/>
        <w:ind/>
      </w:pPr>
      <w:tblPr>
        <w:tblBorders/>
      </w:tblPr>
      <w:tcPr>
        <w:tcBorders>
          <w:bottom w:color="000000" w:space="0" w:sz="4" w:themeColor="accent4" w:themeTint="9A" w:val="single"/>
        </w:tcBorders>
      </w:tcPr>
    </w:tblStylePr>
    <w:tblStylePr w:type="lastCol">
      <w:rPr>
        <w:b/>
        <w:color w:themeColor="accent4" w:themeShade="95" w:themeTint="9A" w:val="0d8ab9"/>
      </w:rPr>
      <w:pPr>
        <w:pBdr/>
        <w:spacing/>
        <w:ind/>
      </w:pPr>
      <w:tblPr>
        <w:tblBorders/>
      </w:tblPr>
      <w:tcPr>
        <w:tcBorders/>
      </w:tcPr>
    </w:tblStylePr>
    <w:tblStylePr w:type="lastRow">
      <w:rPr>
        <w:b/>
        <w:color w:themeColor="accent4" w:themeShade="95" w:themeTint="9A" w:val="0d8ab9"/>
      </w:rPr>
      <w:pPr>
        <w:pBdr/>
        <w:spacing/>
        <w:ind/>
      </w:pPr>
      <w:tblPr>
        <w:tblBorders/>
      </w:tblPr>
      <w:tcPr>
        <w:tcBorders>
          <w:top w:color="000000" w:space="0" w:sz="4"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9" w:type="table">
    <w:name w:val="List Table 6 Colorful - Accent 5"/>
    <w:basedOn w:val="914"/>
    <w:uiPriority w:val="99"/>
    <w:pPr>
      <w:pBdr/>
      <w:spacing w:after="0" w:line="240" w:lineRule="auto"/>
      <w:ind/>
    </w:pPr>
    <w:tblPr>
      <w:tblStyleRowBandSize w:val="1"/>
      <w:tblStyleColBandSize w:val="1"/>
      <w:tblInd w:type="dxa" w:w="0"/>
      <w:tblBorders>
        <w:top w:color="000000" w:space="0" w:sz="4" w:themeColor="accent5" w:themeTint="9A" w:val="single"/>
        <w:bottom w:color="000000" w:space="0" w:sz="4" w:themeColor="accent5" w:themeTint="9A" w:val="single"/>
      </w:tblBorders>
    </w:tblPr>
    <w:tcPr>
      <w:tcBorders/>
    </w:tcPr>
    <w:tblStylePr w:type="band1Horz">
      <w:rPr>
        <w:rFonts w:ascii="Arial" w:hAnsi="Arial"/>
        <w:color w:themeColor="accent5" w:themeShade="95" w:themeTint="9A" w:val="404040"/>
        <w:sz w:val="22"/>
      </w:rPr>
      <w:pPr>
        <w:pBdr/>
        <w:spacing/>
        <w:ind/>
      </w:pPr>
      <w:tblPr>
        <w:tblBorders/>
      </w:tblPr>
      <w:tcPr>
        <w:shd w:color="ffffff" w:fill="efc2ea" w:themeColor="accent5" w:themeFill="accent5" w:themeFillTint="40" w:themeTint="40" w:val="clear"/>
        <w:tcBorders/>
      </w:tcPr>
    </w:tblStylePr>
    <w:tblStylePr w:type="band1Vert">
      <w:pPr>
        <w:pBdr/>
        <w:spacing/>
        <w:ind/>
      </w:pPr>
      <w:tblPr>
        <w:tblBorders/>
      </w:tblPr>
      <w:tcPr>
        <w:shd w:color="ffffff" w:fill="efc2ea" w:themeColor="accent5" w:themeFill="accent5" w:themeFillTint="40" w:themeTint="40" w:val="clear"/>
        <w:tcBorders/>
      </w:tcPr>
    </w:tblStylePr>
    <w:tblStylePr w:type="band2Horz">
      <w:rPr>
        <w:rFonts w:ascii="Arial" w:hAnsi="Arial"/>
        <w:color w:themeColor="accent5"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themeTint="9A" w:val="952889"/>
      </w:rPr>
      <w:pPr>
        <w:pBdr/>
        <w:spacing/>
        <w:ind/>
      </w:pPr>
      <w:tblPr>
        <w:tblBorders/>
      </w:tblPr>
      <w:tcPr>
        <w:tcBorders/>
      </w:tcPr>
    </w:tblStylePr>
    <w:tblStylePr w:type="firstRow">
      <w:rPr>
        <w:b/>
        <w:color w:themeColor="accent5" w:themeShade="95" w:themeTint="9A" w:val="952889"/>
      </w:rPr>
      <w:pPr>
        <w:pBdr/>
        <w:spacing/>
        <w:ind/>
      </w:pPr>
      <w:tblPr>
        <w:tblBorders/>
      </w:tblPr>
      <w:tcPr>
        <w:tcBorders>
          <w:bottom w:color="000000" w:space="0" w:sz="4" w:themeColor="accent5" w:themeTint="9A" w:val="single"/>
        </w:tcBorders>
      </w:tcPr>
    </w:tblStylePr>
    <w:tblStylePr w:type="lastCol">
      <w:rPr>
        <w:b/>
        <w:color w:themeColor="accent5" w:themeShade="95" w:themeTint="9A" w:val="952889"/>
      </w:rPr>
      <w:pPr>
        <w:pBdr/>
        <w:spacing/>
        <w:ind/>
      </w:pPr>
      <w:tblPr>
        <w:tblBorders/>
      </w:tblPr>
      <w:tcPr>
        <w:tcBorders/>
      </w:tcPr>
    </w:tblStylePr>
    <w:tblStylePr w:type="lastRow">
      <w:rPr>
        <w:b/>
        <w:color w:themeColor="accent5" w:themeShade="95" w:themeTint="9A" w:val="952889"/>
      </w:rPr>
      <w:pPr>
        <w:pBdr/>
        <w:spacing/>
        <w:ind/>
      </w:pPr>
      <w:tblPr>
        <w:tblBorders/>
      </w:tblPr>
      <w:tcPr>
        <w:tcBorders>
          <w:top w:color="000000" w:space="0" w:sz="4" w:themeColor="accent5"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0" w:type="table">
    <w:name w:val="List Table 6 Colorful - Accent 6"/>
    <w:basedOn w:val="914"/>
    <w:uiPriority w:val="99"/>
    <w:pPr>
      <w:pBdr/>
      <w:spacing w:after="0" w:line="240" w:lineRule="auto"/>
      <w:ind/>
    </w:pPr>
    <w:tblPr>
      <w:tblStyleRowBandSize w:val="1"/>
      <w:tblStyleColBandSize w:val="1"/>
      <w:tblInd w:type="dxa" w:w="0"/>
      <w:tblBorders>
        <w:top w:color="000000" w:space="0" w:sz="4" w:themeColor="accent6" w:themeTint="98" w:val="single"/>
        <w:bottom w:color="000000" w:space="0" w:sz="4" w:themeColor="accent6" w:themeTint="98" w:val="single"/>
      </w:tblBorders>
    </w:tblPr>
    <w:tcPr>
      <w:tcBorders/>
    </w:tcPr>
    <w:tblStylePr w:type="band1Horz">
      <w:rPr>
        <w:rFonts w:ascii="Arial" w:hAnsi="Arial"/>
        <w:color w:themeColor="accent6" w:themeShade="95" w:themeTint="98" w:val="404040"/>
        <w:sz w:val="22"/>
      </w:rPr>
      <w:pPr>
        <w:pBdr/>
        <w:spacing/>
        <w:ind/>
      </w:pPr>
      <w:tblPr>
        <w:tblBorders/>
      </w:tblPr>
      <w:tcPr>
        <w:shd w:color="ffffff" w:fill="d0efc5" w:themeColor="accent6" w:themeFill="accent6" w:themeFillTint="40" w:themeTint="40" w:val="clear"/>
        <w:tcBorders/>
      </w:tcPr>
    </w:tblStylePr>
    <w:tblStylePr w:type="band1Vert">
      <w:pPr>
        <w:pBdr/>
        <w:spacing/>
        <w:ind/>
      </w:pPr>
      <w:tblPr>
        <w:tblBorders/>
      </w:tblPr>
      <w:tcPr>
        <w:shd w:color="ffffff" w:fill="d0efc5" w:themeColor="accent6" w:themeFill="accent6" w:themeFillTint="40" w:themeTint="40" w:val="clear"/>
        <w:tcBorders/>
      </w:tcPr>
    </w:tblStylePr>
    <w:tblStylePr w:type="band2Horz">
      <w:rPr>
        <w:rFonts w:ascii="Arial" w:hAnsi="Arial"/>
        <w:color w:themeColor="accent6" w:themeShade="95" w:themeTint="98"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6" w:themeShade="95" w:themeTint="98" w:val="47992a"/>
      </w:rPr>
      <w:pPr>
        <w:pBdr/>
        <w:spacing/>
        <w:ind/>
      </w:pPr>
      <w:tblPr>
        <w:tblBorders/>
      </w:tblPr>
      <w:tcPr>
        <w:tcBorders/>
      </w:tcPr>
    </w:tblStylePr>
    <w:tblStylePr w:type="firstRow">
      <w:rPr>
        <w:b/>
        <w:color w:themeColor="accent6" w:themeShade="95" w:themeTint="98" w:val="47992a"/>
      </w:rPr>
      <w:pPr>
        <w:pBdr/>
        <w:spacing/>
        <w:ind/>
      </w:pPr>
      <w:tblPr>
        <w:tblBorders/>
      </w:tblPr>
      <w:tcPr>
        <w:tcBorders>
          <w:bottom w:color="000000" w:space="0" w:sz="4" w:themeColor="accent6" w:themeTint="98" w:val="single"/>
        </w:tcBorders>
      </w:tcPr>
    </w:tblStylePr>
    <w:tblStylePr w:type="lastCol">
      <w:rPr>
        <w:b/>
        <w:color w:themeColor="accent6" w:themeShade="95" w:themeTint="98" w:val="47992a"/>
      </w:rPr>
      <w:pPr>
        <w:pBdr/>
        <w:spacing/>
        <w:ind/>
      </w:pPr>
      <w:tblPr>
        <w:tblBorders/>
      </w:tblPr>
      <w:tcPr>
        <w:tcBorders/>
      </w:tcPr>
    </w:tblStylePr>
    <w:tblStylePr w:type="lastRow">
      <w:rPr>
        <w:b/>
        <w:color w:themeColor="accent6" w:themeShade="95" w:themeTint="98" w:val="47992a"/>
      </w:rPr>
      <w:pPr>
        <w:pBdr/>
        <w:spacing/>
        <w:ind/>
      </w:pPr>
      <w:tblPr>
        <w:tblBorders/>
      </w:tblPr>
      <w:tcPr>
        <w:tcBorders>
          <w:top w:color="000000" w:space="0" w:sz="4" w:themeColor="accent6"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1" w:type="table">
    <w:name w:val="List Table 7 Colorful"/>
    <w:basedOn w:val="914"/>
    <w:uiPriority w:val="99"/>
    <w:pPr>
      <w:pBdr/>
      <w:spacing w:after="0" w:line="240" w:lineRule="auto"/>
      <w:ind/>
    </w:pPr>
    <w:tblPr>
      <w:tblStyleRowBandSize w:val="1"/>
      <w:tblStyleColBandSize w:val="1"/>
      <w:tblInd w:type="dxa" w:w="0"/>
      <w:tblBorders>
        <w:right w:color="000000" w:space="0" w:sz="4" w:themeColor="text1" w:themeTint="80" w:val="single"/>
      </w:tblBorders>
    </w:tblPr>
    <w:tcPr>
      <w:tcBorders/>
    </w:tcPr>
    <w:tblStylePr w:type="band1Horz">
      <w:rPr>
        <w:rFonts w:ascii="Arial" w:hAnsi="Arial"/>
        <w:color w:themeColor="text1" w:themeShade="95" w:themeTint="80" w:val="4a4a4a"/>
        <w:sz w:val="22"/>
      </w:rPr>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rPr>
        <w:rFonts w:ascii="Arial" w:hAnsi="Arial"/>
        <w:color w:themeColor="text1" w:themeShade="95" w:themeTint="80"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text1" w:themeShade="95" w:themeTint="80" w:val="4a4a4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text1" w:themeTint="80" w:val="single"/>
        </w:tcBorders>
      </w:tcPr>
    </w:tblStylePr>
    <w:tblStylePr w:type="firstRow">
      <w:rPr>
        <w:rFonts w:ascii="Arial" w:hAnsi="Arial"/>
        <w:i/>
        <w:color w:themeColor="text1" w:themeShade="95" w:themeTint="80" w:val="4a4a4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text1" w:themeTint="80" w:val="single"/>
          <w:right w:color="000000" w:space="0" w:sz="4" w:val="none"/>
        </w:tcBorders>
      </w:tcPr>
    </w:tblStylePr>
    <w:tblStylePr w:type="lastCol">
      <w:rPr>
        <w:rFonts w:ascii="Arial" w:hAnsi="Arial"/>
        <w:i/>
        <w:color w:themeColor="text1" w:themeShade="95" w:themeTint="80" w:val="4a4a4a"/>
        <w:sz w:val="22"/>
      </w:rPr>
      <w:pPr>
        <w:pBdr/>
        <w:spacing/>
        <w:ind/>
      </w:pPr>
      <w:tblPr>
        <w:tblBorders/>
      </w:tblPr>
      <w:tcPr>
        <w:shd w:color="ffffff" w:val="clear"/>
        <w:tcBorders>
          <w:top w:color="000000" w:space="0" w:sz="4" w:val="none"/>
          <w:left w:color="000000" w:space="0" w:sz="4" w:themeColor="text1" w:themeTint="80" w:val="single"/>
          <w:bottom w:color="000000" w:space="0" w:sz="4" w:val="none"/>
          <w:right w:color="000000" w:space="0" w:sz="4" w:val="none"/>
        </w:tcBorders>
      </w:tcPr>
    </w:tblStylePr>
    <w:tblStylePr w:type="lastRow">
      <w:rPr>
        <w:rFonts w:ascii="Arial" w:hAnsi="Arial"/>
        <w:i/>
        <w:color w:themeColor="text1" w:themeShade="95" w:themeTint="80" w:val="4a4a4a"/>
        <w:sz w:val="22"/>
      </w:rPr>
      <w:pPr>
        <w:pBdr/>
        <w:spacing/>
        <w:ind/>
      </w:pPr>
      <w:tblPr>
        <w:tblBorders/>
      </w:tblPr>
      <w:tcPr>
        <w:shd w:color="ffffff" w:fill="ffffff" w:themeColor="light1" w:themeFill="light1" w:val="clear"/>
        <w:tcBorders>
          <w:top w:color="000000" w:space="0" w:sz="4" w:themeColor="tex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text1" w:themeShade="95" w:themeTint="80" w:val="4a4a4a"/>
        <w:sz w:val="22"/>
      </w:rPr>
      <w:pPr>
        <w:pBdr/>
        <w:spacing/>
        <w:ind/>
      </w:pPr>
      <w:tblPr>
        <w:tblBorders/>
      </w:tblPr>
      <w:tcPr>
        <w:tcBorders/>
      </w:tcPr>
    </w:tblStylePr>
  </w:style>
  <w:style w:styleId="832" w:type="table">
    <w:name w:val="List Table 7 Colorful - Accent 1"/>
    <w:basedOn w:val="914"/>
    <w:uiPriority w:val="99"/>
    <w:pPr>
      <w:pBdr/>
      <w:spacing w:after="0" w:line="240" w:lineRule="auto"/>
      <w:ind/>
    </w:pPr>
    <w:tblPr>
      <w:tblStyleRowBandSize w:val="1"/>
      <w:tblStyleColBandSize w:val="1"/>
      <w:tblInd w:type="dxa" w:w="0"/>
      <w:tblBorders>
        <w:right w:color="000000" w:space="0" w:sz="4" w:themeColor="accent1" w:val="single"/>
      </w:tblBorders>
    </w:tblPr>
    <w:tcPr>
      <w:tcBorders/>
    </w:tcPr>
    <w:tblStylePr w:type="band1Horz">
      <w:rPr>
        <w:rFonts w:ascii="Arial" w:hAnsi="Arial"/>
        <w:color w:themeColor="accent1" w:themeShade="95" w:val="0c384c"/>
        <w:sz w:val="22"/>
      </w:rPr>
      <w:pPr>
        <w:pBdr/>
        <w:spacing/>
        <w:ind/>
      </w:pPr>
      <w:tblPr>
        <w:tblBorders/>
      </w:tblPr>
      <w:tcPr>
        <w:shd w:color="ffffff" w:fill="b1def2" w:themeColor="accent1" w:themeFill="accent1" w:themeFillTint="40" w:themeTint="40" w:val="clear"/>
        <w:tcBorders/>
      </w:tcPr>
    </w:tblStylePr>
    <w:tblStylePr w:type="band1Vert">
      <w:pPr>
        <w:pBdr/>
        <w:spacing/>
        <w:ind/>
      </w:pPr>
      <w:tblPr>
        <w:tblBorders/>
      </w:tblPr>
      <w:tcPr>
        <w:shd w:color="ffffff" w:fill="b1def2" w:themeColor="accent1" w:themeFill="accent1" w:themeFillTint="40" w:themeTint="40" w:val="clear"/>
        <w:tcBorders/>
      </w:tcPr>
    </w:tblStylePr>
    <w:tblStylePr w:type="band2Horz">
      <w:rPr>
        <w:rFonts w:ascii="Arial" w:hAnsi="Arial"/>
        <w:color w:themeColor="accent1" w:themeShade="95" w:val="0c384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1" w:themeShade="95" w:val="0c384c"/>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1" w:val="single"/>
        </w:tcBorders>
      </w:tcPr>
    </w:tblStylePr>
    <w:tblStylePr w:type="firstRow">
      <w:rPr>
        <w:rFonts w:ascii="Arial" w:hAnsi="Arial"/>
        <w:i/>
        <w:color w:themeColor="accent1" w:themeShade="95" w:val="0c384c"/>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1" w:val="single"/>
          <w:right w:color="000000" w:space="0" w:sz="4" w:val="none"/>
        </w:tcBorders>
      </w:tcPr>
    </w:tblStylePr>
    <w:tblStylePr w:type="lastCol">
      <w:rPr>
        <w:rFonts w:ascii="Arial" w:hAnsi="Arial"/>
        <w:i/>
        <w:color w:themeColor="accent1" w:themeShade="95" w:val="0c384c"/>
        <w:sz w:val="22"/>
      </w:rPr>
      <w:pPr>
        <w:pBdr/>
        <w:spacing/>
        <w:ind/>
      </w:pPr>
      <w:tblPr>
        <w:tblBorders/>
      </w:tblPr>
      <w:tcPr>
        <w:shd w:color="ffffff" w:val="clear"/>
        <w:tcBorders>
          <w:top w:color="000000" w:space="0" w:sz="4" w:val="none"/>
          <w:left w:color="000000" w:space="0" w:sz="4" w:themeColor="accent1" w:val="single"/>
          <w:bottom w:color="000000" w:space="0" w:sz="4" w:val="none"/>
          <w:right w:color="000000" w:space="0" w:sz="4" w:val="none"/>
        </w:tcBorders>
      </w:tcPr>
    </w:tblStylePr>
    <w:tblStylePr w:type="lastRow">
      <w:rPr>
        <w:rFonts w:ascii="Arial" w:hAnsi="Arial"/>
        <w:i/>
        <w:color w:themeColor="accent1" w:themeShade="95" w:val="0c384c"/>
        <w:sz w:val="22"/>
      </w:rPr>
      <w:pPr>
        <w:pBdr/>
        <w:spacing/>
        <w:ind/>
      </w:pPr>
      <w:tblPr>
        <w:tblBorders/>
      </w:tblPr>
      <w:tcPr>
        <w:shd w:color="ffffff" w:fill="ffffff" w:themeColor="light1" w:themeFill="light1" w:val="clea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1" w:themeShade="95" w:val="0c384c"/>
        <w:sz w:val="22"/>
      </w:rPr>
      <w:pPr>
        <w:pBdr/>
        <w:spacing/>
        <w:ind/>
      </w:pPr>
      <w:tblPr>
        <w:tblBorders/>
      </w:tblPr>
      <w:tcPr>
        <w:tcBorders/>
      </w:tcPr>
    </w:tblStylePr>
  </w:style>
  <w:style w:styleId="833" w:type="table">
    <w:name w:val="List Table 7 Colorful - Accent 2"/>
    <w:basedOn w:val="914"/>
    <w:uiPriority w:val="99"/>
    <w:pPr>
      <w:pBdr/>
      <w:spacing w:after="0" w:line="240" w:lineRule="auto"/>
      <w:ind/>
    </w:pPr>
    <w:tblPr>
      <w:tblStyleRowBandSize w:val="1"/>
      <w:tblStyleColBandSize w:val="1"/>
      <w:tblInd w:type="dxa" w:w="0"/>
      <w:tblBorders>
        <w:right w:color="000000" w:space="0" w:sz="4" w:themeColor="accent2" w:themeTint="97" w:val="single"/>
      </w:tblBorders>
    </w:tblPr>
    <w:tcPr>
      <w:tcBorders/>
    </w:tcPr>
    <w:tblStylePr w:type="band1Horz">
      <w:rPr>
        <w:rFonts w:ascii="Arial" w:hAnsi="Arial"/>
        <w:color w:themeColor="accent2" w:themeShade="95" w:themeTint="97" w:val="c65215"/>
        <w:sz w:val="22"/>
      </w:rPr>
      <w:pPr>
        <w:pBdr/>
        <w:spacing/>
        <w:ind/>
      </w:pPr>
      <w:tblPr>
        <w:tblBorders/>
      </w:tblPr>
      <w:tcPr>
        <w:shd w:color="ffffff" w:fill="f9dbcc" w:themeColor="accent2" w:themeFill="accent2" w:themeFillTint="40" w:themeTint="40" w:val="clear"/>
        <w:tcBorders/>
      </w:tcPr>
    </w:tblStylePr>
    <w:tblStylePr w:type="band1Vert">
      <w:pPr>
        <w:pBdr/>
        <w:spacing/>
        <w:ind/>
      </w:pPr>
      <w:tblPr>
        <w:tblBorders/>
      </w:tblPr>
      <w:tcPr>
        <w:shd w:color="ffffff" w:fill="f9dbcc" w:themeColor="accent2" w:themeFill="accent2" w:themeFillTint="40" w:themeTint="40" w:val="clear"/>
        <w:tcBorders/>
      </w:tcPr>
    </w:tblStylePr>
    <w:tblStylePr w:type="band2Horz">
      <w:rPr>
        <w:rFonts w:ascii="Arial" w:hAnsi="Arial"/>
        <w:color w:themeColor="accent2" w:themeShade="95" w:themeTint="97" w:val="c6521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2" w:themeShade="95" w:themeTint="97" w:val="c65215"/>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2" w:themeTint="97" w:val="single"/>
        </w:tcBorders>
      </w:tcPr>
    </w:tblStylePr>
    <w:tblStylePr w:type="firstRow">
      <w:rPr>
        <w:rFonts w:ascii="Arial" w:hAnsi="Arial"/>
        <w:i/>
        <w:color w:themeColor="accent2" w:themeShade="95" w:themeTint="97" w:val="c65215"/>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2" w:themeTint="97" w:val="single"/>
          <w:right w:color="000000" w:space="0" w:sz="4" w:val="none"/>
        </w:tcBorders>
      </w:tcPr>
    </w:tblStylePr>
    <w:tblStylePr w:type="lastCol">
      <w:rPr>
        <w:rFonts w:ascii="Arial" w:hAnsi="Arial"/>
        <w:i/>
        <w:color w:themeColor="accent2" w:themeShade="95" w:themeTint="97" w:val="c65215"/>
        <w:sz w:val="22"/>
      </w:rPr>
      <w:pPr>
        <w:pBdr/>
        <w:spacing/>
        <w:ind/>
      </w:pPr>
      <w:tblPr>
        <w:tblBorders/>
      </w:tblPr>
      <w:tcPr>
        <w:shd w:color="ffffff" w:val="clear"/>
        <w:tcBorders>
          <w:top w:color="000000" w:space="0" w:sz="4" w:val="none"/>
          <w:left w:color="000000" w:space="0" w:sz="4" w:themeColor="accent2" w:themeTint="97" w:val="single"/>
          <w:bottom w:color="000000" w:space="0" w:sz="4" w:val="none"/>
          <w:right w:color="000000" w:space="0" w:sz="4" w:val="none"/>
        </w:tcBorders>
      </w:tcPr>
    </w:tblStylePr>
    <w:tblStylePr w:type="lastRow">
      <w:rPr>
        <w:rFonts w:ascii="Arial" w:hAnsi="Arial"/>
        <w:i/>
        <w:color w:themeColor="accent2" w:themeShade="95" w:themeTint="97" w:val="c65215"/>
        <w:sz w:val="22"/>
      </w:rPr>
      <w:pPr>
        <w:pBdr/>
        <w:spacing/>
        <w:ind/>
      </w:pPr>
      <w:tblPr>
        <w:tblBorders/>
      </w:tblPr>
      <w:tcPr>
        <w:shd w:color="ffffff" w:fill="ffffff" w:themeColor="light1" w:themeFill="light1"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2" w:themeShade="95" w:themeTint="97" w:val="c65215"/>
        <w:sz w:val="22"/>
      </w:rPr>
      <w:pPr>
        <w:pBdr/>
        <w:spacing/>
        <w:ind/>
      </w:pPr>
      <w:tblPr>
        <w:tblBorders/>
      </w:tblPr>
      <w:tcPr>
        <w:tcBorders/>
      </w:tcPr>
    </w:tblStylePr>
  </w:style>
  <w:style w:styleId="834" w:type="table">
    <w:name w:val="List Table 7 Colorful - Accent 3"/>
    <w:basedOn w:val="914"/>
    <w:uiPriority w:val="99"/>
    <w:pPr>
      <w:pBdr/>
      <w:spacing w:after="0" w:line="240" w:lineRule="auto"/>
      <w:ind/>
    </w:pPr>
    <w:tblPr>
      <w:tblStyleRowBandSize w:val="1"/>
      <w:tblStyleColBandSize w:val="1"/>
      <w:tblInd w:type="dxa" w:w="0"/>
      <w:tblBorders>
        <w:right w:color="000000" w:space="0" w:sz="4" w:themeColor="accent3" w:themeTint="98" w:val="single"/>
      </w:tblBorders>
    </w:tblPr>
    <w:tcPr>
      <w:tcBorders/>
    </w:tcPr>
    <w:tblStylePr w:type="band1Horz">
      <w:rPr>
        <w:rFonts w:ascii="Arial" w:hAnsi="Arial"/>
        <w:color w:themeColor="accent3" w:themeShade="95" w:themeTint="98" w:val="20872d"/>
        <w:sz w:val="22"/>
      </w:rPr>
      <w:pPr>
        <w:pBdr/>
        <w:spacing/>
        <w:ind/>
      </w:pPr>
      <w:tblPr>
        <w:tblBorders/>
      </w:tblPr>
      <w:tcPr>
        <w:shd w:color="ffffff" w:fill="b2edba" w:themeColor="accent3" w:themeFill="accent3" w:themeFillTint="40" w:themeTint="40" w:val="clear"/>
        <w:tcBorders/>
      </w:tcPr>
    </w:tblStylePr>
    <w:tblStylePr w:type="band1Vert">
      <w:pPr>
        <w:pBdr/>
        <w:spacing/>
        <w:ind/>
      </w:pPr>
      <w:tblPr>
        <w:tblBorders/>
      </w:tblPr>
      <w:tcPr>
        <w:shd w:color="ffffff" w:fill="b2edba" w:themeColor="accent3" w:themeFill="accent3" w:themeFillTint="40" w:themeTint="40" w:val="clear"/>
        <w:tcBorders/>
      </w:tcPr>
    </w:tblStylePr>
    <w:tblStylePr w:type="band2Horz">
      <w:rPr>
        <w:rFonts w:ascii="Arial" w:hAnsi="Arial"/>
        <w:color w:themeColor="accent3" w:themeShade="95" w:themeTint="98" w:val="20872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3" w:themeShade="95" w:themeTint="98" w:val="20872d"/>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3" w:themeTint="98" w:val="single"/>
        </w:tcBorders>
      </w:tcPr>
    </w:tblStylePr>
    <w:tblStylePr w:type="firstRow">
      <w:rPr>
        <w:rFonts w:ascii="Arial" w:hAnsi="Arial"/>
        <w:i/>
        <w:color w:themeColor="accent3" w:themeShade="95" w:themeTint="98" w:val="20872d"/>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3" w:themeTint="98" w:val="single"/>
          <w:right w:color="000000" w:space="0" w:sz="4" w:val="none"/>
        </w:tcBorders>
      </w:tcPr>
    </w:tblStylePr>
    <w:tblStylePr w:type="lastCol">
      <w:rPr>
        <w:rFonts w:ascii="Arial" w:hAnsi="Arial"/>
        <w:i/>
        <w:color w:themeColor="accent3" w:themeShade="95" w:themeTint="98" w:val="20872d"/>
        <w:sz w:val="22"/>
      </w:rPr>
      <w:pPr>
        <w:pBdr/>
        <w:spacing/>
        <w:ind/>
      </w:pPr>
      <w:tblPr>
        <w:tblBorders/>
      </w:tblPr>
      <w:tcPr>
        <w:shd w:color="ffffff" w:val="clear"/>
        <w:tcBorders>
          <w:top w:color="000000" w:space="0" w:sz="4" w:val="none"/>
          <w:left w:color="000000" w:space="0" w:sz="4" w:themeColor="accent3" w:themeTint="98" w:val="single"/>
          <w:bottom w:color="000000" w:space="0" w:sz="4" w:val="none"/>
          <w:right w:color="000000" w:space="0" w:sz="4" w:val="none"/>
        </w:tcBorders>
      </w:tcPr>
    </w:tblStylePr>
    <w:tblStylePr w:type="lastRow">
      <w:rPr>
        <w:rFonts w:ascii="Arial" w:hAnsi="Arial"/>
        <w:i/>
        <w:color w:themeColor="accent3" w:themeShade="95" w:themeTint="98" w:val="20872d"/>
        <w:sz w:val="22"/>
      </w:rPr>
      <w:pPr>
        <w:pBdr/>
        <w:spacing/>
        <w:ind/>
      </w:pPr>
      <w:tblPr>
        <w:tblBorders/>
      </w:tblPr>
      <w:tcPr>
        <w:shd w:color="ffffff" w:fill="ffffff" w:themeColor="light1" w:themeFill="light1" w:val="clear"/>
        <w:tcBorders>
          <w:top w:color="000000" w:space="0" w:sz="4" w:themeColor="accent3" w:themeTint="98"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3" w:themeShade="95" w:themeTint="98" w:val="20872d"/>
        <w:sz w:val="22"/>
      </w:rPr>
      <w:pPr>
        <w:pBdr/>
        <w:spacing/>
        <w:ind/>
      </w:pPr>
      <w:tblPr>
        <w:tblBorders/>
      </w:tblPr>
      <w:tcPr>
        <w:tcBorders/>
      </w:tcPr>
    </w:tblStylePr>
  </w:style>
  <w:style w:styleId="835" w:type="table">
    <w:name w:val="List Table 7 Colorful - Accent 4"/>
    <w:basedOn w:val="914"/>
    <w:uiPriority w:val="99"/>
    <w:pPr>
      <w:pBdr/>
      <w:spacing w:after="0" w:line="240" w:lineRule="auto"/>
      <w:ind/>
    </w:pPr>
    <w:tblPr>
      <w:tblStyleRowBandSize w:val="1"/>
      <w:tblStyleColBandSize w:val="1"/>
      <w:tblInd w:type="dxa" w:w="0"/>
      <w:tblBorders>
        <w:right w:color="000000" w:space="0" w:sz="4" w:themeColor="accent4" w:themeTint="9A" w:val="single"/>
      </w:tblBorders>
    </w:tblPr>
    <w:tcPr>
      <w:tcBorders/>
    </w:tcPr>
    <w:tblStylePr w:type="band1Horz">
      <w:rPr>
        <w:rFonts w:ascii="Arial" w:hAnsi="Arial"/>
        <w:color w:themeColor="accent4" w:themeShade="95" w:themeTint="9A" w:val="0d8ab9"/>
        <w:sz w:val="22"/>
      </w:rPr>
      <w:pPr>
        <w:pBdr/>
        <w:spacing/>
        <w:ind/>
      </w:pPr>
      <w:tblPr>
        <w:tblBorders/>
      </w:tblPr>
      <w:tcPr>
        <w:shd w:color="ffffff" w:fill="bde9fa" w:themeColor="accent4" w:themeFill="accent4" w:themeFillTint="40" w:themeTint="40" w:val="clear"/>
        <w:tcBorders/>
      </w:tcPr>
    </w:tblStylePr>
    <w:tblStylePr w:type="band1Vert">
      <w:pPr>
        <w:pBdr/>
        <w:spacing/>
        <w:ind/>
      </w:pPr>
      <w:tblPr>
        <w:tblBorders/>
      </w:tblPr>
      <w:tcPr>
        <w:shd w:color="ffffff" w:fill="bde9fa" w:themeColor="accent4" w:themeFill="accent4" w:themeFillTint="40" w:themeTint="40" w:val="clear"/>
        <w:tcBorders/>
      </w:tcPr>
    </w:tblStylePr>
    <w:tblStylePr w:type="band2Horz">
      <w:rPr>
        <w:rFonts w:ascii="Arial" w:hAnsi="Arial"/>
        <w:color w:themeColor="accent4" w:themeShade="95" w:themeTint="9A" w:val="0d8ab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4" w:themeShade="95" w:themeTint="9A" w:val="0d8ab9"/>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4" w:themeTint="9A" w:val="single"/>
        </w:tcBorders>
      </w:tcPr>
    </w:tblStylePr>
    <w:tblStylePr w:type="firstRow">
      <w:rPr>
        <w:rFonts w:ascii="Arial" w:hAnsi="Arial"/>
        <w:i/>
        <w:color w:themeColor="accent4" w:themeShade="95" w:themeTint="9A" w:val="0d8ab9"/>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4" w:themeTint="9A" w:val="single"/>
          <w:right w:color="000000" w:space="0" w:sz="4" w:val="none"/>
        </w:tcBorders>
      </w:tcPr>
    </w:tblStylePr>
    <w:tblStylePr w:type="lastCol">
      <w:rPr>
        <w:rFonts w:ascii="Arial" w:hAnsi="Arial"/>
        <w:i/>
        <w:color w:themeColor="accent4" w:themeShade="95" w:themeTint="9A" w:val="0d8ab9"/>
        <w:sz w:val="22"/>
      </w:rPr>
      <w:pPr>
        <w:pBdr/>
        <w:spacing/>
        <w:ind/>
      </w:pPr>
      <w:tblPr>
        <w:tblBorders/>
      </w:tblPr>
      <w:tcPr>
        <w:shd w:color="ffffff" w:val="clear"/>
        <w:tcBorders>
          <w:top w:color="000000" w:space="0" w:sz="4" w:val="none"/>
          <w:left w:color="000000" w:space="0" w:sz="4" w:themeColor="accent4" w:themeTint="9A" w:val="single"/>
          <w:bottom w:color="000000" w:space="0" w:sz="4" w:val="none"/>
          <w:right w:color="000000" w:space="0" w:sz="4" w:val="none"/>
        </w:tcBorders>
      </w:tcPr>
    </w:tblStylePr>
    <w:tblStylePr w:type="lastRow">
      <w:rPr>
        <w:rFonts w:ascii="Arial" w:hAnsi="Arial"/>
        <w:i/>
        <w:color w:themeColor="accent4" w:themeShade="95" w:themeTint="9A" w:val="0d8ab9"/>
        <w:sz w:val="22"/>
      </w:rPr>
      <w:pPr>
        <w:pBdr/>
        <w:spacing/>
        <w:ind/>
      </w:pPr>
      <w:tblPr>
        <w:tblBorders/>
      </w:tblPr>
      <w:tcPr>
        <w:shd w:color="ffffff" w:fill="ffffff" w:themeColor="light1" w:themeFill="light1"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4" w:themeShade="95" w:themeTint="9A" w:val="0d8ab9"/>
        <w:sz w:val="22"/>
      </w:rPr>
      <w:pPr>
        <w:pBdr/>
        <w:spacing/>
        <w:ind/>
      </w:pPr>
      <w:tblPr>
        <w:tblBorders/>
      </w:tblPr>
      <w:tcPr>
        <w:tcBorders/>
      </w:tcPr>
    </w:tblStylePr>
  </w:style>
  <w:style w:styleId="836" w:type="table">
    <w:name w:val="List Table 7 Colorful - Accent 5"/>
    <w:basedOn w:val="914"/>
    <w:uiPriority w:val="99"/>
    <w:pPr>
      <w:pBdr/>
      <w:spacing w:after="0" w:line="240" w:lineRule="auto"/>
      <w:ind/>
    </w:pPr>
    <w:tblPr>
      <w:tblStyleRowBandSize w:val="1"/>
      <w:tblStyleColBandSize w:val="1"/>
      <w:tblInd w:type="dxa" w:w="0"/>
      <w:tblBorders>
        <w:right w:color="000000" w:space="0" w:sz="4" w:themeColor="accent5" w:themeTint="9A" w:val="single"/>
      </w:tblBorders>
    </w:tblPr>
    <w:tcPr>
      <w:tcBorders/>
    </w:tcPr>
    <w:tblStylePr w:type="band1Horz">
      <w:rPr>
        <w:rFonts w:ascii="Arial" w:hAnsi="Arial"/>
        <w:color w:themeColor="accent5" w:themeShade="95" w:themeTint="9A" w:val="952889"/>
        <w:sz w:val="22"/>
      </w:rPr>
      <w:pPr>
        <w:pBdr/>
        <w:spacing/>
        <w:ind/>
      </w:pPr>
      <w:tblPr>
        <w:tblBorders/>
      </w:tblPr>
      <w:tcPr>
        <w:shd w:color="ffffff" w:fill="efc2ea" w:themeColor="accent5" w:themeFill="accent5" w:themeFillTint="40" w:themeTint="40" w:val="clear"/>
        <w:tcBorders/>
      </w:tcPr>
    </w:tblStylePr>
    <w:tblStylePr w:type="band1Vert">
      <w:pPr>
        <w:pBdr/>
        <w:spacing/>
        <w:ind/>
      </w:pPr>
      <w:tblPr>
        <w:tblBorders/>
      </w:tblPr>
      <w:tcPr>
        <w:shd w:color="ffffff" w:fill="efc2ea" w:themeColor="accent5" w:themeFill="accent5" w:themeFillTint="40" w:themeTint="40" w:val="clear"/>
        <w:tcBorders/>
      </w:tcPr>
    </w:tblStylePr>
    <w:tblStylePr w:type="band2Horz">
      <w:rPr>
        <w:rFonts w:ascii="Arial" w:hAnsi="Arial"/>
        <w:color w:themeColor="accent5" w:themeShade="95" w:themeTint="9A" w:val="95288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5" w:themeShade="95" w:themeTint="9A" w:val="952889"/>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5" w:themeTint="9A" w:val="single"/>
        </w:tcBorders>
      </w:tcPr>
    </w:tblStylePr>
    <w:tblStylePr w:type="firstRow">
      <w:rPr>
        <w:rFonts w:ascii="Arial" w:hAnsi="Arial"/>
        <w:i/>
        <w:color w:themeColor="accent5" w:themeShade="95" w:themeTint="9A" w:val="952889"/>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5" w:themeTint="9A" w:val="single"/>
          <w:right w:color="000000" w:space="0" w:sz="4" w:val="none"/>
        </w:tcBorders>
      </w:tcPr>
    </w:tblStylePr>
    <w:tblStylePr w:type="lastCol">
      <w:rPr>
        <w:rFonts w:ascii="Arial" w:hAnsi="Arial"/>
        <w:i/>
        <w:color w:themeColor="accent5" w:themeShade="95" w:themeTint="9A" w:val="952889"/>
        <w:sz w:val="22"/>
      </w:rPr>
      <w:pPr>
        <w:pBdr/>
        <w:spacing/>
        <w:ind/>
      </w:pPr>
      <w:tblPr>
        <w:tblBorders/>
      </w:tblPr>
      <w:tcPr>
        <w:shd w:color="ffffff" w:val="clear"/>
        <w:tcBorders>
          <w:top w:color="000000" w:space="0" w:sz="4" w:val="none"/>
          <w:left w:color="000000" w:space="0" w:sz="4" w:themeColor="accent5" w:themeTint="9A" w:val="single"/>
          <w:bottom w:color="000000" w:space="0" w:sz="4" w:val="none"/>
          <w:right w:color="000000" w:space="0" w:sz="4" w:val="none"/>
        </w:tcBorders>
      </w:tcPr>
    </w:tblStylePr>
    <w:tblStylePr w:type="lastRow">
      <w:rPr>
        <w:rFonts w:ascii="Arial" w:hAnsi="Arial"/>
        <w:i/>
        <w:color w:themeColor="accent5" w:themeShade="95" w:themeTint="9A" w:val="952889"/>
        <w:sz w:val="22"/>
      </w:rPr>
      <w:pPr>
        <w:pBdr/>
        <w:spacing/>
        <w:ind/>
      </w:pPr>
      <w:tblPr>
        <w:tblBorders/>
      </w:tblPr>
      <w:tcPr>
        <w:shd w:color="ffffff" w:fill="ffffff" w:themeColor="light1" w:themeFill="light1" w:val="clear"/>
        <w:tcBorders>
          <w:top w:color="000000" w:space="0" w:sz="4" w:themeColor="accent5"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themeTint="9A" w:val="952889"/>
        <w:sz w:val="22"/>
      </w:rPr>
      <w:pPr>
        <w:pBdr/>
        <w:spacing/>
        <w:ind/>
      </w:pPr>
      <w:tblPr>
        <w:tblBorders/>
      </w:tblPr>
      <w:tcPr>
        <w:tcBorders/>
      </w:tcPr>
    </w:tblStylePr>
  </w:style>
  <w:style w:styleId="837" w:type="table">
    <w:name w:val="List Table 7 Colorful - Accent 6"/>
    <w:basedOn w:val="914"/>
    <w:uiPriority w:val="99"/>
    <w:pPr>
      <w:pBdr/>
      <w:spacing w:after="0" w:line="240" w:lineRule="auto"/>
      <w:ind/>
    </w:pPr>
    <w:tblPr>
      <w:tblStyleRowBandSize w:val="1"/>
      <w:tblStyleColBandSize w:val="1"/>
      <w:tblInd w:type="dxa" w:w="0"/>
      <w:tblBorders>
        <w:right w:color="000000" w:space="0" w:sz="4" w:themeColor="accent6" w:themeTint="98" w:val="single"/>
      </w:tblBorders>
    </w:tblPr>
    <w:tcPr>
      <w:tcBorders/>
    </w:tcPr>
    <w:tblStylePr w:type="band1Horz">
      <w:rPr>
        <w:rFonts w:ascii="Arial" w:hAnsi="Arial"/>
        <w:color w:themeColor="accent6" w:themeShade="95" w:themeTint="98" w:val="47992a"/>
        <w:sz w:val="22"/>
      </w:rPr>
      <w:pPr>
        <w:pBdr/>
        <w:spacing/>
        <w:ind/>
      </w:pPr>
      <w:tblPr>
        <w:tblBorders/>
      </w:tblPr>
      <w:tcPr>
        <w:shd w:color="ffffff" w:fill="d0efc5" w:themeColor="accent6" w:themeFill="accent6" w:themeFillTint="40" w:themeTint="40" w:val="clear"/>
        <w:tcBorders/>
      </w:tcPr>
    </w:tblStylePr>
    <w:tblStylePr w:type="band1Vert">
      <w:pPr>
        <w:pBdr/>
        <w:spacing/>
        <w:ind/>
      </w:pPr>
      <w:tblPr>
        <w:tblBorders/>
      </w:tblPr>
      <w:tcPr>
        <w:shd w:color="ffffff" w:fill="d0efc5" w:themeColor="accent6" w:themeFill="accent6" w:themeFillTint="40" w:themeTint="40" w:val="clear"/>
        <w:tcBorders/>
      </w:tcPr>
    </w:tblStylePr>
    <w:tblStylePr w:type="band2Horz">
      <w:rPr>
        <w:rFonts w:ascii="Arial" w:hAnsi="Arial"/>
        <w:color w:themeColor="accent6" w:themeShade="95" w:themeTint="98" w:val="47992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6" w:themeShade="95" w:themeTint="98" w:val="47992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6" w:themeTint="98" w:val="single"/>
        </w:tcBorders>
      </w:tcPr>
    </w:tblStylePr>
    <w:tblStylePr w:type="firstRow">
      <w:rPr>
        <w:rFonts w:ascii="Arial" w:hAnsi="Arial"/>
        <w:i/>
        <w:color w:themeColor="accent6" w:themeShade="95" w:themeTint="98" w:val="47992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6" w:themeTint="98" w:val="single"/>
          <w:right w:color="000000" w:space="0" w:sz="4" w:val="none"/>
        </w:tcBorders>
      </w:tcPr>
    </w:tblStylePr>
    <w:tblStylePr w:type="lastCol">
      <w:rPr>
        <w:rFonts w:ascii="Arial" w:hAnsi="Arial"/>
        <w:i/>
        <w:color w:themeColor="accent6" w:themeShade="95" w:themeTint="98" w:val="47992a"/>
        <w:sz w:val="22"/>
      </w:rPr>
      <w:pPr>
        <w:pBdr/>
        <w:spacing/>
        <w:ind/>
      </w:pPr>
      <w:tblPr>
        <w:tblBorders/>
      </w:tblPr>
      <w:tcPr>
        <w:shd w:color="ffffff" w:val="clear"/>
        <w:tcBorders>
          <w:top w:color="000000" w:space="0" w:sz="4" w:val="none"/>
          <w:left w:color="000000" w:space="0" w:sz="4" w:themeColor="accent6" w:themeTint="98" w:val="single"/>
          <w:bottom w:color="000000" w:space="0" w:sz="4" w:val="none"/>
          <w:right w:color="000000" w:space="0" w:sz="4" w:val="none"/>
        </w:tcBorders>
      </w:tcPr>
    </w:tblStylePr>
    <w:tblStylePr w:type="lastRow">
      <w:rPr>
        <w:rFonts w:ascii="Arial" w:hAnsi="Arial"/>
        <w:i/>
        <w:color w:themeColor="accent6" w:themeShade="95" w:themeTint="98" w:val="47992a"/>
        <w:sz w:val="22"/>
      </w:rPr>
      <w:pPr>
        <w:pBdr/>
        <w:spacing/>
        <w:ind/>
      </w:pPr>
      <w:tblPr>
        <w:tblBorders/>
      </w:tblPr>
      <w:tcPr>
        <w:shd w:color="ffffff" w:fill="ffffff" w:themeColor="light1" w:themeFill="light1" w:val="clear"/>
        <w:tcBorders>
          <w:top w:color="000000" w:space="0" w:sz="4" w:themeColor="accent6" w:themeTint="98"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6" w:themeShade="95" w:themeTint="98" w:val="47992a"/>
        <w:sz w:val="22"/>
      </w:rPr>
      <w:pPr>
        <w:pBdr/>
        <w:spacing/>
        <w:ind/>
      </w:pPr>
      <w:tblPr>
        <w:tblBorders/>
      </w:tblPr>
      <w:tcPr>
        <w:tcBorders/>
      </w:tcPr>
    </w:tblStylePr>
  </w:style>
  <w:style w:styleId="838" w:type="table">
    <w:name w:val="Lined - Accent"/>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fir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fir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9" w:type="table">
    <w:name w:val="Lined - Accent 1"/>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band2Vert">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fir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fir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0" w:type="table">
    <w:name w:val="Lined - Accent 2"/>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fir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fir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1" w:type="table">
    <w:name w:val="Lined - Accent 3"/>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fir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fir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2" w:type="table">
    <w:name w:val="Lined - Accent 4"/>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fir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fir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3" w:type="table">
    <w:name w:val="Lined - Accent 5"/>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firstCol">
      <w:rPr>
        <w:rFonts w:ascii="Arial" w:hAnsi="Arial"/>
        <w:color w:val="f2f2f2"/>
        <w:sz w:val="22"/>
      </w:rPr>
      <w:pPr>
        <w:pBdr/>
        <w:spacing/>
        <w:ind/>
      </w:pPr>
      <w:tblPr>
        <w:tblBorders/>
      </w:tblPr>
      <w:tcPr>
        <w:shd w:color="ffffff" w:fill="a02b93" w:themeColor="accent5" w:themeFill="accent5" w:val="clear"/>
        <w:tcBorders/>
      </w:tcPr>
    </w:tblStylePr>
    <w:tblStylePr w:type="firstRow">
      <w:rPr>
        <w:rFonts w:ascii="Arial" w:hAnsi="Arial"/>
        <w:color w:val="f2f2f2"/>
        <w:sz w:val="22"/>
      </w:rPr>
      <w:pPr>
        <w:pBdr/>
        <w:spacing/>
        <w:ind/>
      </w:pPr>
      <w:tblPr>
        <w:tblBorders/>
      </w:tblPr>
      <w:tcPr>
        <w:shd w:color="ffffff" w:fill="a02b93" w:themeColor="accent5" w:themeFill="accent5" w:val="clear"/>
        <w:tcBorders/>
      </w:tcPr>
    </w:tblStylePr>
    <w:tblStylePr w:type="lastCol">
      <w:rPr>
        <w:rFonts w:ascii="Arial" w:hAnsi="Arial"/>
        <w:color w:val="f2f2f2"/>
        <w:sz w:val="22"/>
      </w:rPr>
      <w:pPr>
        <w:pBdr/>
        <w:spacing/>
        <w:ind/>
      </w:pPr>
      <w:tblPr>
        <w:tblBorders/>
      </w:tblPr>
      <w:tcPr>
        <w:shd w:color="ffffff" w:fill="a02b93" w:themeColor="accent5" w:themeFill="accent5" w:val="clear"/>
        <w:tcBorders/>
      </w:tcPr>
    </w:tblStylePr>
    <w:tblStylePr w:type="lastRow">
      <w:rPr>
        <w:rFonts w:ascii="Arial" w:hAnsi="Arial"/>
        <w:color w:val="f2f2f2"/>
        <w:sz w:val="22"/>
      </w:rPr>
      <w:pPr>
        <w:pBdr/>
        <w:spacing/>
        <w:ind/>
      </w:pPr>
      <w:tblPr>
        <w:tblBorders/>
      </w:tblPr>
      <w:tcPr>
        <w:shd w:color="ffffff" w:fill="a02b93" w:themeColor="accent5" w:themeFill="accent5"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4" w:type="table">
    <w:name w:val="Lined - Accent 6"/>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firstCol">
      <w:rPr>
        <w:rFonts w:ascii="Arial" w:hAnsi="Arial"/>
        <w:color w:val="f2f2f2"/>
        <w:sz w:val="22"/>
      </w:rPr>
      <w:pPr>
        <w:pBdr/>
        <w:spacing/>
        <w:ind/>
      </w:pPr>
      <w:tblPr>
        <w:tblBorders/>
      </w:tblPr>
      <w:tcPr>
        <w:shd w:color="ffffff" w:fill="4ea72e" w:themeColor="accent6" w:themeFill="accent6" w:val="clear"/>
        <w:tcBorders/>
      </w:tcPr>
    </w:tblStylePr>
    <w:tblStylePr w:type="firstRow">
      <w:rPr>
        <w:rFonts w:ascii="Arial" w:hAnsi="Arial"/>
        <w:color w:val="f2f2f2"/>
        <w:sz w:val="22"/>
      </w:rPr>
      <w:pPr>
        <w:pBdr/>
        <w:spacing/>
        <w:ind/>
      </w:pPr>
      <w:tblPr>
        <w:tblBorders/>
      </w:tblPr>
      <w:tcPr>
        <w:shd w:color="ffffff" w:fill="4ea72e" w:themeColor="accent6" w:themeFill="accent6" w:val="clear"/>
        <w:tcBorders/>
      </w:tcPr>
    </w:tblStylePr>
    <w:tblStylePr w:type="lastCol">
      <w:rPr>
        <w:rFonts w:ascii="Arial" w:hAnsi="Arial"/>
        <w:color w:val="f2f2f2"/>
        <w:sz w:val="22"/>
      </w:rPr>
      <w:pPr>
        <w:pBdr/>
        <w:spacing/>
        <w:ind/>
      </w:pPr>
      <w:tblPr>
        <w:tblBorders/>
      </w:tblPr>
      <w:tcPr>
        <w:shd w:color="ffffff" w:fill="4ea72e" w:themeColor="accent6" w:themeFill="accent6" w:val="clear"/>
        <w:tcBorders/>
      </w:tcPr>
    </w:tblStylePr>
    <w:tblStylePr w:type="lastRow">
      <w:rPr>
        <w:rFonts w:ascii="Arial" w:hAnsi="Arial"/>
        <w:color w:val="f2f2f2"/>
        <w:sz w:val="22"/>
      </w:rPr>
      <w:pPr>
        <w:pBdr/>
        <w:spacing/>
        <w:ind/>
      </w:pPr>
      <w:tblPr>
        <w:tblBorders/>
      </w:tblPr>
      <w:tcPr>
        <w:shd w:color="ffffff" w:fill="4ea72e" w:themeColor="accent6" w:themeFill="accent6"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5" w:type="table">
    <w:name w:val="Bordered &amp; Lined - Accent"/>
    <w:basedOn w:val="914"/>
    <w:uiPriority w:val="99"/>
    <w:pPr>
      <w:pBdr/>
      <w:spacing w:after="0" w:line="240" w:lineRule="auto"/>
      <w:ind/>
    </w:pPr>
    <w:rPr>
      <w:color w:val="404040"/>
    </w:rPr>
    <w:tblPr>
      <w:tblStyleRowBandSize w:val="1"/>
      <w:tblStyleColBandSize w:val="1"/>
      <w:tblInd w:type="dxa" w:w="0"/>
      <w:tblBorders>
        <w:top w:color="000000" w:space="0" w:sz="4" w:themeColor="text1" w:themeTint="A6" w:val="single"/>
        <w:left w:color="000000" w:space="0" w:sz="4" w:themeColor="text1" w:themeTint="A6" w:val="single"/>
        <w:bottom w:color="000000" w:space="0" w:sz="4" w:themeColor="text1" w:themeTint="A6" w:val="single"/>
        <w:right w:color="000000" w:space="0" w:sz="4" w:themeColor="text1" w:themeTint="A6" w:val="single"/>
        <w:insideH w:color="000000" w:space="0" w:sz="4" w:themeColor="text1" w:themeTint="A6" w:val="single"/>
        <w:insideV w:color="000000" w:space="0" w:sz="4" w:themeColor="text1" w:themeTint="A6"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fir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fir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6" w:type="table">
    <w:name w:val="Bordered &amp; Lined - Accent 1"/>
    <w:basedOn w:val="914"/>
    <w:uiPriority w:val="99"/>
    <w:pPr>
      <w:pBdr/>
      <w:spacing w:after="0" w:line="240" w:lineRule="auto"/>
      <w:ind/>
    </w:pPr>
    <w:rPr>
      <w:color w:val="404040"/>
    </w:rPr>
    <w:tblPr>
      <w:tblStyleRowBandSize w:val="1"/>
      <w:tblStyleColBandSize w:val="1"/>
      <w:tblInd w:type="dxa" w:w="0"/>
      <w:tblBorders>
        <w:top w:color="000000" w:space="0" w:sz="4" w:themeColor="accent1" w:themeShade="95" w:val="single"/>
        <w:left w:color="000000" w:space="0" w:sz="4" w:themeColor="accent1" w:themeShade="95" w:val="single"/>
        <w:bottom w:color="000000" w:space="0" w:sz="4" w:themeColor="accent1" w:themeShade="95" w:val="single"/>
        <w:right w:color="000000" w:space="0" w:sz="4" w:themeColor="accent1" w:themeShade="95" w:val="single"/>
        <w:insideH w:color="000000" w:space="0" w:sz="4" w:themeColor="accent1" w:themeShade="95" w:val="single"/>
        <w:insideV w:color="000000" w:space="0" w:sz="4" w:themeColor="accent1"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band2Vert">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fir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fir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7" w:type="table">
    <w:name w:val="Bordered &amp; Lined - Accent 2"/>
    <w:basedOn w:val="914"/>
    <w:uiPriority w:val="99"/>
    <w:pPr>
      <w:pBdr/>
      <w:spacing w:after="0" w:line="240" w:lineRule="auto"/>
      <w:ind/>
    </w:pPr>
    <w:rPr>
      <w:color w:val="404040"/>
    </w:rPr>
    <w:tblPr>
      <w:tblStyleRowBandSize w:val="1"/>
      <w:tblStyleColBandSize w:val="1"/>
      <w:tblInd w:type="dxa" w:w="0"/>
      <w:tblBorders>
        <w:top w:color="000000" w:space="0" w:sz="4" w:themeColor="accent2" w:themeShade="95" w:val="single"/>
        <w:left w:color="000000" w:space="0" w:sz="4" w:themeColor="accent2" w:themeShade="95" w:val="single"/>
        <w:bottom w:color="000000" w:space="0" w:sz="4" w:themeColor="accent2" w:themeShade="95" w:val="single"/>
        <w:right w:color="000000" w:space="0" w:sz="4" w:themeColor="accent2" w:themeShade="95" w:val="single"/>
        <w:insideH w:color="000000" w:space="0" w:sz="4" w:themeColor="accent2" w:themeShade="95" w:val="single"/>
        <w:insideV w:color="000000" w:space="0" w:sz="4" w:themeColor="accent2"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fir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fir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8" w:type="table">
    <w:name w:val="Bordered &amp; Lined - Accent 3"/>
    <w:basedOn w:val="914"/>
    <w:uiPriority w:val="99"/>
    <w:pPr>
      <w:pBdr/>
      <w:spacing w:after="0" w:line="240" w:lineRule="auto"/>
      <w:ind/>
    </w:pPr>
    <w:rPr>
      <w:color w:val="404040"/>
    </w:rPr>
    <w:tblPr>
      <w:tblStyleRowBandSize w:val="1"/>
      <w:tblStyleColBandSize w:val="1"/>
      <w:tblInd w:type="dxa" w:w="0"/>
      <w:tblBorders>
        <w:top w:color="000000" w:space="0" w:sz="4" w:themeColor="accent3" w:themeShade="95" w:val="single"/>
        <w:left w:color="000000" w:space="0" w:sz="4" w:themeColor="accent3" w:themeShade="95" w:val="single"/>
        <w:bottom w:color="000000" w:space="0" w:sz="4" w:themeColor="accent3" w:themeShade="95" w:val="single"/>
        <w:right w:color="000000" w:space="0" w:sz="4" w:themeColor="accent3" w:themeShade="95" w:val="single"/>
        <w:insideH w:color="000000" w:space="0" w:sz="4" w:themeColor="accent3" w:themeShade="95" w:val="single"/>
        <w:insideV w:color="000000" w:space="0" w:sz="4" w:themeColor="accent3"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fir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fir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9" w:type="table">
    <w:name w:val="Bordered &amp; Lined - Accent 4"/>
    <w:basedOn w:val="914"/>
    <w:uiPriority w:val="99"/>
    <w:pPr>
      <w:pBdr/>
      <w:spacing w:after="0" w:line="240" w:lineRule="auto"/>
      <w:ind/>
    </w:pPr>
    <w:rPr>
      <w:color w:val="404040"/>
    </w:rPr>
    <w:tblPr>
      <w:tblStyleRowBandSize w:val="1"/>
      <w:tblStyleColBandSize w:val="1"/>
      <w:tblInd w:type="dxa" w:w="0"/>
      <w:tblBorders>
        <w:top w:color="000000" w:space="0" w:sz="4" w:themeColor="accent4" w:themeShade="95" w:val="single"/>
        <w:left w:color="000000" w:space="0" w:sz="4" w:themeColor="accent4" w:themeShade="95" w:val="single"/>
        <w:bottom w:color="000000" w:space="0" w:sz="4" w:themeColor="accent4" w:themeShade="95" w:val="single"/>
        <w:right w:color="000000" w:space="0" w:sz="4" w:themeColor="accent4" w:themeShade="95" w:val="single"/>
        <w:insideH w:color="000000" w:space="0" w:sz="4" w:themeColor="accent4" w:themeShade="95" w:val="single"/>
        <w:insideV w:color="000000" w:space="0" w:sz="4" w:themeColor="accent4"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fir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fir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0" w:type="table">
    <w:name w:val="Bordered &amp; Lined - Accent 5"/>
    <w:basedOn w:val="914"/>
    <w:uiPriority w:val="99"/>
    <w:pPr>
      <w:pBdr/>
      <w:spacing w:after="0" w:line="240" w:lineRule="auto"/>
      <w:ind/>
    </w:pPr>
    <w:rPr>
      <w:color w:val="404040"/>
    </w:rPr>
    <w:tblPr>
      <w:tblStyleRowBandSize w:val="1"/>
      <w:tblStyleColBandSize w:val="1"/>
      <w:tblInd w:type="dxa" w:w="0"/>
      <w:tblBorders>
        <w:top w:color="000000" w:space="0" w:sz="4" w:themeColor="accent5" w:themeShade="95" w:val="single"/>
        <w:left w:color="000000" w:space="0" w:sz="4" w:themeColor="accent5" w:themeShade="95" w:val="single"/>
        <w:bottom w:color="000000" w:space="0" w:sz="4" w:themeColor="accent5" w:themeShade="95" w:val="single"/>
        <w:right w:color="000000" w:space="0" w:sz="4" w:themeColor="accent5" w:themeShade="95" w:val="single"/>
        <w:insideH w:color="000000" w:space="0" w:sz="4" w:themeColor="accent5" w:themeShade="95" w:val="single"/>
        <w:insideV w:color="000000" w:space="0" w:sz="4" w:themeColor="accent5"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firstCol">
      <w:rPr>
        <w:rFonts w:ascii="Arial" w:hAnsi="Arial"/>
        <w:color w:val="f2f2f2"/>
        <w:sz w:val="22"/>
      </w:rPr>
      <w:pPr>
        <w:pBdr/>
        <w:spacing/>
        <w:ind/>
      </w:pPr>
      <w:tblPr>
        <w:tblBorders/>
      </w:tblPr>
      <w:tcPr>
        <w:shd w:color="ffffff" w:fill="a02b93" w:themeColor="accent5" w:themeFill="accent5" w:val="clear"/>
        <w:tcBorders/>
      </w:tcPr>
    </w:tblStylePr>
    <w:tblStylePr w:type="firstRow">
      <w:rPr>
        <w:rFonts w:ascii="Arial" w:hAnsi="Arial"/>
        <w:color w:val="f2f2f2"/>
        <w:sz w:val="22"/>
      </w:rPr>
      <w:pPr>
        <w:pBdr/>
        <w:spacing/>
        <w:ind/>
      </w:pPr>
      <w:tblPr>
        <w:tblBorders/>
      </w:tblPr>
      <w:tcPr>
        <w:shd w:color="ffffff" w:fill="a02b93" w:themeColor="accent5" w:themeFill="accent5" w:val="clear"/>
        <w:tcBorders/>
      </w:tcPr>
    </w:tblStylePr>
    <w:tblStylePr w:type="lastCol">
      <w:rPr>
        <w:rFonts w:ascii="Arial" w:hAnsi="Arial"/>
        <w:color w:val="f2f2f2"/>
        <w:sz w:val="22"/>
      </w:rPr>
      <w:pPr>
        <w:pBdr/>
        <w:spacing/>
        <w:ind/>
      </w:pPr>
      <w:tblPr>
        <w:tblBorders/>
      </w:tblPr>
      <w:tcPr>
        <w:shd w:color="ffffff" w:fill="a02b93" w:themeColor="accent5" w:themeFill="accent5" w:val="clear"/>
        <w:tcBorders/>
      </w:tcPr>
    </w:tblStylePr>
    <w:tblStylePr w:type="lastRow">
      <w:rPr>
        <w:rFonts w:ascii="Arial" w:hAnsi="Arial"/>
        <w:color w:val="f2f2f2"/>
        <w:sz w:val="22"/>
      </w:rPr>
      <w:pPr>
        <w:pBdr/>
        <w:spacing/>
        <w:ind/>
      </w:pPr>
      <w:tblPr>
        <w:tblBorders/>
      </w:tblPr>
      <w:tcPr>
        <w:shd w:color="ffffff" w:fill="a02b93" w:themeColor="accent5" w:themeFill="accent5"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1" w:type="table">
    <w:name w:val="Bordered &amp; Lined - Accent 6"/>
    <w:basedOn w:val="914"/>
    <w:uiPriority w:val="99"/>
    <w:pPr>
      <w:pBdr/>
      <w:spacing w:after="0" w:line="240" w:lineRule="auto"/>
      <w:ind/>
    </w:pPr>
    <w:rPr>
      <w:color w:val="404040"/>
    </w:rPr>
    <w:tblPr>
      <w:tblStyleRowBandSize w:val="1"/>
      <w:tblStyleColBandSize w:val="1"/>
      <w:tblInd w:type="dxa" w:w="0"/>
      <w:tblBorders>
        <w:top w:color="000000" w:space="0" w:sz="4" w:themeColor="accent6" w:themeShade="95" w:val="single"/>
        <w:left w:color="000000" w:space="0" w:sz="4" w:themeColor="accent6" w:themeShade="95" w:val="single"/>
        <w:bottom w:color="000000" w:space="0" w:sz="4" w:themeColor="accent6" w:themeShade="95" w:val="single"/>
        <w:right w:color="000000" w:space="0" w:sz="4" w:themeColor="accent6" w:themeShade="95" w:val="single"/>
        <w:insideH w:color="000000" w:space="0" w:sz="4" w:themeColor="accent6" w:themeShade="95" w:val="single"/>
        <w:insideV w:color="000000" w:space="0" w:sz="4" w:themeColor="accent6"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firstCol">
      <w:rPr>
        <w:rFonts w:ascii="Arial" w:hAnsi="Arial"/>
        <w:color w:val="f2f2f2"/>
        <w:sz w:val="22"/>
      </w:rPr>
      <w:pPr>
        <w:pBdr/>
        <w:spacing/>
        <w:ind/>
      </w:pPr>
      <w:tblPr>
        <w:tblBorders/>
      </w:tblPr>
      <w:tcPr>
        <w:shd w:color="ffffff" w:fill="4ea72e" w:themeColor="accent6" w:themeFill="accent6" w:val="clear"/>
        <w:tcBorders/>
      </w:tcPr>
    </w:tblStylePr>
    <w:tblStylePr w:type="firstRow">
      <w:rPr>
        <w:rFonts w:ascii="Arial" w:hAnsi="Arial"/>
        <w:color w:val="f2f2f2"/>
        <w:sz w:val="22"/>
      </w:rPr>
      <w:pPr>
        <w:pBdr/>
        <w:spacing/>
        <w:ind/>
      </w:pPr>
      <w:tblPr>
        <w:tblBorders/>
      </w:tblPr>
      <w:tcPr>
        <w:shd w:color="ffffff" w:fill="4ea72e" w:themeColor="accent6" w:themeFill="accent6" w:val="clear"/>
        <w:tcBorders/>
      </w:tcPr>
    </w:tblStylePr>
    <w:tblStylePr w:type="lastCol">
      <w:rPr>
        <w:rFonts w:ascii="Arial" w:hAnsi="Arial"/>
        <w:color w:val="f2f2f2"/>
        <w:sz w:val="22"/>
      </w:rPr>
      <w:pPr>
        <w:pBdr/>
        <w:spacing/>
        <w:ind/>
      </w:pPr>
      <w:tblPr>
        <w:tblBorders/>
      </w:tblPr>
      <w:tcPr>
        <w:shd w:color="ffffff" w:fill="4ea72e" w:themeColor="accent6" w:themeFill="accent6" w:val="clear"/>
        <w:tcBorders/>
      </w:tcPr>
    </w:tblStylePr>
    <w:tblStylePr w:type="lastRow">
      <w:rPr>
        <w:rFonts w:ascii="Arial" w:hAnsi="Arial"/>
        <w:color w:val="f2f2f2"/>
        <w:sz w:val="22"/>
      </w:rPr>
      <w:pPr>
        <w:pBdr/>
        <w:spacing/>
        <w:ind/>
      </w:pPr>
      <w:tblPr>
        <w:tblBorders/>
      </w:tblPr>
      <w:tcPr>
        <w:shd w:color="ffffff" w:fill="4ea72e" w:themeColor="accent6" w:themeFill="accent6"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2" w:type="table">
    <w:name w:val="Bordered"/>
    <w:basedOn w:val="914"/>
    <w:uiPriority w:val="99"/>
    <w:pPr>
      <w:pBdr/>
      <w:spacing w:after="0" w:line="240" w:lineRule="auto"/>
      <w:ind/>
    </w:pPr>
    <w:tblPr>
      <w:tblStyleRowBandSize w:val="1"/>
      <w:tblStyleColBandSize w:val="1"/>
      <w:tblInd w:type="dxa" w:w="0"/>
      <w:tbl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insideH w:color="000000" w:space="0" w:sz="4" w:themeColor="text1" w:themeTint="26" w:val="single"/>
        <w:insideV w:color="000000" w:space="0" w:sz="4" w:themeColor="text1" w:themeTint="26" w:val="single"/>
      </w:tblBorders>
    </w:tblPr>
    <w:tcPr>
      <w:tcBorders/>
    </w:tcPr>
    <w:tblStylePr w:type="band1Horz">
      <w:rPr>
        <w:rFonts w:ascii="Arial" w:hAnsi="Arial"/>
        <w:color w:val="404040"/>
        <w:sz w:val="22"/>
      </w:rPr>
      <w:pPr>
        <w:pBdr/>
        <w:spacing/>
        <w:ind/>
      </w:pPr>
      <w:tblPr>
        <w:tblBorders/>
      </w:tblPr>
      <w:tcPr>
        <w:tc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text1" w:themeTint="80" w:val="single"/>
        </w:tcBorders>
      </w:tcPr>
    </w:tblStylePr>
    <w:tblStylePr w:type="lastCol">
      <w:rPr>
        <w:rFonts w:ascii="Arial" w:hAnsi="Arial"/>
        <w:color w:val="404040"/>
        <w:sz w:val="22"/>
      </w:rPr>
      <w:pPr>
        <w:pBdr/>
        <w:spacing/>
        <w:ind/>
      </w:pPr>
      <w:tblPr>
        <w:tblBorders/>
      </w:tblPr>
      <w:tcPr>
        <w:tcBorders>
          <w:left w:color="000000" w:space="0" w:sz="12" w:themeColor="text1" w:themeTint="80" w:val="single"/>
        </w:tcBorders>
      </w:tcPr>
    </w:tblStylePr>
    <w:tblStylePr w:type="lastRow">
      <w:rPr>
        <w:rFonts w:ascii="Arial" w:hAnsi="Arial"/>
        <w:color w:val="404040"/>
        <w:sz w:val="22"/>
      </w:rPr>
      <w:pPr>
        <w:pBdr/>
        <w:spacing/>
        <w:ind/>
      </w:pPr>
      <w:tblPr>
        <w:tblBorders/>
      </w:tblPr>
      <w:tcPr>
        <w:tcBorders>
          <w:top w:color="000000" w:space="0" w:sz="12" w:themeColor="text1" w:themeTint="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3" w:type="table">
    <w:name w:val="Bordered - Accent 1"/>
    <w:basedOn w:val="914"/>
    <w:uiPriority w:val="99"/>
    <w:pPr>
      <w:pBdr/>
      <w:spacing w:after="0" w:line="240" w:lineRule="auto"/>
      <w:ind/>
    </w:pPr>
    <w:tblPr>
      <w:tblStyleRowBandSize w:val="1"/>
      <w:tblStyleColBandSize w:val="1"/>
      <w:tblInd w:type="dxa" w:w="0"/>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1" w:val="single"/>
        </w:tcBorders>
      </w:tcPr>
    </w:tblStylePr>
    <w:tblStylePr w:type="lastCol">
      <w:rPr>
        <w:rFonts w:ascii="Arial" w:hAnsi="Arial"/>
        <w:color w:val="404040"/>
        <w:sz w:val="22"/>
      </w:rPr>
      <w:pPr>
        <w:pBdr/>
        <w:spacing/>
        <w:ind/>
      </w:pPr>
      <w:tblPr>
        <w:tblBorders/>
      </w:tblPr>
      <w:tcPr>
        <w:tcBorders>
          <w:left w:color="000000" w:space="0" w:sz="12" w:themeColor="accent1" w:val="single"/>
        </w:tcBorders>
      </w:tcPr>
    </w:tblStylePr>
    <w:tblStylePr w:type="lastRow">
      <w:rPr>
        <w:rFonts w:ascii="Arial" w:hAnsi="Arial"/>
        <w:color w:val="404040"/>
        <w:sz w:val="22"/>
      </w:rPr>
      <w:pPr>
        <w:pBdr/>
        <w:spacing/>
        <w:ind/>
      </w:p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4" w:type="table">
    <w:name w:val="Bordered - Accent 2"/>
    <w:basedOn w:val="914"/>
    <w:uiPriority w:val="99"/>
    <w:pPr>
      <w:pBdr/>
      <w:spacing w:after="0" w:line="240" w:lineRule="auto"/>
      <w:ind/>
    </w:pPr>
    <w:tblPr>
      <w:tblStyleRowBandSize w:val="1"/>
      <w:tblStyleColBandSize w:val="1"/>
      <w:tblInd w:type="dxa" w:w="0"/>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2" w:themeTint="97" w:val="single"/>
        </w:tcBorders>
      </w:tcPr>
    </w:tblStylePr>
    <w:tblStylePr w:type="lastCol">
      <w:rPr>
        <w:rFonts w:ascii="Arial" w:hAnsi="Arial"/>
        <w:color w:val="404040"/>
        <w:sz w:val="22"/>
      </w:rPr>
      <w:pPr>
        <w:pBdr/>
        <w:spacing/>
        <w:ind/>
      </w:pPr>
      <w:tblPr>
        <w:tblBorders/>
      </w:tblPr>
      <w:tcPr>
        <w:tcBorders>
          <w:left w:color="000000" w:space="0" w:sz="12" w:themeColor="accent2" w:themeTint="97" w:val="single"/>
        </w:tcBorders>
      </w:tcPr>
    </w:tblStylePr>
    <w:tblStylePr w:type="lastRow">
      <w:rPr>
        <w:rFonts w:ascii="Arial" w:hAnsi="Arial"/>
        <w:color w:val="404040"/>
        <w:sz w:val="22"/>
      </w:rPr>
      <w:pPr>
        <w:pBdr/>
        <w:spacing/>
        <w:ind/>
      </w:pPr>
      <w:tblPr>
        <w:tblBorders/>
      </w:tblPr>
      <w:tcPr>
        <w:tcBorders>
          <w:top w:color="000000" w:space="0" w:sz="12"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5" w:type="table">
    <w:name w:val="Bordered - Accent 3"/>
    <w:basedOn w:val="914"/>
    <w:uiPriority w:val="99"/>
    <w:pPr>
      <w:pBdr/>
      <w:spacing w:after="0" w:line="240" w:lineRule="auto"/>
      <w:ind/>
    </w:pPr>
    <w:tblPr>
      <w:tblStyleRowBandSize w:val="1"/>
      <w:tblStyleColBandSize w:val="1"/>
      <w:tblInd w:type="dxa" w:w="0"/>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3" w:themeTint="98" w:val="single"/>
        </w:tcBorders>
      </w:tcPr>
    </w:tblStylePr>
    <w:tblStylePr w:type="lastCol">
      <w:rPr>
        <w:rFonts w:ascii="Arial" w:hAnsi="Arial"/>
        <w:color w:val="404040"/>
        <w:sz w:val="22"/>
      </w:rPr>
      <w:pPr>
        <w:pBdr/>
        <w:spacing/>
        <w:ind/>
      </w:pPr>
      <w:tblPr>
        <w:tblBorders/>
      </w:tblPr>
      <w:tcPr>
        <w:tcBorders>
          <w:left w:color="000000" w:space="0" w:sz="12" w:themeColor="accent3" w:themeTint="98" w:val="single"/>
        </w:tcBorders>
      </w:tcPr>
    </w:tblStylePr>
    <w:tblStylePr w:type="lastRow">
      <w:rPr>
        <w:rFonts w:ascii="Arial" w:hAnsi="Arial"/>
        <w:color w:val="404040"/>
        <w:sz w:val="22"/>
      </w:rPr>
      <w:pPr>
        <w:pBdr/>
        <w:spacing/>
        <w:ind/>
      </w:pPr>
      <w:tblPr>
        <w:tblBorders/>
      </w:tblPr>
      <w:tcPr>
        <w:tcBorders>
          <w:top w:color="000000" w:space="0" w:sz="12" w:themeColor="accent3"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6" w:type="table">
    <w:name w:val="Bordered - Accent 4"/>
    <w:basedOn w:val="914"/>
    <w:uiPriority w:val="99"/>
    <w:pPr>
      <w:pBdr/>
      <w:spacing w:after="0" w:line="240" w:lineRule="auto"/>
      <w:ind/>
    </w:pPr>
    <w:tblPr>
      <w:tblStyleRowBandSize w:val="1"/>
      <w:tblStyleColBandSize w:val="1"/>
      <w:tblInd w:type="dxa" w:w="0"/>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4" w:themeTint="9A" w:val="single"/>
        </w:tcBorders>
      </w:tcPr>
    </w:tblStylePr>
    <w:tblStylePr w:type="lastCol">
      <w:rPr>
        <w:rFonts w:ascii="Arial" w:hAnsi="Arial"/>
        <w:color w:val="404040"/>
        <w:sz w:val="22"/>
      </w:rPr>
      <w:pPr>
        <w:pBdr/>
        <w:spacing/>
        <w:ind/>
      </w:pPr>
      <w:tblPr>
        <w:tblBorders/>
      </w:tblPr>
      <w:tcPr>
        <w:tcBorders>
          <w:left w:color="000000" w:space="0" w:sz="12" w:themeColor="accent4" w:themeTint="9A" w:val="single"/>
        </w:tcBorders>
      </w:tcPr>
    </w:tblStylePr>
    <w:tblStylePr w:type="lastRow">
      <w:rPr>
        <w:rFonts w:ascii="Arial" w:hAnsi="Arial"/>
        <w:color w:val="404040"/>
        <w:sz w:val="22"/>
      </w:rPr>
      <w:pPr>
        <w:pBdr/>
        <w:spacing/>
        <w:ind/>
      </w:pPr>
      <w:tblPr>
        <w:tblBorders/>
      </w:tblPr>
      <w:tcPr>
        <w:tcBorders>
          <w:top w:color="000000" w:space="0" w:sz="12"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7" w:type="table">
    <w:name w:val="Bordered - Accent 5"/>
    <w:basedOn w:val="914"/>
    <w:uiPriority w:val="99"/>
    <w:pPr>
      <w:pBdr/>
      <w:spacing w:after="0" w:line="240" w:lineRule="auto"/>
      <w:ind/>
    </w:pPr>
    <w:tblPr>
      <w:tblStyleRowBandSize w:val="1"/>
      <w:tblStyleColBandSize w:val="1"/>
      <w:tblInd w:type="dxa" w:w="0"/>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5" w:themeTint="9A" w:val="single"/>
        </w:tcBorders>
      </w:tcPr>
    </w:tblStylePr>
    <w:tblStylePr w:type="lastCol">
      <w:rPr>
        <w:rFonts w:ascii="Arial" w:hAnsi="Arial"/>
        <w:color w:val="404040"/>
        <w:sz w:val="22"/>
      </w:rPr>
      <w:pPr>
        <w:pBdr/>
        <w:spacing/>
        <w:ind/>
      </w:pPr>
      <w:tblPr>
        <w:tblBorders/>
      </w:tblPr>
      <w:tcPr>
        <w:tcBorders>
          <w:left w:color="000000" w:space="0" w:sz="12" w:themeColor="accent5" w:themeTint="9A" w:val="single"/>
        </w:tcBorders>
      </w:tcPr>
    </w:tblStylePr>
    <w:tblStylePr w:type="lastRow">
      <w:rPr>
        <w:rFonts w:ascii="Arial" w:hAnsi="Arial"/>
        <w:color w:val="404040"/>
        <w:sz w:val="22"/>
      </w:rPr>
      <w:pPr>
        <w:pBdr/>
        <w:spacing/>
        <w:ind/>
      </w:pPr>
      <w:tblPr>
        <w:tblBorders/>
      </w:tblPr>
      <w:tcPr>
        <w:tcBorders>
          <w:top w:color="000000" w:space="0" w:sz="12" w:themeColor="accent5"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8" w:type="table">
    <w:name w:val="Bordered - Accent 6"/>
    <w:basedOn w:val="914"/>
    <w:uiPriority w:val="99"/>
    <w:pPr>
      <w:pBdr/>
      <w:spacing w:after="0" w:line="240" w:lineRule="auto"/>
      <w:ind/>
    </w:pPr>
    <w:tblPr>
      <w:tblStyleRowBandSize w:val="1"/>
      <w:tblStyleColBandSize w:val="1"/>
      <w:tblInd w:type="dxa" w:w="0"/>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6" w:themeTint="98" w:val="single"/>
        </w:tcBorders>
      </w:tcPr>
    </w:tblStylePr>
    <w:tblStylePr w:type="lastCol">
      <w:rPr>
        <w:rFonts w:ascii="Arial" w:hAnsi="Arial"/>
        <w:color w:val="404040"/>
        <w:sz w:val="22"/>
      </w:rPr>
      <w:pPr>
        <w:pBdr/>
        <w:spacing/>
        <w:ind/>
      </w:pPr>
      <w:tblPr>
        <w:tblBorders/>
      </w:tblPr>
      <w:tcPr>
        <w:tcBorders>
          <w:left w:color="000000" w:space="0" w:sz="12" w:themeColor="accent6" w:themeTint="98" w:val="single"/>
        </w:tcBorders>
      </w:tcPr>
    </w:tblStylePr>
    <w:tblStylePr w:type="lastRow">
      <w:rPr>
        <w:rFonts w:ascii="Arial" w:hAnsi="Arial"/>
        <w:color w:val="404040"/>
        <w:sz w:val="22"/>
      </w:rPr>
      <w:pPr>
        <w:pBdr/>
        <w:spacing/>
        <w:ind/>
      </w:pPr>
      <w:tblPr>
        <w:tblBorders/>
      </w:tblPr>
      <w:tcPr>
        <w:tcBorders>
          <w:top w:color="000000" w:space="0" w:sz="12" w:themeColor="accent6"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9" w:type="character">
    <w:name w:val="Heading 1 Char"/>
    <w:basedOn w:val="913"/>
    <w:link w:val="904"/>
    <w:uiPriority w:val="9"/>
    <w:pPr>
      <w:pBdr/>
      <w:spacing/>
      <w:ind/>
    </w:pPr>
    <w:rPr>
      <w:rFonts w:ascii="Arial" w:cs="Arial" w:eastAsia="Arial" w:hAnsi="Arial"/>
      <w:color w:themeColor="accent1" w:themeShade="BF" w:val="0f4761"/>
      <w:sz w:val="40"/>
      <w:szCs w:val="40"/>
    </w:rPr>
  </w:style>
  <w:style w:styleId="860" w:type="character">
    <w:name w:val="Heading 2 Char"/>
    <w:basedOn w:val="913"/>
    <w:link w:val="905"/>
    <w:uiPriority w:val="9"/>
    <w:pPr>
      <w:pBdr/>
      <w:spacing/>
      <w:ind/>
    </w:pPr>
    <w:rPr>
      <w:rFonts w:ascii="Arial" w:cs="Arial" w:eastAsia="Arial" w:hAnsi="Arial"/>
      <w:color w:themeColor="accent1" w:themeShade="BF" w:val="0f4761"/>
      <w:sz w:val="32"/>
      <w:szCs w:val="32"/>
    </w:rPr>
  </w:style>
  <w:style w:styleId="861" w:type="character">
    <w:name w:val="Heading 3 Char"/>
    <w:basedOn w:val="913"/>
    <w:link w:val="906"/>
    <w:uiPriority w:val="9"/>
    <w:pPr>
      <w:pBdr/>
      <w:spacing/>
      <w:ind/>
    </w:pPr>
    <w:rPr>
      <w:rFonts w:ascii="Arial" w:cs="Arial" w:eastAsia="Arial" w:hAnsi="Arial"/>
      <w:color w:themeColor="accent1" w:themeShade="BF" w:val="0f4761"/>
      <w:sz w:val="28"/>
      <w:szCs w:val="28"/>
    </w:rPr>
  </w:style>
  <w:style w:styleId="862" w:type="character">
    <w:name w:val="Heading 4 Char"/>
    <w:basedOn w:val="913"/>
    <w:link w:val="907"/>
    <w:uiPriority w:val="9"/>
    <w:pPr>
      <w:pBdr/>
      <w:spacing/>
      <w:ind/>
    </w:pPr>
    <w:rPr>
      <w:rFonts w:ascii="Arial" w:cs="Arial" w:eastAsia="Arial" w:hAnsi="Arial"/>
      <w:i/>
      <w:iCs/>
      <w:color w:themeColor="accent1" w:themeShade="BF" w:val="0f4761"/>
    </w:rPr>
  </w:style>
  <w:style w:styleId="863" w:type="character">
    <w:name w:val="Heading 5 Char"/>
    <w:basedOn w:val="913"/>
    <w:link w:val="908"/>
    <w:uiPriority w:val="9"/>
    <w:pPr>
      <w:pBdr/>
      <w:spacing/>
      <w:ind/>
    </w:pPr>
    <w:rPr>
      <w:rFonts w:ascii="Arial" w:cs="Arial" w:eastAsia="Arial" w:hAnsi="Arial"/>
      <w:color w:themeColor="accent1" w:themeShade="BF" w:val="0f4761"/>
    </w:rPr>
  </w:style>
  <w:style w:styleId="864" w:type="character">
    <w:name w:val="Heading 6 Char"/>
    <w:basedOn w:val="913"/>
    <w:link w:val="909"/>
    <w:uiPriority w:val="9"/>
    <w:pPr>
      <w:pBdr/>
      <w:spacing/>
      <w:ind/>
    </w:pPr>
    <w:rPr>
      <w:rFonts w:ascii="Arial" w:cs="Arial" w:eastAsia="Arial" w:hAnsi="Arial"/>
      <w:i/>
      <w:iCs/>
      <w:color w:themeColor="text1" w:themeTint="A6" w:val="595959"/>
    </w:rPr>
  </w:style>
  <w:style w:styleId="865" w:type="character">
    <w:name w:val="Heading 7 Char"/>
    <w:basedOn w:val="913"/>
    <w:link w:val="910"/>
    <w:uiPriority w:val="9"/>
    <w:pPr>
      <w:pBdr/>
      <w:spacing/>
      <w:ind/>
    </w:pPr>
    <w:rPr>
      <w:rFonts w:ascii="Arial" w:cs="Arial" w:eastAsia="Arial" w:hAnsi="Arial"/>
      <w:color w:themeColor="text1" w:themeTint="A6" w:val="595959"/>
    </w:rPr>
  </w:style>
  <w:style w:styleId="866" w:type="character">
    <w:name w:val="Heading 8 Char"/>
    <w:basedOn w:val="913"/>
    <w:link w:val="911"/>
    <w:uiPriority w:val="9"/>
    <w:pPr>
      <w:pBdr/>
      <w:spacing/>
      <w:ind/>
    </w:pPr>
    <w:rPr>
      <w:rFonts w:ascii="Arial" w:cs="Arial" w:eastAsia="Arial" w:hAnsi="Arial"/>
      <w:i/>
      <w:iCs/>
      <w:color w:themeColor="text1" w:themeTint="D8" w:val="272727"/>
    </w:rPr>
  </w:style>
  <w:style w:styleId="867" w:type="character">
    <w:name w:val="Heading 9 Char"/>
    <w:basedOn w:val="913"/>
    <w:link w:val="912"/>
    <w:uiPriority w:val="9"/>
    <w:pPr>
      <w:pBdr/>
      <w:spacing/>
      <w:ind/>
    </w:pPr>
    <w:rPr>
      <w:rFonts w:ascii="Arial" w:cs="Arial" w:eastAsia="Arial" w:hAnsi="Arial"/>
      <w:i/>
      <w:iCs/>
      <w:color w:themeColor="text1" w:themeTint="D8" w:val="272727"/>
    </w:rPr>
  </w:style>
  <w:style w:styleId="868" w:type="character">
    <w:name w:val="Title Char"/>
    <w:basedOn w:val="913"/>
    <w:link w:val="919"/>
    <w:uiPriority w:val="10"/>
    <w:pPr>
      <w:pBdr/>
      <w:spacing/>
      <w:ind/>
    </w:pPr>
    <w:rPr>
      <w:rFonts w:ascii="Arial" w:cs="Arial" w:eastAsia="Arial" w:hAnsi="Arial"/>
      <w:spacing w:val="-10"/>
      <w:sz w:val="56"/>
      <w:szCs w:val="56"/>
    </w:rPr>
  </w:style>
  <w:style w:styleId="869" w:type="character">
    <w:name w:val="Subtitle Char"/>
    <w:basedOn w:val="913"/>
    <w:link w:val="921"/>
    <w:uiPriority w:val="11"/>
    <w:pPr>
      <w:pBdr/>
      <w:spacing/>
      <w:ind/>
    </w:pPr>
    <w:rPr>
      <w:color w:themeColor="text1" w:themeTint="A6" w:val="595959"/>
      <w:spacing w:val="15"/>
      <w:sz w:val="28"/>
      <w:szCs w:val="28"/>
    </w:rPr>
  </w:style>
  <w:style w:styleId="870" w:type="paragraph">
    <w:name w:val="Quote"/>
    <w:basedOn w:val="903"/>
    <w:next w:val="903"/>
    <w:link w:val="871"/>
    <w:uiPriority w:val="29"/>
    <w:qFormat/>
    <w:pPr>
      <w:pBdr/>
      <w:spacing w:before="160"/>
      <w:ind/>
      <w:jc w:val="center"/>
    </w:pPr>
    <w:rPr>
      <w:i/>
      <w:iCs/>
      <w:color w:themeColor="text1" w:themeTint="BF" w:val="404040"/>
    </w:rPr>
  </w:style>
  <w:style w:styleId="871" w:type="character">
    <w:name w:val="Quote Char"/>
    <w:basedOn w:val="913"/>
    <w:link w:val="870"/>
    <w:uiPriority w:val="29"/>
    <w:pPr>
      <w:pBdr/>
      <w:spacing/>
      <w:ind/>
    </w:pPr>
    <w:rPr>
      <w:i/>
      <w:iCs/>
      <w:color w:themeColor="text1" w:themeTint="BF" w:val="404040"/>
    </w:rPr>
  </w:style>
  <w:style w:styleId="872" w:type="paragraph">
    <w:name w:val="List Paragraph"/>
    <w:basedOn w:val="903"/>
    <w:uiPriority w:val="34"/>
    <w:qFormat/>
    <w:pPr>
      <w:pBdr/>
      <w:spacing/>
      <w:ind w:left="720"/>
      <w:contextualSpacing w:val="true"/>
    </w:pPr>
  </w:style>
  <w:style w:styleId="873" w:type="character">
    <w:name w:val="Intense Emphasis"/>
    <w:basedOn w:val="913"/>
    <w:uiPriority w:val="21"/>
    <w:qFormat/>
    <w:pPr>
      <w:pBdr/>
      <w:spacing/>
      <w:ind/>
    </w:pPr>
    <w:rPr>
      <w:i/>
      <w:iCs/>
      <w:color w:themeColor="accent1" w:themeShade="BF" w:val="0f4761"/>
    </w:rPr>
  </w:style>
  <w:style w:styleId="874" w:type="paragraph">
    <w:name w:val="Intense Quote"/>
    <w:basedOn w:val="903"/>
    <w:next w:val="903"/>
    <w:link w:val="875"/>
    <w:uiPriority w:val="30"/>
    <w:qFormat/>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styleId="875" w:type="character">
    <w:name w:val="Intense Quote Char"/>
    <w:basedOn w:val="913"/>
    <w:link w:val="874"/>
    <w:uiPriority w:val="30"/>
    <w:pPr>
      <w:pBdr/>
      <w:spacing/>
      <w:ind/>
    </w:pPr>
    <w:rPr>
      <w:i/>
      <w:iCs/>
      <w:color w:themeColor="accent1" w:themeShade="BF" w:val="0f4761"/>
    </w:rPr>
  </w:style>
  <w:style w:styleId="876" w:type="character">
    <w:name w:val="Intense Reference"/>
    <w:basedOn w:val="913"/>
    <w:uiPriority w:val="32"/>
    <w:qFormat/>
    <w:pPr>
      <w:pBdr/>
      <w:spacing/>
      <w:ind/>
    </w:pPr>
    <w:rPr>
      <w:b/>
      <w:bCs/>
      <w:smallCaps/>
      <w:color w:themeColor="accent1" w:themeShade="BF" w:val="0f4761"/>
      <w:spacing w:val="5"/>
    </w:rPr>
  </w:style>
  <w:style w:styleId="877" w:type="paragraph">
    <w:name w:val="No Spacing"/>
    <w:basedOn w:val="903"/>
    <w:uiPriority w:val="1"/>
    <w:qFormat/>
    <w:pPr>
      <w:pBdr/>
      <w:spacing w:after="0" w:line="240" w:lineRule="auto"/>
      <w:ind/>
    </w:pPr>
  </w:style>
  <w:style w:styleId="878" w:type="character">
    <w:name w:val="Subtle Emphasis"/>
    <w:basedOn w:val="913"/>
    <w:uiPriority w:val="19"/>
    <w:qFormat/>
    <w:pPr>
      <w:pBdr/>
      <w:spacing/>
      <w:ind/>
    </w:pPr>
    <w:rPr>
      <w:i/>
      <w:iCs/>
      <w:color w:themeColor="text1" w:themeTint="BF" w:val="404040"/>
    </w:rPr>
  </w:style>
  <w:style w:styleId="879" w:type="character">
    <w:name w:val="Emphasis"/>
    <w:basedOn w:val="913"/>
    <w:uiPriority w:val="20"/>
    <w:qFormat/>
    <w:pPr>
      <w:pBdr/>
      <w:spacing/>
      <w:ind/>
    </w:pPr>
    <w:rPr>
      <w:i/>
      <w:iCs/>
    </w:rPr>
  </w:style>
  <w:style w:styleId="880" w:type="character">
    <w:name w:val="Strong"/>
    <w:basedOn w:val="913"/>
    <w:uiPriority w:val="22"/>
    <w:qFormat/>
    <w:pPr>
      <w:pBdr/>
      <w:spacing/>
      <w:ind/>
    </w:pPr>
    <w:rPr>
      <w:b/>
      <w:bCs/>
    </w:rPr>
  </w:style>
  <w:style w:styleId="881" w:type="character">
    <w:name w:val="Subtle Reference"/>
    <w:basedOn w:val="913"/>
    <w:uiPriority w:val="31"/>
    <w:qFormat/>
    <w:pPr>
      <w:pBdr/>
      <w:spacing/>
      <w:ind/>
    </w:pPr>
    <w:rPr>
      <w:smallCaps/>
      <w:color w:themeColor="text1" w:themeTint="A5" w:val="5a5a5a"/>
    </w:rPr>
  </w:style>
  <w:style w:styleId="882" w:type="character">
    <w:name w:val="Book Title"/>
    <w:basedOn w:val="913"/>
    <w:uiPriority w:val="33"/>
    <w:qFormat/>
    <w:pPr>
      <w:pBdr/>
      <w:spacing/>
      <w:ind/>
    </w:pPr>
    <w:rPr>
      <w:b/>
      <w:bCs/>
      <w:i/>
      <w:iCs/>
      <w:spacing w:val="5"/>
    </w:rPr>
  </w:style>
  <w:style w:styleId="883" w:type="paragraph">
    <w:name w:val="Header"/>
    <w:basedOn w:val="903"/>
    <w:link w:val="884"/>
    <w:uiPriority w:val="99"/>
    <w:unhideWhenUsed/>
    <w:pPr>
      <w:pBdr/>
      <w:tabs>
        <w:tab w:leader="none" w:pos="4844" w:val="center"/>
        <w:tab w:leader="none" w:pos="9689" w:val="right"/>
      </w:tabs>
      <w:spacing w:after="0" w:line="240" w:lineRule="auto"/>
      <w:ind/>
    </w:pPr>
  </w:style>
  <w:style w:styleId="884" w:type="character">
    <w:name w:val="Header Char"/>
    <w:basedOn w:val="913"/>
    <w:link w:val="883"/>
    <w:uiPriority w:val="99"/>
    <w:pPr>
      <w:pBdr/>
      <w:spacing/>
      <w:ind/>
    </w:pPr>
  </w:style>
  <w:style w:styleId="885" w:type="paragraph">
    <w:name w:val="Footer"/>
    <w:basedOn w:val="903"/>
    <w:link w:val="886"/>
    <w:uiPriority w:val="99"/>
    <w:unhideWhenUsed/>
    <w:pPr>
      <w:pBdr/>
      <w:tabs>
        <w:tab w:leader="none" w:pos="4844" w:val="center"/>
        <w:tab w:leader="none" w:pos="9689" w:val="right"/>
      </w:tabs>
      <w:spacing w:after="0" w:line="240" w:lineRule="auto"/>
      <w:ind/>
    </w:pPr>
  </w:style>
  <w:style w:styleId="886" w:type="character">
    <w:name w:val="Footer Char"/>
    <w:basedOn w:val="913"/>
    <w:link w:val="885"/>
    <w:uiPriority w:val="99"/>
    <w:pPr>
      <w:pBdr/>
      <w:spacing/>
      <w:ind/>
    </w:pPr>
  </w:style>
  <w:style w:styleId="887" w:type="character">
    <w:name w:val="Footnote Text Char"/>
    <w:basedOn w:val="913"/>
    <w:link w:val="938"/>
    <w:uiPriority w:val="99"/>
    <w:semiHidden/>
    <w:pPr>
      <w:pBdr/>
      <w:spacing/>
      <w:ind/>
    </w:pPr>
    <w:rPr>
      <w:sz w:val="20"/>
      <w:szCs w:val="20"/>
    </w:rPr>
  </w:style>
  <w:style w:styleId="888" w:type="paragraph">
    <w:name w:val="endnote text"/>
    <w:basedOn w:val="903"/>
    <w:link w:val="889"/>
    <w:uiPriority w:val="99"/>
    <w:semiHidden/>
    <w:unhideWhenUsed/>
    <w:pPr>
      <w:pBdr/>
      <w:spacing w:after="0" w:line="240" w:lineRule="auto"/>
      <w:ind/>
    </w:pPr>
    <w:rPr>
      <w:sz w:val="20"/>
      <w:szCs w:val="20"/>
    </w:rPr>
  </w:style>
  <w:style w:styleId="889" w:type="character">
    <w:name w:val="Endnote Text Char"/>
    <w:basedOn w:val="913"/>
    <w:link w:val="888"/>
    <w:uiPriority w:val="99"/>
    <w:semiHidden/>
    <w:pPr>
      <w:pBdr/>
      <w:spacing/>
      <w:ind/>
    </w:pPr>
    <w:rPr>
      <w:sz w:val="20"/>
      <w:szCs w:val="20"/>
    </w:rPr>
  </w:style>
  <w:style w:styleId="890" w:type="character">
    <w:name w:val="endnote reference"/>
    <w:basedOn w:val="913"/>
    <w:uiPriority w:val="99"/>
    <w:semiHidden/>
    <w:unhideWhenUsed/>
    <w:pPr>
      <w:pBdr/>
      <w:spacing/>
      <w:ind/>
    </w:pPr>
    <w:rPr>
      <w:vertAlign w:val="superscript"/>
    </w:rPr>
  </w:style>
  <w:style w:styleId="891" w:type="character">
    <w:name w:val="FollowedHyperlink"/>
    <w:basedOn w:val="913"/>
    <w:uiPriority w:val="99"/>
    <w:semiHidden/>
    <w:unhideWhenUsed/>
    <w:pPr>
      <w:pBdr/>
      <w:spacing/>
      <w:ind/>
    </w:pPr>
    <w:rPr>
      <w:color w:themeColor="followedHyperlink" w:val="954f72"/>
      <w:u w:val="single"/>
    </w:rPr>
  </w:style>
  <w:style w:styleId="892" w:type="paragraph">
    <w:name w:val="toc 1"/>
    <w:basedOn w:val="903"/>
    <w:next w:val="903"/>
    <w:uiPriority w:val="39"/>
    <w:unhideWhenUsed/>
    <w:pPr>
      <w:pBdr/>
      <w:spacing w:after="100"/>
      <w:ind/>
    </w:pPr>
  </w:style>
  <w:style w:styleId="893" w:type="paragraph">
    <w:name w:val="toc 2"/>
    <w:basedOn w:val="903"/>
    <w:next w:val="903"/>
    <w:uiPriority w:val="39"/>
    <w:unhideWhenUsed/>
    <w:pPr>
      <w:pBdr/>
      <w:spacing w:after="100"/>
      <w:ind w:left="220"/>
    </w:pPr>
  </w:style>
  <w:style w:styleId="894" w:type="paragraph">
    <w:name w:val="toc 3"/>
    <w:basedOn w:val="903"/>
    <w:next w:val="903"/>
    <w:uiPriority w:val="39"/>
    <w:unhideWhenUsed/>
    <w:pPr>
      <w:pBdr/>
      <w:spacing w:after="100"/>
      <w:ind w:left="440"/>
    </w:pPr>
  </w:style>
  <w:style w:styleId="895" w:type="paragraph">
    <w:name w:val="toc 4"/>
    <w:basedOn w:val="903"/>
    <w:next w:val="903"/>
    <w:uiPriority w:val="39"/>
    <w:unhideWhenUsed/>
    <w:pPr>
      <w:pBdr/>
      <w:spacing w:after="100"/>
      <w:ind w:left="660"/>
    </w:pPr>
  </w:style>
  <w:style w:styleId="896" w:type="paragraph">
    <w:name w:val="toc 5"/>
    <w:basedOn w:val="903"/>
    <w:next w:val="903"/>
    <w:uiPriority w:val="39"/>
    <w:unhideWhenUsed/>
    <w:pPr>
      <w:pBdr/>
      <w:spacing w:after="100"/>
      <w:ind w:left="880"/>
    </w:pPr>
  </w:style>
  <w:style w:styleId="897" w:type="paragraph">
    <w:name w:val="toc 6"/>
    <w:basedOn w:val="903"/>
    <w:next w:val="903"/>
    <w:uiPriority w:val="39"/>
    <w:unhideWhenUsed/>
    <w:pPr>
      <w:pBdr/>
      <w:spacing w:after="100"/>
      <w:ind w:left="1100"/>
    </w:pPr>
  </w:style>
  <w:style w:styleId="898" w:type="paragraph">
    <w:name w:val="toc 7"/>
    <w:basedOn w:val="903"/>
    <w:next w:val="903"/>
    <w:uiPriority w:val="39"/>
    <w:unhideWhenUsed/>
    <w:pPr>
      <w:pBdr/>
      <w:spacing w:after="100"/>
      <w:ind w:left="1320"/>
    </w:pPr>
  </w:style>
  <w:style w:styleId="899" w:type="paragraph">
    <w:name w:val="toc 8"/>
    <w:basedOn w:val="903"/>
    <w:next w:val="903"/>
    <w:uiPriority w:val="39"/>
    <w:unhideWhenUsed/>
    <w:pPr>
      <w:pBdr/>
      <w:spacing w:after="100"/>
      <w:ind w:left="1540"/>
    </w:pPr>
  </w:style>
  <w:style w:styleId="900" w:type="paragraph">
    <w:name w:val="toc 9"/>
    <w:basedOn w:val="903"/>
    <w:next w:val="903"/>
    <w:uiPriority w:val="39"/>
    <w:unhideWhenUsed/>
    <w:pPr>
      <w:pBdr/>
      <w:spacing w:after="100"/>
      <w:ind w:left="1760"/>
    </w:pPr>
  </w:style>
  <w:style w:styleId="901" w:type="character">
    <w:name w:val="Placeholder Text"/>
    <w:basedOn w:val="913"/>
    <w:uiPriority w:val="99"/>
    <w:semiHidden/>
    <w:pPr>
      <w:pBdr/>
      <w:spacing/>
      <w:ind/>
    </w:pPr>
    <w:rPr>
      <w:color w:val="666666"/>
    </w:rPr>
  </w:style>
  <w:style w:styleId="902" w:type="paragraph">
    <w:name w:val="table of figures"/>
    <w:basedOn w:val="903"/>
    <w:next w:val="903"/>
    <w:uiPriority w:val="99"/>
    <w:unhideWhenUsed/>
    <w:pPr>
      <w:pBdr/>
      <w:spacing w:after="0" w:afterAutospacing="0"/>
      <w:ind/>
    </w:pPr>
  </w:style>
  <w:style w:default="1" w:styleId="903" w:type="paragraph">
    <w:name w:val="Normal"/>
    <w:qFormat/>
    <w:pPr>
      <w:keepNext w:val="true"/>
      <w:pBdr/>
      <w:spacing w:after="60" w:before="0"/>
      <w:ind/>
      <w:jc w:val="left"/>
    </w:pPr>
    <w:rPr>
      <w:rFonts w:ascii="Cambria" w:cs="Cambria" w:eastAsia="Cambria" w:hAnsi="Cambria"/>
      <w:sz w:val="22"/>
      <w:szCs w:val="22"/>
    </w:rPr>
  </w:style>
  <w:style w:styleId="904" w:type="paragraph">
    <w:name w:val="Heading 1"/>
    <w:basedOn w:val="903"/>
    <w:next w:val="916"/>
    <w:link w:val="928"/>
    <w:uiPriority w:val="9"/>
    <w:qFormat/>
    <w:pPr>
      <w:keepNext w:val="true"/>
      <w:keepLines w:val="true"/>
      <w:pBdr/>
      <w:spacing w:after="80" w:before="360"/>
      <w:ind/>
      <w:outlineLvl w:val="0"/>
    </w:pPr>
    <w:rPr>
      <w:rFonts w:ascii="Cambria" w:cs="Cambria" w:eastAsia="Cambria" w:hAnsi="Cambria"/>
      <w:color w:themeColor="accent1" w:themeShade="BF" w:val="0f4761"/>
      <w:sz w:val="40"/>
      <w:szCs w:val="40"/>
    </w:rPr>
  </w:style>
  <w:style w:styleId="905" w:type="paragraph">
    <w:name w:val="Heading 2"/>
    <w:basedOn w:val="903"/>
    <w:next w:val="916"/>
    <w:link w:val="929"/>
    <w:uiPriority w:val="9"/>
    <w:semiHidden/>
    <w:unhideWhenUsed/>
    <w:qFormat/>
    <w:pPr>
      <w:keepNext w:val="true"/>
      <w:keepLines w:val="true"/>
      <w:pBdr/>
      <w:spacing w:after="80" w:before="160"/>
      <w:ind/>
      <w:outlineLvl w:val="1"/>
    </w:pPr>
    <w:rPr>
      <w:rFonts w:ascii="Cambria" w:cs="Cambria" w:eastAsia="Cambria" w:hAnsi="Cambria"/>
      <w:color w:themeColor="accent1" w:themeShade="BF" w:val="0f4761"/>
      <w:sz w:val="32"/>
      <w:szCs w:val="32"/>
    </w:rPr>
  </w:style>
  <w:style w:styleId="906" w:type="paragraph">
    <w:name w:val="Heading 3"/>
    <w:basedOn w:val="903"/>
    <w:next w:val="916"/>
    <w:link w:val="930"/>
    <w:uiPriority w:val="9"/>
    <w:semiHidden/>
    <w:unhideWhenUsed/>
    <w:qFormat/>
    <w:pPr>
      <w:keepNext w:val="true"/>
      <w:keepLines w:val="true"/>
      <w:pBdr/>
      <w:spacing w:after="80" w:before="160"/>
      <w:ind/>
      <w:outlineLvl w:val="2"/>
    </w:pPr>
    <w:rPr>
      <w:rFonts w:ascii="Cambria" w:cs="Cambria" w:eastAsia="Cambria" w:hAnsi="Cambria"/>
      <w:color w:themeColor="accent1" w:themeShade="BF" w:val="0f4761"/>
      <w:sz w:val="28"/>
      <w:szCs w:val="28"/>
    </w:rPr>
  </w:style>
  <w:style w:styleId="907" w:type="paragraph">
    <w:name w:val="Heading 4"/>
    <w:basedOn w:val="903"/>
    <w:next w:val="916"/>
    <w:link w:val="931"/>
    <w:uiPriority w:val="9"/>
    <w:semiHidden/>
    <w:unhideWhenUsed/>
    <w:qFormat/>
    <w:pPr>
      <w:keepNext w:val="true"/>
      <w:keepLines w:val="true"/>
      <w:pBdr/>
      <w:spacing w:after="40" w:before="80"/>
      <w:ind/>
      <w:outlineLvl w:val="3"/>
    </w:pPr>
    <w:rPr>
      <w:rFonts w:ascii="Cambria" w:cs="Cambria" w:eastAsia="Cambria" w:hAnsi="Cambria"/>
      <w:i/>
      <w:iCs/>
      <w:color w:themeColor="accent1" w:themeShade="BF" w:val="0f4761"/>
    </w:rPr>
  </w:style>
  <w:style w:styleId="908" w:type="paragraph">
    <w:name w:val="Heading 5"/>
    <w:basedOn w:val="903"/>
    <w:next w:val="916"/>
    <w:link w:val="932"/>
    <w:uiPriority w:val="9"/>
    <w:semiHidden/>
    <w:unhideWhenUsed/>
    <w:qFormat/>
    <w:pPr>
      <w:keepNext w:val="true"/>
      <w:keepLines w:val="true"/>
      <w:pBdr/>
      <w:spacing w:after="40" w:before="80"/>
      <w:ind/>
      <w:outlineLvl w:val="4"/>
    </w:pPr>
    <w:rPr>
      <w:rFonts w:ascii="Cambria" w:cs="Cambria" w:eastAsia="Cambria" w:hAnsi="Cambria"/>
      <w:color w:themeColor="accent1" w:themeShade="BF" w:val="0f4761"/>
    </w:rPr>
  </w:style>
  <w:style w:styleId="909" w:type="paragraph">
    <w:name w:val="Heading 6"/>
    <w:basedOn w:val="903"/>
    <w:next w:val="916"/>
    <w:link w:val="933"/>
    <w:uiPriority w:val="9"/>
    <w:semiHidden/>
    <w:unhideWhenUsed/>
    <w:qFormat/>
    <w:pPr>
      <w:keepNext w:val="true"/>
      <w:keepLines w:val="true"/>
      <w:pBdr/>
      <w:spacing w:after="0" w:before="40"/>
      <w:ind/>
      <w:outlineLvl w:val="5"/>
    </w:pPr>
    <w:rPr>
      <w:rFonts w:ascii="Cambria" w:cs="Cambria" w:eastAsia="Cambria" w:hAnsi="Cambria"/>
      <w:i/>
      <w:iCs/>
      <w:color w:themeColor="text1" w:themeTint="A6" w:val="595959"/>
    </w:rPr>
  </w:style>
  <w:style w:styleId="910" w:type="paragraph">
    <w:name w:val="Heading 7"/>
    <w:basedOn w:val="903"/>
    <w:next w:val="916"/>
    <w:link w:val="934"/>
    <w:uiPriority w:val="9"/>
    <w:semiHidden/>
    <w:unhideWhenUsed/>
    <w:qFormat/>
    <w:pPr>
      <w:keepNext w:val="true"/>
      <w:keepLines w:val="true"/>
      <w:pBdr/>
      <w:spacing w:after="0" w:before="40"/>
      <w:ind/>
      <w:outlineLvl w:val="6"/>
    </w:pPr>
    <w:rPr>
      <w:rFonts w:ascii="Cambria" w:cs="Cambria" w:eastAsia="Cambria" w:hAnsi="Cambria"/>
      <w:color w:themeColor="text1" w:themeTint="A6" w:val="595959"/>
    </w:rPr>
  </w:style>
  <w:style w:styleId="911" w:type="paragraph">
    <w:name w:val="Heading 8"/>
    <w:basedOn w:val="903"/>
    <w:next w:val="916"/>
    <w:link w:val="935"/>
    <w:uiPriority w:val="9"/>
    <w:semiHidden/>
    <w:unhideWhenUsed/>
    <w:qFormat/>
    <w:pPr>
      <w:keepNext w:val="true"/>
      <w:keepLines w:val="true"/>
      <w:pBdr/>
      <w:spacing w:after="0"/>
      <w:ind/>
      <w:outlineLvl w:val="7"/>
    </w:pPr>
    <w:rPr>
      <w:rFonts w:ascii="Cambria" w:cs="Cambria" w:eastAsia="Cambria" w:hAnsi="Cambria"/>
      <w:i/>
      <w:iCs/>
      <w:color w:themeColor="text1" w:themeTint="D8" w:val="272727"/>
    </w:rPr>
  </w:style>
  <w:style w:styleId="912" w:type="paragraph">
    <w:name w:val="Heading 9"/>
    <w:basedOn w:val="903"/>
    <w:next w:val="916"/>
    <w:link w:val="936"/>
    <w:uiPriority w:val="9"/>
    <w:semiHidden/>
    <w:unhideWhenUsed/>
    <w:qFormat/>
    <w:pPr>
      <w:keepNext w:val="true"/>
      <w:keepLines w:val="true"/>
      <w:pBdr/>
      <w:spacing w:after="0"/>
      <w:ind/>
      <w:outlineLvl w:val="8"/>
    </w:pPr>
    <w:rPr>
      <w:rFonts w:ascii="Cambria" w:cs="Cambria" w:eastAsia="Cambria" w:hAnsi="Cambria"/>
      <w:color w:themeColor="text1" w:themeTint="D8" w:val="272727"/>
    </w:rPr>
  </w:style>
  <w:style w:default="1" w:styleId="913" w:type="character">
    <w:name w:val="Default Paragraph Font"/>
    <w:uiPriority w:val="1"/>
    <w:semiHidden/>
    <w:unhideWhenUsed/>
    <w:pPr>
      <w:pBdr/>
      <w:spacing/>
      <w:ind/>
    </w:pPr>
  </w:style>
  <w:style w:default="1" w:styleId="914" w:type="table">
    <w:name w:val="Normal Table"/>
    <w:uiPriority w:val="99"/>
    <w:semiHidden/>
    <w:unhideWhenUsed/>
    <w:pPr>
      <w:pBdr/>
      <w:spacing/>
      <w:ind/>
    </w:pPr>
    <w:tblPr>
      <w:tblInd w:type="dxa" w:w="0"/>
      <w:tblCellMar>
        <w:left w:type="dxa" w:w="108"/>
        <w:top w:type="dxa" w:w="0"/>
        <w:right w:type="dxa" w:w="108"/>
        <w:bottom w:type="dxa" w:w="0"/>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default="1" w:styleId="915" w:type="numbering">
    <w:name w:val="No List"/>
    <w:uiPriority w:val="99"/>
    <w:semiHidden/>
    <w:unhideWhenUsed/>
    <w:pPr>
      <w:pBdr/>
      <w:spacing/>
      <w:ind/>
    </w:pPr>
  </w:style>
  <w:style w:styleId="916" w:type="paragraph">
    <w:name w:val="Body Text"/>
    <w:basedOn w:val="903"/>
    <w:qFormat/>
    <w:pPr>
      <w:suppressLineNumbers w:val="false"/>
      <w:pBdr/>
      <w:spacing w:after="119" w:afterAutospacing="0" w:afterLines="0" w:before="0" w:beforeAutospacing="0" w:beforeLines="0" w:line="360" w:lineRule="auto"/>
      <w:ind w:firstLine="1134"/>
      <w:jc w:val="both"/>
    </w:pPr>
    <w:rPr>
      <w:rFonts w:ascii="Cambria" w:cs="Cambria" w:eastAsia="Cambria" w:hAnsi="Cambria"/>
    </w:rPr>
  </w:style>
  <w:style w:customStyle="1" w:styleId="917" w:type="paragraph">
    <w:name w:val="First Paragraph"/>
    <w:basedOn w:val="916"/>
    <w:next w:val="916"/>
    <w:qFormat/>
    <w:pPr>
      <w:suppressLineNumbers w:val="false"/>
      <w:pBdr/>
      <w:spacing w:after="181" w:afterAutospacing="0" w:afterLines="0" w:before="0" w:beforeAutospacing="0" w:beforeLines="0" w:line="240" w:lineRule="auto"/>
      <w:ind w:firstLine="0"/>
    </w:pPr>
    <w:rPr>
      <w:rFonts w:ascii="Cambria" w:cs="Cambria" w:eastAsia="Cambria" w:hAnsi="Cambria"/>
    </w:rPr>
  </w:style>
  <w:style w:customStyle="1" w:styleId="918" w:type="paragraph">
    <w:name w:val="Compact"/>
    <w:basedOn w:val="916"/>
    <w:qFormat/>
    <w:pPr>
      <w:pBdr/>
      <w:spacing w:after="36" w:before="36"/>
      <w:ind/>
    </w:pPr>
    <w:rPr>
      <w:sz w:val="20"/>
    </w:rPr>
  </w:style>
  <w:style w:styleId="919" w:type="paragraph">
    <w:name w:val="Title"/>
    <w:basedOn w:val="903"/>
    <w:next w:val="916"/>
    <w:link w:val="920"/>
    <w:uiPriority w:val="10"/>
    <w:qFormat/>
    <w:pPr>
      <w:pBdr/>
      <w:spacing w:after="80"/>
      <w:ind/>
      <w:contextualSpacing w:val="true"/>
      <w:jc w:val="center"/>
    </w:pPr>
    <w:rPr>
      <w:rFonts w:ascii="Cambria" w:cs="Cambria" w:eastAsia="Cambria" w:hAnsi="Cambria"/>
      <w:sz w:val="56"/>
      <w:szCs w:val="56"/>
    </w:rPr>
  </w:style>
  <w:style w:customStyle="1" w:styleId="920" w:type="character">
    <w:name w:val="Título Char"/>
    <w:link w:val="919"/>
    <w:uiPriority w:val="10"/>
    <w:pPr>
      <w:pBdr/>
      <w:spacing/>
      <w:ind/>
    </w:pPr>
    <w:rPr>
      <w:rFonts w:ascii="Cambria" w:cs="Cambria" w:eastAsia="Cambria" w:hAnsi="Cambria"/>
    </w:rPr>
  </w:style>
  <w:style w:styleId="921" w:type="paragraph">
    <w:name w:val="Subtitle"/>
    <w:basedOn w:val="919"/>
    <w:next w:val="916"/>
    <w:link w:val="922"/>
    <w:uiPriority w:val="11"/>
    <w:qFormat/>
    <w:pPr>
      <w:numPr>
        <w:ilvl w:val="1"/>
      </w:numPr>
      <w:pBdr/>
      <w:spacing/>
      <w:ind/>
    </w:pPr>
    <w:rPr>
      <w:rFonts w:ascii="Cambria" w:cs="Cambria" w:eastAsia="Cambria" w:hAnsi="Cambria"/>
      <w:spacing w:val="15"/>
      <w:sz w:val="28"/>
      <w:szCs w:val="28"/>
    </w:rPr>
  </w:style>
  <w:style w:customStyle="1" w:styleId="922" w:type="character">
    <w:name w:val="Subtítulo Char"/>
    <w:link w:val="921"/>
    <w:uiPriority w:val="11"/>
    <w:pPr>
      <w:pBdr/>
      <w:spacing/>
      <w:ind/>
    </w:pPr>
    <w:rPr>
      <w:rFonts w:ascii="Cambria" w:cs="Cambria" w:eastAsia="Cambria" w:hAnsi="Cambria"/>
    </w:rPr>
  </w:style>
  <w:style w:customStyle="1" w:styleId="923" w:type="paragraph">
    <w:name w:val="Author"/>
    <w:basedOn w:val="919"/>
    <w:next w:val="916"/>
    <w:qFormat/>
    <w:pPr>
      <w:keepNext w:val="true"/>
      <w:keepLines w:val="true"/>
      <w:pBdr/>
      <w:spacing/>
      <w:ind/>
    </w:pPr>
    <w:rPr>
      <w:rFonts w:ascii="Cambria" w:cs="Cambria" w:eastAsia="Cambria" w:hAnsi="Cambria"/>
      <w:sz w:val="24"/>
      <w:szCs w:val="24"/>
    </w:rPr>
  </w:style>
  <w:style w:styleId="924" w:type="paragraph">
    <w:name w:val="Date"/>
    <w:basedOn w:val="919"/>
    <w:next w:val="916"/>
    <w:qFormat/>
    <w:pPr>
      <w:keepNext w:val="true"/>
      <w:keepLines w:val="true"/>
      <w:pBdr/>
      <w:spacing/>
      <w:ind/>
    </w:pPr>
    <w:rPr>
      <w:rFonts w:ascii="Cambria" w:cs="Cambria" w:eastAsia="Cambria" w:hAnsi="Cambria"/>
      <w:sz w:val="24"/>
      <w:szCs w:val="24"/>
    </w:rPr>
  </w:style>
  <w:style w:customStyle="1" w:styleId="925" w:type="paragraph">
    <w:name w:val="Abstract Title"/>
    <w:basedOn w:val="903"/>
    <w:next w:val="926"/>
    <w:qFormat/>
    <w:pPr>
      <w:keepNext w:val="true"/>
      <w:keepLines w:val="true"/>
      <w:pBdr/>
      <w:spacing w:after="0" w:before="300"/>
      <w:ind/>
      <w:jc w:val="center"/>
    </w:pPr>
    <w:rPr>
      <w:b/>
      <w:sz w:val="20"/>
      <w:szCs w:val="20"/>
    </w:rPr>
  </w:style>
  <w:style w:customStyle="1" w:styleId="926" w:type="paragraph">
    <w:name w:val="Abstract"/>
    <w:basedOn w:val="903"/>
    <w:next w:val="916"/>
    <w:qFormat/>
    <w:pPr>
      <w:keepNext w:val="true"/>
      <w:keepLines w:val="true"/>
      <w:pBdr/>
      <w:spacing w:after="300" w:before="100"/>
      <w:ind/>
    </w:pPr>
    <w:rPr>
      <w:sz w:val="20"/>
      <w:szCs w:val="20"/>
    </w:rPr>
  </w:style>
  <w:style w:styleId="927" w:type="paragraph">
    <w:name w:val="Bibliography"/>
    <w:basedOn w:val="903"/>
    <w:qFormat/>
    <w:pPr>
      <w:pBdr/>
      <w:spacing/>
      <w:ind/>
    </w:pPr>
  </w:style>
  <w:style w:customStyle="1" w:styleId="928" w:type="character">
    <w:name w:val="Título 1 Char"/>
    <w:link w:val="904"/>
    <w:uiPriority w:val="9"/>
    <w:pPr>
      <w:pBdr/>
      <w:spacing/>
      <w:ind/>
    </w:pPr>
    <w:rPr>
      <w:rFonts w:ascii="Cambria" w:cs="Cambria" w:eastAsia="Cambria" w:hAnsi="Cambria"/>
    </w:rPr>
  </w:style>
  <w:style w:customStyle="1" w:styleId="929" w:type="character">
    <w:name w:val="Título 2 Char"/>
    <w:link w:val="905"/>
    <w:uiPriority w:val="9"/>
    <w:semiHidden/>
    <w:pPr>
      <w:pBdr/>
      <w:spacing/>
      <w:ind/>
    </w:pPr>
    <w:rPr>
      <w:rFonts w:ascii="Cambria" w:cs="Cambria" w:eastAsia="Cambria" w:hAnsi="Cambria"/>
    </w:rPr>
  </w:style>
  <w:style w:customStyle="1" w:styleId="930" w:type="character">
    <w:name w:val="Título 3 Char"/>
    <w:link w:val="906"/>
    <w:uiPriority w:val="9"/>
    <w:semiHidden/>
    <w:pPr>
      <w:pBdr/>
      <w:spacing/>
      <w:ind/>
    </w:pPr>
    <w:rPr>
      <w:rFonts w:ascii="Cambria" w:cs="Cambria" w:eastAsia="Cambria" w:hAnsi="Cambria"/>
    </w:rPr>
  </w:style>
  <w:style w:customStyle="1" w:styleId="931" w:type="character">
    <w:name w:val="Título 4 Char"/>
    <w:link w:val="907"/>
    <w:uiPriority w:val="9"/>
    <w:semiHidden/>
    <w:pPr>
      <w:pBdr/>
      <w:spacing/>
      <w:ind/>
    </w:pPr>
    <w:rPr>
      <w:rFonts w:ascii="Cambria" w:cs="Cambria" w:eastAsia="Cambria" w:hAnsi="Cambria"/>
    </w:rPr>
  </w:style>
  <w:style w:customStyle="1" w:styleId="932" w:type="character">
    <w:name w:val="Título 5 Char"/>
    <w:link w:val="908"/>
    <w:uiPriority w:val="9"/>
    <w:semiHidden/>
    <w:pPr>
      <w:pBdr/>
      <w:spacing/>
      <w:ind/>
    </w:pPr>
    <w:rPr>
      <w:rFonts w:ascii="Cambria" w:cs="Cambria" w:eastAsia="Cambria" w:hAnsi="Cambria"/>
    </w:rPr>
  </w:style>
  <w:style w:customStyle="1" w:styleId="933" w:type="character">
    <w:name w:val="Título 6 Char"/>
    <w:link w:val="909"/>
    <w:uiPriority w:val="9"/>
    <w:semiHidden/>
    <w:pPr>
      <w:pBdr/>
      <w:spacing/>
      <w:ind/>
    </w:pPr>
    <w:rPr>
      <w:rFonts w:ascii="Cambria" w:cs="Cambria" w:eastAsia="Cambria" w:hAnsi="Cambria"/>
    </w:rPr>
  </w:style>
  <w:style w:customStyle="1" w:styleId="934" w:type="character">
    <w:name w:val="Título 7 Char"/>
    <w:link w:val="910"/>
    <w:uiPriority w:val="9"/>
    <w:semiHidden/>
    <w:pPr>
      <w:pBdr/>
      <w:spacing/>
      <w:ind/>
    </w:pPr>
    <w:rPr>
      <w:rFonts w:ascii="Cambria" w:cs="Cambria" w:eastAsia="Cambria" w:hAnsi="Cambria"/>
    </w:rPr>
  </w:style>
  <w:style w:customStyle="1" w:styleId="935" w:type="character">
    <w:name w:val="Título 8 Char"/>
    <w:link w:val="911"/>
    <w:uiPriority w:val="9"/>
    <w:semiHidden/>
    <w:pPr>
      <w:pBdr/>
      <w:spacing/>
      <w:ind/>
    </w:pPr>
    <w:rPr>
      <w:rFonts w:ascii="Cambria" w:cs="Cambria" w:eastAsia="Cambria" w:hAnsi="Cambria"/>
    </w:rPr>
  </w:style>
  <w:style w:customStyle="1" w:styleId="936" w:type="character">
    <w:name w:val="Título 9 Char"/>
    <w:link w:val="912"/>
    <w:uiPriority w:val="9"/>
    <w:semiHidden/>
    <w:pPr>
      <w:pBdr/>
      <w:spacing/>
      <w:ind/>
    </w:pPr>
    <w:rPr>
      <w:rFonts w:ascii="Cambria" w:cs="Cambria" w:eastAsia="Cambria" w:hAnsi="Cambria"/>
    </w:rPr>
  </w:style>
  <w:style w:styleId="937" w:type="paragraph">
    <w:name w:val="Block Text"/>
    <w:basedOn w:val="916"/>
    <w:next w:val="916"/>
    <w:uiPriority w:val="9"/>
    <w:unhideWhenUsed/>
    <w:qFormat/>
    <w:pPr>
      <w:pBdr/>
      <w:spacing w:after="100" w:before="100"/>
      <w:ind w:left="480" w:right="480"/>
    </w:pPr>
  </w:style>
  <w:style w:styleId="938" w:type="paragraph">
    <w:name w:val="footnote text"/>
    <w:basedOn w:val="903"/>
    <w:uiPriority w:val="9"/>
    <w:unhideWhenUsed/>
    <w:qFormat/>
    <w:pPr>
      <w:pBdr/>
      <w:spacing/>
      <w:ind/>
    </w:pPr>
    <w:rPr>
      <w:rFonts w:ascii="Cambria" w:cs="Cambria" w:eastAsia="Cambria" w:hAnsi="Cambria"/>
    </w:rPr>
  </w:style>
  <w:style w:customStyle="1" w:styleId="939" w:type="paragraph">
    <w:name w:val="Footnote Block Text"/>
    <w:basedOn w:val="938"/>
    <w:next w:val="938"/>
    <w:uiPriority w:val="9"/>
    <w:unhideWhenUsed/>
    <w:qFormat/>
    <w:pPr>
      <w:pBdr/>
      <w:spacing w:after="100" w:before="100"/>
      <w:ind w:left="480" w:right="480"/>
    </w:pPr>
  </w:style>
  <w:style w:customStyle="1" w:styleId="940" w:type="table">
    <w:name w:val="Table"/>
    <w:semiHidden/>
    <w:unhideWhenUsed/>
    <w:qFormat/>
    <w:pPr>
      <w:pBdr/>
      <w:spacing/>
      <w:ind/>
    </w:pPr>
    <w:tblPr>
      <w:tblInd w:type="dxa" w:w="0"/>
      <w:tblCellMar>
        <w:left w:type="dxa" w:w="108"/>
        <w:top w:type="dxa" w:w="0"/>
        <w:right w:type="dxa" w:w="108"/>
        <w:bottom w:type="dxa" w:w="0"/>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color="000000" w:space="0" w:sz="0" w:val="single"/>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customStyle="1" w:styleId="941" w:type="paragraph">
    <w:name w:val="Definition Term"/>
    <w:basedOn w:val="903"/>
    <w:next w:val="942"/>
    <w:pPr>
      <w:keepNext w:val="true"/>
      <w:keepLines w:val="true"/>
      <w:pBdr/>
      <w:spacing w:after="0"/>
      <w:ind/>
    </w:pPr>
    <w:rPr>
      <w:b/>
    </w:rPr>
  </w:style>
  <w:style w:customStyle="1" w:styleId="942" w:type="paragraph">
    <w:name w:val="Definition"/>
    <w:basedOn w:val="903"/>
    <w:pPr>
      <w:pBdr/>
      <w:spacing/>
      <w:ind/>
    </w:pPr>
  </w:style>
  <w:style w:styleId="943" w:type="paragraph">
    <w:name w:val="Caption"/>
    <w:basedOn w:val="903"/>
    <w:link w:val="948"/>
    <w:pPr>
      <w:pBdr/>
      <w:spacing w:after="120"/>
      <w:ind/>
    </w:pPr>
    <w:rPr>
      <w:i/>
    </w:rPr>
  </w:style>
  <w:style w:customStyle="1" w:styleId="944" w:type="paragraph">
    <w:name w:val="Table Caption"/>
    <w:basedOn w:val="943"/>
    <w:pPr>
      <w:keepNext w:val="true"/>
      <w:pBdr/>
      <w:spacing/>
      <w:ind/>
    </w:pPr>
  </w:style>
  <w:style w:customStyle="1" w:styleId="945" w:type="paragraph">
    <w:name w:val="Image Caption"/>
    <w:basedOn w:val="943"/>
    <w:pPr>
      <w:pBdr/>
      <w:spacing/>
      <w:ind/>
    </w:pPr>
  </w:style>
  <w:style w:customStyle="1" w:styleId="946" w:type="paragraph">
    <w:name w:val="Figure"/>
    <w:basedOn w:val="903"/>
    <w:pPr>
      <w:pBdr/>
      <w:spacing/>
      <w:ind/>
    </w:pPr>
  </w:style>
  <w:style w:customStyle="1" w:styleId="947" w:type="paragraph">
    <w:name w:val="Captioned Figure"/>
    <w:basedOn w:val="946"/>
    <w:pPr>
      <w:keepNext w:val="true"/>
      <w:pBdr/>
      <w:spacing/>
      <w:ind/>
    </w:pPr>
  </w:style>
  <w:style w:customStyle="1" w:styleId="948" w:type="character">
    <w:name w:val="Legenda Char"/>
    <w:basedOn w:val="913"/>
    <w:link w:val="943"/>
    <w:pPr>
      <w:pBdr/>
      <w:spacing/>
      <w:ind/>
    </w:pPr>
  </w:style>
  <w:style w:customStyle="1" w:styleId="949" w:type="character">
    <w:name w:val="Verbatim Char"/>
    <w:basedOn w:val="948"/>
    <w:pPr>
      <w:pBdr/>
      <w:spacing/>
      <w:ind/>
    </w:pPr>
    <w:rPr>
      <w:rFonts w:ascii="Consolas" w:hAnsi="Consolas"/>
      <w:sz w:val="20"/>
    </w:rPr>
  </w:style>
  <w:style w:customStyle="1" w:styleId="950" w:type="character">
    <w:name w:val="Section Number"/>
    <w:basedOn w:val="948"/>
    <w:pPr>
      <w:pBdr/>
      <w:spacing/>
      <w:ind/>
    </w:pPr>
  </w:style>
  <w:style w:styleId="951" w:type="character">
    <w:name w:val="footnote reference"/>
    <w:basedOn w:val="948"/>
    <w:pPr>
      <w:pBdr/>
      <w:spacing/>
      <w:ind/>
    </w:pPr>
    <w:rPr>
      <w:vertAlign w:val="superscript"/>
    </w:rPr>
  </w:style>
  <w:style w:styleId="952" w:type="character">
    <w:name w:val="Hyperlink"/>
    <w:basedOn w:val="948"/>
    <w:pPr>
      <w:pBdr/>
      <w:spacing/>
      <w:ind/>
    </w:pPr>
    <w:rPr>
      <w:color w:themeColor="accent1" w:val="156082"/>
    </w:rPr>
  </w:style>
  <w:style w:styleId="953" w:type="paragraph">
    <w:name w:val="TOC Heading"/>
    <w:basedOn w:val="904"/>
    <w:next w:val="916"/>
    <w:uiPriority w:val="39"/>
    <w:unhideWhenUsed/>
    <w:qFormat/>
    <w:pPr>
      <w:pBdr/>
      <w:spacing w:before="240" w:line="259" w:lineRule="auto"/>
      <w:ind/>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header1.xml" Type="http://schemas.openxmlformats.org/officeDocument/2006/relationships/header" /><Relationship Type="http://schemas.openxmlformats.org/officeDocument/2006/relationships/hyperlink" Id="rId61" Target="https://CRAN.R-project.org/package=httr2" TargetMode="External" /><Relationship Type="http://schemas.openxmlformats.org/officeDocument/2006/relationships/hyperlink" Id="rId58" Target="https://arxiv.org/abs/1403.2805" TargetMode="External" /><Relationship Type="http://schemas.openxmlformats.org/officeDocument/2006/relationships/hyperlink" Id="rId60" Target="https://doi.org/10.32614/CRAN.package.httr2" TargetMode="External" /></Relationships>
</file>

<file path=word/_rels/endnotes.xml.rels><?xml version="1.0" encoding="UTF-8" standalone="yes"?><Relationships xmlns="http://schemas.openxmlformats.org/package/2006/relationships"></Relationships>
</file>

<file path=word/_rels/footnotes.xml.rels><?xml version="1.0" encoding="UTF-8"?><Relationships xmlns="http://schemas.openxmlformats.org/package/2006/relationships"><Relationship Type="http://schemas.openxmlformats.org/officeDocument/2006/relationships/hyperlink" Id="rId61" Target="https://CRAN.R-project.org/package=httr2" TargetMode="External" /><Relationship Type="http://schemas.openxmlformats.org/officeDocument/2006/relationships/hyperlink" Id="rId58" Target="https://arxiv.org/abs/1403.2805" TargetMode="External" /><Relationship Type="http://schemas.openxmlformats.org/officeDocument/2006/relationships/hyperlink" Id="rId60" Target="https://doi.org/10.32614/CRAN.package.httr2" TargetMode="External" /></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Apêndice J — Categorização das discordâncias em efeitos duradouros</dc:title>
  <dc:creator/>
  <dc:language>pt-BR</dc:language>
  <cp:keywords/>
  <dcterms:created xsi:type="dcterms:W3CDTF">2026-09-28T21:02:18Z</dcterms:created>
  <dcterms:modified xsi:type="dcterms:W3CDTF">2026-09-28T21:02:18Z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./Quarto/referencias.bibtex</vt:lpwstr>
  </property>
  <property fmtid="{D5CDD505-2E9C-101B-9397-08002B2CF9AE}" pid="4" name="csl">
    <vt:lpwstr>./Quarto/abnt-nbr-6023-2018-citacao-autor-data.csl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ocite">
    <vt:lpwstr>@jsonlite, @httr2</vt:lpwstr>
  </property>
  <property fmtid="{D5CDD505-2E9C-101B-9397-08002B2CF9AE}" pid="12" name="toc-title">
    <vt:lpwstr>Índice</vt:lpwstr>
  </property>
</Properties>
</file>