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3"/>
        <w:pBdr/>
        <w:spacing/>
        <w:ind/>
        <w:rPr/>
      </w:pPr>
      <w:r>
        <w:t xml:space="preserve">Apêndice III - Recolhimento de Amostra</w:t>
      </w:r>
      <w:r/>
    </w:p>
    <w:p>
      <w:pPr>
        <w:pStyle w:val="708"/>
        <w:pBdr/>
        <w:spacing/>
        <w:ind/>
        <w:rPr/>
      </w:pPr>
      <w:r/>
      <w:bookmarkStart w:id="20" w:name="introdução"/>
      <w:r>
        <w:t xml:space="preserve">Introdução</w:t>
      </w:r>
      <w:r/>
    </w:p>
    <w:p>
      <w:pPr>
        <w:pStyle w:val="721"/>
        <w:pBdr/>
        <w:spacing/>
        <w:ind/>
        <w:rPr/>
      </w:pPr>
      <w:r>
        <w:t xml:space="preserve">O presente apêndice registra os passos tomados para a escolha de um conjunto de recomendações para exemplificar o processo de classificação.</w:t>
      </w:r>
      <w:r/>
    </w:p>
    <w:p>
      <w:pPr>
        <w:pStyle w:val="758"/>
        <w:pBdr/>
        <w:spacing/>
        <w:ind/>
        <w:rPr/>
      </w:pPr>
      <w:r>
        <w:rPr>
          <w:rStyle w:val="776"/>
        </w:rPr>
        <w:t xml:space="preserve">set.seed</w:t>
      </w:r>
      <w:r>
        <w:rPr>
          <w:rStyle w:val="789"/>
        </w:rPr>
        <w:t xml:space="preserve">(</w:t>
      </w:r>
      <w:r>
        <w:rPr>
          <w:rStyle w:val="761"/>
        </w:rPr>
        <w:t xml:space="preserve">42</w:t>
      </w:r>
      <w:r>
        <w:rPr>
          <w:rStyle w:val="789"/>
        </w:rPr>
        <w:t xml:space="preserve">)</w:t>
      </w:r>
      <w:r>
        <w:br/>
      </w:r>
      <w:r>
        <w:br/>
      </w:r>
      <w:r>
        <w:rPr>
          <w:rStyle w:val="789"/>
        </w:rPr>
        <w:t xml:space="preserve">dataset_final </w:t>
      </w:r>
      <w:r>
        <w:rPr>
          <w:rStyle w:val="775"/>
        </w:rPr>
        <w:t xml:space="preserve">&lt;-</w:t>
      </w:r>
      <w:r>
        <w:rPr>
          <w:rStyle w:val="789"/>
        </w:rPr>
        <w:t xml:space="preserve"> </w:t>
      </w:r>
      <w:r>
        <w:rPr>
          <w:rStyle w:val="776"/>
        </w:rPr>
        <w:t xml:space="preserve">read_rds</w:t>
      </w:r>
      <w:r>
        <w:rPr>
          <w:rStyle w:val="789"/>
        </w:rPr>
        <w:t xml:space="preserve">(</w:t>
      </w:r>
      <w:r>
        <w:rPr>
          <w:rStyle w:val="767"/>
        </w:rPr>
        <w:t xml:space="preserve">"./Dados Gerados/dataset_final.rds"</w:t>
      </w:r>
      <w:r>
        <w:rPr>
          <w:rStyle w:val="789"/>
        </w:rPr>
        <w:t xml:space="preserve">) </w:t>
      </w:r>
      <w:r>
        <w:rPr>
          <w:rStyle w:val="766"/>
        </w:rPr>
        <w:t xml:space="preserve">|&gt;</w:t>
      </w:r>
      <w:r>
        <w:br/>
      </w:r>
      <w:r>
        <w:rPr>
          <w:rStyle w:val="789"/>
        </w:rPr>
        <w:t xml:space="preserve">    </w:t>
      </w:r>
      <w:r>
        <w:rPr>
          <w:rStyle w:val="776"/>
        </w:rPr>
        <w:t xml:space="preserve">filter</w:t>
      </w:r>
      <w:r>
        <w:rPr>
          <w:rStyle w:val="789"/>
        </w:rPr>
        <w:t xml:space="preserve">(</w:t>
      </w:r>
      <w:r>
        <w:rPr>
          <w:rStyle w:val="766"/>
        </w:rPr>
        <w:t xml:space="preserve">!</w:t>
      </w:r>
      <w:r>
        <w:rPr>
          <w:rStyle w:val="776"/>
        </w:rPr>
        <w:t xml:space="preserve">is.na</w:t>
      </w:r>
      <w:r>
        <w:rPr>
          <w:rStyle w:val="789"/>
        </w:rPr>
        <w:t xml:space="preserve">(</w:t>
      </w:r>
      <w:r>
        <w:rPr>
          <w:rStyle w:val="767"/>
        </w:rPr>
        <w:t xml:space="preserve">`</w:t>
      </w:r>
      <w:r>
        <w:rPr>
          <w:rStyle w:val="783"/>
        </w:rPr>
        <w:t xml:space="preserve">Categoria (Calculada)</w:t>
      </w:r>
      <w:r>
        <w:rPr>
          <w:rStyle w:val="767"/>
        </w:rPr>
        <w:t xml:space="preserve">`</w:t>
      </w:r>
      <w:r>
        <w:rPr>
          <w:rStyle w:val="789"/>
        </w:rPr>
        <w:t xml:space="preserve">) </w:t>
      </w:r>
      <w:r>
        <w:rPr>
          <w:rStyle w:val="766"/>
        </w:rPr>
        <w:t xml:space="preserve">&amp;</w:t>
      </w:r>
      <w:r>
        <w:rPr>
          <w:rStyle w:val="789"/>
        </w:rPr>
        <w:t xml:space="preserve"> </w:t>
      </w:r>
      <w:r>
        <w:rPr>
          <w:rStyle w:val="766"/>
        </w:rPr>
        <w:t xml:space="preserve">!</w:t>
      </w:r>
      <w:r>
        <w:rPr>
          <w:rStyle w:val="776"/>
        </w:rPr>
        <w:t xml:space="preserve">is.na</w:t>
      </w:r>
      <w:r>
        <w:rPr>
          <w:rStyle w:val="789"/>
        </w:rPr>
        <w:t xml:space="preserve">(</w:t>
      </w:r>
      <w:r>
        <w:rPr>
          <w:rStyle w:val="767"/>
        </w:rPr>
        <w:t xml:space="preserve">`</w:t>
      </w:r>
      <w:r>
        <w:rPr>
          <w:rStyle w:val="783"/>
        </w:rPr>
        <w:t xml:space="preserve">Categoria (LLM)</w:t>
      </w:r>
      <w:r>
        <w:rPr>
          <w:rStyle w:val="767"/>
        </w:rPr>
        <w:t xml:space="preserve">`</w:t>
      </w:r>
      <w:r>
        <w:rPr>
          <w:rStyle w:val="789"/>
        </w:rPr>
        <w:t xml:space="preserve">))</w:t>
      </w:r>
      <w:r>
        <w:br/>
      </w:r>
      <w:r>
        <w:br/>
      </w:r>
      <w:r>
        <w:rPr>
          <w:rStyle w:val="789"/>
        </w:rPr>
        <w:t xml:space="preserve">obtem_funcao_print </w:t>
      </w:r>
      <w:r>
        <w:rPr>
          <w:rStyle w:val="775"/>
        </w:rPr>
        <w:t xml:space="preserve">&lt;-</w:t>
      </w:r>
      <w:r>
        <w:rPr>
          <w:rStyle w:val="789"/>
        </w:rPr>
        <w:t xml:space="preserve"> </w:t>
      </w:r>
      <w:r>
        <w:rPr>
          <w:rStyle w:val="778"/>
        </w:rPr>
        <w:t xml:space="preserve">function</w:t>
      </w:r>
      <w:r>
        <w:rPr>
          <w:rStyle w:val="789"/>
        </w:rPr>
        <w:t xml:space="preserve">(df){</w:t>
      </w:r>
      <w:r>
        <w:br/>
      </w:r>
      <w:r>
        <w:rPr>
          <w:rStyle w:val="789"/>
        </w:rPr>
        <w:t xml:space="preserve">    obtem_campo </w:t>
      </w:r>
      <w:r>
        <w:rPr>
          <w:rStyle w:val="775"/>
        </w:rPr>
        <w:t xml:space="preserve">&lt;-</w:t>
      </w:r>
      <w:r>
        <w:rPr>
          <w:rStyle w:val="789"/>
        </w:rPr>
        <w:t xml:space="preserve"> </w:t>
      </w:r>
      <w:r>
        <w:rPr>
          <w:rStyle w:val="778"/>
        </w:rPr>
        <w:t xml:space="preserve">function</w:t>
      </w:r>
      <w:r>
        <w:rPr>
          <w:rStyle w:val="789"/>
        </w:rPr>
        <w:t xml:space="preserve">(indice, campo){</w:t>
      </w:r>
      <w:r>
        <w:br/>
      </w:r>
      <w:r>
        <w:rPr>
          <w:rStyle w:val="789"/>
        </w:rPr>
        <w:t xml:space="preserve">        df[indice, campo] </w:t>
      </w:r>
      <w:r>
        <w:rPr>
          <w:rStyle w:val="766"/>
        </w:rPr>
        <w:t xml:space="preserve">|&gt;</w:t>
      </w:r>
      <w:r>
        <w:rPr>
          <w:rStyle w:val="789"/>
        </w:rPr>
        <w:t xml:space="preserve"> </w:t>
      </w:r>
      <w:r>
        <w:br/>
      </w:r>
      <w:r>
        <w:rPr>
          <w:rStyle w:val="789"/>
        </w:rPr>
        <w:t xml:space="preserve">        purrr</w:t>
      </w:r>
      <w:r>
        <w:rPr>
          <w:rStyle w:val="766"/>
        </w:rPr>
        <w:t xml:space="preserve">::</w:t>
      </w:r>
      <w:r>
        <w:rPr>
          <w:rStyle w:val="776"/>
        </w:rPr>
        <w:t xml:space="preserve">pluck</w:t>
      </w:r>
      <w:r>
        <w:rPr>
          <w:rStyle w:val="789"/>
        </w:rPr>
        <w:t xml:space="preserve">(</w:t>
      </w:r>
      <w:r>
        <w:rPr>
          <w:rStyle w:val="761"/>
        </w:rPr>
        <w:t xml:space="preserve">1</w:t>
      </w:r>
      <w:r>
        <w:rPr>
          <w:rStyle w:val="789"/>
        </w:rPr>
        <w:t xml:space="preserve">)</w:t>
      </w:r>
      <w:r>
        <w:br/>
      </w:r>
      <w:r>
        <w:rPr>
          <w:rStyle w:val="789"/>
        </w:rPr>
        <w:t xml:space="preserve">    }</w:t>
      </w:r>
      <w:r>
        <w:br/>
      </w:r>
      <w:r>
        <w:rPr>
          <w:rStyle w:val="789"/>
        </w:rPr>
        <w:t xml:space="preserve">    </w:t>
      </w:r>
      <w:r>
        <w:rPr>
          <w:rStyle w:val="778"/>
        </w:rPr>
        <w:t xml:space="preserve">function</w:t>
      </w:r>
      <w:r>
        <w:rPr>
          <w:rStyle w:val="789"/>
        </w:rPr>
        <w:t xml:space="preserve">(i){</w:t>
      </w:r>
      <w:r>
        <w:br/>
      </w:r>
      <w:r>
        <w:rPr>
          <w:rStyle w:val="789"/>
        </w:rPr>
        <w:t xml:space="preserve">        </w:t>
      </w:r>
      <w:r>
        <w:rPr>
          <w:rStyle w:val="776"/>
        </w:rPr>
        <w:t xml:space="preserve">cat</w:t>
      </w:r>
      <w:r>
        <w:rPr>
          <w:rStyle w:val="789"/>
        </w:rPr>
        <w:t xml:space="preserve">(</w:t>
      </w:r>
      <w:r>
        <w:br/>
      </w:r>
      <w:r>
        <w:rPr>
          <w:rStyle w:val="789"/>
        </w:rPr>
        <w:t xml:space="preserve">            </w:t>
      </w:r>
      <w:r>
        <w:rPr>
          <w:rStyle w:val="767"/>
        </w:rPr>
        <w:t xml:space="preserve">"## Auditoria "</w:t>
      </w:r>
      <w:r>
        <w:rPr>
          <w:rStyle w:val="789"/>
        </w:rPr>
        <w:t xml:space="preserve">, </w:t>
      </w:r>
      <w:r>
        <w:rPr>
          <w:rStyle w:val="776"/>
        </w:rPr>
        <w:t xml:space="preserve">obtem_campo</w:t>
      </w:r>
      <w:r>
        <w:rPr>
          <w:rStyle w:val="789"/>
        </w:rPr>
        <w:t xml:space="preserve">(i, </w:t>
      </w:r>
      <w:r>
        <w:rPr>
          <w:rStyle w:val="767"/>
        </w:rPr>
        <w:t xml:space="preserve">"No. Auditoria"</w:t>
      </w:r>
      <w:r>
        <w:rPr>
          <w:rStyle w:val="789"/>
        </w:rPr>
        <w:t xml:space="preserve">), </w:t>
      </w:r>
      <w:r>
        <w:br/>
      </w:r>
      <w:r>
        <w:rPr>
          <w:rStyle w:val="789"/>
        </w:rPr>
        <w:t xml:space="preserve">            </w:t>
      </w:r>
      <w:r>
        <w:rPr>
          <w:rStyle w:val="767"/>
        </w:rPr>
        <w:t xml:space="preserve">", Constatação Nº "</w:t>
      </w:r>
      <w:r>
        <w:rPr>
          <w:rStyle w:val="789"/>
        </w:rPr>
        <w:t xml:space="preserve">, </w:t>
      </w:r>
      <w:r>
        <w:rPr>
          <w:rStyle w:val="776"/>
        </w:rPr>
        <w:t xml:space="preserve">obtem_campo</w:t>
      </w:r>
      <w:r>
        <w:rPr>
          <w:rStyle w:val="789"/>
        </w:rPr>
        <w:t xml:space="preserve">(i, </w:t>
      </w:r>
      <w:r>
        <w:rPr>
          <w:rStyle w:val="767"/>
        </w:rPr>
        <w:t xml:space="preserve">"# Constatação"</w:t>
      </w:r>
      <w:r>
        <w:rPr>
          <w:rStyle w:val="789"/>
        </w:rPr>
        <w:t xml:space="preserve">), </w:t>
      </w:r>
      <w:r>
        <w:rPr>
          <w:rStyle w:val="767"/>
        </w:rPr>
        <w:t xml:space="preserve">"</w:t>
      </w:r>
      <w:r>
        <w:rPr>
          <w:rStyle w:val="766"/>
        </w:rPr>
        <w:t xml:space="preserve">\n\n</w:t>
      </w:r>
      <w:r>
        <w:rPr>
          <w:rStyle w:val="767"/>
        </w:rPr>
        <w:t xml:space="preserve">"</w:t>
      </w:r>
      <w:r>
        <w:rPr>
          <w:rStyle w:val="789"/>
        </w:rPr>
        <w:t xml:space="preserve">,</w:t>
      </w:r>
      <w:r>
        <w:br/>
      </w:r>
      <w:r>
        <w:rPr>
          <w:rStyle w:val="789"/>
        </w:rPr>
        <w:t xml:space="preserve">            </w:t>
      </w:r>
      <w:r>
        <w:rPr>
          <w:rStyle w:val="767"/>
        </w:rPr>
        <w:t xml:space="preserve">"**Finalidade**: "</w:t>
      </w:r>
      <w:r>
        <w:rPr>
          <w:rStyle w:val="789"/>
        </w:rPr>
        <w:t xml:space="preserve"> , </w:t>
      </w:r>
      <w:r>
        <w:rPr>
          <w:rStyle w:val="776"/>
        </w:rPr>
        <w:t xml:space="preserve">obtem_campo</w:t>
      </w:r>
      <w:r>
        <w:rPr>
          <w:rStyle w:val="789"/>
        </w:rPr>
        <w:t xml:space="preserve">(i, </w:t>
      </w:r>
      <w:r>
        <w:rPr>
          <w:rStyle w:val="767"/>
        </w:rPr>
        <w:t xml:space="preserve">"Finalidade"</w:t>
      </w:r>
      <w:r>
        <w:rPr>
          <w:rStyle w:val="789"/>
        </w:rPr>
        <w:t xml:space="preserve">), </w:t>
      </w:r>
      <w:r>
        <w:rPr>
          <w:rStyle w:val="767"/>
        </w:rPr>
        <w:t xml:space="preserve">"</w:t>
      </w:r>
      <w:r>
        <w:rPr>
          <w:rStyle w:val="766"/>
        </w:rPr>
        <w:t xml:space="preserve">\n\n</w:t>
      </w:r>
      <w:r>
        <w:rPr>
          <w:rStyle w:val="767"/>
        </w:rPr>
        <w:t xml:space="preserve">"</w:t>
      </w:r>
      <w:r>
        <w:rPr>
          <w:rStyle w:val="789"/>
        </w:rPr>
        <w:t xml:space="preserve">,</w:t>
      </w:r>
      <w:r>
        <w:br/>
      </w:r>
      <w:r>
        <w:rPr>
          <w:rStyle w:val="789"/>
        </w:rPr>
        <w:t xml:space="preserve">            </w:t>
      </w:r>
      <w:r>
        <w:rPr>
          <w:rStyle w:val="767"/>
        </w:rPr>
        <w:t xml:space="preserve">"**Constatação**: "</w:t>
      </w:r>
      <w:r>
        <w:rPr>
          <w:rStyle w:val="789"/>
        </w:rPr>
        <w:t xml:space="preserve">, </w:t>
      </w:r>
      <w:r>
        <w:rPr>
          <w:rStyle w:val="776"/>
        </w:rPr>
        <w:t xml:space="preserve">obtem_campo</w:t>
      </w:r>
      <w:r>
        <w:rPr>
          <w:rStyle w:val="789"/>
        </w:rPr>
        <w:t xml:space="preserve">(i, </w:t>
      </w:r>
      <w:r>
        <w:rPr>
          <w:rStyle w:val="767"/>
        </w:rPr>
        <w:t xml:space="preserve">"Constatação"</w:t>
      </w:r>
      <w:r>
        <w:rPr>
          <w:rStyle w:val="789"/>
        </w:rPr>
        <w:t xml:space="preserve">), </w:t>
      </w:r>
      <w:r>
        <w:rPr>
          <w:rStyle w:val="767"/>
        </w:rPr>
        <w:t xml:space="preserve">"</w:t>
      </w:r>
      <w:r>
        <w:rPr>
          <w:rStyle w:val="766"/>
        </w:rPr>
        <w:t xml:space="preserve">\n\n</w:t>
      </w:r>
      <w:r>
        <w:rPr>
          <w:rStyle w:val="767"/>
        </w:rPr>
        <w:t xml:space="preserve">"</w:t>
      </w:r>
      <w:r>
        <w:rPr>
          <w:rStyle w:val="789"/>
        </w:rPr>
        <w:t xml:space="preserve">,</w:t>
      </w:r>
      <w:r>
        <w:br/>
      </w:r>
      <w:r>
        <w:rPr>
          <w:rStyle w:val="789"/>
        </w:rPr>
        <w:t xml:space="preserve">            </w:t>
      </w:r>
      <w:r>
        <w:rPr>
          <w:rStyle w:val="767"/>
        </w:rPr>
        <w:t xml:space="preserve">"**Recomendação**: "</w:t>
      </w:r>
      <w:r>
        <w:rPr>
          <w:rStyle w:val="789"/>
        </w:rPr>
        <w:t xml:space="preserve"> , </w:t>
      </w:r>
      <w:r>
        <w:rPr>
          <w:rStyle w:val="776"/>
        </w:rPr>
        <w:t xml:space="preserve">obtem_campo</w:t>
      </w:r>
      <w:r>
        <w:rPr>
          <w:rStyle w:val="789"/>
        </w:rPr>
        <w:t xml:space="preserve">(i, </w:t>
      </w:r>
      <w:r>
        <w:rPr>
          <w:rStyle w:val="767"/>
        </w:rPr>
        <w:t xml:space="preserve">"Recomendação"</w:t>
      </w:r>
      <w:r>
        <w:rPr>
          <w:rStyle w:val="789"/>
        </w:rPr>
        <w:t xml:space="preserve">), </w:t>
      </w:r>
      <w:r>
        <w:rPr>
          <w:rStyle w:val="767"/>
        </w:rPr>
        <w:t xml:space="preserve">"</w:t>
      </w:r>
      <w:r>
        <w:rPr>
          <w:rStyle w:val="766"/>
        </w:rPr>
        <w:t xml:space="preserve">\n\n</w:t>
      </w:r>
      <w:r>
        <w:rPr>
          <w:rStyle w:val="767"/>
        </w:rPr>
        <w:t xml:space="preserve">"</w:t>
      </w:r>
      <w:r>
        <w:rPr>
          <w:rStyle w:val="789"/>
        </w:rPr>
        <w:t xml:space="preserve">,</w:t>
      </w:r>
      <w:r>
        <w:br/>
      </w:r>
      <w:r>
        <w:rPr>
          <w:rStyle w:val="789"/>
        </w:rPr>
        <w:t xml:space="preserve">            </w:t>
      </w:r>
      <w:r>
        <w:rPr>
          <w:rStyle w:val="767"/>
        </w:rPr>
        <w:t xml:space="preserve">"**Categoria via Codificação (Calculada): "</w:t>
      </w:r>
      <w:r>
        <w:rPr>
          <w:rStyle w:val="789"/>
        </w:rPr>
        <w:t xml:space="preserve"> , </w:t>
      </w:r>
      <w:r>
        <w:br/>
      </w:r>
      <w:r>
        <w:rPr>
          <w:rStyle w:val="789"/>
        </w:rPr>
        <w:t xml:space="preserve">            </w:t>
      </w:r>
      <w:r>
        <w:rPr>
          <w:rStyle w:val="776"/>
        </w:rPr>
        <w:t xml:space="preserve">obtem_campo</w:t>
      </w:r>
      <w:r>
        <w:rPr>
          <w:rStyle w:val="789"/>
        </w:rPr>
        <w:t xml:space="preserve">(i, </w:t>
      </w:r>
      <w:r>
        <w:rPr>
          <w:rStyle w:val="767"/>
        </w:rPr>
        <w:t xml:space="preserve">"Categoria (Calculada)"</w:t>
      </w:r>
      <w:r>
        <w:rPr>
          <w:rStyle w:val="789"/>
        </w:rPr>
        <w:t xml:space="preserve">), </w:t>
      </w:r>
      <w:r>
        <w:rPr>
          <w:rStyle w:val="767"/>
        </w:rPr>
        <w:t xml:space="preserve">"**</w:t>
      </w:r>
      <w:r>
        <w:rPr>
          <w:rStyle w:val="766"/>
        </w:rPr>
        <w:t xml:space="preserve">\n\n</w:t>
      </w:r>
      <w:r>
        <w:rPr>
          <w:rStyle w:val="767"/>
        </w:rPr>
        <w:t xml:space="preserve">"</w:t>
      </w:r>
      <w:r>
        <w:rPr>
          <w:rStyle w:val="789"/>
        </w:rPr>
        <w:t xml:space="preserve">,</w:t>
      </w:r>
      <w:r>
        <w:br/>
      </w:r>
      <w:r>
        <w:rPr>
          <w:rStyle w:val="789"/>
        </w:rPr>
        <w:t xml:space="preserve">            </w:t>
      </w:r>
      <w:r>
        <w:rPr>
          <w:rStyle w:val="767"/>
        </w:rPr>
        <w:t xml:space="preserve">"Análise Codificação: "</w:t>
      </w:r>
      <w:r>
        <w:rPr>
          <w:rStyle w:val="789"/>
        </w:rPr>
        <w:t xml:space="preserve"> , </w:t>
      </w:r>
      <w:r>
        <w:rPr>
          <w:rStyle w:val="776"/>
        </w:rPr>
        <w:t xml:space="preserve">obtem_campo</w:t>
      </w:r>
      <w:r>
        <w:rPr>
          <w:rStyle w:val="789"/>
        </w:rPr>
        <w:t xml:space="preserve">(i, </w:t>
      </w:r>
      <w:r>
        <w:rPr>
          <w:rStyle w:val="767"/>
        </w:rPr>
        <w:t xml:space="preserve">"Análise Codificação"</w:t>
      </w:r>
      <w:r>
        <w:rPr>
          <w:rStyle w:val="789"/>
        </w:rPr>
        <w:t xml:space="preserve">), </w:t>
      </w:r>
      <w:r>
        <w:rPr>
          <w:rStyle w:val="767"/>
        </w:rPr>
        <w:t xml:space="preserve">"</w:t>
      </w:r>
      <w:r>
        <w:rPr>
          <w:rStyle w:val="766"/>
        </w:rPr>
        <w:t xml:space="preserve">\n\n</w:t>
      </w:r>
      <w:r>
        <w:rPr>
          <w:rStyle w:val="767"/>
        </w:rPr>
        <w:t xml:space="preserve">"</w:t>
      </w:r>
      <w:r>
        <w:rPr>
          <w:rStyle w:val="789"/>
        </w:rPr>
        <w:t xml:space="preserve">,</w:t>
      </w:r>
      <w:r>
        <w:br/>
      </w:r>
      <w:r>
        <w:rPr>
          <w:rStyle w:val="789"/>
        </w:rPr>
        <w:t xml:space="preserve">            </w:t>
      </w:r>
      <w:r>
        <w:rPr>
          <w:rStyle w:val="767"/>
        </w:rPr>
        <w:t xml:space="preserve">"- Causa Identificada: "</w:t>
      </w:r>
      <w:r>
        <w:rPr>
          <w:rStyle w:val="789"/>
        </w:rPr>
        <w:t xml:space="preserve"> , </w:t>
      </w:r>
      <w:r>
        <w:rPr>
          <w:rStyle w:val="776"/>
        </w:rPr>
        <w:t xml:space="preserve">obtem_campo</w:t>
      </w:r>
      <w:r>
        <w:rPr>
          <w:rStyle w:val="789"/>
        </w:rPr>
        <w:t xml:space="preserve">(i, </w:t>
      </w:r>
      <w:r>
        <w:rPr>
          <w:rStyle w:val="767"/>
        </w:rPr>
        <w:t xml:space="preserve">"Causa Identificada"</w:t>
      </w:r>
      <w:r>
        <w:rPr>
          <w:rStyle w:val="789"/>
        </w:rPr>
        <w:t xml:space="preserve">), </w:t>
      </w:r>
      <w:r>
        <w:rPr>
          <w:rStyle w:val="767"/>
        </w:rPr>
        <w:t xml:space="preserve">"</w:t>
      </w:r>
      <w:r>
        <w:rPr>
          <w:rStyle w:val="766"/>
        </w:rPr>
        <w:t xml:space="preserve">\n</w:t>
      </w:r>
      <w:r>
        <w:rPr>
          <w:rStyle w:val="767"/>
        </w:rPr>
        <w:t xml:space="preserve">"</w:t>
      </w:r>
      <w:r>
        <w:rPr>
          <w:rStyle w:val="789"/>
        </w:rPr>
        <w:t xml:space="preserve">,</w:t>
      </w:r>
      <w:r>
        <w:br/>
      </w:r>
      <w:r>
        <w:rPr>
          <w:rStyle w:val="789"/>
        </w:rPr>
        <w:t xml:space="preserve">            </w:t>
      </w:r>
      <w:r>
        <w:rPr>
          <w:rStyle w:val="767"/>
        </w:rPr>
        <w:t xml:space="preserve">"- Causa Institucional: "</w:t>
      </w:r>
      <w:r>
        <w:rPr>
          <w:rStyle w:val="789"/>
        </w:rPr>
        <w:t xml:space="preserve"> , </w:t>
      </w:r>
      <w:r>
        <w:rPr>
          <w:rStyle w:val="776"/>
        </w:rPr>
        <w:t xml:space="preserve">obtem_campo</w:t>
      </w:r>
      <w:r>
        <w:rPr>
          <w:rStyle w:val="789"/>
        </w:rPr>
        <w:t xml:space="preserve">(i, </w:t>
      </w:r>
      <w:r>
        <w:rPr>
          <w:rStyle w:val="767"/>
        </w:rPr>
        <w:t xml:space="preserve">"Causa Institucional"</w:t>
      </w:r>
      <w:r>
        <w:rPr>
          <w:rStyle w:val="789"/>
        </w:rPr>
        <w:t xml:space="preserve">), </w:t>
      </w:r>
      <w:r>
        <w:rPr>
          <w:rStyle w:val="767"/>
        </w:rPr>
        <w:t xml:space="preserve">"</w:t>
      </w:r>
      <w:r>
        <w:rPr>
          <w:rStyle w:val="766"/>
        </w:rPr>
        <w:t xml:space="preserve">\n</w:t>
      </w:r>
      <w:r>
        <w:rPr>
          <w:rStyle w:val="767"/>
        </w:rPr>
        <w:t xml:space="preserve">"</w:t>
      </w:r>
      <w:r>
        <w:rPr>
          <w:rStyle w:val="789"/>
        </w:rPr>
        <w:t xml:space="preserve">,</w:t>
      </w:r>
      <w:r>
        <w:br/>
      </w:r>
      <w:r>
        <w:rPr>
          <w:rStyle w:val="789"/>
        </w:rPr>
        <w:t xml:space="preserve">            </w:t>
      </w:r>
      <w:r>
        <w:rPr>
          <w:rStyle w:val="767"/>
        </w:rPr>
        <w:t xml:space="preserve">"- Solução Duradoura:"</w:t>
      </w:r>
      <w:r>
        <w:rPr>
          <w:rStyle w:val="789"/>
        </w:rPr>
        <w:t xml:space="preserve"> , </w:t>
      </w:r>
      <w:r>
        <w:rPr>
          <w:rStyle w:val="776"/>
        </w:rPr>
        <w:t xml:space="preserve">obtem_campo</w:t>
      </w:r>
      <w:r>
        <w:rPr>
          <w:rStyle w:val="789"/>
        </w:rPr>
        <w:t xml:space="preserve">(i, </w:t>
      </w:r>
      <w:r>
        <w:rPr>
          <w:rStyle w:val="767"/>
        </w:rPr>
        <w:t xml:space="preserve">"Solução Duradoura"</w:t>
      </w:r>
      <w:r>
        <w:rPr>
          <w:rStyle w:val="789"/>
        </w:rPr>
        <w:t xml:space="preserve">), </w:t>
      </w:r>
      <w:r>
        <w:rPr>
          <w:rStyle w:val="767"/>
        </w:rPr>
        <w:t xml:space="preserve">"</w:t>
      </w:r>
      <w:r>
        <w:rPr>
          <w:rStyle w:val="766"/>
        </w:rPr>
        <w:t xml:space="preserve">\n\n</w:t>
      </w:r>
      <w:r>
        <w:rPr>
          <w:rStyle w:val="767"/>
        </w:rPr>
        <w:t xml:space="preserve">"</w:t>
      </w:r>
      <w:r>
        <w:rPr>
          <w:rStyle w:val="789"/>
        </w:rPr>
        <w:t xml:space="preserve">,</w:t>
      </w:r>
      <w:r>
        <w:br/>
      </w:r>
      <w:r>
        <w:rPr>
          <w:rStyle w:val="789"/>
        </w:rPr>
        <w:t xml:space="preserve">            </w:t>
      </w:r>
      <w:r>
        <w:rPr>
          <w:rStyle w:val="767"/>
        </w:rPr>
        <w:t xml:space="preserve">"**Categoria via Categorização Direta: "</w:t>
      </w:r>
      <w:r>
        <w:rPr>
          <w:rStyle w:val="789"/>
        </w:rPr>
        <w:t xml:space="preserve"> , </w:t>
      </w:r>
      <w:r>
        <w:br/>
      </w:r>
      <w:r>
        <w:rPr>
          <w:rStyle w:val="789"/>
        </w:rPr>
        <w:t xml:space="preserve">            </w:t>
      </w:r>
      <w:r>
        <w:rPr>
          <w:rStyle w:val="776"/>
        </w:rPr>
        <w:t xml:space="preserve">obtem_campo</w:t>
      </w:r>
      <w:r>
        <w:rPr>
          <w:rStyle w:val="789"/>
        </w:rPr>
        <w:t xml:space="preserve">(i, </w:t>
      </w:r>
      <w:r>
        <w:rPr>
          <w:rStyle w:val="767"/>
        </w:rPr>
        <w:t xml:space="preserve">"Categoria (LLM)"</w:t>
      </w:r>
      <w:r>
        <w:rPr>
          <w:rStyle w:val="789"/>
        </w:rPr>
        <w:t xml:space="preserve">), </w:t>
      </w:r>
      <w:r>
        <w:rPr>
          <w:rStyle w:val="767"/>
        </w:rPr>
        <w:t xml:space="preserve">"**</w:t>
      </w:r>
      <w:r>
        <w:rPr>
          <w:rStyle w:val="766"/>
        </w:rPr>
        <w:t xml:space="preserve">\n\n</w:t>
      </w:r>
      <w:r>
        <w:rPr>
          <w:rStyle w:val="767"/>
        </w:rPr>
        <w:t xml:space="preserve">"</w:t>
      </w:r>
      <w:r>
        <w:rPr>
          <w:rStyle w:val="789"/>
        </w:rPr>
        <w:t xml:space="preserve">,</w:t>
      </w:r>
      <w:r>
        <w:br/>
      </w:r>
      <w:r>
        <w:rPr>
          <w:rStyle w:val="789"/>
        </w:rPr>
        <w:t xml:space="preserve">            </w:t>
      </w:r>
      <w:r>
        <w:rPr>
          <w:rStyle w:val="767"/>
        </w:rPr>
        <w:t xml:space="preserve">"Análise: "</w:t>
      </w:r>
      <w:r>
        <w:rPr>
          <w:rStyle w:val="789"/>
        </w:rPr>
        <w:t xml:space="preserve"> , </w:t>
      </w:r>
      <w:r>
        <w:rPr>
          <w:rStyle w:val="776"/>
        </w:rPr>
        <w:t xml:space="preserve">obtem_campo</w:t>
      </w:r>
      <w:r>
        <w:rPr>
          <w:rStyle w:val="789"/>
        </w:rPr>
        <w:t xml:space="preserve">(i, </w:t>
      </w:r>
      <w:r>
        <w:rPr>
          <w:rStyle w:val="767"/>
        </w:rPr>
        <w:t xml:space="preserve">"Análise Categorização"</w:t>
      </w:r>
      <w:r>
        <w:rPr>
          <w:rStyle w:val="789"/>
        </w:rPr>
        <w:t xml:space="preserve">), </w:t>
      </w:r>
      <w:r>
        <w:rPr>
          <w:rStyle w:val="767"/>
        </w:rPr>
        <w:t xml:space="preserve">"</w:t>
      </w:r>
      <w:r>
        <w:rPr>
          <w:rStyle w:val="766"/>
        </w:rPr>
        <w:t xml:space="preserve">\n\n</w:t>
      </w:r>
      <w:r>
        <w:rPr>
          <w:rStyle w:val="767"/>
        </w:rPr>
        <w:t xml:space="preserve">"</w:t>
      </w:r>
      <w:r>
        <w:rPr>
          <w:rStyle w:val="789"/>
        </w:rPr>
        <w:t xml:space="preserve">,</w:t>
      </w:r>
      <w:r>
        <w:br/>
      </w:r>
      <w:r>
        <w:rPr>
          <w:rStyle w:val="789"/>
        </w:rPr>
        <w:t xml:space="preserve">            </w:t>
      </w:r>
      <w:r>
        <w:rPr>
          <w:rStyle w:val="783"/>
        </w:rPr>
        <w:t xml:space="preserve">sep =</w:t>
      </w:r>
      <w:r>
        <w:rPr>
          <w:rStyle w:val="789"/>
        </w:rPr>
        <w:t xml:space="preserve"> </w:t>
      </w:r>
      <w:r>
        <w:rPr>
          <w:rStyle w:val="767"/>
        </w:rPr>
        <w:t xml:space="preserve">""</w:t>
      </w:r>
      <w:r>
        <w:br/>
      </w:r>
      <w:r>
        <w:rPr>
          <w:rStyle w:val="789"/>
        </w:rPr>
        <w:t xml:space="preserve">        )</w:t>
      </w:r>
      <w:r>
        <w:br/>
      </w:r>
      <w:r>
        <w:rPr>
          <w:rStyle w:val="789"/>
        </w:rPr>
        <w:t xml:space="preserve">    }</w:t>
      </w:r>
      <w:r>
        <w:br/>
      </w:r>
      <w:r>
        <w:rPr>
          <w:rStyle w:val="789"/>
        </w:rPr>
        <w:t xml:space="preserve">}</w:t>
      </w:r>
      <w:r>
        <w:br/>
      </w:r>
      <w:r>
        <w:br/>
      </w:r>
      <w:r>
        <w:br/>
      </w:r>
      <w:r>
        <w:rPr>
          <w:rStyle w:val="789"/>
        </w:rPr>
        <w:t xml:space="preserve">exemplos </w:t>
      </w:r>
      <w:r>
        <w:rPr>
          <w:rStyle w:val="775"/>
        </w:rPr>
        <w:t xml:space="preserve">&lt;-</w:t>
      </w:r>
      <w:r>
        <w:rPr>
          <w:rStyle w:val="789"/>
        </w:rPr>
        <w:t xml:space="preserve"> dataset_final </w:t>
      </w:r>
      <w:r>
        <w:rPr>
          <w:rStyle w:val="766"/>
        </w:rPr>
        <w:t xml:space="preserve">|&gt;</w:t>
      </w:r>
      <w:r>
        <w:br/>
      </w:r>
      <w:r>
        <w:rPr>
          <w:rStyle w:val="789"/>
        </w:rPr>
        <w:t xml:space="preserve">    </w:t>
      </w:r>
      <w:r>
        <w:rPr>
          <w:rStyle w:val="776"/>
        </w:rPr>
        <w:t xml:space="preserve">group_by</w:t>
      </w:r>
      <w:r>
        <w:rPr>
          <w:rStyle w:val="789"/>
        </w:rPr>
        <w:t xml:space="preserve">(</w:t>
      </w:r>
      <w:r>
        <w:rPr>
          <w:rStyle w:val="767"/>
        </w:rPr>
        <w:t xml:space="preserve">`</w:t>
      </w:r>
      <w:r>
        <w:rPr>
          <w:rStyle w:val="783"/>
        </w:rPr>
        <w:t xml:space="preserve">Categoria (LLM)</w:t>
      </w:r>
      <w:r>
        <w:rPr>
          <w:rStyle w:val="767"/>
        </w:rPr>
        <w:t xml:space="preserve">`</w:t>
      </w:r>
      <w:r>
        <w:rPr>
          <w:rStyle w:val="789"/>
        </w:rPr>
        <w:t xml:space="preserve">, </w:t>
      </w:r>
      <w:r>
        <w:rPr>
          <w:rStyle w:val="767"/>
        </w:rPr>
        <w:t xml:space="preserve">`</w:t>
      </w:r>
      <w:r>
        <w:rPr>
          <w:rStyle w:val="783"/>
        </w:rPr>
        <w:t xml:space="preserve">Categoria (Calculada)</w:t>
      </w:r>
      <w:r>
        <w:rPr>
          <w:rStyle w:val="767"/>
        </w:rPr>
        <w:t xml:space="preserve">`</w:t>
      </w:r>
      <w:r>
        <w:rPr>
          <w:rStyle w:val="789"/>
        </w:rPr>
        <w:t xml:space="preserve">) </w:t>
      </w:r>
      <w:r>
        <w:rPr>
          <w:rStyle w:val="766"/>
        </w:rPr>
        <w:t xml:space="preserve">|&gt;</w:t>
      </w:r>
      <w:r>
        <w:br/>
      </w:r>
      <w:r>
        <w:rPr>
          <w:rStyle w:val="789"/>
        </w:rPr>
        <w:t xml:space="preserve">    </w:t>
      </w:r>
      <w:r>
        <w:rPr>
          <w:rStyle w:val="776"/>
        </w:rPr>
        <w:t xml:space="preserve">slice_sample</w:t>
      </w:r>
      <w:r>
        <w:rPr>
          <w:rStyle w:val="789"/>
        </w:rPr>
        <w:t xml:space="preserve">(</w:t>
      </w:r>
      <w:r>
        <w:rPr>
          <w:rStyle w:val="783"/>
        </w:rPr>
        <w:t xml:space="preserve">n =</w:t>
      </w:r>
      <w:r>
        <w:rPr>
          <w:rStyle w:val="789"/>
        </w:rPr>
        <w:t xml:space="preserve"> </w:t>
      </w:r>
      <w:r>
        <w:rPr>
          <w:rStyle w:val="761"/>
        </w:rPr>
        <w:t xml:space="preserve">5</w:t>
      </w:r>
      <w:r>
        <w:rPr>
          <w:rStyle w:val="789"/>
        </w:rPr>
        <w:t xml:space="preserve">)</w:t>
      </w:r>
      <w:bookmarkEnd w:id="20"/>
      <w:r/>
    </w:p>
    <w:p>
      <w:pPr>
        <w:pStyle w:val="708"/>
        <w:pBdr/>
        <w:spacing/>
        <w:ind/>
        <w:rPr/>
      </w:pPr>
      <w:r/>
      <w:bookmarkStart w:id="26" w:name="X4dc3495d6af814a3700a21b962658115c5d1403"/>
      <w:r>
        <w:t xml:space="preserve">Exemplos Recomendações com Foco na Causa e Análise Convergente</w:t>
      </w:r>
      <w:r/>
    </w:p>
    <w:p>
      <w:pPr>
        <w:pStyle w:val="709"/>
        <w:pBdr/>
        <w:spacing/>
        <w:ind/>
        <w:rPr/>
      </w:pPr>
      <w:r/>
      <w:bookmarkStart w:id="21" w:name="auditoria-19780-constatação-nº-692350"/>
      <w:r>
        <w:t xml:space="preserve">Auditoria 19780, Constatação Nº 692350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Verificar se a SMS possui controles internos capazes de assegurar adequadamente a Cadeia de Frio.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O processo de armazenamento e a gestão de estoque dos imunobiológicos na Central Municipal de Rede de Frio de Lagarto/SE não são realizados integralmente de acordo com os normativos vigentes e as orientações preconizadas pelo PNI.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Elaborar Mapa Ilustrativo com identificação do equipamento e indicação dos imunobiológicos armazenados por compartimento; manter os registros do monitoramento da temperatura dos imunobiológicos por, pelo menos, dois anos</w:t>
      </w:r>
      <w:r>
        <w:t xml:space="preserve">; realizar gestão de estoque sistematizada que contemple o controle do estoque inicial e final, entradas, saídas, lotes, validade e a relação das UBSs que receberam imunobiológicos, com a respectiva indicação dos lotes e validade; e garantir a aplicação do</w:t>
      </w:r>
      <w:r>
        <w:t xml:space="preserve"> </w:t>
      </w:r>
      <w:r>
        <w:t xml:space="preserve">“Sistema Primeiro a Entrar, Primeiro a Sair (PEPS)”</w:t>
      </w:r>
      <w:r>
        <w:t xml:space="preserve">, em conformidade com o recomendado no subitem 7.2 do Manual de Rede de Frio do PNI (5ª edição, 2017), na RDC ANVISA Nº 63, de 25/11/2011, Capítulo II, Seção VIII, Art. 51, e na RDC ANVISA Nº 430, de 08/10/2020, Capítulo II, Seção IV, Art. 43.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foco-causa</w:t>
      </w:r>
      <w:r/>
    </w:p>
    <w:p>
      <w:pPr>
        <w:pStyle w:val="720"/>
        <w:pBdr/>
        <w:spacing/>
        <w:ind/>
        <w:rPr/>
      </w:pPr>
      <w:r>
        <w:t xml:space="preserve">Análise Codificação: A recomendação aborda múltiplas ações para corrigir falhas no processo de armazenamento e gestão de est</w:t>
      </w:r>
      <w:r>
        <w:t xml:space="preserve">oque de imunobiológicos, incluindo a elaboração de um mapa ilustrativo, manutenção de registros de temperatura, gestão sistematizada de estoque e aplicação do sistema PEPS. Ela identifica causas institucionais como a falta de procedimentos padronizados, co</w:t>
      </w:r>
      <w:r>
        <w:t xml:space="preserve">ntroles sistemáticos e documentação adequada, que são fatores estruturais. As soluções propostas, como a implementação de sistemas de gestão e documentação, têm potencial para perdurar no tempo, promovendo mudanças duradouras nos processos organizacionais.</w:t>
      </w:r>
      <w:r/>
    </w:p>
    <w:p>
      <w:pPr>
        <w:pStyle w:val="722"/>
        <w:numPr>
          <w:ilvl w:val="0"/>
          <w:numId w:val="3"/>
        </w:numPr>
        <w:pBdr/>
        <w:spacing/>
        <w:ind/>
        <w:rPr/>
      </w:pPr>
      <w:r>
        <w:t xml:space="preserve">Causa Identificada: sim</w:t>
      </w:r>
      <w:r/>
    </w:p>
    <w:p>
      <w:pPr>
        <w:pStyle w:val="722"/>
        <w:numPr>
          <w:ilvl w:val="0"/>
          <w:numId w:val="3"/>
        </w:numPr>
        <w:pBdr/>
        <w:spacing/>
        <w:ind/>
        <w:rPr/>
      </w:pPr>
      <w:r>
        <w:t xml:space="preserve">Causa Institucional: sim</w:t>
      </w:r>
      <w:r/>
    </w:p>
    <w:p>
      <w:pPr>
        <w:pStyle w:val="722"/>
        <w:numPr>
          <w:ilvl w:val="0"/>
          <w:numId w:val="3"/>
        </w:numPr>
        <w:pBdr/>
        <w:spacing/>
        <w:ind/>
        <w:rPr/>
      </w:pPr>
      <w:r>
        <w:t xml:space="preserve">Solução Duradoura:sim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foco-causa</w:t>
      </w:r>
      <w:r/>
    </w:p>
    <w:p>
      <w:pPr>
        <w:pStyle w:val="720"/>
        <w:pBdr/>
        <w:spacing/>
        <w:ind/>
        <w:rPr/>
      </w:pPr>
      <w:r>
        <w:t xml:space="preserve">Análise: A recomendação identifica múltiplas causas institucionais que levaram à condição detectada, incluindo a ausência de documentação adeq</w:t>
      </w:r>
      <w:r>
        <w:t xml:space="preserve">uada (mapa ilustrativo), falhas no registro e monitoramento de dados, falta de sistematização na gestão de estoque e não aplicação de procedimentos operacionais padronizados (PEPS). Essas causas estão situadas no nível institucional, relacionadas à estrutu</w:t>
      </w:r>
      <w:r>
        <w:t xml:space="preserve">ra de processos, controles e conformidade normativa. As transformações propostas, como a implementação de sistemas de registro, monitoramento e gestão, possuem potencial para perdurar no tempo, promovendo mudanças estruturais na operação da cadeia de frio.</w:t>
      </w:r>
      <w:bookmarkEnd w:id="21"/>
      <w:r/>
    </w:p>
    <w:p>
      <w:pPr>
        <w:pStyle w:val="709"/>
        <w:pBdr/>
        <w:spacing/>
        <w:ind/>
        <w:rPr/>
      </w:pPr>
      <w:r/>
      <w:bookmarkStart w:id="22" w:name="auditoria-19657-constatação-nº-685723"/>
      <w:r>
        <w:t xml:space="preserve">Auditoria 19657, Constatação Nº 685723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Auditoria no PREVINE - PAA/2024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Os instrumentos de gestão (PMS, PAS e RAG) do município do Novo Airão/AM não contemplam as informações quantitativas e qualitativas referentes aos indicadores do Programa Previne Brasil.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Elaborar os instrumentos de planejamento e gestão do município, (PMS, PAS e RAG) considerando todos os critérios para detalhamento das ações e serviços</w:t>
      </w:r>
      <w:r>
        <w:t xml:space="preserve"> da APS, assim como informar o montante dos recursos financeiros recebidos e a fonte dos recursos aplicados, conforme estabelecido nos Arts. 96, 97, 99 da Portaria de Consolidação GM/MS Nº 1/2017, combinado o art. 36, da Lei Complementar Nº 141/2012, de mo</w:t>
      </w:r>
      <w:r>
        <w:t xml:space="preserve">do que os instrumentos de planejamento e gestão contenham informações quantitativas (recursos financeiros) e qualitativas (ações, metas e o impacto social dos resultados obtidos) referentes aos 7 (sete) indicadores de desempenho do Programa Previne Brasil.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foco-causa</w:t>
      </w:r>
      <w:r/>
    </w:p>
    <w:p>
      <w:pPr>
        <w:pStyle w:val="720"/>
        <w:pBdr/>
        <w:spacing/>
        <w:ind/>
        <w:rPr/>
      </w:pPr>
      <w:r>
        <w:t xml:space="preserve">Análise C</w:t>
      </w:r>
      <w:r>
        <w:t xml:space="preserve">odificação: A recomendação propõe a elaboração dos instrumentos de planejamento e gestão (PMS, PAS e RAG) do município, incluindo informações quantitativas e qualitativas sobre os indicadores do Programa Previne Brasil, conforme normativas legais. Ela iden</w:t>
      </w:r>
      <w:r>
        <w:t xml:space="preserve">tifica a causa como a ausência dessas informações nos instrumentos, situada no nível institucional (estrutura de planejamento municipal), e a solução visa estabelecer um processo permanente de registro e monitoramento, com potencial para perdurar no tempo.</w:t>
      </w:r>
      <w:r/>
    </w:p>
    <w:p>
      <w:pPr>
        <w:pStyle w:val="722"/>
        <w:numPr>
          <w:ilvl w:val="0"/>
          <w:numId w:val="4"/>
        </w:numPr>
        <w:pBdr/>
        <w:spacing/>
        <w:ind/>
        <w:rPr/>
      </w:pPr>
      <w:r>
        <w:t xml:space="preserve">Causa Identificada: sim</w:t>
      </w:r>
      <w:r/>
    </w:p>
    <w:p>
      <w:pPr>
        <w:pStyle w:val="722"/>
        <w:numPr>
          <w:ilvl w:val="0"/>
          <w:numId w:val="4"/>
        </w:numPr>
        <w:pBdr/>
        <w:spacing/>
        <w:ind/>
        <w:rPr/>
      </w:pPr>
      <w:r>
        <w:t xml:space="preserve">Causa Institucional: sim</w:t>
      </w:r>
      <w:r/>
    </w:p>
    <w:p>
      <w:pPr>
        <w:pStyle w:val="722"/>
        <w:numPr>
          <w:ilvl w:val="0"/>
          <w:numId w:val="4"/>
        </w:numPr>
        <w:pBdr/>
        <w:spacing/>
        <w:ind/>
        <w:rPr/>
      </w:pPr>
      <w:r>
        <w:t xml:space="preserve">Solução Duradoura:sim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foco-causa</w:t>
      </w:r>
      <w:r/>
    </w:p>
    <w:p>
      <w:pPr>
        <w:pStyle w:val="720"/>
        <w:pBdr/>
        <w:spacing/>
        <w:ind/>
        <w:rPr/>
      </w:pPr>
      <w:r>
        <w:t xml:space="preserve">Análise: A recomendação identifica a causa (ausência de informações quantitativas e qualitativas nos instrumentos de gestão) que levou à condição detectada,</w:t>
      </w:r>
      <w:r>
        <w:t xml:space="preserve"> situa-se no nível institucional (estrutura de planejamento e gestão municipal) e as transformações produzidas (implementação de instrumentos de gestão completos e padronizados) possuem potencial para perdurar no tempo, constituindo uma mudança estrutural.</w:t>
      </w:r>
      <w:bookmarkEnd w:id="22"/>
      <w:r/>
    </w:p>
    <w:p>
      <w:pPr>
        <w:pStyle w:val="709"/>
        <w:pBdr/>
        <w:spacing/>
        <w:ind/>
        <w:rPr/>
      </w:pPr>
      <w:r/>
      <w:bookmarkStart w:id="23" w:name="auditoria-19616-constatação-nº-676174"/>
      <w:r>
        <w:t xml:space="preserve">Auditoria 19616, Constatação Nº 676174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Avaliar a execução dos convênios firmados com organizações sociais no âmbito da Saúde Indígena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Ausência de demonstração da definição do valor de referência para as despesas estabelecidas no Plano de Trabalho do Convênio de 2022.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Adotar </w:t>
      </w:r>
      <w:r>
        <w:t xml:space="preserve">as providências no sentido de solicitar das proponentes, para os próximos convênios a serem celebrados, que os Planos de Trabalho apresentados detenham demonstrativo das pesquisas de preço no mercado para definição dos valores de referência das despesas es</w:t>
      </w:r>
      <w:r>
        <w:t xml:space="preserve">tabelecidas, conforme apresentado em justificativa encaminha, observando o que dispõe os arts. 3º e 5º da IN SEGES /ME nº 65, de 07/07/2021, bem como o inciso XXXIV, do §1º, do art. 1º, e inciso V, art. 19 da Portaria InterministerialMP/MF/CGU nº 424/2016.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foco-causa</w:t>
      </w:r>
      <w:r/>
    </w:p>
    <w:p>
      <w:pPr>
        <w:pStyle w:val="720"/>
        <w:pBdr/>
        <w:spacing/>
        <w:ind/>
        <w:rPr/>
      </w:pPr>
      <w:r>
        <w:t xml:space="preserve">Análise Codifica</w:t>
      </w:r>
      <w:r>
        <w:t xml:space="preserve">ção: A recomendação propõe que, para futuros convênios, os Planos de Trabalho incluam demonstrativos de pesquisas de preço para definir valores de referência, com base em normativas específicas. Ela identifica a causa como a ausência de procedimentos forma</w:t>
      </w:r>
      <w:r>
        <w:t xml:space="preserve">is para comprovação de preços, situando-a no nível institucional (falta de exigência documental padronizada), e a solução (exigir demonstrativos) tem potencial para perdurar, pois estabelece um requisito permanente nos processos de celebração de convênios.</w:t>
      </w:r>
      <w:r/>
    </w:p>
    <w:p>
      <w:pPr>
        <w:pStyle w:val="722"/>
        <w:numPr>
          <w:ilvl w:val="0"/>
          <w:numId w:val="5"/>
        </w:numPr>
        <w:pBdr/>
        <w:spacing/>
        <w:ind/>
        <w:rPr/>
      </w:pPr>
      <w:r>
        <w:t xml:space="preserve">Causa Identificada: sim</w:t>
      </w:r>
      <w:r/>
    </w:p>
    <w:p>
      <w:pPr>
        <w:pStyle w:val="722"/>
        <w:numPr>
          <w:ilvl w:val="0"/>
          <w:numId w:val="5"/>
        </w:numPr>
        <w:pBdr/>
        <w:spacing/>
        <w:ind/>
        <w:rPr/>
      </w:pPr>
      <w:r>
        <w:t xml:space="preserve">Causa Institucional: sim</w:t>
      </w:r>
      <w:r/>
    </w:p>
    <w:p>
      <w:pPr>
        <w:pStyle w:val="722"/>
        <w:numPr>
          <w:ilvl w:val="0"/>
          <w:numId w:val="5"/>
        </w:numPr>
        <w:pBdr/>
        <w:spacing/>
        <w:ind/>
        <w:rPr/>
      </w:pPr>
      <w:r>
        <w:t xml:space="preserve">Solução Duradoura:sim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foco-causa</w:t>
      </w:r>
      <w:r/>
    </w:p>
    <w:p>
      <w:pPr>
        <w:pStyle w:val="720"/>
        <w:pBdr/>
        <w:spacing/>
        <w:ind/>
        <w:rPr/>
      </w:pPr>
      <w:r>
        <w:t xml:space="preserve">Análise: A recomendação identifica a causa da ausência de demonstração de valores de referência (falta de exigência formal nos processos futuros) e está situada no nível institucional</w:t>
      </w:r>
      <w:r>
        <w:t xml:space="preserve">, ao propor a implementação de um requisito permanente para todos os próximos convênios, com base em normativas legais. As transformações possuem potencial para perdurar no tempo, pois estabelecem um procedimento padrão que evitará a repetição do problema.</w:t>
      </w:r>
      <w:bookmarkEnd w:id="23"/>
      <w:r/>
    </w:p>
    <w:p>
      <w:pPr>
        <w:pStyle w:val="709"/>
        <w:pBdr/>
        <w:spacing/>
        <w:ind/>
        <w:rPr/>
      </w:pPr>
      <w:r/>
      <w:bookmarkStart w:id="24" w:name="auditoria-19762-constatação-nº-694339"/>
      <w:r>
        <w:t xml:space="preserve">Auditoria 19762, Constatação Nº 694339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Verificar a regularidade na aquisição de insumos da grade de materiais químicos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O HFSE não tem realizado prioritariamente licitações para a aquisição de insumos da grade de materiais químicos.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Planejar as futuras aquisições de materiais químicos </w:t>
      </w:r>
      <w:r>
        <w:t xml:space="preserve">priorizando a realização de pregão próprio, conforme Lei n.° 14.133, de 2021, em detrimento de adesões reiteradas, bem como considerar o processamento dessa por meio de sistema de registro de preços, conforme regulamentado pelo Decreto n.° 11.462, de 2023.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foco-causa</w:t>
      </w:r>
      <w:r/>
    </w:p>
    <w:p>
      <w:pPr>
        <w:pStyle w:val="720"/>
        <w:pBdr/>
        <w:spacing/>
        <w:ind/>
        <w:rPr/>
      </w:pPr>
      <w:r>
        <w:t xml:space="preserve">Análise Codificação: A recomendação propõe que o HFSE planeje as futuras aquisições de materiais químicos priorizando pregão próprio e considerando sistema de registro de preços, em v</w:t>
      </w:r>
      <w:r>
        <w:t xml:space="preserve">ez de adesões reiteradas. Isso aborda a causa da falta de planejamento e dependência de adesões, situando-a no nível institucional (processos de compras) e promovendo uma solução duradoura ao estabelecer mudanças estruturais nos procedimentos de aquisição.</w:t>
      </w:r>
      <w:r/>
    </w:p>
    <w:p>
      <w:pPr>
        <w:pStyle w:val="722"/>
        <w:numPr>
          <w:ilvl w:val="0"/>
          <w:numId w:val="6"/>
        </w:numPr>
        <w:pBdr/>
        <w:spacing/>
        <w:ind/>
        <w:rPr/>
      </w:pPr>
      <w:r>
        <w:t xml:space="preserve">Causa Identificada: sim</w:t>
      </w:r>
      <w:r/>
    </w:p>
    <w:p>
      <w:pPr>
        <w:pStyle w:val="722"/>
        <w:numPr>
          <w:ilvl w:val="0"/>
          <w:numId w:val="6"/>
        </w:numPr>
        <w:pBdr/>
        <w:spacing/>
        <w:ind/>
        <w:rPr/>
      </w:pPr>
      <w:r>
        <w:t xml:space="preserve">Causa Institucional: sim</w:t>
      </w:r>
      <w:r/>
    </w:p>
    <w:p>
      <w:pPr>
        <w:pStyle w:val="722"/>
        <w:numPr>
          <w:ilvl w:val="0"/>
          <w:numId w:val="6"/>
        </w:numPr>
        <w:pBdr/>
        <w:spacing/>
        <w:ind/>
        <w:rPr/>
      </w:pPr>
      <w:r>
        <w:t xml:space="preserve">Solução Duradoura:sim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foco-causa</w:t>
      </w:r>
      <w:r/>
    </w:p>
    <w:p>
      <w:pPr>
        <w:pStyle w:val="720"/>
        <w:pBdr/>
        <w:spacing/>
        <w:ind/>
        <w:rPr/>
      </w:pPr>
      <w:r>
        <w:t xml:space="preserve">Análise: A recomendação identifica a causa da condição </w:t>
      </w:r>
      <w:r>
        <w:t xml:space="preserve">detectada (falta de planejamento nas aquisições) e propõe mudanças institucionais (priorização de pregão próprio e uso de sistema de registro de preços) que, se implementadas, terão efeito duradouro, alterando processos organizacionais de forma estrutural.</w:t>
      </w:r>
      <w:bookmarkEnd w:id="24"/>
      <w:r/>
    </w:p>
    <w:p>
      <w:pPr>
        <w:pStyle w:val="709"/>
        <w:pBdr/>
        <w:spacing/>
        <w:ind/>
        <w:rPr/>
      </w:pPr>
      <w:r/>
      <w:bookmarkStart w:id="25" w:name="auditoria-19620-constatação-nº-685627"/>
      <w:r>
        <w:t xml:space="preserve">Auditoria 19620, Constatação Nº 685627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Verificar regularidade recebimento, armazenamento, dispensação e utilização das OPME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Os exames de imagem para controle da utilização das OPME cardiovasculares implantadas nos pacientes submetidos à intervenção cirúrgica no Hospital Federal dos Servidores do Estado (HFSE) não foram anexados em todos os prontuários analisados.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Implantar rotina de inserção dos e</w:t>
      </w:r>
      <w:r>
        <w:t xml:space="preserve">xames imagem para controle da utilização das OPME implantadas nos pacientes submetidos à intervenção cirúrgica nos prontuários do HFSE, conforme o disposto no item 6.3 (CONTROLE DA OPME), do CAPÍTULO 6 (UTILIZAÇÃO, CONTROLE E RASTREABILIDADE), do Manual de</w:t>
      </w:r>
      <w:r>
        <w:t xml:space="preserve"> Boas Práticas de Gestão das Órteses, Próteses e Materiais Especiais (OPME) - Ministério da Saúde, 2016 e no item 28.1 - Registro de Notas Fiscais no SISAIAH01 do Manual Técnico Operacional do Sistema de Informação Hospitalar (versão 2017). Assegurar que a</w:t>
      </w:r>
      <w:r>
        <w:t xml:space="preserve">s informações de rastreabilidade estejam nos prontuários dos pacientes que utilizaram OPME de forma clara e segura conforme o disposto no item 6.4 (RASTREABILIDADE DA OPME), do Manual de Boas Práticas de Gestão das Órteses, Próteses e Materiais Especiais (</w:t>
      </w:r>
      <w:r>
        <w:t xml:space="preserve">OPME) - Ministério da Saúde, 2016. Estabelecer medidas que assegurem a implementação dos controles internos e da política de governança da administração conforme dispõem a Instrução Normativa Conjunta MP/CGU nº 01/2016 e o Decreto nº 9203/2017. Prestar tod</w:t>
      </w:r>
      <w:r>
        <w:t xml:space="preserve">a informação necessária ao desempenho das atividades de controle, avaliação e auditoria, quando exigida, pelo Sistema Nacional de Auditoria do SUS, facilitando-lhes o acesso a documentos, conforme o art. 11, do Decreto n.º 1.651, de 28 de setembro de 1995.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foco-causa</w:t>
      </w:r>
      <w:r/>
    </w:p>
    <w:p>
      <w:pPr>
        <w:pStyle w:val="720"/>
        <w:pBdr/>
        <w:spacing/>
        <w:ind/>
        <w:rPr/>
      </w:pPr>
      <w:r>
        <w:t xml:space="preserve">Análise Codificação: A recomendação propõe a implantação de rotinas formais para inserção de </w:t>
      </w:r>
      <w:r>
        <w:t xml:space="preserve">exames de imagem nos prontuários e estabelecimento de controles internos e política de governança, identificando causas institucionais como ausência de processos estruturados e controles adequados, com soluções que visam mudanças duradouras na organização.</w:t>
      </w:r>
      <w:r/>
    </w:p>
    <w:p>
      <w:pPr>
        <w:pStyle w:val="722"/>
        <w:numPr>
          <w:ilvl w:val="0"/>
          <w:numId w:val="7"/>
        </w:numPr>
        <w:pBdr/>
        <w:spacing/>
        <w:ind/>
        <w:rPr/>
      </w:pPr>
      <w:r>
        <w:t xml:space="preserve">Causa Identificada: sim</w:t>
      </w:r>
      <w:r/>
    </w:p>
    <w:p>
      <w:pPr>
        <w:pStyle w:val="722"/>
        <w:numPr>
          <w:ilvl w:val="0"/>
          <w:numId w:val="7"/>
        </w:numPr>
        <w:pBdr/>
        <w:spacing/>
        <w:ind/>
        <w:rPr/>
      </w:pPr>
      <w:r>
        <w:t xml:space="preserve">Causa Institucional: sim</w:t>
      </w:r>
      <w:r/>
    </w:p>
    <w:p>
      <w:pPr>
        <w:pStyle w:val="722"/>
        <w:numPr>
          <w:ilvl w:val="0"/>
          <w:numId w:val="7"/>
        </w:numPr>
        <w:pBdr/>
        <w:spacing/>
        <w:ind/>
        <w:rPr/>
      </w:pPr>
      <w:r>
        <w:t xml:space="preserve">Solução Duradoura:sim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foco-causa</w:t>
      </w:r>
      <w:r/>
    </w:p>
    <w:p>
      <w:pPr>
        <w:pStyle w:val="720"/>
        <w:pBdr/>
        <w:spacing/>
        <w:ind/>
        <w:rPr/>
      </w:pPr>
      <w:r>
        <w:t xml:space="preserve">Análise: A recomendação propõe a implantação d</w:t>
      </w:r>
      <w:r>
        <w:t xml:space="preserve">e uma rotina formal para inserção de exames de imagem nos prontuários, estabelecimento de controles internos e política de governança, e garantia de acesso a informações para auditoria. Ela identifica a causa institucional da falha (ausência de rotinas e c</w:t>
      </w:r>
      <w:r>
        <w:t xml:space="preserve">ontroles formais), situa-se no nível organizacional (implantação de processos e políticas), e as transformações propostas (rotinas estabelecidas, controles internos implementados) possuem potencial para perdurar no tempo, constituindo mudanças estruturais.</w:t>
      </w:r>
      <w:bookmarkEnd w:id="25"/>
      <w:bookmarkEnd w:id="26"/>
      <w:r/>
    </w:p>
    <w:p>
      <w:pPr>
        <w:pStyle w:val="708"/>
        <w:pBdr/>
        <w:spacing/>
        <w:ind/>
        <w:rPr/>
      </w:pPr>
      <w:r/>
      <w:bookmarkStart w:id="32" w:name="X689d3935c18315b4f24d3173805b8f0f8c764fb"/>
      <w:r>
        <w:t xml:space="preserve">Exemplos Recomendações com Foco na Condição e Análise Convergente</w:t>
      </w:r>
      <w:r/>
    </w:p>
    <w:p>
      <w:pPr>
        <w:pStyle w:val="709"/>
        <w:pBdr/>
        <w:spacing/>
        <w:ind/>
        <w:rPr/>
      </w:pPr>
      <w:r/>
      <w:bookmarkStart w:id="27" w:name="auditoria-19475-constatação-nº-666158"/>
      <w:r>
        <w:t xml:space="preserve">Auditoria 19475, Constatação Nº 666158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Verificar a regularidade da gestão e funcionamento do Serviço de Atendimento Móvel de Urgência 192.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O SAMU 192 de Boa Vista não atende à padronização prevista no Manual de Identidade Visual relativo as Unidades Móveis.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Recomenda-se à SMSA de Boa Vista providenciar a adequação das Unidades Móveis, em observância ao disposto no Manual de Identidade Visual SAMU 192 e ao Grafismo e Layout das Ambulâncias Furgão.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foco-condicao</w:t>
      </w:r>
      <w:r/>
    </w:p>
    <w:p>
      <w:pPr>
        <w:pStyle w:val="720"/>
        <w:pBdr/>
        <w:spacing/>
        <w:ind/>
        <w:rPr/>
      </w:pPr>
      <w:r>
        <w:t xml:space="preserve">Análise Codificação: A recomendação propõe a adequação das Unidades Móveis ao Manual de Identidade Visual do SAMU 192, visando corrigir a não conformidade ident</w:t>
      </w:r>
      <w:r>
        <w:t xml:space="preserve">ificada. No entanto, não aborda explicitamente as causas subjacentes que levaram à falta de padronização, como possíveis falhas nos processos de aquisição, manutenção ou fiscalização, nem garante que a solução perdurará no tempo sem medidas complementares.</w:t>
      </w:r>
      <w:r/>
    </w:p>
    <w:p>
      <w:pPr>
        <w:pStyle w:val="722"/>
        <w:numPr>
          <w:ilvl w:val="0"/>
          <w:numId w:val="8"/>
        </w:numPr>
        <w:pBdr/>
        <w:spacing/>
        <w:ind/>
        <w:rPr/>
      </w:pPr>
      <w:r>
        <w:t xml:space="preserve">Causa Identificada: não</w:t>
      </w:r>
      <w:r/>
    </w:p>
    <w:p>
      <w:pPr>
        <w:pStyle w:val="722"/>
        <w:numPr>
          <w:ilvl w:val="0"/>
          <w:numId w:val="8"/>
        </w:numPr>
        <w:pBdr/>
        <w:spacing/>
        <w:ind/>
        <w:rPr/>
      </w:pPr>
      <w:r>
        <w:t xml:space="preserve">Causa Institucional: não</w:t>
      </w:r>
      <w:r/>
    </w:p>
    <w:p>
      <w:pPr>
        <w:pStyle w:val="722"/>
        <w:numPr>
          <w:ilvl w:val="0"/>
          <w:numId w:val="8"/>
        </w:numPr>
        <w:pBdr/>
        <w:spacing/>
        <w:ind/>
        <w:rPr/>
      </w:pPr>
      <w:r>
        <w:t xml:space="preserve">Solução Duradoura:não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foco-condicao</w:t>
      </w:r>
      <w:r/>
    </w:p>
    <w:p>
      <w:pPr>
        <w:pStyle w:val="720"/>
        <w:pBdr/>
        <w:spacing/>
        <w:ind/>
        <w:rPr/>
      </w:pPr>
      <w:r>
        <w:t xml:space="preserve">Análise: A recomendação direciona-se à correção imediata da condição observada (inadequação das unidades móveis ao manual de identidade visua</w:t>
      </w:r>
      <w:r>
        <w:t xml:space="preserve">l), sem identificar ou abordar as causas institucionais que levaram a essa condição, como falhas em processos de aquisição, fiscalização ou capacitação. A solução proposta é pontual e não assegura mudanças duradouras que previnam a recorrência do problema.</w:t>
      </w:r>
      <w:bookmarkEnd w:id="27"/>
      <w:r/>
    </w:p>
    <w:p>
      <w:pPr>
        <w:pStyle w:val="709"/>
        <w:pBdr/>
        <w:spacing/>
        <w:ind/>
        <w:rPr/>
      </w:pPr>
      <w:r/>
      <w:bookmarkStart w:id="28" w:name="auditoria-19744-constatação-nº-693188"/>
      <w:r>
        <w:t xml:space="preserve">Auditoria 19744, Constatação Nº 693188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Verificar se a SMS possui controles internos capazes de assegurar adequadamente a Cadeia de Frio.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O quantitativo de imunobiológicos recebidos na CMRF não atende à necessidade do município de Ji-Paraná.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Adequar e real</w:t>
      </w:r>
      <w:r>
        <w:t xml:space="preserve">izar o planejamento e gestão dos imunobiológicos afim de recebe o quantitativo suficiente de todos os imunobiológicos para atender a necessidade do município, conforme as orientações dispostas no subitem 8.10, pág. 103, do Manual de Rede Frio do PNI, 2017.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foco-condicao</w:t>
      </w:r>
      <w:r/>
    </w:p>
    <w:p>
      <w:pPr>
        <w:pStyle w:val="720"/>
        <w:pBdr/>
        <w:spacing/>
        <w:ind/>
        <w:rPr/>
      </w:pPr>
      <w:r>
        <w:t xml:space="preserve">Análise Codificação: A recomendação propõe a adequação do planejamento e gestão</w:t>
      </w:r>
      <w:r>
        <w:t xml:space="preserve"> dos imunobiológicos para garantir o quantitativo suficiente, visando corrigir a falha identificada na cadeia de frio. No entanto, não especifica claramente as causas institucionais subjacentes (como deficiências em processos de previsão de demanda, capaci</w:t>
      </w:r>
      <w:r>
        <w:t xml:space="preserve">tação de pessoal ou sistemas de monitoramento), focando mais na condição imediata de inadequação do quantitativo. A solução, embora possa ter algum caráter duradouro se implementada, não é explicitamente estruturada para abordar causas profundas e perenes.</w:t>
      </w:r>
      <w:r/>
    </w:p>
    <w:p>
      <w:pPr>
        <w:pStyle w:val="722"/>
        <w:numPr>
          <w:ilvl w:val="0"/>
          <w:numId w:val="9"/>
        </w:numPr>
        <w:pBdr/>
        <w:spacing/>
        <w:ind/>
        <w:rPr/>
      </w:pPr>
      <w:r>
        <w:t xml:space="preserve">Causa Identificada: não</w:t>
      </w:r>
      <w:r/>
    </w:p>
    <w:p>
      <w:pPr>
        <w:pStyle w:val="722"/>
        <w:numPr>
          <w:ilvl w:val="0"/>
          <w:numId w:val="9"/>
        </w:numPr>
        <w:pBdr/>
        <w:spacing/>
        <w:ind/>
        <w:rPr/>
      </w:pPr>
      <w:r>
        <w:t xml:space="preserve">Causa Institucional: não</w:t>
      </w:r>
      <w:r/>
    </w:p>
    <w:p>
      <w:pPr>
        <w:pStyle w:val="722"/>
        <w:numPr>
          <w:ilvl w:val="0"/>
          <w:numId w:val="9"/>
        </w:numPr>
        <w:pBdr/>
        <w:spacing/>
        <w:ind/>
        <w:rPr/>
      </w:pPr>
      <w:r>
        <w:t xml:space="preserve">Solução Duradoura:sim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foco-condicao</w:t>
      </w:r>
      <w:r/>
    </w:p>
    <w:p>
      <w:pPr>
        <w:pStyle w:val="720"/>
        <w:pBdr/>
        <w:spacing/>
        <w:ind/>
        <w:rPr/>
      </w:pPr>
      <w:r>
        <w:t xml:space="preserve">Análise: A recomendação identifica a necessidade de adequar o planejamento e gestão dos imunobiológicos, o que sugere uma abordagem voltada à causa institucional (falhas</w:t>
      </w:r>
      <w:r>
        <w:t xml:space="preserve"> no processo de planejamento) e não apenas à condição específica (quantitativo insuficiente). No entanto, a recomendação não explicita claramente as causas estruturais que levaram à falha no planejamento (ex.: ausência de protocolos, capacitação inadequada</w:t>
      </w:r>
      <w:r>
        <w:t xml:space="preserve">, deficiências na previsão de demanda). Além disso, as mudanças propostas (adequação do planejamento) possuem potencial para perdurar no tempo, mas a falta de especificidade sobre as causas impede que todos os critérios sejam atendidos de forma inequívoca.</w:t>
      </w:r>
      <w:bookmarkEnd w:id="28"/>
      <w:r/>
    </w:p>
    <w:p>
      <w:pPr>
        <w:pStyle w:val="709"/>
        <w:pBdr/>
        <w:spacing/>
        <w:ind/>
        <w:rPr/>
      </w:pPr>
      <w:r/>
      <w:bookmarkStart w:id="29" w:name="auditoria-18714-constatação-nº-671357"/>
      <w:r>
        <w:t xml:space="preserve">Auditoria 18714, Constatação Nº 671357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Verificar a regular utilização de recursos da fonte n°117 na aquisição de veículos pela SMS.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A Secretaria Municipal de Saúde de Cabo Frio/RJ realizou despesa por meio da nota de empenho nº 192/2018 com fonte de recursos federais - 117 - UBS, em Programa de Trabalho não correlato com Orçamento Geral da União que deu origem ao repasse.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A Secretaria Municipal de Saúde de Cabo Frio/RJ deve recompor o próprio Fundo Municipal de Saúde no valor de R$ 33.000,00 (trinta e três mil reais), atualizado monetariamente e com os acréscimos legais, no Grupo de Financiamento Atenção de</w:t>
      </w:r>
      <w:r>
        <w:t xml:space="preserve"> Média e Alta Complexidade do Bloco de Manutenção das Ações e Serviços Públicos de Saúde, conforme indicativo na Planilha de Proposição de Devolução, parte integrante deste Relatório, em cumprimento ao art. 3º da Decisão Normativa TCU nº 57, de 05/05/2004.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foco-condicao</w:t>
      </w:r>
      <w:r/>
    </w:p>
    <w:p>
      <w:pPr>
        <w:pStyle w:val="720"/>
        <w:pBdr/>
        <w:spacing/>
        <w:ind/>
        <w:rPr/>
      </w:pPr>
      <w:r>
        <w:t xml:space="preserve">Análise Codificação: A recomendação visa a devolução de recursos utilizados indevidamente, focando na correção da irregularidade financeira específica identificada, sem abordar as causas institucionais que permitiram a ocorrência do desvio orçamentário.</w:t>
      </w:r>
      <w:r/>
    </w:p>
    <w:p>
      <w:pPr>
        <w:pStyle w:val="722"/>
        <w:numPr>
          <w:ilvl w:val="0"/>
          <w:numId w:val="10"/>
        </w:numPr>
        <w:pBdr/>
        <w:spacing/>
        <w:ind/>
        <w:rPr/>
      </w:pPr>
      <w:r>
        <w:t xml:space="preserve">Causa Identificada: não</w:t>
      </w:r>
      <w:r/>
    </w:p>
    <w:p>
      <w:pPr>
        <w:pStyle w:val="722"/>
        <w:numPr>
          <w:ilvl w:val="0"/>
          <w:numId w:val="10"/>
        </w:numPr>
        <w:pBdr/>
        <w:spacing/>
        <w:ind/>
        <w:rPr/>
      </w:pPr>
      <w:r>
        <w:t xml:space="preserve">Causa Institucional: não</w:t>
      </w:r>
      <w:r/>
    </w:p>
    <w:p>
      <w:pPr>
        <w:pStyle w:val="722"/>
        <w:numPr>
          <w:ilvl w:val="0"/>
          <w:numId w:val="10"/>
        </w:numPr>
        <w:pBdr/>
        <w:spacing/>
        <w:ind/>
        <w:rPr/>
      </w:pPr>
      <w:r>
        <w:t xml:space="preserve">Solução Duradoura:não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foco-condicao</w:t>
      </w:r>
      <w:r/>
    </w:p>
    <w:p>
      <w:pPr>
        <w:pStyle w:val="720"/>
        <w:pBdr/>
        <w:spacing/>
        <w:ind/>
        <w:rPr/>
      </w:pPr>
      <w:r>
        <w:t xml:space="preserve">Análise: A recomendação propõe a recomposição financeira do Fundo Municipal de Saúde para corrigir a de</w:t>
      </w:r>
      <w:r>
        <w:t xml:space="preserve">spesa irregular realizada com recursos federais, focando na restituição do valor desviado. Embora essencial para regularizar a situação financeira, ela não identifica as causas institucionais que permitiram a despesa em programa de trabalho não correlato (</w:t>
      </w:r>
      <w:r>
        <w:t xml:space="preserve">como falhas em controles internos, capacitação ou processos de fiscalização), nem promove mudanças estruturais para prevenir recorrências. As transformações são pontuais (correção do valor) e não garantem durabilidade, pois não abordam fatores subjacentes.</w:t>
      </w:r>
      <w:bookmarkEnd w:id="29"/>
      <w:r/>
    </w:p>
    <w:p>
      <w:pPr>
        <w:pStyle w:val="709"/>
        <w:pBdr/>
        <w:spacing/>
        <w:ind/>
        <w:rPr/>
      </w:pPr>
      <w:r/>
      <w:bookmarkStart w:id="30" w:name="auditoria-19790-constatação-nº-694452"/>
      <w:r>
        <w:t xml:space="preserve">Auditoria 19790, Constatação Nº 694452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Avaliar se a Atenção Primária exerce as atribuições de coordenadora da Rede de At. Psicossocial-RAPS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As UBSs visitadas não realizaram a continuidade do cuidado na saúde mental ou ação de redução de danos a grupos específicos de pacientes, nos anos de 2022 e 2023.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Assegurar que as equipes de Saúde da Família realizem a continuidade do cuidado ou ação de redução de danos para pac</w:t>
      </w:r>
      <w:r>
        <w:t xml:space="preserve">ientes com alguma condição de saúde mental, bem como para grupos específicos, no âmbito da Atenção Primária à Saúde, a fim de cumprir o Inciso I, Art. 4º, do Anexo V - Rede de Atenção Psicossocial (RAPS), Portaria de Consolidação GM/MS n.º 3, de 28/9/2017.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foco-condicao</w:t>
      </w:r>
      <w:r/>
    </w:p>
    <w:p>
      <w:pPr>
        <w:pStyle w:val="720"/>
        <w:pBdr/>
        <w:spacing/>
        <w:ind/>
        <w:rPr/>
      </w:pPr>
      <w:r>
        <w:t xml:space="preserve">Análise Codificação: A recomendação propõe que as equipes de Saúde da Família realizem a continuidade do cuidado ou ações de redução de danos para pacientes com condições de saúde mental, visando cumprir a normativa específica. No ent</w:t>
      </w:r>
      <w:r>
        <w:t xml:space="preserve">anto, ela não identifica explicitamente as causas que levaram à não realização dessas ações (como falta de capacitação, recursos insuficientes ou falhas na gestão), focando-se na correção da condição observada (ausência de cuidado). A causa subjacente não </w:t>
      </w:r>
      <w:r>
        <w:t xml:space="preserve">é abordada em nível institucional (como mudanças em processos, políticas ou estruturas), e a solução sugerida (assegurar a realização das ações) não garante transformações duradouras, pois pode depender de esforços pontuais sem alterar fatores estruturais.</w:t>
      </w:r>
      <w:r/>
    </w:p>
    <w:p>
      <w:pPr>
        <w:pStyle w:val="722"/>
        <w:numPr>
          <w:ilvl w:val="0"/>
          <w:numId w:val="11"/>
        </w:numPr>
        <w:pBdr/>
        <w:spacing/>
        <w:ind/>
        <w:rPr/>
      </w:pPr>
      <w:r>
        <w:t xml:space="preserve">Causa Identificada: não</w:t>
      </w:r>
      <w:r/>
    </w:p>
    <w:p>
      <w:pPr>
        <w:pStyle w:val="722"/>
        <w:numPr>
          <w:ilvl w:val="0"/>
          <w:numId w:val="11"/>
        </w:numPr>
        <w:pBdr/>
        <w:spacing/>
        <w:ind/>
        <w:rPr/>
      </w:pPr>
      <w:r>
        <w:t xml:space="preserve">Causa Institucional: não</w:t>
      </w:r>
      <w:r/>
    </w:p>
    <w:p>
      <w:pPr>
        <w:pStyle w:val="722"/>
        <w:numPr>
          <w:ilvl w:val="0"/>
          <w:numId w:val="11"/>
        </w:numPr>
        <w:pBdr/>
        <w:spacing/>
        <w:ind/>
        <w:rPr/>
      </w:pPr>
      <w:r>
        <w:t xml:space="preserve">Solução Duradoura:não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foco-condicao</w:t>
      </w:r>
      <w:r/>
    </w:p>
    <w:p>
      <w:pPr>
        <w:pStyle w:val="720"/>
        <w:pBdr/>
        <w:spacing/>
        <w:ind/>
        <w:rPr/>
      </w:pPr>
      <w:r>
        <w:t xml:space="preserve">Análise: A recomendação identifica a necessidade de assegurar que as equipes realizem a continuidade do cuidado ou ação de redução de danos, mas não</w:t>
      </w:r>
      <w:r>
        <w:t xml:space="preserve"> especifica as causas institucionais que levaram à não realização dessas ações (como falta de capacitação, recursos, protocolos ou supervisão). Ela foca na correção da condição observada (ausência de ações) sem abordar transformações estruturais que garant</w:t>
      </w:r>
      <w:r>
        <w:t xml:space="preserve">am a sustentabilidade da mudança. As respostas aos critérios são: não identifica a causa específica, não situa a causa no nível institucional de forma clara, e as transformações não têm garantia de perdurabilidade sem medidas institucionais mais profundas.</w:t>
      </w:r>
      <w:bookmarkEnd w:id="30"/>
      <w:r/>
    </w:p>
    <w:p>
      <w:pPr>
        <w:pStyle w:val="709"/>
        <w:pBdr/>
        <w:spacing/>
        <w:ind/>
        <w:rPr/>
      </w:pPr>
      <w:r/>
      <w:bookmarkStart w:id="31" w:name="auditoria-19439-constatação-nº-665660"/>
      <w:r>
        <w:t xml:space="preserve">Auditoria 19439, Constatação Nº 665660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Apurar a regularidade da produção inserida nos sistemas do SUS com incremento nos tetos PAB e MAC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A Secretaria Municipal de Saúde inseriu no Sistema de Informações Ambulatoriais para Hospital Municipal Dr. Zeca Moreira, CNES</w:t>
      </w:r>
      <w:r>
        <w:t xml:space="preserve"> 2465655, sem comprovação da efetiva prestação do atendimento, os procedimentos de Consulta de profissionais de nível superior na Atenção Especializada (exceto médico), Código 03.01.01.004-8; Atendimento de Urgência em Atenção Especializada, Código 0301060</w:t>
      </w:r>
      <w:r>
        <w:t xml:space="preserve">06-1; Atendimento Ortopédico com Imobilização Provisória, Código 03.01.06.010-0 e Atendimento de Urgência c/observação até 24 horas em Atenção Especializada, Código 03.01.06.002-9, no exercício de 2021, ocasionando devolução dos recursos recebidos a maior.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À Secretária Atenção Especializada à Saúde-SAES/MS para conhecimento da presente constatação e adoção dos procedimentos a seu cargo, conforme estabelecido no Art. 25, do Decreto nº 11.358, 01/01/2023, combinad</w:t>
      </w:r>
      <w:r>
        <w:t xml:space="preserve">o com o inciso VIII do Art. 2º do Decreto nº 3.964, de 11/10/2001 e Portaria GM/MS nº885, de 04/05/2021, visando a elisão do dano e/ou impropriedade ocorrida com recursos de origem federal, indicado no Anexo - Proposição de Devolução deste Relatório Final.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foco-condicao</w:t>
      </w:r>
      <w:r/>
    </w:p>
    <w:p>
      <w:pPr>
        <w:pStyle w:val="720"/>
        <w:pBdr/>
        <w:spacing/>
        <w:ind/>
        <w:rPr/>
      </w:pPr>
      <w:r>
        <w:t xml:space="preserve">Análise Codificação: A recomendação limita-se a informar a constatação e solicitar a adoção de procedimentos legais para devolução dos recursos, sem identifica</w:t>
      </w:r>
      <w:r>
        <w:t xml:space="preserve">r as causas institucionais que permitiram a inserção irregular de procedimentos no sistema, como falhas nos controles internos, ausência de auditoria prévia ou deficiências na capacitação da equipe, focando apenas na correção pontual da condição observada.</w:t>
      </w:r>
      <w:r/>
    </w:p>
    <w:p>
      <w:pPr>
        <w:pStyle w:val="722"/>
        <w:numPr>
          <w:ilvl w:val="0"/>
          <w:numId w:val="12"/>
        </w:numPr>
        <w:pBdr/>
        <w:spacing/>
        <w:ind/>
        <w:rPr/>
      </w:pPr>
      <w:r>
        <w:t xml:space="preserve">Causa Identificada: não</w:t>
      </w:r>
      <w:r/>
    </w:p>
    <w:p>
      <w:pPr>
        <w:pStyle w:val="722"/>
        <w:numPr>
          <w:ilvl w:val="0"/>
          <w:numId w:val="12"/>
        </w:numPr>
        <w:pBdr/>
        <w:spacing/>
        <w:ind/>
        <w:rPr/>
      </w:pPr>
      <w:r>
        <w:t xml:space="preserve">Causa Institucional: não</w:t>
      </w:r>
      <w:r/>
    </w:p>
    <w:p>
      <w:pPr>
        <w:pStyle w:val="722"/>
        <w:numPr>
          <w:ilvl w:val="0"/>
          <w:numId w:val="12"/>
        </w:numPr>
        <w:pBdr/>
        <w:spacing/>
        <w:ind/>
        <w:rPr/>
      </w:pPr>
      <w:r>
        <w:t xml:space="preserve">Solução Duradoura:não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foco-condicao</w:t>
      </w:r>
      <w:r/>
    </w:p>
    <w:p>
      <w:pPr>
        <w:pStyle w:val="720"/>
        <w:pBdr/>
        <w:spacing/>
        <w:ind/>
        <w:rPr/>
      </w:pPr>
      <w:r>
        <w:t xml:space="preserve">Análise: A recomendação apenas encaminha a constatação para conhecimento da Secretaria de Atenção Especializada à Saúde </w:t>
      </w:r>
      <w:r>
        <w:t xml:space="preserve">e cita dispositivos legais genéricos, sem identificar as causas institucionais que permitiram a inserção irregular de procedimentos no sistema (como falhas nos processos de controle, ausência de mecanismos de verificação da prestação real dos serviços, ou </w:t>
      </w:r>
      <w:r>
        <w:t xml:space="preserve">deficiências na supervisão). A medida proposta é reativa, focada na devolução pontual dos recursos, sem indicar ações para prevenir a recorrência do problema. As transformações resultantes seriam temporárias, não garantindo mudanças estruturais duradouras.</w:t>
      </w:r>
      <w:bookmarkEnd w:id="31"/>
      <w:bookmarkEnd w:id="32"/>
      <w:r/>
    </w:p>
    <w:p>
      <w:pPr>
        <w:pStyle w:val="708"/>
        <w:pBdr/>
        <w:spacing/>
        <w:ind/>
        <w:rPr/>
      </w:pPr>
      <w:r/>
      <w:bookmarkStart w:id="38" w:name="X507f4281d58f2b02da83ec80d49563194074ee8"/>
      <w:r>
        <w:t xml:space="preserve">Exemplos Recomendações Classificação Direta Foco Causa e Indireta Divergente</w:t>
      </w:r>
      <w:r/>
    </w:p>
    <w:p>
      <w:pPr>
        <w:pStyle w:val="709"/>
        <w:pBdr/>
        <w:spacing/>
        <w:ind/>
        <w:rPr/>
      </w:pPr>
      <w:r/>
      <w:bookmarkStart w:id="33" w:name="auditoria-19792-constatação-nº-695083"/>
      <w:r>
        <w:t xml:space="preserve">Auditoria 19792, Constatação Nº 695083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Verificar se a SMS possui controles internos capazes de assegurar adequadamente a Cadeia de Frio.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Os equipamentos disponíveis na CMRF de Arapongas/PR não são apropriados para o armazenamento dos imunobiológicos.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- Providenciar fonte alternativa (gerador) capaz de efetuar o suprimento imediato de energia, no caso de falhas da fonte primária, garantindo o suprimento emergencial de energia e viabilizando a continuidade do funcionamento dos equi</w:t>
      </w:r>
      <w:r>
        <w:t xml:space="preserve">pamentos envolvidos na armazenagem de medicamentos termolábeis de maneira eficaz. Conforme preconizado nos itens 6.14.1 e 6.14.3 do Manual de Rede de Frio do PNI, 5ª edição/2017, arts. 17 e 41, seções III e VI, cap. I e II da Resolução - RDC N.º 63, de 25/</w:t>
      </w:r>
      <w:r>
        <w:t xml:space="preserve">11/2011, e arts. 79 e 80, Seção IX da RDC ANVISA n.º 430, de 8/10/2020. - Efetuar registros analíticos de todos os bens de caráter permanente, com indicação dos elementos necessários para a perfeita caracterização de cada um deles e dos agentes responsávei</w:t>
      </w:r>
      <w:r>
        <w:t xml:space="preserve">s pela sua guarda e administração, conforme art. 94, cap. III, título VIII, da Lei nº 4.320 de 17/3/1964. - Manter registro sintéticos dos bens móveis e imóveis na contabilidade, de acordo com o art. 95, cap. III, título VIII, da Lei nº 4.320 de 17/3/1964.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foco-condicao</w:t>
      </w:r>
      <w:r/>
    </w:p>
    <w:p>
      <w:pPr>
        <w:pStyle w:val="720"/>
        <w:pBdr/>
        <w:spacing/>
        <w:ind/>
        <w:rPr/>
      </w:pPr>
      <w:r>
        <w:t xml:space="preserve">Análise Codificação: A recomendação aborda a falta de fonte alternativa de en</w:t>
      </w:r>
      <w:r>
        <w:t xml:space="preserve">ergia para equipamentos de armazenamento de imunobiológicos e questões de registro patrimonial, mas não identifica claramente as causas institucionais subjacentes que levaram a essas condições, focando mais na correção imediata dos problemas identificados.</w:t>
      </w:r>
      <w:r/>
    </w:p>
    <w:p>
      <w:pPr>
        <w:pStyle w:val="722"/>
        <w:numPr>
          <w:ilvl w:val="0"/>
          <w:numId w:val="13"/>
        </w:numPr>
        <w:pBdr/>
        <w:spacing/>
        <w:ind/>
        <w:rPr/>
      </w:pPr>
      <w:r>
        <w:t xml:space="preserve">Causa Identificada: não</w:t>
      </w:r>
      <w:r/>
    </w:p>
    <w:p>
      <w:pPr>
        <w:pStyle w:val="722"/>
        <w:numPr>
          <w:ilvl w:val="0"/>
          <w:numId w:val="13"/>
        </w:numPr>
        <w:pBdr/>
        <w:spacing/>
        <w:ind/>
        <w:rPr/>
      </w:pPr>
      <w:r>
        <w:t xml:space="preserve">Causa Institucional: não</w:t>
      </w:r>
      <w:r/>
    </w:p>
    <w:p>
      <w:pPr>
        <w:pStyle w:val="722"/>
        <w:numPr>
          <w:ilvl w:val="0"/>
          <w:numId w:val="13"/>
        </w:numPr>
        <w:pBdr/>
        <w:spacing/>
        <w:ind/>
        <w:rPr/>
      </w:pPr>
      <w:r>
        <w:t xml:space="preserve">Solução Duradoura:sim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foco-causa</w:t>
      </w:r>
      <w:r/>
    </w:p>
    <w:p>
      <w:pPr>
        <w:pStyle w:val="720"/>
        <w:pBdr/>
        <w:spacing/>
        <w:ind/>
        <w:rPr/>
      </w:pPr>
      <w:r>
        <w:t xml:space="preserve">Análise: A recomendação aborda a necessidade de ga</w:t>
      </w:r>
      <w:r>
        <w:t xml:space="preserve">rantir o fornecimento contínuo de energia para equipamentos de armazenamento de imunobiológicos através de gerador alternativo, o que identifica a causa da condição detectada (falta de equipamentos apropriados devido a interrupções de energia) no nível ins</w:t>
      </w:r>
      <w:r>
        <w:t xml:space="preserve">titucional (infraestrutura e procedimentos). As mudanças propostas, como a instalação de gerador e a implementação de registros contábeis permanentes, possuem potencial para perdurar no tempo, corrigindo a causa subjacente e não apenas a condição imediata.</w:t>
      </w:r>
      <w:bookmarkEnd w:id="33"/>
      <w:r/>
    </w:p>
    <w:p>
      <w:pPr>
        <w:pStyle w:val="709"/>
        <w:pBdr/>
        <w:spacing/>
        <w:ind/>
        <w:rPr/>
      </w:pPr>
      <w:r/>
      <w:bookmarkStart w:id="34" w:name="auditoria-19805-constatação-nº-694100"/>
      <w:r>
        <w:t xml:space="preserve">Auditoria 19805, Constatação Nº 694100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Verificar se a At. Primária exerce as atribuições de coordenadora da Rede de Atenção Psicossocial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As UBSs visitadas não realizam ações de redução de danos a grupos específicos de usuários.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À SMS, promover e implementar ações de redução de dano específicas voltadas p</w:t>
      </w:r>
      <w:r>
        <w:t xml:space="preserve">ara populações vulneráveis, como gestantes, idosos, crianças, adolescentes e pessoas em situação de rua de acordo com o apontado na Portaria de Consolidação nº 3/2017,Anexo V, Art. 4º, I, que estabelece a promoção de cuidados em saúde para esses segmentos.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foco-condicao</w:t>
      </w:r>
      <w:r/>
    </w:p>
    <w:p>
      <w:pPr>
        <w:pStyle w:val="720"/>
        <w:pBdr/>
        <w:spacing/>
        <w:ind/>
        <w:rPr/>
      </w:pPr>
      <w:r>
        <w:t xml:space="preserve">Análise Codificação: A recomendação propõe a implementação de ações específicas de redução de danos para populações vulneráveis, conforme exigido pela normativa, mas não identifica explicitamente as</w:t>
      </w:r>
      <w:r>
        <w:t xml:space="preserve"> causas subjacentes à ausência dessas ações, como falta de capacitação, recursos ou diretrizes institucionais. Embora a ação possa ser institucional, sua natureza é mais corretiva da condição atual do que voltada para transformações estruturais duradouras.</w:t>
      </w:r>
      <w:r/>
    </w:p>
    <w:p>
      <w:pPr>
        <w:pStyle w:val="722"/>
        <w:numPr>
          <w:ilvl w:val="0"/>
          <w:numId w:val="14"/>
        </w:numPr>
        <w:pBdr/>
        <w:spacing/>
        <w:ind/>
        <w:rPr/>
      </w:pPr>
      <w:r>
        <w:t xml:space="preserve">Causa Identificada: não</w:t>
      </w:r>
      <w:r/>
    </w:p>
    <w:p>
      <w:pPr>
        <w:pStyle w:val="722"/>
        <w:numPr>
          <w:ilvl w:val="0"/>
          <w:numId w:val="14"/>
        </w:numPr>
        <w:pBdr/>
        <w:spacing/>
        <w:ind/>
        <w:rPr/>
      </w:pPr>
      <w:r>
        <w:t xml:space="preserve">Causa Institucional: não</w:t>
      </w:r>
      <w:r/>
    </w:p>
    <w:p>
      <w:pPr>
        <w:pStyle w:val="722"/>
        <w:numPr>
          <w:ilvl w:val="0"/>
          <w:numId w:val="14"/>
        </w:numPr>
        <w:pBdr/>
        <w:spacing/>
        <w:ind/>
        <w:rPr/>
      </w:pPr>
      <w:r>
        <w:t xml:space="preserve">Solução Duradoura:não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foco-causa</w:t>
      </w:r>
      <w:r/>
    </w:p>
    <w:p>
      <w:pPr>
        <w:pStyle w:val="720"/>
        <w:pBdr/>
        <w:spacing/>
        <w:ind/>
        <w:rPr/>
      </w:pPr>
      <w:r>
        <w:t xml:space="preserve">Análise: A recomendação identifica a causa (ausência de ações de redução de danos específicas para populações vulneráveis) e está situada no nível institucional, ao propor que a SMS promova e implemente essas ações de forma estruturada, conf</w:t>
      </w:r>
      <w:r>
        <w:t xml:space="preserve">orme diretriz normativa. As transformações produzidas, se implementadas, possuem potencial para perdurar no tempo, pois envolvem a criação de programas ou políticas contínuas voltadas a esses grupos, indo além da correção pontual de uma condição observada.</w:t>
      </w:r>
      <w:bookmarkEnd w:id="34"/>
      <w:r/>
    </w:p>
    <w:p>
      <w:pPr>
        <w:pStyle w:val="709"/>
        <w:pBdr/>
        <w:spacing/>
        <w:ind/>
        <w:rPr/>
      </w:pPr>
      <w:r/>
      <w:bookmarkStart w:id="35" w:name="auditoria-19679-constatação-nº-685257"/>
      <w:r>
        <w:t xml:space="preserve">Auditoria 19679, Constatação Nº 685257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Realizar auditoria no Convênio 882492/2019 com a Associação Paulista Desenvolvimento da Medicina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Irregularidade no processo de licitação nº 0122/2019 para locação de imóvel no município de Redenção/PA.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Adotar providências no sentido de orientar a convenente sobre a obrigatoriedade de realizar pesquisa direta com</w:t>
      </w:r>
      <w:r>
        <w:t xml:space="preserve"> no mínimo 3 (três) fornecedores, mediante solicitação formal de cotação de preços para contratação de aluguel imóvel atendendo aos dispositivos expressos nos §1º e art. 45, Portaria Interministerial nº 424/2016 e inciso IV, §1, art. 23 da Lei 14.133/2021.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foco-condicao</w:t>
      </w:r>
      <w:r/>
    </w:p>
    <w:p>
      <w:pPr>
        <w:pStyle w:val="720"/>
        <w:pBdr/>
        <w:spacing/>
        <w:ind/>
        <w:rPr/>
      </w:pPr>
      <w:r>
        <w:t xml:space="preserve">Análise Codificação: A recomendação visa corrigir uma irregularidade específica no processo de licitação,</w:t>
      </w:r>
      <w:r>
        <w:t xml:space="preserve"> focando na exigência de pesquisa direta com no mínimo três fornecedores para contratação de aluguel de imóvel, conforme dispositivos legais. No entanto, a recomendação trata diretamente da condição observada (falta de pesquisa de preços) sem identificar c</w:t>
      </w:r>
      <w:r>
        <w:t xml:space="preserve">laramente a causa subjacente que permitiu essa irregularidade, como falhas em procedimentos internos, falta de capacitação ou controle insuficiente. A solução proposta é corretiva e pontual, sem evidências de que promova mudanças institucionais duradouras.</w:t>
      </w:r>
      <w:r/>
    </w:p>
    <w:p>
      <w:pPr>
        <w:pStyle w:val="722"/>
        <w:numPr>
          <w:ilvl w:val="0"/>
          <w:numId w:val="15"/>
        </w:numPr>
        <w:pBdr/>
        <w:spacing/>
        <w:ind/>
        <w:rPr/>
      </w:pPr>
      <w:r>
        <w:t xml:space="preserve">Causa Identificada: não</w:t>
      </w:r>
      <w:r/>
    </w:p>
    <w:p>
      <w:pPr>
        <w:pStyle w:val="722"/>
        <w:numPr>
          <w:ilvl w:val="0"/>
          <w:numId w:val="15"/>
        </w:numPr>
        <w:pBdr/>
        <w:spacing/>
        <w:ind/>
        <w:rPr/>
      </w:pPr>
      <w:r>
        <w:t xml:space="preserve">Causa Institucional: não</w:t>
      </w:r>
      <w:r/>
    </w:p>
    <w:p>
      <w:pPr>
        <w:pStyle w:val="722"/>
        <w:numPr>
          <w:ilvl w:val="0"/>
          <w:numId w:val="15"/>
        </w:numPr>
        <w:pBdr/>
        <w:spacing/>
        <w:ind/>
        <w:rPr/>
      </w:pPr>
      <w:r>
        <w:t xml:space="preserve">Solução Duradoura:não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foco-causa</w:t>
      </w:r>
      <w:r/>
    </w:p>
    <w:p>
      <w:pPr>
        <w:pStyle w:val="720"/>
        <w:pBdr/>
        <w:spacing/>
        <w:ind/>
        <w:rPr/>
      </w:pPr>
      <w:r>
        <w:t xml:space="preserve">Análise: A recomendação identifica a causa da</w:t>
      </w:r>
      <w:r>
        <w:t xml:space="preserve"> irregularidade (falta de orientação sobre procedimentos obrigatórios) e está situada no nível institucional (processos de contratação), com potencial para produzir transformações duradouras através da institucionalização de práticas de pesquisa de preços.</w:t>
      </w:r>
      <w:bookmarkEnd w:id="35"/>
      <w:r/>
    </w:p>
    <w:p>
      <w:pPr>
        <w:pStyle w:val="709"/>
        <w:pBdr/>
        <w:spacing/>
        <w:ind/>
        <w:rPr/>
      </w:pPr>
      <w:r/>
      <w:bookmarkStart w:id="36" w:name="auditoria-19797-constatação-nº-691573"/>
      <w:r>
        <w:t xml:space="preserve">Auditoria 19797, Constatação Nº 691573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Verificar se a SEMSA possui controles internos capazes de assegurar adequadamente a Cadeia de Frio.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A estrutura física da CMRF não atende aos requisitos mínimos para manutenção da cadeia de frio, conforme preconizado pelo Programa Nacional de Imunizações.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Providenciar adequações da estrutura física da CMRF, conforme parâmetros preconizdos nos Subitem 3.1.4, Item 3, pág. 20 e Item 8, pág. 88 a 116 do Manual de Rede Frio do PNI, 2017.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foco-condicao</w:t>
      </w:r>
      <w:r/>
    </w:p>
    <w:p>
      <w:pPr>
        <w:pStyle w:val="720"/>
        <w:pBdr/>
        <w:spacing/>
        <w:ind/>
        <w:rPr/>
      </w:pPr>
      <w:r>
        <w:t xml:space="preserve">Análise Codificação: A recomendação propõe adequações na estrutura física da CMRF para atender aos parâmetros do Manual de Rede Frio do PNI, visando corrigir a condição observada de estrutura inadequada. No entanto, não identifica explicitamente as caus</w:t>
      </w:r>
      <w:r>
        <w:t xml:space="preserve">as subjacentes que levaram à estrutura física inadequada (como falhas no planejamento, manutenção, fiscalização ou alocação de recursos), focando na correção da condição atual sem abordar causas institucionais que possam prevenir a recorrência do problema.</w:t>
      </w:r>
      <w:r/>
    </w:p>
    <w:p>
      <w:pPr>
        <w:pStyle w:val="722"/>
        <w:numPr>
          <w:ilvl w:val="0"/>
          <w:numId w:val="16"/>
        </w:numPr>
        <w:pBdr/>
        <w:spacing/>
        <w:ind/>
        <w:rPr/>
      </w:pPr>
      <w:r>
        <w:t xml:space="preserve">Causa Identificada: não</w:t>
      </w:r>
      <w:r/>
    </w:p>
    <w:p>
      <w:pPr>
        <w:pStyle w:val="722"/>
        <w:numPr>
          <w:ilvl w:val="0"/>
          <w:numId w:val="16"/>
        </w:numPr>
        <w:pBdr/>
        <w:spacing/>
        <w:ind/>
        <w:rPr/>
      </w:pPr>
      <w:r>
        <w:t xml:space="preserve">Causa Institucional: não</w:t>
      </w:r>
      <w:r/>
    </w:p>
    <w:p>
      <w:pPr>
        <w:pStyle w:val="722"/>
        <w:numPr>
          <w:ilvl w:val="0"/>
          <w:numId w:val="16"/>
        </w:numPr>
        <w:pBdr/>
        <w:spacing/>
        <w:ind/>
        <w:rPr/>
      </w:pPr>
      <w:r>
        <w:t xml:space="preserve">Solução Duradoura:sim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foco-causa</w:t>
      </w:r>
      <w:r/>
    </w:p>
    <w:p>
      <w:pPr>
        <w:pStyle w:val="720"/>
        <w:pBdr/>
        <w:spacing/>
        <w:ind/>
        <w:rPr/>
      </w:pPr>
      <w:r>
        <w:t xml:space="preserve">Análise: A recomendação identifica a necessidade de adequação da estrutura física da CMRF para atender aos requisitos mínimos do PNI, o q</w:t>
      </w:r>
      <w:r>
        <w:t xml:space="preserve">ue constitui uma causa institucional relacionada à infraestrutura. As transformações propostas, uma vez implementadas, possuem potencial para perdurar no tempo, pois envolvem adequações físicas permanentes que previnem a reincidência da condição observada.</w:t>
      </w:r>
      <w:bookmarkEnd w:id="36"/>
      <w:r/>
    </w:p>
    <w:p>
      <w:pPr>
        <w:pStyle w:val="709"/>
        <w:pBdr/>
        <w:spacing/>
        <w:ind/>
        <w:rPr/>
      </w:pPr>
      <w:r/>
      <w:bookmarkStart w:id="37" w:name="auditoria-19877-constatação-nº-703159"/>
      <w:r>
        <w:t xml:space="preserve">Auditoria 19877, Constatação Nº 703159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Verificar a regularidade da produção nos sistemas de informação (SIA/SIH) em oncologia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O HSJ realizou cobrança indevida do procedimento 03.04.08.002-0 - internação para quimioterapia de administração contínua.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- Estabelecer mecanismos eficazes de monitoramento, avaliação e fiscalização das Unidades de média e alta complexidade </w:t>
      </w:r>
      <w:r>
        <w:t xml:space="preserve">em oncologia, conforme o estabelecido no Inciso l, Artigo 15 da Lei nº 8080/ 1990. - Dar ciência aos responsáveis pela irregularidade apontada nesta constatação para ressarcimento junto ao FNS no valor de R$ 35.200,00 (trinta e cinco mil, duzentos reais), </w:t>
      </w:r>
      <w:r>
        <w:t xml:space="preserve">atualizado monetariamente e com os acréscimos legais adotados por esse ente federado, conforme indicativo do Anexo X -Planilha de Débito e no Capítulo Proposição da Devolução deste relatório, com base no item 9.3.3, do Acórdão TCU n.º 1072/2017, que prevê:</w:t>
      </w:r>
      <w:r>
        <w:t xml:space="preserve"> </w:t>
      </w:r>
      <w:r>
        <w:t xml:space="preserve">‘’tratando-se de débito decorrente de dano ao erário propriamente dito, cabe ao gestor responsável pela irregularidade a obrigação de devolver os recursos, visto que, nessas situações, não há evidências de</w:t>
      </w:r>
      <w:r>
        <w:t xml:space="preserve"> que eles tenham sido aplicados em prol de alguma finalidade pública, devendo a recomposição ser feita ao Fundo Nacional de Saúde (FNS), em respeito ao disposto no art. 2º, inciso VII, do Decreto 3.964/2001 combinado com o art. 33, § 4º, da Lei 8.080/1990’</w:t>
      </w:r>
      <w:r>
        <w:t xml:space="preserve">‘; e o Acórdão TCU nº 2079/2023 -Segunda Câmara (itens 33.1.5 e 33.1.1.8), que diz:’</w:t>
      </w:r>
      <w:r>
        <w:t xml:space="preserve">‘Portanto, além dos gestores públicos ora responsabilizados, somente a entidade privada deve responder pelo prejuízo aos cofres do Fundo Nacional de Saúde decorrentes das cobranças e consequentes pagamentos indevidos’</w:t>
      </w:r>
      <w:r>
        <w:t xml:space="preserve">’.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foco-condicao</w:t>
      </w:r>
      <w:r/>
    </w:p>
    <w:p>
      <w:pPr>
        <w:pStyle w:val="720"/>
        <w:pBdr/>
        <w:spacing/>
        <w:ind/>
        <w:rPr/>
      </w:pPr>
      <w:r>
        <w:t xml:space="preserve">Análise Codificação: A rec</w:t>
      </w:r>
      <w:r>
        <w:t xml:space="preserve">omendação estabelece mecanismos de monitoramento, avaliação e fiscalização para prevenir futuras irregularidades, além de exigir o ressarcimento do valor indevido. No entanto, a parte central da recomendação sobre monitoramento é genérica e não especifica </w:t>
      </w:r>
      <w:r>
        <w:t xml:space="preserve">claramente a causa institucional que permitiu a cobrança indevida, como falhas em processos de controle interno ou capacitação. A solução de monitoramento tem potencial duradouro, mas a falta de foco em causas específicas limita sua efetividade estrutural.</w:t>
      </w:r>
      <w:r/>
    </w:p>
    <w:p>
      <w:pPr>
        <w:pStyle w:val="722"/>
        <w:numPr>
          <w:ilvl w:val="0"/>
          <w:numId w:val="17"/>
        </w:numPr>
        <w:pBdr/>
        <w:spacing/>
        <w:ind/>
        <w:rPr/>
      </w:pPr>
      <w:r>
        <w:t xml:space="preserve">Causa Identificada: não</w:t>
      </w:r>
      <w:r/>
    </w:p>
    <w:p>
      <w:pPr>
        <w:pStyle w:val="722"/>
        <w:numPr>
          <w:ilvl w:val="0"/>
          <w:numId w:val="17"/>
        </w:numPr>
        <w:pBdr/>
        <w:spacing/>
        <w:ind/>
        <w:rPr/>
      </w:pPr>
      <w:r>
        <w:t xml:space="preserve">Causa Institucional: não</w:t>
      </w:r>
      <w:r/>
    </w:p>
    <w:p>
      <w:pPr>
        <w:pStyle w:val="722"/>
        <w:numPr>
          <w:ilvl w:val="0"/>
          <w:numId w:val="17"/>
        </w:numPr>
        <w:pBdr/>
        <w:spacing/>
        <w:ind/>
        <w:rPr/>
      </w:pPr>
      <w:r>
        <w:t xml:space="preserve">Solução Duradoura:sim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foco-causa</w:t>
      </w:r>
      <w:r/>
    </w:p>
    <w:p>
      <w:pPr>
        <w:pStyle w:val="720"/>
        <w:pBdr/>
        <w:spacing/>
        <w:ind/>
        <w:rPr/>
      </w:pPr>
      <w:r>
        <w:t xml:space="preserve">Análise: A recomendação estabelece mecanismos de monitoramento, avaliação e fiscalização para prevenir futuras irregularidades, identificando a causa institucional (falta de </w:t>
      </w:r>
      <w:r>
        <w:t xml:space="preserve">controle) que levou à cobrança indevida. As transformações propostas (estrutura de monitoramento) têm potencial para perdurar no tempo, fortalecendo a governança. Embora inclua uma medida corretiva pontual (ressarcimento), o foco principal é na causa raiz.</w:t>
      </w:r>
      <w:bookmarkEnd w:id="37"/>
      <w:bookmarkEnd w:id="38"/>
      <w:r/>
    </w:p>
    <w:p>
      <w:pPr>
        <w:pStyle w:val="708"/>
        <w:pBdr/>
        <w:spacing/>
        <w:ind/>
        <w:rPr/>
      </w:pPr>
      <w:r/>
      <w:bookmarkStart w:id="44" w:name="X98f666e0240c27897f8db0ab758ec9f303a11fa"/>
      <w:r>
        <w:t xml:space="preserve">Exemplos Recomendações Classificação Direta Foco Condição e Indireta Divergente</w:t>
      </w:r>
      <w:r/>
    </w:p>
    <w:p>
      <w:pPr>
        <w:pStyle w:val="709"/>
        <w:pBdr/>
        <w:spacing/>
        <w:ind/>
        <w:rPr/>
      </w:pPr>
      <w:r/>
      <w:bookmarkStart w:id="39" w:name="auditoria-19627-constatação-nº-685176"/>
      <w:r>
        <w:t xml:space="preserve">Auditoria 19627, Constatação Nº 685176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Avaliar a execução dos convênios firmados com organizações sociais no âmbito da Saúde Indígena.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Incompletude e inconsistências nas informações encontradas nos relatórios mensais de acompanhamento do Eixo Controle Social e os respectivos documentos de suporte.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À Sesai: Determinar às unidades de acompanhamento que: (i) elaborem relatórios mensais com base nas informações, mapas de produção, atas das reuniõ</w:t>
      </w:r>
      <w:r>
        <w:t xml:space="preserve">es e listas de presença enviados pelas unidades de acompanhamento do Dsei Litoral Sul, devendo ser inseridos no Transferegov até o dia 20 do mês subsequente ao mês acompanhado; (ii) e adotem medidas de natureza preventiva ou corretiva na hipótese do não cu</w:t>
      </w:r>
      <w:r>
        <w:t xml:space="preserve">mprimento do disposto no objeto do convênio e/ou Plano de Trabalho, atendendo à Portaria de Consolidação Sesai/MS nº 1 /2020, especificamente os §§3º e 4º do art. 4º; inciso VI do art. 11; inciso V e parágrafo único do art. 12; e incisos I e II do art. 14.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foco-causa</w:t>
      </w:r>
      <w:r/>
    </w:p>
    <w:p>
      <w:pPr>
        <w:pStyle w:val="720"/>
        <w:pBdr/>
        <w:spacing/>
        <w:ind/>
        <w:rPr/>
      </w:pPr>
      <w:r>
        <w:t xml:space="preserve">Análise Codificação: A recomendação visa corrigir incompletude e inconsistências em relatórios mensais</w:t>
      </w:r>
      <w:r>
        <w:t xml:space="preserve"> de acompanhamento do Eixo Controle Social na Saúde Indígena, exigindo a elaboração adequada dos relatórios com base em documentos de suporte e a adoção de medidas preventivas ou corretivas em caso de descumprimento de normas, conforme portaria específica.</w:t>
      </w:r>
      <w:r/>
    </w:p>
    <w:p>
      <w:pPr>
        <w:pStyle w:val="722"/>
        <w:numPr>
          <w:ilvl w:val="0"/>
          <w:numId w:val="18"/>
        </w:numPr>
        <w:pBdr/>
        <w:spacing/>
        <w:ind/>
        <w:rPr/>
      </w:pPr>
      <w:r>
        <w:t xml:space="preserve">Causa Identificada: sim</w:t>
      </w:r>
      <w:r/>
    </w:p>
    <w:p>
      <w:pPr>
        <w:pStyle w:val="722"/>
        <w:numPr>
          <w:ilvl w:val="0"/>
          <w:numId w:val="18"/>
        </w:numPr>
        <w:pBdr/>
        <w:spacing/>
        <w:ind/>
        <w:rPr/>
      </w:pPr>
      <w:r>
        <w:t xml:space="preserve">Causa Institucional: sim</w:t>
      </w:r>
      <w:r/>
    </w:p>
    <w:p>
      <w:pPr>
        <w:pStyle w:val="722"/>
        <w:numPr>
          <w:ilvl w:val="0"/>
          <w:numId w:val="18"/>
        </w:numPr>
        <w:pBdr/>
        <w:spacing/>
        <w:ind/>
        <w:rPr/>
      </w:pPr>
      <w:r>
        <w:t xml:space="preserve">Solução Duradoura:sim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foco-condicao</w:t>
      </w:r>
      <w:r/>
    </w:p>
    <w:p>
      <w:pPr>
        <w:pStyle w:val="720"/>
        <w:pBdr/>
        <w:spacing/>
        <w:ind/>
        <w:rPr/>
      </w:pPr>
      <w:r>
        <w:t xml:space="preserve">Análise: A recomendação estabelece procedimentos para garantir a elaboração e inserção de relatórios</w:t>
      </w:r>
      <w:r>
        <w:t xml:space="preserve"> mensais no sistema Transferegov dentro de prazos específicos, além de determinar a adoção de medidas preventivas ou corretivas em caso de descumprimento de obrigações contratuais. No entanto, não identifica explicitamente as causas estruturais que levam à</w:t>
      </w:r>
      <w:r>
        <w:t xml:space="preserve"> incompletude e inconsistência das informações (como falta de capacitação, recursos inadequados ou falhas nos processos de coleta e validação de dados). As ações propostas focam na correção da condição observada (relatórios incompletos/inconsistentes) e no</w:t>
      </w:r>
      <w:r>
        <w:t xml:space="preserve"> cumprimento de prazos, sem abordar transformações institucionais duradouras que previnam a recorrência do problema. Portanto, a recomendação não atende integralmente aos critérios de identificar a causa no nível institucional e gerar mudanças permanentes.</w:t>
      </w:r>
      <w:bookmarkEnd w:id="39"/>
      <w:r/>
    </w:p>
    <w:p>
      <w:pPr>
        <w:pStyle w:val="709"/>
        <w:pBdr/>
        <w:spacing/>
        <w:ind/>
        <w:rPr/>
      </w:pPr>
      <w:r/>
      <w:bookmarkStart w:id="40" w:name="auditoria-19727-constatação-nº-691752"/>
      <w:r>
        <w:t xml:space="preserve">Auditoria 19727, Constatação Nº 691752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Avaliar a gestão e funcionamento do Serviço de Atendimento Móvel de Urgência - SAMU 192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A Secretaria Municipal de Saúde de Campina Grande/PB não demonstrou que há controle acerca da regularidade no quantitativo dos profissionais atuantes no SAMU 192, em relação à contratação, carga horária, controle de frequência e atualização do SCNES.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Manter o controle dos profissionais que atuam no SAMU 192 de Campina Grande/PB, notadamente identificando esses profissionais pelos seus cargos, carga horária, local de atuação, controle de frequência, dentre outros aspectos que impactem em</w:t>
      </w:r>
      <w:r>
        <w:t xml:space="preserve"> prejuízo de atuação das equipes do SAMU 192 em Campina Grande/PB; Dar cumprimento ao disposto no art. 364, capítulo IV da Portaria de Consolidação nº 01, de 28/09/2017 quanto à correta inserção, manutenção e atualização sistemática dos cadastros no SCNES.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foco-causa</w:t>
      </w:r>
      <w:r/>
    </w:p>
    <w:p>
      <w:pPr>
        <w:pStyle w:val="720"/>
        <w:pBdr/>
        <w:spacing/>
        <w:ind/>
        <w:rPr/>
      </w:pPr>
      <w:r>
        <w:t xml:space="preserve">Análise Codificação: A recomendação visa estabelecer um sistema de c</w:t>
      </w:r>
      <w:r>
        <w:t xml:space="preserve">ontrole permanente sobre os profissionais do SAMU 192, abordando tanto aspectos operacionais (cargos, carga horária, frequência) quanto a atualização obrigatória no SCNES, demonstrando preocupação com a causa institucional da falta de controle sistemático.</w:t>
      </w:r>
      <w:r/>
    </w:p>
    <w:p>
      <w:pPr>
        <w:pStyle w:val="722"/>
        <w:numPr>
          <w:ilvl w:val="0"/>
          <w:numId w:val="19"/>
        </w:numPr>
        <w:pBdr/>
        <w:spacing/>
        <w:ind/>
        <w:rPr/>
      </w:pPr>
      <w:r>
        <w:t xml:space="preserve">Causa Identificada: sim</w:t>
      </w:r>
      <w:r/>
    </w:p>
    <w:p>
      <w:pPr>
        <w:pStyle w:val="722"/>
        <w:numPr>
          <w:ilvl w:val="0"/>
          <w:numId w:val="19"/>
        </w:numPr>
        <w:pBdr/>
        <w:spacing/>
        <w:ind/>
        <w:rPr/>
      </w:pPr>
      <w:r>
        <w:t xml:space="preserve">Causa Institucional: sim</w:t>
      </w:r>
      <w:r/>
    </w:p>
    <w:p>
      <w:pPr>
        <w:pStyle w:val="722"/>
        <w:numPr>
          <w:ilvl w:val="0"/>
          <w:numId w:val="19"/>
        </w:numPr>
        <w:pBdr/>
        <w:spacing/>
        <w:ind/>
        <w:rPr/>
      </w:pPr>
      <w:r>
        <w:t xml:space="preserve">Solução Duradoura:sim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foco-condicao</w:t>
      </w:r>
      <w:r/>
    </w:p>
    <w:p>
      <w:pPr>
        <w:pStyle w:val="720"/>
        <w:pBdr/>
        <w:spacing/>
        <w:ind/>
        <w:rPr/>
      </w:pPr>
      <w:r>
        <w:t xml:space="preserve">Análise: A recomendação propõe a manutenção do controle dos profissionais do SAMU 192, incluindo identificação por cargos, carga horária, local de atuação e controle de frequência, bem co</w:t>
      </w:r>
      <w:r>
        <w:t xml:space="preserve">mo o cumprimento da Portaria de Consolidação nº 01/2017 para atualização do SCNES. No entanto, ela não identifica explicitamente as causas institucionais que levaram à falta de controle (ex.: ausência de procedimentos formais, deficiências na estrutura de </w:t>
      </w:r>
      <w:r>
        <w:t xml:space="preserve">governança, falta de capacitação ou sistemas inadequados). As ações sugeridas focam na correção da condição observada (falta de controle) sem abordar transformações estruturais que garantam a permanência das soluções. Assim, a recomendação atende parcialme</w:t>
      </w:r>
      <w:r>
        <w:t xml:space="preserve">nte ao primeiro critério (identifica a condição, mas não a causa raiz), não atende ao segundo (a causa não está claramente no nível institucional) e não atende ao terceiro (as mudanças não têm garantia de perdurabilidade sem abordar as causas subjacentes).</w:t>
      </w:r>
      <w:bookmarkEnd w:id="40"/>
      <w:r/>
    </w:p>
    <w:p>
      <w:pPr>
        <w:pStyle w:val="709"/>
        <w:pBdr/>
        <w:spacing/>
        <w:ind/>
        <w:rPr/>
      </w:pPr>
      <w:r/>
      <w:bookmarkStart w:id="41" w:name="auditoria-19773-constatação-nº-692879"/>
      <w:r>
        <w:t xml:space="preserve">Auditoria 19773, Constatação Nº 692879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Verificar se a SM possui controles internos capazes de assegurar adequadamente a Cadeia de Frio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O Plano de Contingência da CMRF de Volta Redonda/RJ não contempla a totalidade das emergências que possam afetar a Cadeia de Frio.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Revisar o Plano de Contingência a fim de adequá-lo às possíveis intercorrências, conforme estabelecido no Art. 80, seção IX, da RDC n.º 430, de 08/10/2020; e no item 7.3, p.78, do Manual de Rede de Frio do Programa Nacional de Imunizações, 2017.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foco-causa</w:t>
      </w:r>
      <w:r/>
    </w:p>
    <w:p>
      <w:pPr>
        <w:pStyle w:val="720"/>
        <w:pBdr/>
        <w:spacing/>
        <w:ind/>
        <w:rPr/>
      </w:pPr>
      <w:r>
        <w:t xml:space="preserve">Análise Codificação: A recomendação propõe a revisão do Plano de Contingência para contemplar a totalidade das emergências que possam afetar a Cadeia de Frio, com base em normativas específicas. Ela identifica a causa como a inadequação do</w:t>
      </w:r>
      <w:r>
        <w:t xml:space="preserve"> plano atual em relação às possíveis intercorrências, situando-a no nível institucional (estrutura documental e de planejamento), e a solução (revisão e adequação do plano) possui potencial para perdurar no tempo, desde que o plano seja mantido atualizado.</w:t>
      </w:r>
      <w:r/>
    </w:p>
    <w:p>
      <w:pPr>
        <w:pStyle w:val="722"/>
        <w:numPr>
          <w:ilvl w:val="0"/>
          <w:numId w:val="20"/>
        </w:numPr>
        <w:pBdr/>
        <w:spacing/>
        <w:ind/>
        <w:rPr/>
      </w:pPr>
      <w:r>
        <w:t xml:space="preserve">Causa Identificada: sim</w:t>
      </w:r>
      <w:r/>
    </w:p>
    <w:p>
      <w:pPr>
        <w:pStyle w:val="722"/>
        <w:numPr>
          <w:ilvl w:val="0"/>
          <w:numId w:val="20"/>
        </w:numPr>
        <w:pBdr/>
        <w:spacing/>
        <w:ind/>
        <w:rPr/>
      </w:pPr>
      <w:r>
        <w:t xml:space="preserve">Causa Institucional: sim</w:t>
      </w:r>
      <w:r/>
    </w:p>
    <w:p>
      <w:pPr>
        <w:pStyle w:val="722"/>
        <w:numPr>
          <w:ilvl w:val="0"/>
          <w:numId w:val="20"/>
        </w:numPr>
        <w:pBdr/>
        <w:spacing/>
        <w:ind/>
        <w:rPr/>
      </w:pPr>
      <w:r>
        <w:t xml:space="preserve">Solução Duradoura:sim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foco-condicao</w:t>
      </w:r>
      <w:r/>
    </w:p>
    <w:p>
      <w:pPr>
        <w:pStyle w:val="720"/>
        <w:pBdr/>
        <w:spacing/>
        <w:ind/>
        <w:rPr/>
      </w:pPr>
      <w:r>
        <w:t xml:space="preserve">Análise: A recomendação propõe a revisão do Plano de Contingência para adequá-lo às possíveis intercorrências, conforme normativas especí</w:t>
      </w:r>
      <w:r>
        <w:t xml:space="preserve">ficas. No entanto, ela não identifica explicitamente a causa que levou à condição detectada (falta de contemplação da totalidade das emergências), nem situa a causa no nível institucional (como falhas em processos de elaboração, atualização ou capacitação)</w:t>
      </w:r>
      <w:r>
        <w:t xml:space="preserve">. A ação sugerida é corretiva para a condição atual do plano, sem garantir que as transformações perdurem no tempo, pois uma revisão pontual não necessariamente previne futuras inadequações sem mudanças estruturais nos processos de gestão de contingências.</w:t>
      </w:r>
      <w:bookmarkEnd w:id="41"/>
      <w:r/>
    </w:p>
    <w:p>
      <w:pPr>
        <w:pStyle w:val="709"/>
        <w:pBdr/>
        <w:spacing/>
        <w:ind/>
        <w:rPr/>
      </w:pPr>
      <w:r/>
      <w:bookmarkStart w:id="42" w:name="auditoria-19538-constatação-nº-675893"/>
      <w:r>
        <w:t xml:space="preserve">Auditoria 19538, Constatação Nº 675893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Avaliar a gestão da SMS quanto aos indicadores de desempenho do programa Previne Brasil.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Os dados referentes ao exame de Sifilis e HIV em gestantes do indicador 2 apresentados no SISAB não são equivalentes aos registrados nos demais sistemas de registro dos procedimentos.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1. Efetivar a informatização das UBS do município, viabilizando o uso do Prontuário Eletrônico nos ambientes de atendimento ao cidadão, garantindo o devido preenchimento das informações de saúde dos </w:t>
      </w:r>
      <w:r>
        <w:t xml:space="preserve">usuários da APS e o envio adequado de dados ao Ministério da Saúde, de acordo com o disposto na Nota Técnica nº 21/2019- CGIAP/DESF/SAPS/MS, que define o processo de informatização das unidades de Atenção Primária à Saúde; 2. Registrar no SISAB, por compet</w:t>
      </w:r>
      <w:r>
        <w:t xml:space="preserve">ência, os dados relacionados ao indicador nº 2, referentes à realização de exames para detecção de Sífilis e HIV nas gestantes, regularmente, até o 10º dia útil subsequente a cada competência, de acordo com o preconizado na Nota Técnica nº 14/2022-SAPS/MS.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foco-causa</w:t>
      </w:r>
      <w:r/>
    </w:p>
    <w:p>
      <w:pPr>
        <w:pStyle w:val="720"/>
        <w:pBdr/>
        <w:spacing/>
        <w:ind/>
        <w:rPr/>
      </w:pPr>
      <w:r>
        <w:t xml:space="preserve">Análise Codificação</w:t>
      </w:r>
      <w:r>
        <w:t xml:space="preserve">: A recomendação propõe a informatização das UBS com uso de Prontuário Eletrônico para garantir preenchimento adequado e envio correto de dados, além do registro regular no SISAB, visando solucionar a divergência entre sistemas identificada na constatação.</w:t>
      </w:r>
      <w:r/>
    </w:p>
    <w:p>
      <w:pPr>
        <w:pStyle w:val="722"/>
        <w:numPr>
          <w:ilvl w:val="0"/>
          <w:numId w:val="21"/>
        </w:numPr>
        <w:pBdr/>
        <w:spacing/>
        <w:ind/>
        <w:rPr/>
      </w:pPr>
      <w:r>
        <w:t xml:space="preserve">Causa Identificada: sim</w:t>
      </w:r>
      <w:r/>
    </w:p>
    <w:p>
      <w:pPr>
        <w:pStyle w:val="722"/>
        <w:numPr>
          <w:ilvl w:val="0"/>
          <w:numId w:val="21"/>
        </w:numPr>
        <w:pBdr/>
        <w:spacing/>
        <w:ind/>
        <w:rPr/>
      </w:pPr>
      <w:r>
        <w:t xml:space="preserve">Causa Institucional: sim</w:t>
      </w:r>
      <w:r/>
    </w:p>
    <w:p>
      <w:pPr>
        <w:pStyle w:val="722"/>
        <w:numPr>
          <w:ilvl w:val="0"/>
          <w:numId w:val="21"/>
        </w:numPr>
        <w:pBdr/>
        <w:spacing/>
        <w:ind/>
        <w:rPr/>
      </w:pPr>
      <w:r>
        <w:t xml:space="preserve">Solução Duradoura:sim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foco-condicao</w:t>
      </w:r>
      <w:r/>
    </w:p>
    <w:p>
      <w:pPr>
        <w:pStyle w:val="720"/>
        <w:pBdr/>
        <w:spacing/>
        <w:ind/>
        <w:rPr/>
      </w:pPr>
      <w:r>
        <w:t xml:space="preserve">Análise: A recomendação </w:t>
      </w:r>
      <w:r>
        <w:t xml:space="preserve">aborda parcialmente a causa ao propor a informatização das UBS e o uso do Prontuário Eletrônico, o que pode mitigar inconsistências futuras, mas não identifica explicitamente a causa raiz da divergência de dados (ex.: falhas processuais, falta de treinamen</w:t>
      </w:r>
      <w:r>
        <w:t xml:space="preserve">to). A causa não está claramente situada no nível institucional, focando mais em soluções técnicas. As transformações têm potencial de duração, mas a ênfase na correção imediata (registro regular no SISAB) sugere um foco predominante na condição observada.</w:t>
      </w:r>
      <w:bookmarkEnd w:id="42"/>
      <w:r/>
    </w:p>
    <w:p>
      <w:pPr>
        <w:pStyle w:val="709"/>
        <w:pBdr/>
        <w:spacing/>
        <w:ind/>
        <w:rPr/>
      </w:pPr>
      <w:r/>
      <w:bookmarkStart w:id="43" w:name="auditoria-19839-constatação-nº-701633"/>
      <w:r>
        <w:t xml:space="preserve">Auditoria 19839, Constatação Nº 701633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Finalidade</w:t>
      </w:r>
      <w:r>
        <w:t xml:space="preserve">: Verificar a regularidade da produção inserida nos sistemas do SUS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Constatação</w:t>
      </w:r>
      <w:r>
        <w:t xml:space="preserve">: A Semus de Joselândia incorreu em irregularidade na inserção da produção ambulatorial de Consultas Médicas em Atenção Especializada no SIA-SUS no exercício de 2021.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Recomendação</w:t>
      </w:r>
      <w:r>
        <w:t xml:space="preserve">: -Adotar os procedimentos a seu cargo, conforme estabelecido no Decreto nº 11.798/2023 e no art. 3º da Portaria GM/MS n.º 885/2021, visando a elisão do dano e/ou impropriedade ocorrida com recursos de origem federal, indicado no Capítulo</w:t>
      </w:r>
      <w:r>
        <w:t xml:space="preserve"> </w:t>
      </w:r>
      <w:r>
        <w:t xml:space="preserve">“Proposição de Devolução”</w:t>
      </w:r>
      <w:r>
        <w:t xml:space="preserve"> </w:t>
      </w:r>
      <w:r>
        <w:t xml:space="preserve">deste relatório, assim como, prevenir a recorrência do fato apresentado.</w:t>
      </w:r>
      <w:r/>
    </w:p>
    <w:p>
      <w:pPr>
        <w:pStyle w:val="720"/>
        <w:pBdr/>
        <w:spacing/>
        <w:ind/>
        <w:rPr/>
      </w:pPr>
      <w:r>
        <w:rPr>
          <w:b/>
          <w:bCs/>
        </w:rPr>
        <w:t xml:space="preserve">Categoria via Codificação (Calculada): foco-causa</w:t>
      </w:r>
      <w:r/>
    </w:p>
    <w:p>
      <w:pPr>
        <w:pStyle w:val="720"/>
        <w:pBdr/>
        <w:spacing/>
        <w:ind/>
        <w:rPr/>
      </w:pPr>
      <w:r>
        <w:t xml:space="preserve">Análise Codificação: A recomendação </w:t>
      </w:r>
      <w:r>
        <w:t xml:space="preserve">aborda a necessidade de adoção de procedimentos estabelecidos em normas para corrigir irregularidade na inserção de produção ambulatorial e prevenir sua recorrência, indicando uma intenção de tratar a causa institucional por meio de conformidade normativa.</w:t>
      </w:r>
      <w:r/>
    </w:p>
    <w:p>
      <w:pPr>
        <w:pStyle w:val="722"/>
        <w:numPr>
          <w:ilvl w:val="0"/>
          <w:numId w:val="22"/>
        </w:numPr>
        <w:pBdr/>
        <w:spacing/>
        <w:ind/>
        <w:rPr/>
      </w:pPr>
      <w:r>
        <w:t xml:space="preserve">Causa Identificada: sim</w:t>
      </w:r>
      <w:r/>
    </w:p>
    <w:p>
      <w:pPr>
        <w:pStyle w:val="722"/>
        <w:numPr>
          <w:ilvl w:val="0"/>
          <w:numId w:val="22"/>
        </w:numPr>
        <w:pBdr/>
        <w:spacing/>
        <w:ind/>
        <w:rPr/>
      </w:pPr>
      <w:r>
        <w:t xml:space="preserve">Causa Institucional: sim</w:t>
      </w:r>
      <w:r/>
    </w:p>
    <w:p>
      <w:pPr>
        <w:pStyle w:val="722"/>
        <w:numPr>
          <w:ilvl w:val="0"/>
          <w:numId w:val="22"/>
        </w:numPr>
        <w:pBdr/>
        <w:spacing/>
        <w:ind/>
        <w:rPr/>
      </w:pPr>
      <w:r>
        <w:t xml:space="preserve">Solução Duradoura:sim</w:t>
      </w:r>
      <w:r/>
    </w:p>
    <w:p>
      <w:pPr>
        <w:pStyle w:val="721"/>
        <w:pBdr/>
        <w:spacing/>
        <w:ind/>
        <w:rPr/>
      </w:pPr>
      <w:r>
        <w:rPr>
          <w:b/>
          <w:bCs/>
        </w:rPr>
        <w:t xml:space="preserve">Categoria via Categorização Direta: foco-condicao</w:t>
      </w:r>
      <w:r/>
    </w:p>
    <w:p>
      <w:pPr>
        <w:pStyle w:val="720"/>
        <w:pBdr/>
        <w:spacing/>
        <w:ind/>
        <w:rPr/>
      </w:pPr>
      <w:r>
        <w:t xml:space="preserve">Análise: A recomendação identifica a necessidade de prevenir a recorrência do fato, o que sugere um foco na causa, mas não especifica claramente as causas institucionais que </w:t>
      </w:r>
      <w:r>
        <w:t xml:space="preserve">levaram à irregularidade (ex: falta de treinamento, controles inadequados, falhas processuais). Ela se baseia principalmente na adoção de procedimentos legais existentes para corrigir a condição atual (devolução de recursos) e prevenir recorrência, sem det</w:t>
      </w:r>
      <w:r>
        <w:t xml:space="preserve">alhar transformações estruturais. As mudanças propostas podem perdurar se os procedimentos forem internalizados, mas a falta de especificidade sobre causas institucionais e a ênfase na correção imediata (devolução) indicam um foco predominante na condição.</w:t>
      </w:r>
      <w:bookmarkEnd w:id="43"/>
      <w:bookmarkEnd w:id="44"/>
      <w:r/>
    </w:p>
    <w:sectPr>
      <w:footnotePr>
        <w:numRestart w:val="eachSect"/>
      </w:footnotePr>
      <w:endnotePr/>
      <w:type w:val="nextPage"/>
      <w:pgSz w:h="15840" w:orient="portrait" w:w="12240"/>
      <w:pgMar w:top="1417" w:right="1701" w:bottom="1417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D2DE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1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2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17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7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7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7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7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7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7"/>
    <w:link w:val="7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7"/>
    <w:link w:val="7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7"/>
    <w:link w:val="7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7"/>
    <w:link w:val="72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7"/>
    <w:link w:val="72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7"/>
    <w:next w:val="70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7"/>
    <w:next w:val="70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7"/>
    <w:link w:val="176"/>
    <w:uiPriority w:val="99"/>
    <w:pPr>
      <w:pBdr/>
      <w:spacing/>
      <w:ind/>
    </w:pPr>
  </w:style>
  <w:style w:type="paragraph" w:styleId="178">
    <w:name w:val="Footer"/>
    <w:basedOn w:val="70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7"/>
    <w:link w:val="178"/>
    <w:uiPriority w:val="99"/>
    <w:pPr>
      <w:pBdr/>
      <w:spacing/>
      <w:ind/>
    </w:pPr>
  </w:style>
  <w:style w:type="character" w:styleId="182">
    <w:name w:val="Footnote Text Char"/>
    <w:basedOn w:val="717"/>
    <w:link w:val="742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0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7"/>
    <w:next w:val="707"/>
    <w:uiPriority w:val="39"/>
    <w:unhideWhenUsed/>
    <w:pPr>
      <w:pBdr/>
      <w:spacing w:after="100"/>
      <w:ind/>
    </w:pPr>
  </w:style>
  <w:style w:type="paragraph" w:styleId="190">
    <w:name w:val="toc 2"/>
    <w:basedOn w:val="707"/>
    <w:next w:val="707"/>
    <w:uiPriority w:val="39"/>
    <w:unhideWhenUsed/>
    <w:pPr>
      <w:pBdr/>
      <w:spacing w:after="100"/>
      <w:ind w:left="220"/>
    </w:pPr>
  </w:style>
  <w:style w:type="paragraph" w:styleId="191">
    <w:name w:val="toc 3"/>
    <w:basedOn w:val="707"/>
    <w:next w:val="707"/>
    <w:uiPriority w:val="39"/>
    <w:unhideWhenUsed/>
    <w:pPr>
      <w:pBdr/>
      <w:spacing w:after="100"/>
      <w:ind w:left="440"/>
    </w:pPr>
  </w:style>
  <w:style w:type="paragraph" w:styleId="192">
    <w:name w:val="toc 4"/>
    <w:basedOn w:val="707"/>
    <w:next w:val="707"/>
    <w:uiPriority w:val="39"/>
    <w:unhideWhenUsed/>
    <w:pPr>
      <w:pBdr/>
      <w:spacing w:after="100"/>
      <w:ind w:left="660"/>
    </w:pPr>
  </w:style>
  <w:style w:type="paragraph" w:styleId="193">
    <w:name w:val="toc 5"/>
    <w:basedOn w:val="707"/>
    <w:next w:val="707"/>
    <w:uiPriority w:val="39"/>
    <w:unhideWhenUsed/>
    <w:pPr>
      <w:pBdr/>
      <w:spacing w:after="100"/>
      <w:ind w:left="880"/>
    </w:pPr>
  </w:style>
  <w:style w:type="paragraph" w:styleId="194">
    <w:name w:val="toc 6"/>
    <w:basedOn w:val="707"/>
    <w:next w:val="707"/>
    <w:uiPriority w:val="39"/>
    <w:unhideWhenUsed/>
    <w:pPr>
      <w:pBdr/>
      <w:spacing w:after="100"/>
      <w:ind w:left="1100"/>
    </w:pPr>
  </w:style>
  <w:style w:type="paragraph" w:styleId="195">
    <w:name w:val="toc 7"/>
    <w:basedOn w:val="707"/>
    <w:next w:val="707"/>
    <w:uiPriority w:val="39"/>
    <w:unhideWhenUsed/>
    <w:pPr>
      <w:pBdr/>
      <w:spacing w:after="100"/>
      <w:ind w:left="1320"/>
    </w:pPr>
  </w:style>
  <w:style w:type="paragraph" w:styleId="196">
    <w:name w:val="toc 8"/>
    <w:basedOn w:val="707"/>
    <w:next w:val="707"/>
    <w:uiPriority w:val="39"/>
    <w:unhideWhenUsed/>
    <w:pPr>
      <w:pBdr/>
      <w:spacing w:after="100"/>
      <w:ind w:left="1540"/>
    </w:pPr>
  </w:style>
  <w:style w:type="paragraph" w:styleId="197">
    <w:name w:val="toc 9"/>
    <w:basedOn w:val="707"/>
    <w:next w:val="70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7"/>
    <w:next w:val="707"/>
    <w:uiPriority w:val="99"/>
    <w:unhideWhenUsed/>
    <w:pPr>
      <w:pBdr/>
      <w:spacing w:after="0" w:afterAutospacing="0"/>
      <w:ind/>
    </w:pPr>
  </w:style>
  <w:style w:type="paragraph" w:styleId="707" w:default="1">
    <w:name w:val="Normal"/>
    <w:qFormat/>
    <w:pPr>
      <w:pBdr/>
      <w:spacing/>
      <w:ind/>
    </w:pPr>
  </w:style>
  <w:style w:type="paragraph" w:styleId="708">
    <w:name w:val="Heading 1"/>
    <w:basedOn w:val="707"/>
    <w:next w:val="720"/>
    <w:link w:val="73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9">
    <w:name w:val="Heading 2"/>
    <w:basedOn w:val="707"/>
    <w:next w:val="720"/>
    <w:link w:val="73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10">
    <w:name w:val="Heading 3"/>
    <w:basedOn w:val="707"/>
    <w:next w:val="720"/>
    <w:link w:val="73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11">
    <w:name w:val="Heading 4"/>
    <w:basedOn w:val="707"/>
    <w:next w:val="720"/>
    <w:link w:val="73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12">
    <w:name w:val="Heading 5"/>
    <w:basedOn w:val="707"/>
    <w:next w:val="720"/>
    <w:link w:val="73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13">
    <w:name w:val="Heading 6"/>
    <w:basedOn w:val="707"/>
    <w:next w:val="720"/>
    <w:link w:val="73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4">
    <w:name w:val="Heading 7"/>
    <w:basedOn w:val="707"/>
    <w:next w:val="720"/>
    <w:link w:val="73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5">
    <w:name w:val="Heading 8"/>
    <w:basedOn w:val="707"/>
    <w:next w:val="720"/>
    <w:link w:val="73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6">
    <w:name w:val="Heading 9"/>
    <w:basedOn w:val="707"/>
    <w:next w:val="720"/>
    <w:link w:val="74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7" w:default="1">
    <w:name w:val="Default Paragraph Font"/>
    <w:uiPriority w:val="1"/>
    <w:semiHidden/>
    <w:unhideWhenUsed/>
    <w:pPr>
      <w:pBdr/>
      <w:spacing/>
      <w:ind/>
    </w:pPr>
  </w:style>
  <w:style w:type="table" w:styleId="7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9" w:default="1">
    <w:name w:val="No List"/>
    <w:uiPriority w:val="99"/>
    <w:semiHidden/>
    <w:unhideWhenUsed/>
    <w:pPr>
      <w:pBdr/>
      <w:spacing/>
      <w:ind/>
    </w:pPr>
  </w:style>
  <w:style w:type="paragraph" w:styleId="720">
    <w:name w:val="Body Text"/>
    <w:basedOn w:val="707"/>
    <w:qFormat/>
    <w:pPr>
      <w:pBdr/>
      <w:spacing w:after="180" w:before="180"/>
      <w:ind/>
    </w:pPr>
  </w:style>
  <w:style w:type="paragraph" w:styleId="721" w:customStyle="1">
    <w:name w:val="First Paragraph"/>
    <w:basedOn w:val="720"/>
    <w:next w:val="720"/>
    <w:qFormat/>
    <w:pPr>
      <w:pBdr/>
      <w:spacing/>
      <w:ind/>
    </w:pPr>
  </w:style>
  <w:style w:type="paragraph" w:styleId="722" w:customStyle="1">
    <w:name w:val="Compact"/>
    <w:basedOn w:val="720"/>
    <w:qFormat/>
    <w:pPr>
      <w:pBdr/>
      <w:spacing w:after="36" w:before="36"/>
      <w:ind/>
    </w:pPr>
    <w:rPr>
      <w:sz w:val="20"/>
    </w:rPr>
  </w:style>
  <w:style w:type="paragraph" w:styleId="723">
    <w:name w:val="Title"/>
    <w:basedOn w:val="707"/>
    <w:next w:val="720"/>
    <w:link w:val="724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724" w:customStyle="1">
    <w:name w:val="Título Char"/>
    <w:basedOn w:val="717"/>
    <w:link w:val="723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725">
    <w:name w:val="Subtitle"/>
    <w:basedOn w:val="723"/>
    <w:next w:val="720"/>
    <w:link w:val="726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726" w:customStyle="1">
    <w:name w:val="Subtítulo Char"/>
    <w:basedOn w:val="717"/>
    <w:link w:val="72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7" w:customStyle="1">
    <w:name w:val="Author"/>
    <w:basedOn w:val="723"/>
    <w:next w:val="720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28">
    <w:name w:val="Date"/>
    <w:basedOn w:val="723"/>
    <w:next w:val="720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29" w:customStyle="1">
    <w:name w:val="Abstract Title"/>
    <w:basedOn w:val="707"/>
    <w:next w:val="730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30" w:customStyle="1">
    <w:name w:val="Abstract"/>
    <w:basedOn w:val="707"/>
    <w:next w:val="720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31">
    <w:name w:val="Bibliography"/>
    <w:basedOn w:val="707"/>
    <w:qFormat/>
    <w:pPr>
      <w:pBdr/>
      <w:spacing/>
      <w:ind/>
    </w:pPr>
  </w:style>
  <w:style w:type="character" w:styleId="732" w:customStyle="1">
    <w:name w:val="Título 1 Char"/>
    <w:basedOn w:val="717"/>
    <w:link w:val="70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33" w:customStyle="1">
    <w:name w:val="Título 2 Char"/>
    <w:basedOn w:val="717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34" w:customStyle="1">
    <w:name w:val="Título 3 Char"/>
    <w:basedOn w:val="717"/>
    <w:link w:val="71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35" w:customStyle="1">
    <w:name w:val="Título 4 Char"/>
    <w:basedOn w:val="717"/>
    <w:link w:val="71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36" w:customStyle="1">
    <w:name w:val="Título 5 Char"/>
    <w:basedOn w:val="717"/>
    <w:link w:val="71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37" w:customStyle="1">
    <w:name w:val="Título 6 Char"/>
    <w:basedOn w:val="717"/>
    <w:link w:val="71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38" w:customStyle="1">
    <w:name w:val="Título 7 Char"/>
    <w:basedOn w:val="717"/>
    <w:link w:val="71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39" w:customStyle="1">
    <w:name w:val="Título 8 Char"/>
    <w:basedOn w:val="717"/>
    <w:link w:val="71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0" w:customStyle="1">
    <w:name w:val="Título 9 Char"/>
    <w:basedOn w:val="717"/>
    <w:link w:val="71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41">
    <w:name w:val="Block Text"/>
    <w:basedOn w:val="720"/>
    <w:next w:val="720"/>
    <w:uiPriority w:val="9"/>
    <w:unhideWhenUsed/>
    <w:qFormat/>
    <w:pPr>
      <w:pBdr/>
      <w:spacing w:after="100" w:before="100"/>
      <w:ind w:right="480" w:left="480"/>
    </w:pPr>
  </w:style>
  <w:style w:type="paragraph" w:styleId="742">
    <w:name w:val="footnote text"/>
    <w:basedOn w:val="707"/>
    <w:uiPriority w:val="9"/>
    <w:unhideWhenUsed/>
    <w:qFormat/>
    <w:pPr>
      <w:pBdr/>
      <w:spacing/>
      <w:ind/>
    </w:pPr>
  </w:style>
  <w:style w:type="paragraph" w:styleId="743" w:customStyle="1">
    <w:name w:val="Footnote Block Text"/>
    <w:basedOn w:val="742"/>
    <w:next w:val="742"/>
    <w:uiPriority w:val="9"/>
    <w:unhideWhenUsed/>
    <w:qFormat/>
    <w:pPr>
      <w:pBdr/>
      <w:spacing w:after="100" w:before="100"/>
      <w:ind w:right="480" w:left="480"/>
    </w:pPr>
  </w:style>
  <w:style w:type="table" w:styleId="744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5" w:customStyle="1">
    <w:name w:val="Definition Term"/>
    <w:basedOn w:val="707"/>
    <w:next w:val="746"/>
    <w:pPr>
      <w:keepNext w:val="true"/>
      <w:keepLines w:val="true"/>
      <w:pBdr/>
      <w:spacing w:after="0"/>
      <w:ind/>
    </w:pPr>
    <w:rPr>
      <w:b/>
    </w:rPr>
  </w:style>
  <w:style w:type="paragraph" w:styleId="746" w:customStyle="1">
    <w:name w:val="Definition"/>
    <w:basedOn w:val="707"/>
    <w:pPr>
      <w:pBdr/>
      <w:spacing/>
      <w:ind/>
    </w:pPr>
  </w:style>
  <w:style w:type="paragraph" w:styleId="747">
    <w:name w:val="Caption"/>
    <w:basedOn w:val="707"/>
    <w:link w:val="752"/>
    <w:pPr>
      <w:pBdr/>
      <w:spacing w:after="120"/>
      <w:ind/>
    </w:pPr>
    <w:rPr>
      <w:i/>
    </w:rPr>
  </w:style>
  <w:style w:type="paragraph" w:styleId="748" w:customStyle="1">
    <w:name w:val="Table Caption"/>
    <w:basedOn w:val="747"/>
    <w:pPr>
      <w:keepNext w:val="true"/>
      <w:pBdr/>
      <w:spacing/>
      <w:ind/>
    </w:pPr>
  </w:style>
  <w:style w:type="paragraph" w:styleId="749" w:customStyle="1">
    <w:name w:val="Image Caption"/>
    <w:basedOn w:val="747"/>
    <w:pPr>
      <w:pBdr/>
      <w:spacing/>
      <w:ind/>
    </w:pPr>
  </w:style>
  <w:style w:type="paragraph" w:styleId="750" w:customStyle="1">
    <w:name w:val="Figure"/>
    <w:basedOn w:val="707"/>
    <w:pPr>
      <w:pBdr/>
      <w:spacing/>
      <w:ind/>
    </w:pPr>
  </w:style>
  <w:style w:type="paragraph" w:styleId="751" w:customStyle="1">
    <w:name w:val="Captioned Figure"/>
    <w:basedOn w:val="750"/>
    <w:pPr>
      <w:keepNext w:val="true"/>
      <w:pBdr/>
      <w:spacing/>
      <w:ind/>
    </w:pPr>
  </w:style>
  <w:style w:type="character" w:styleId="752" w:customStyle="1">
    <w:name w:val="Legenda Char"/>
    <w:basedOn w:val="717"/>
    <w:link w:val="747"/>
    <w:pPr>
      <w:pBdr/>
      <w:spacing/>
      <w:ind/>
    </w:pPr>
  </w:style>
  <w:style w:type="character" w:styleId="753" w:customStyle="1">
    <w:name w:val="Verbatim Char"/>
    <w:basedOn w:val="752"/>
    <w:pPr>
      <w:pBdr/>
      <w:spacing/>
      <w:ind/>
    </w:pPr>
    <w:rPr>
      <w:rFonts w:ascii="Consolas" w:hAnsi="Consolas"/>
      <w:sz w:val="20"/>
    </w:rPr>
  </w:style>
  <w:style w:type="character" w:styleId="754" w:customStyle="1">
    <w:name w:val="Section Number"/>
    <w:basedOn w:val="752"/>
    <w:pPr>
      <w:pBdr/>
      <w:spacing/>
      <w:ind/>
    </w:pPr>
  </w:style>
  <w:style w:type="character" w:styleId="755">
    <w:name w:val="footnote reference"/>
    <w:basedOn w:val="752"/>
    <w:pPr>
      <w:pBdr/>
      <w:spacing/>
      <w:ind/>
    </w:pPr>
    <w:rPr>
      <w:vertAlign w:val="superscript"/>
    </w:rPr>
  </w:style>
  <w:style w:type="character" w:styleId="756">
    <w:name w:val="Hyperlink"/>
    <w:basedOn w:val="752"/>
    <w:pPr>
      <w:pBdr/>
      <w:spacing/>
      <w:ind/>
    </w:pPr>
    <w:rPr>
      <w:color w:val="156082" w:themeColor="accent1"/>
    </w:rPr>
  </w:style>
  <w:style w:type="paragraph" w:styleId="757">
    <w:name w:val="TOC Heading"/>
    <w:basedOn w:val="708"/>
    <w:next w:val="720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758" w:customStyle="1">
    <w:name w:val="Source Code"/>
    <w:basedOn w:val="707"/>
    <w:link w:val="753"/>
    <w:pPr>
      <w:pBdr/>
      <w:shd w:val="clear" w:color="auto" w:fill="f1f3f5"/>
      <w:spacing/>
      <w:ind/>
    </w:pPr>
  </w:style>
  <w:style w:type="character" w:styleId="759" w:customStyle="1">
    <w:name w:val="KeywordTok"/>
    <w:basedOn w:val="753"/>
    <w:pPr>
      <w:pBdr/>
      <w:spacing/>
      <w:ind/>
    </w:pPr>
    <w:rPr>
      <w:b/>
      <w:color w:val="003b4f"/>
      <w:shd w:val="clear" w:color="auto" w:fill="f1f3f5"/>
    </w:rPr>
  </w:style>
  <w:style w:type="character" w:styleId="760" w:customStyle="1">
    <w:name w:val="DataTypeTok"/>
    <w:basedOn w:val="753"/>
    <w:pPr>
      <w:pBdr/>
      <w:spacing/>
      <w:ind/>
    </w:pPr>
    <w:rPr>
      <w:color w:val="ad0000"/>
      <w:shd w:val="clear" w:color="auto" w:fill="f1f3f5"/>
    </w:rPr>
  </w:style>
  <w:style w:type="character" w:styleId="761" w:customStyle="1">
    <w:name w:val="DecValTok"/>
    <w:basedOn w:val="753"/>
    <w:pPr>
      <w:pBdr/>
      <w:spacing/>
      <w:ind/>
    </w:pPr>
    <w:rPr>
      <w:color w:val="ad0000"/>
      <w:shd w:val="clear" w:color="auto" w:fill="f1f3f5"/>
    </w:rPr>
  </w:style>
  <w:style w:type="character" w:styleId="762" w:customStyle="1">
    <w:name w:val="BaseNTok"/>
    <w:basedOn w:val="753"/>
    <w:pPr>
      <w:pBdr/>
      <w:spacing/>
      <w:ind/>
    </w:pPr>
    <w:rPr>
      <w:color w:val="ad0000"/>
      <w:shd w:val="clear" w:color="auto" w:fill="f1f3f5"/>
    </w:rPr>
  </w:style>
  <w:style w:type="character" w:styleId="763" w:customStyle="1">
    <w:name w:val="FloatTok"/>
    <w:basedOn w:val="753"/>
    <w:pPr>
      <w:pBdr/>
      <w:spacing/>
      <w:ind/>
    </w:pPr>
    <w:rPr>
      <w:color w:val="ad0000"/>
      <w:shd w:val="clear" w:color="auto" w:fill="f1f3f5"/>
    </w:rPr>
  </w:style>
  <w:style w:type="character" w:styleId="764" w:customStyle="1">
    <w:name w:val="ConstantTok"/>
    <w:basedOn w:val="753"/>
    <w:pPr>
      <w:pBdr/>
      <w:spacing/>
      <w:ind/>
    </w:pPr>
    <w:rPr>
      <w:color w:val="8f5902"/>
      <w:shd w:val="clear" w:color="auto" w:fill="f1f3f5"/>
    </w:rPr>
  </w:style>
  <w:style w:type="character" w:styleId="765" w:customStyle="1">
    <w:name w:val="CharTok"/>
    <w:basedOn w:val="753"/>
    <w:pPr>
      <w:pBdr/>
      <w:spacing/>
      <w:ind/>
    </w:pPr>
    <w:rPr>
      <w:color w:val="20794d"/>
      <w:shd w:val="clear" w:color="auto" w:fill="f1f3f5"/>
    </w:rPr>
  </w:style>
  <w:style w:type="character" w:styleId="766" w:customStyle="1">
    <w:name w:val="SpecialCharTok"/>
    <w:basedOn w:val="753"/>
    <w:pPr>
      <w:pBdr/>
      <w:spacing/>
      <w:ind/>
    </w:pPr>
    <w:rPr>
      <w:color w:val="5e5e5e"/>
      <w:shd w:val="clear" w:color="auto" w:fill="f1f3f5"/>
    </w:rPr>
  </w:style>
  <w:style w:type="character" w:styleId="767" w:customStyle="1">
    <w:name w:val="StringTok"/>
    <w:basedOn w:val="753"/>
    <w:pPr>
      <w:pBdr/>
      <w:spacing/>
      <w:ind/>
    </w:pPr>
    <w:rPr>
      <w:color w:val="20794d"/>
      <w:shd w:val="clear" w:color="auto" w:fill="f1f3f5"/>
    </w:rPr>
  </w:style>
  <w:style w:type="character" w:styleId="768" w:customStyle="1">
    <w:name w:val="VerbatimStringTok"/>
    <w:basedOn w:val="753"/>
    <w:pPr>
      <w:pBdr/>
      <w:spacing/>
      <w:ind/>
    </w:pPr>
    <w:rPr>
      <w:color w:val="20794d"/>
      <w:shd w:val="clear" w:color="auto" w:fill="f1f3f5"/>
    </w:rPr>
  </w:style>
  <w:style w:type="character" w:styleId="769" w:customStyle="1">
    <w:name w:val="SpecialStringTok"/>
    <w:basedOn w:val="753"/>
    <w:pPr>
      <w:pBdr/>
      <w:spacing/>
      <w:ind/>
    </w:pPr>
    <w:rPr>
      <w:color w:val="20794d"/>
      <w:shd w:val="clear" w:color="auto" w:fill="f1f3f5"/>
    </w:rPr>
  </w:style>
  <w:style w:type="character" w:styleId="770" w:customStyle="1">
    <w:name w:val="ImportTok"/>
    <w:basedOn w:val="753"/>
    <w:pPr>
      <w:pBdr/>
      <w:spacing/>
      <w:ind/>
    </w:pPr>
    <w:rPr>
      <w:color w:val="00769e"/>
      <w:shd w:val="clear" w:color="auto" w:fill="f1f3f5"/>
    </w:rPr>
  </w:style>
  <w:style w:type="character" w:styleId="771" w:customStyle="1">
    <w:name w:val="CommentTok"/>
    <w:basedOn w:val="753"/>
    <w:pPr>
      <w:pBdr/>
      <w:spacing/>
      <w:ind/>
    </w:pPr>
    <w:rPr>
      <w:color w:val="5e5e5e"/>
      <w:shd w:val="clear" w:color="auto" w:fill="f1f3f5"/>
    </w:rPr>
  </w:style>
  <w:style w:type="character" w:styleId="772" w:customStyle="1">
    <w:name w:val="DocumentationTok"/>
    <w:basedOn w:val="753"/>
    <w:pPr>
      <w:pBdr/>
      <w:spacing/>
      <w:ind/>
    </w:pPr>
    <w:rPr>
      <w:i/>
      <w:color w:val="5e5e5e"/>
      <w:shd w:val="clear" w:color="auto" w:fill="f1f3f5"/>
    </w:rPr>
  </w:style>
  <w:style w:type="character" w:styleId="773" w:customStyle="1">
    <w:name w:val="AnnotationTok"/>
    <w:basedOn w:val="753"/>
    <w:pPr>
      <w:pBdr/>
      <w:spacing/>
      <w:ind/>
    </w:pPr>
    <w:rPr>
      <w:color w:val="5e5e5e"/>
      <w:shd w:val="clear" w:color="auto" w:fill="f1f3f5"/>
    </w:rPr>
  </w:style>
  <w:style w:type="character" w:styleId="774" w:customStyle="1">
    <w:name w:val="CommentVarTok"/>
    <w:basedOn w:val="753"/>
    <w:pPr>
      <w:pBdr/>
      <w:spacing/>
      <w:ind/>
    </w:pPr>
    <w:rPr>
      <w:i/>
      <w:color w:val="5e5e5e"/>
      <w:shd w:val="clear" w:color="auto" w:fill="f1f3f5"/>
    </w:rPr>
  </w:style>
  <w:style w:type="character" w:styleId="775" w:customStyle="1">
    <w:name w:val="OtherTok"/>
    <w:basedOn w:val="753"/>
    <w:pPr>
      <w:pBdr/>
      <w:spacing/>
      <w:ind/>
    </w:pPr>
    <w:rPr>
      <w:color w:val="003b4f"/>
      <w:shd w:val="clear" w:color="auto" w:fill="f1f3f5"/>
    </w:rPr>
  </w:style>
  <w:style w:type="character" w:styleId="776" w:customStyle="1">
    <w:name w:val="FunctionTok"/>
    <w:basedOn w:val="753"/>
    <w:pPr>
      <w:pBdr/>
      <w:spacing/>
      <w:ind/>
    </w:pPr>
    <w:rPr>
      <w:color w:val="4758ab"/>
      <w:shd w:val="clear" w:color="auto" w:fill="f1f3f5"/>
    </w:rPr>
  </w:style>
  <w:style w:type="character" w:styleId="777" w:customStyle="1">
    <w:name w:val="VariableTok"/>
    <w:basedOn w:val="753"/>
    <w:pPr>
      <w:pBdr/>
      <w:spacing/>
      <w:ind/>
    </w:pPr>
    <w:rPr>
      <w:color w:val="111111"/>
      <w:shd w:val="clear" w:color="auto" w:fill="f1f3f5"/>
    </w:rPr>
  </w:style>
  <w:style w:type="character" w:styleId="778" w:customStyle="1">
    <w:name w:val="ControlFlowTok"/>
    <w:basedOn w:val="753"/>
    <w:pPr>
      <w:pBdr/>
      <w:spacing/>
      <w:ind/>
    </w:pPr>
    <w:rPr>
      <w:b/>
      <w:color w:val="003b4f"/>
      <w:shd w:val="clear" w:color="auto" w:fill="f1f3f5"/>
    </w:rPr>
  </w:style>
  <w:style w:type="character" w:styleId="779" w:customStyle="1">
    <w:name w:val="OperatorTok"/>
    <w:basedOn w:val="753"/>
    <w:pPr>
      <w:pBdr/>
      <w:spacing/>
      <w:ind/>
    </w:pPr>
    <w:rPr>
      <w:color w:val="5e5e5e"/>
      <w:shd w:val="clear" w:color="auto" w:fill="f1f3f5"/>
    </w:rPr>
  </w:style>
  <w:style w:type="character" w:styleId="780" w:customStyle="1">
    <w:name w:val="BuiltInTok"/>
    <w:basedOn w:val="753"/>
    <w:pPr>
      <w:pBdr/>
      <w:spacing/>
      <w:ind/>
    </w:pPr>
    <w:rPr>
      <w:color w:val="003b4f"/>
      <w:shd w:val="clear" w:color="auto" w:fill="f1f3f5"/>
    </w:rPr>
  </w:style>
  <w:style w:type="character" w:styleId="781" w:customStyle="1">
    <w:name w:val="ExtensionTok"/>
    <w:basedOn w:val="753"/>
    <w:pPr>
      <w:pBdr/>
      <w:spacing/>
      <w:ind/>
    </w:pPr>
    <w:rPr>
      <w:color w:val="003b4f"/>
      <w:shd w:val="clear" w:color="auto" w:fill="f1f3f5"/>
    </w:rPr>
  </w:style>
  <w:style w:type="character" w:styleId="782" w:customStyle="1">
    <w:name w:val="PreprocessorTok"/>
    <w:basedOn w:val="753"/>
    <w:pPr>
      <w:pBdr/>
      <w:spacing/>
      <w:ind/>
    </w:pPr>
    <w:rPr>
      <w:color w:val="ad0000"/>
      <w:shd w:val="clear" w:color="auto" w:fill="f1f3f5"/>
    </w:rPr>
  </w:style>
  <w:style w:type="character" w:styleId="783" w:customStyle="1">
    <w:name w:val="AttributeTok"/>
    <w:basedOn w:val="753"/>
    <w:pPr>
      <w:pBdr/>
      <w:spacing/>
      <w:ind/>
    </w:pPr>
    <w:rPr>
      <w:color w:val="657422"/>
      <w:shd w:val="clear" w:color="auto" w:fill="f1f3f5"/>
    </w:rPr>
  </w:style>
  <w:style w:type="character" w:styleId="784" w:customStyle="1">
    <w:name w:val="RegionMarkerTok"/>
    <w:basedOn w:val="753"/>
    <w:pPr>
      <w:pBdr/>
      <w:spacing/>
      <w:ind/>
    </w:pPr>
    <w:rPr>
      <w:color w:val="003b4f"/>
      <w:shd w:val="clear" w:color="auto" w:fill="f1f3f5"/>
    </w:rPr>
  </w:style>
  <w:style w:type="character" w:styleId="785" w:customStyle="1">
    <w:name w:val="InformationTok"/>
    <w:basedOn w:val="753"/>
    <w:pPr>
      <w:pBdr/>
      <w:spacing/>
      <w:ind/>
    </w:pPr>
    <w:rPr>
      <w:color w:val="5e5e5e"/>
      <w:shd w:val="clear" w:color="auto" w:fill="f1f3f5"/>
    </w:rPr>
  </w:style>
  <w:style w:type="character" w:styleId="786" w:customStyle="1">
    <w:name w:val="WarningTok"/>
    <w:basedOn w:val="753"/>
    <w:pPr>
      <w:pBdr/>
      <w:spacing/>
      <w:ind/>
    </w:pPr>
    <w:rPr>
      <w:i/>
      <w:color w:val="5e5e5e"/>
      <w:shd w:val="clear" w:color="auto" w:fill="f1f3f5"/>
    </w:rPr>
  </w:style>
  <w:style w:type="character" w:styleId="787" w:customStyle="1">
    <w:name w:val="AlertTok"/>
    <w:basedOn w:val="753"/>
    <w:pPr>
      <w:pBdr/>
      <w:spacing/>
      <w:ind/>
    </w:pPr>
    <w:rPr>
      <w:color w:val="ad0000"/>
      <w:shd w:val="clear" w:color="auto" w:fill="f1f3f5"/>
    </w:rPr>
  </w:style>
  <w:style w:type="character" w:styleId="788" w:customStyle="1">
    <w:name w:val="ErrorTok"/>
    <w:basedOn w:val="753"/>
    <w:pPr>
      <w:pBdr/>
      <w:spacing/>
      <w:ind/>
    </w:pPr>
    <w:rPr>
      <w:color w:val="ad0000"/>
      <w:shd w:val="clear" w:color="auto" w:fill="f1f3f5"/>
    </w:rPr>
  </w:style>
  <w:style w:type="character" w:styleId="789" w:customStyle="1">
    <w:name w:val="NormalTok"/>
    <w:basedOn w:val="753"/>
    <w:pPr>
      <w:pBdr/>
      <w:spacing/>
      <w:ind/>
    </w:pPr>
    <w:rPr>
      <w:color w:val="003b4f"/>
      <w:shd w:val="clear" w:color="auto" w:fill="f1f3f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Apêndice III - Recolhimento de Amostra</dc:title>
  <dc:creator>Fabiano A. Lima</dc:creator>
  <cp:keywords/>
  <dc:language>pt-BR</dc:language>
  <cp:revision>1</cp:revision>
  <dcterms:created xsi:type="dcterms:W3CDTF">2025-10-02T15:31:43Z</dcterms:created>
  <dcterms:modified xsi:type="dcterms:W3CDTF">2026-07-31T01:33:51Z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./Quarto/referencias.bibtex</vt:lpwstr>
  </property>
  <property fmtid="{D5CDD505-2E9C-101B-9397-08002B2CF9AE}" pid="5" name="by-author">
    <vt:lpwstr/>
  </property>
  <property fmtid="{D5CDD505-2E9C-101B-9397-08002B2CF9AE}" pid="6" name="csl">
    <vt:lpwstr>./Quarto/abnt-nbr-6023-2018-citacao-autor-data.csl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toc-title">
    <vt:lpwstr>Índice</vt:lpwstr>
  </property>
</Properties>
</file>