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Apêndice III - Recolhimento de Amostra</w:t>
      </w:r>
    </w:p>
    <w:p>
      <w:pPr>
        <w:pStyle w:val="Author"/>
      </w:pPr>
      <w:r>
        <w:t xml:space="preserve">Fabiano A. Lima</w:t>
      </w:r>
    </w:p>
    <w:bookmarkStart w:id="20" w:name="introdução"/>
    <w:p>
      <w:pPr>
        <w:pStyle w:val="Ttulo1"/>
      </w:pPr>
      <w:r>
        <w:t xml:space="preserve">Introdução</w:t>
      </w:r>
    </w:p>
    <w:p>
      <w:pPr>
        <w:pStyle w:val="FirstParagraph"/>
      </w:pPr>
      <w:r>
        <w:t xml:space="preserve">O presente apêndice registra os passos tomados para a escolha de um conjunto de recomendações para exemplificar o processo de classificação.</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br/>
      </w:r>
      <w:r>
        <w:rPr>
          <w:rStyle w:val="NormalTok"/>
        </w:rPr>
        <w:t xml:space="preserve">dataset_final </w:t>
      </w:r>
      <w:r>
        <w:rPr>
          <w:rStyle w:val="OtherTok"/>
        </w:rPr>
        <w:t xml:space="preserve">&lt;-</w:t>
      </w:r>
      <w:r>
        <w:rPr>
          <w:rStyle w:val="NormalTok"/>
        </w:rPr>
        <w:t xml:space="preserve"> </w:t>
      </w:r>
      <w:r>
        <w:rPr>
          <w:rStyle w:val="FunctionTok"/>
        </w:rPr>
        <w:t xml:space="preserve">read_rds</w:t>
      </w:r>
      <w:r>
        <w:rPr>
          <w:rStyle w:val="NormalTok"/>
        </w:rPr>
        <w:t xml:space="preserve">(</w:t>
      </w:r>
      <w:r>
        <w:rPr>
          <w:rStyle w:val="StringTok"/>
        </w:rPr>
        <w:t xml:space="preserve">"./Dados Gerados/dataset_final.rds"</w:t>
      </w:r>
      <w:r>
        <w:rPr>
          <w:rStyle w:val="NormalTok"/>
        </w:rPr>
        <w:t xml:space="preserve">)</w:t>
      </w:r>
      <w:r>
        <w:br/>
      </w:r>
      <w:r>
        <w:br/>
      </w:r>
      <w:r>
        <w:rPr>
          <w:rStyle w:val="NormalTok"/>
        </w:rPr>
        <w:t xml:space="preserve">obtem_funcao_print </w:t>
      </w:r>
      <w:r>
        <w:rPr>
          <w:rStyle w:val="OtherTok"/>
        </w:rPr>
        <w:t xml:space="preserve">&lt;-</w:t>
      </w:r>
      <w:r>
        <w:rPr>
          <w:rStyle w:val="NormalTok"/>
        </w:rPr>
        <w:t xml:space="preserve"> </w:t>
      </w:r>
      <w:r>
        <w:rPr>
          <w:rStyle w:val="ControlFlowTok"/>
        </w:rPr>
        <w:t xml:space="preserve">function</w:t>
      </w:r>
      <w:r>
        <w:rPr>
          <w:rStyle w:val="NormalTok"/>
        </w:rPr>
        <w:t xml:space="preserve">(df){</w:t>
      </w:r>
      <w:r>
        <w:br/>
      </w:r>
      <w:r>
        <w:rPr>
          <w:rStyle w:val="NormalTok"/>
        </w:rPr>
        <w:t xml:space="preserve">    obtem_campo </w:t>
      </w:r>
      <w:r>
        <w:rPr>
          <w:rStyle w:val="OtherTok"/>
        </w:rPr>
        <w:t xml:space="preserve">&lt;-</w:t>
      </w:r>
      <w:r>
        <w:rPr>
          <w:rStyle w:val="NormalTok"/>
        </w:rPr>
        <w:t xml:space="preserve"> </w:t>
      </w:r>
      <w:r>
        <w:rPr>
          <w:rStyle w:val="ControlFlowTok"/>
        </w:rPr>
        <w:t xml:space="preserve">function</w:t>
      </w:r>
      <w:r>
        <w:rPr>
          <w:rStyle w:val="NormalTok"/>
        </w:rPr>
        <w:t xml:space="preserve">(indice, campo){</w:t>
      </w:r>
      <w:r>
        <w:br/>
      </w:r>
      <w:r>
        <w:rPr>
          <w:rStyle w:val="NormalTok"/>
        </w:rPr>
        <w:t xml:space="preserve">        df[indice, campo] </w:t>
      </w:r>
      <w:r>
        <w:rPr>
          <w:rStyle w:val="SpecialCharTok"/>
        </w:rPr>
        <w:t xml:space="preserve">|&gt;</w:t>
      </w:r>
      <w:r>
        <w:rPr>
          <w:rStyle w:val="NormalTok"/>
        </w:rPr>
        <w:t xml:space="preserve"> </w:t>
      </w:r>
      <w:r>
        <w:br/>
      </w:r>
      <w:r>
        <w:rPr>
          <w:rStyle w:val="NormalTok"/>
        </w:rPr>
        <w:t xml:space="preserve">        purrr</w:t>
      </w:r>
      <w:r>
        <w:rPr>
          <w:rStyle w:val="SpecialCharTok"/>
        </w:rPr>
        <w:t xml:space="preserve">::</w:t>
      </w:r>
      <w:r>
        <w:rPr>
          <w:rStyle w:val="FunctionTok"/>
        </w:rPr>
        <w:t xml:space="preserve">pluck</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ntrolFlowTok"/>
        </w:rPr>
        <w:t xml:space="preserve">function</w:t>
      </w:r>
      <w:r>
        <w:rPr>
          <w:rStyle w:val="NormalTok"/>
        </w:rPr>
        <w:t xml:space="preserve">(i){</w:t>
      </w:r>
      <w:r>
        <w:br/>
      </w:r>
      <w:r>
        <w:rPr>
          <w:rStyle w:val="NormalTok"/>
        </w:rPr>
        <w:t xml:space="preserve">        </w:t>
      </w:r>
      <w:r>
        <w:rPr>
          <w:rStyle w:val="FunctionTok"/>
        </w:rPr>
        <w:t xml:space="preserve">cat</w:t>
      </w:r>
      <w:r>
        <w:rPr>
          <w:rStyle w:val="NormalTok"/>
        </w:rPr>
        <w:t xml:space="preserve">(</w:t>
      </w:r>
      <w:r>
        <w:br/>
      </w:r>
      <w:r>
        <w:rPr>
          <w:rStyle w:val="NormalTok"/>
        </w:rPr>
        <w:t xml:space="preserve">            </w:t>
      </w:r>
      <w:r>
        <w:rPr>
          <w:rStyle w:val="StringTok"/>
        </w:rPr>
        <w:t xml:space="preserve">"## Auditoria "</w:t>
      </w:r>
      <w:r>
        <w:rPr>
          <w:rStyle w:val="NormalTok"/>
        </w:rPr>
        <w:t xml:space="preserve">, </w:t>
      </w:r>
      <w:r>
        <w:rPr>
          <w:rStyle w:val="FunctionTok"/>
        </w:rPr>
        <w:t xml:space="preserve">obtem_campo</w:t>
      </w:r>
      <w:r>
        <w:rPr>
          <w:rStyle w:val="NormalTok"/>
        </w:rPr>
        <w:t xml:space="preserve">(i, </w:t>
      </w:r>
      <w:r>
        <w:rPr>
          <w:rStyle w:val="StringTok"/>
        </w:rPr>
        <w:t xml:space="preserve">"No. Auditoria"</w:t>
      </w:r>
      <w:r>
        <w:rPr>
          <w:rStyle w:val="NormalTok"/>
        </w:rPr>
        <w:t xml:space="preserve">), </w:t>
      </w:r>
      <w:r>
        <w:br/>
      </w:r>
      <w:r>
        <w:rPr>
          <w:rStyle w:val="NormalTok"/>
        </w:rPr>
        <w:t xml:space="preserve">            </w:t>
      </w:r>
      <w:r>
        <w:rPr>
          <w:rStyle w:val="StringTok"/>
        </w:rPr>
        <w:t xml:space="preserve">", Constatação Nº "</w:t>
      </w:r>
      <w:r>
        <w:rPr>
          <w:rStyle w:val="NormalTok"/>
        </w:rPr>
        <w:t xml:space="preserve">, </w:t>
      </w:r>
      <w:r>
        <w:rPr>
          <w:rStyle w:val="FunctionTok"/>
        </w:rPr>
        <w:t xml:space="preserve">obtem_campo</w:t>
      </w:r>
      <w:r>
        <w:rPr>
          <w:rStyle w:val="NormalTok"/>
        </w:rPr>
        <w:t xml:space="preserve">(i, </w:t>
      </w:r>
      <w:r>
        <w:rPr>
          <w:rStyle w:val="StringTok"/>
        </w:rPr>
        <w:t xml:space="preserve">"# Constatação"</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w:t>
      </w:r>
      <w:r>
        <w:rPr>
          <w:rStyle w:val="StringTok"/>
        </w:rPr>
        <w:t xml:space="preserve">"Finalidade: "</w:t>
      </w:r>
      <w:r>
        <w:rPr>
          <w:rStyle w:val="NormalTok"/>
        </w:rPr>
        <w:t xml:space="preserve"> , </w:t>
      </w:r>
      <w:r>
        <w:rPr>
          <w:rStyle w:val="FunctionTok"/>
        </w:rPr>
        <w:t xml:space="preserve">obtem_campo</w:t>
      </w:r>
      <w:r>
        <w:rPr>
          <w:rStyle w:val="NormalTok"/>
        </w:rPr>
        <w:t xml:space="preserve">(i, </w:t>
      </w:r>
      <w:r>
        <w:rPr>
          <w:rStyle w:val="StringTok"/>
        </w:rPr>
        <w:t xml:space="preserve">"Finalidade"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w:t>
      </w:r>
      <w:r>
        <w:rPr>
          <w:rStyle w:val="StringTok"/>
        </w:rPr>
        <w:t xml:space="preserve">"Constatação: "</w:t>
      </w:r>
      <w:r>
        <w:rPr>
          <w:rStyle w:val="NormalTok"/>
        </w:rPr>
        <w:t xml:space="preserve">, </w:t>
      </w:r>
      <w:r>
        <w:rPr>
          <w:rStyle w:val="FunctionTok"/>
        </w:rPr>
        <w:t xml:space="preserve">obtem_campo</w:t>
      </w:r>
      <w:r>
        <w:rPr>
          <w:rStyle w:val="NormalTok"/>
        </w:rPr>
        <w:t xml:space="preserve">(i, </w:t>
      </w:r>
      <w:r>
        <w:rPr>
          <w:rStyle w:val="StringTok"/>
        </w:rPr>
        <w:t xml:space="preserve">"Constatação"</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w:t>
      </w:r>
      <w:r>
        <w:rPr>
          <w:rStyle w:val="StringTok"/>
        </w:rPr>
        <w:t xml:space="preserve">"Recomendação: "</w:t>
      </w:r>
      <w:r>
        <w:rPr>
          <w:rStyle w:val="NormalTok"/>
        </w:rPr>
        <w:t xml:space="preserve"> , </w:t>
      </w:r>
      <w:r>
        <w:rPr>
          <w:rStyle w:val="FunctionTok"/>
        </w:rPr>
        <w:t xml:space="preserve">obtem_campo</w:t>
      </w:r>
      <w:r>
        <w:rPr>
          <w:rStyle w:val="NormalTok"/>
        </w:rPr>
        <w:t xml:space="preserve">(i, </w:t>
      </w:r>
      <w:r>
        <w:rPr>
          <w:rStyle w:val="StringTok"/>
        </w:rPr>
        <w:t xml:space="preserve">"Recomendação"</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w:t>
      </w:r>
      <w:r>
        <w:rPr>
          <w:rStyle w:val="StringTok"/>
        </w:rPr>
        <w:t xml:space="preserve">"Classificação: "</w:t>
      </w:r>
      <w:r>
        <w:rPr>
          <w:rStyle w:val="NormalTok"/>
        </w:rPr>
        <w:t xml:space="preserve"> , </w:t>
      </w:r>
      <w:r>
        <w:rPr>
          <w:rStyle w:val="FunctionTok"/>
        </w:rPr>
        <w:t xml:space="preserve">obtem_campo</w:t>
      </w:r>
      <w:r>
        <w:rPr>
          <w:rStyle w:val="NormalTok"/>
        </w:rPr>
        <w:t xml:space="preserve">(i, </w:t>
      </w:r>
      <w:r>
        <w:rPr>
          <w:rStyle w:val="StringTok"/>
        </w:rPr>
        <w:t xml:space="preserve">"Classificação"</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w:t>
      </w:r>
      <w:r>
        <w:rPr>
          <w:rStyle w:val="StringTok"/>
        </w:rPr>
        <w:t xml:space="preserve">"Justificativa: "</w:t>
      </w:r>
      <w:r>
        <w:rPr>
          <w:rStyle w:val="NormalTok"/>
        </w:rPr>
        <w:t xml:space="preserve"> , </w:t>
      </w:r>
      <w:r>
        <w:rPr>
          <w:rStyle w:val="FunctionTok"/>
        </w:rPr>
        <w:t xml:space="preserve">obtem_campo</w:t>
      </w:r>
      <w:r>
        <w:rPr>
          <w:rStyle w:val="NormalTok"/>
        </w:rPr>
        <w:t xml:space="preserve">(i, </w:t>
      </w:r>
      <w:r>
        <w:rPr>
          <w:rStyle w:val="StringTok"/>
        </w:rPr>
        <w:t xml:space="preserve">"Justificativa Classificação"</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w:t>
      </w:r>
      <w:r>
        <w:rPr>
          <w:rStyle w:val="StringTok"/>
        </w:rPr>
        <w:t xml:space="preserve">"Análise Classificação: "</w:t>
      </w:r>
      <w:r>
        <w:rPr>
          <w:rStyle w:val="NormalTok"/>
        </w:rPr>
        <w:t xml:space="preserve"> , </w:t>
      </w:r>
      <w:r>
        <w:rPr>
          <w:rStyle w:val="FunctionTok"/>
        </w:rPr>
        <w:t xml:space="preserve">obtem_campo</w:t>
      </w:r>
      <w:r>
        <w:rPr>
          <w:rStyle w:val="NormalTok"/>
        </w:rPr>
        <w:t xml:space="preserve">(i, </w:t>
      </w:r>
      <w:r>
        <w:rPr>
          <w:rStyle w:val="StringTok"/>
        </w:rPr>
        <w:t xml:space="preserve">"Análise Classificação"</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w:t>
      </w:r>
      <w:r>
        <w:rPr>
          <w:rStyle w:val="StringTok"/>
        </w:rPr>
        <w:t xml:space="preserve">"Opinião: "</w:t>
      </w:r>
      <w:r>
        <w:rPr>
          <w:rStyle w:val="NormalTok"/>
        </w:rPr>
        <w:t xml:space="preserve"> , </w:t>
      </w:r>
      <w:r>
        <w:rPr>
          <w:rStyle w:val="FunctionTok"/>
        </w:rPr>
        <w:t xml:space="preserve">obtem_campo</w:t>
      </w:r>
      <w:r>
        <w:rPr>
          <w:rStyle w:val="NormalTok"/>
        </w:rPr>
        <w:t xml:space="preserve">(i, </w:t>
      </w:r>
      <w:r>
        <w:rPr>
          <w:rStyle w:val="StringTok"/>
        </w:rPr>
        <w:t xml:space="preserve">"Opinião"</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br/>
      </w:r>
      <w:r>
        <w:rPr>
          <w:rStyle w:val="NormalTok"/>
        </w:rPr>
        <w:t xml:space="preserve">        )</w:t>
      </w:r>
      <w:r>
        <w:br/>
      </w:r>
      <w:r>
        <w:rPr>
          <w:rStyle w:val="NormalTok"/>
        </w:rPr>
        <w:t xml:space="preserve">    }</w:t>
      </w:r>
      <w:r>
        <w:br/>
      </w:r>
      <w:r>
        <w:rPr>
          <w:rStyle w:val="NormalTok"/>
        </w:rPr>
        <w:t xml:space="preserve">}</w:t>
      </w:r>
      <w:r>
        <w:br/>
      </w:r>
      <w:r>
        <w:br/>
      </w:r>
      <w:r>
        <w:br/>
      </w:r>
      <w:r>
        <w:rPr>
          <w:rStyle w:val="NormalTok"/>
        </w:rPr>
        <w:t xml:space="preserve">exemplos </w:t>
      </w:r>
      <w:r>
        <w:rPr>
          <w:rStyle w:val="OtherTok"/>
        </w:rPr>
        <w:t xml:space="preserve">&lt;-</w:t>
      </w:r>
      <w:r>
        <w:rPr>
          <w:rStyle w:val="NormalTok"/>
        </w:rPr>
        <w:t xml:space="preserve"> dataset_final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Classificação</w:t>
      </w:r>
      <w:r>
        <w:rPr>
          <w:rStyle w:val="StringTok"/>
        </w:rPr>
        <w:t xml:space="preserve">`</w:t>
      </w:r>
      <w:r>
        <w:rPr>
          <w:rStyle w:val="NormalTok"/>
        </w:rPr>
        <w:t xml:space="preserve">, </w:t>
      </w:r>
      <w:r>
        <w:rPr>
          <w:rStyle w:val="StringTok"/>
        </w:rPr>
        <w:t xml:space="preserve">`</w:t>
      </w:r>
      <w:r>
        <w:rPr>
          <w:rStyle w:val="AttributeTok"/>
        </w:rPr>
        <w:t xml:space="preserve">Opinião</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w:t>
      </w:r>
    </w:p>
    <w:bookmarkEnd w:id="20"/>
    <w:bookmarkStart w:id="26" w:name="X4dc3495d6af814a3700a21b962658115c5d1403"/>
    <w:p>
      <w:pPr>
        <w:pStyle w:val="Ttulo1"/>
      </w:pPr>
      <w:r>
        <w:t xml:space="preserve">Exemplos Recomendações com Foco na Causa e Análise Convergente</w:t>
      </w:r>
    </w:p>
    <w:bookmarkStart w:id="21" w:name="auditoria-19863-constatação-nº-703519"/>
    <w:p>
      <w:pPr>
        <w:pStyle w:val="Ttulo2"/>
      </w:pPr>
      <w:r>
        <w:t xml:space="preserve">Auditoria 19863, Constatação Nº 703519</w:t>
      </w:r>
    </w:p>
    <w:p>
      <w:pPr>
        <w:pStyle w:val="FirstParagraph"/>
      </w:pPr>
      <w:r>
        <w:t xml:space="preserve">Finalidade: Verificar o cumprimento do Plano de Ação da SES ref. à ACP nº 10058- 73.2015.4.01.4300 da 1ª VF.</w:t>
      </w:r>
    </w:p>
    <w:p>
      <w:pPr>
        <w:pStyle w:val="Corpodetexto"/>
      </w:pPr>
      <w:r>
        <w:t xml:space="preserve">Constatação: A SES/TO não comprovou a revisão do Regimento Interno do Hospital Regional de Guaraí.</w:t>
      </w:r>
    </w:p>
    <w:p>
      <w:pPr>
        <w:pStyle w:val="Corpodetexto"/>
      </w:pPr>
      <w:r>
        <w:t xml:space="preserve">Recomendação: Cumprir o acordado no item 2.2</w:t>
      </w:r>
      <w:r>
        <w:t xml:space="preserve"> </w:t>
      </w:r>
      <w:r>
        <w:t xml:space="preserve">“Revisar/Elaborar o Regimento Interno dos Hospitais”</w:t>
      </w:r>
      <w:r>
        <w:t xml:space="preserve">- Plano de Ação SES/TO 2022, conforme o compromisso assumido para revisão do Regimento Interno do Hospital Regional de Guaraí.</w:t>
      </w:r>
    </w:p>
    <w:p>
      <w:pPr>
        <w:pStyle w:val="Corpodetexto"/>
      </w:pPr>
      <w:r>
        <w:t xml:space="preserve">Classificação: cause-based</w:t>
      </w:r>
    </w:p>
    <w:p>
      <w:pPr>
        <w:pStyle w:val="Corpodetexto"/>
      </w:pPr>
      <w:r>
        <w:t xml:space="preserve">Justificativa: A recomendação enfoca a implementação de uma ação estrutural e duradoura (revisão ou elaboração do regimento interno) para prevenir a recorrência da não conformidade, alinhando-se com soluções de longo prazo que abordam a causa subjacente.</w:t>
      </w:r>
    </w:p>
    <w:p>
      <w:pPr>
        <w:pStyle w:val="Corpodetexto"/>
      </w:pPr>
      <w:r>
        <w:t xml:space="preserve">Análise Classificação: A justificativa apresenta uma análise coerente com a classificação atribuída, pois identifica corretamente que a recomendação visa a implementação de uma ação estrutural (revisão/elaboração do regimento interno) com caráter duradouro, alinhando-se ao conceito de recomendações cause-based que buscam prevenir a recorrência da não conformidade. A justificativa baseia-se exclusivamente no conteúdo da constatação (não comprovação da revisão do regimento interno) e da recomendação (cumprir o acordado para revisão/elaboração), sem introduzir elementos externos. Os pressupostos solicitados foram considerados corretamente, incluindo a definição de cause-based como foco em ações para evitar recorrência e soluções de longo prazo, bem como o critério de desempate favorável a essa classificação quando aplicável.</w:t>
      </w:r>
    </w:p>
    <w:p>
      <w:pPr>
        <w:pStyle w:val="Corpodetexto"/>
      </w:pPr>
      <w:r>
        <w:t xml:space="preserve">Opinião: concordo</w:t>
      </w:r>
    </w:p>
    <w:bookmarkEnd w:id="21"/>
    <w:bookmarkStart w:id="22" w:name="auditoria-19679-constatação-nº-685268"/>
    <w:p>
      <w:pPr>
        <w:pStyle w:val="Ttulo2"/>
      </w:pPr>
      <w:r>
        <w:t xml:space="preserve">Auditoria 19679, Constatação Nº 685268</w:t>
      </w:r>
    </w:p>
    <w:p>
      <w:pPr>
        <w:pStyle w:val="FirstParagraph"/>
      </w:pPr>
      <w:r>
        <w:t xml:space="preserve">Finalidade: Realizar auditoria no Convênio 882492/2019 com a Associação Paulista Desenvolvimento da Medicina</w:t>
      </w:r>
    </w:p>
    <w:p>
      <w:pPr>
        <w:pStyle w:val="Corpodetexto"/>
      </w:pPr>
      <w:r>
        <w:t xml:space="preserve">Constatação: Prorrogação de contrato de serviço de prestação continuada acima do previsto em legislação.</w:t>
      </w:r>
    </w:p>
    <w:p>
      <w:pPr>
        <w:pStyle w:val="Corpodetexto"/>
      </w:pPr>
      <w:r>
        <w:t xml:space="preserve">Recomendação: Adotar providências visando orientar o fiscal e o gestor concedente para que realize o acompanhamento dos processos de contratualização e de execução realizados pela convenente cumprindo os dispositivos previstos nas alíneas d, f, g e h do inciso II, art. 6º e inciso II do art. 59 da Portaria Interministerial nº 424/2016.</w:t>
      </w:r>
    </w:p>
    <w:p>
      <w:pPr>
        <w:pStyle w:val="Corpodetexto"/>
      </w:pPr>
      <w:r>
        <w:t xml:space="preserve">Classificação: cause-based</w:t>
      </w:r>
    </w:p>
    <w:p>
      <w:pPr>
        <w:pStyle w:val="Corpodetexto"/>
      </w:pPr>
      <w:r>
        <w:t xml:space="preserve">Justificativa: A recomendação propõe a adoção de providências para orientar o fiscal e o gestor concedente, visando melhorar o acompanhamento dos processos de contratualização e execução, o que aborda a causa raiz da prorrogação indevida ao promover mudanças estruturais e de longo prazo na gestão, conforme os dispositivos legais citados.</w:t>
      </w:r>
    </w:p>
    <w:p>
      <w:pPr>
        <w:pStyle w:val="Corpodetexto"/>
      </w:pPr>
      <w:r>
        <w:t xml:space="preserve">Análise Classificação: A justificativa apresenta uma análise coerente com a classificação atribuída, ao destacar que a recomendação visa promover mudanças estruturais e de longo prazo na gestão, por meio da orientação do fiscal e do gestor concedente, o que efetivamente aborda a causa raiz da prorrogação indevida de contratos. A fundamentação baseia-se exclusivamente no conteúdo da constatação e da recomendação, sem introduzir elementos externos, e considera corretamente os pressupostos solicitados, incluindo a definição de recomendações cause-based como aquelas que propõem ações para evitar a reocorrência do problema, com soluções de longo prazo. Portanto, a classificação como cause-based está alinhada com os critérios estabelecidos.</w:t>
      </w:r>
    </w:p>
    <w:p>
      <w:pPr>
        <w:pStyle w:val="Corpodetexto"/>
      </w:pPr>
      <w:r>
        <w:t xml:space="preserve">Opinião: concordo</w:t>
      </w:r>
    </w:p>
    <w:bookmarkEnd w:id="22"/>
    <w:bookmarkStart w:id="23" w:name="auditoria-19656-constatação-nº-686641"/>
    <w:p>
      <w:pPr>
        <w:pStyle w:val="Ttulo2"/>
      </w:pPr>
      <w:r>
        <w:t xml:space="preserve">Auditoria 19656, Constatação Nº 686641</w:t>
      </w:r>
    </w:p>
    <w:p>
      <w:pPr>
        <w:pStyle w:val="FirstParagraph"/>
      </w:pPr>
      <w:r>
        <w:t xml:space="preserve">Finalidade: Realização de auditoria para avaliar a acuidade das informações prestadas pelos municípios indicados</w:t>
      </w:r>
    </w:p>
    <w:p>
      <w:pPr>
        <w:pStyle w:val="Corpodetexto"/>
      </w:pPr>
      <w:r>
        <w:t xml:space="preserve">Constatação: O Município de Campos Novos Paulista não enviou 22 (vinte e dois) Prontuários do total da Amostra solicitada no Comunicado de Auditoria.</w:t>
      </w:r>
    </w:p>
    <w:p>
      <w:pPr>
        <w:pStyle w:val="Corpodetexto"/>
      </w:pPr>
      <w:r>
        <w:t xml:space="preserve">Recomendação: Adotar boas práticas de registros de informação nos sistemas de informação em saúde para o sucesso das ações de monitoramento e avaliação dos indicadores selecionados. O registro adequado das informações em prontuário eletrônico permite a elaboração de análises mais precisas a respeito do que ocorre na realidade e o acompanhamento da evolução de uma determinada situação.</w:t>
      </w:r>
    </w:p>
    <w:p>
      <w:pPr>
        <w:pStyle w:val="Corpodetexto"/>
      </w:pPr>
      <w:r>
        <w:t xml:space="preserve">Classificação: cause-based</w:t>
      </w:r>
    </w:p>
    <w:p>
      <w:pPr>
        <w:pStyle w:val="Corpodetexto"/>
      </w:pPr>
      <w:r>
        <w:t xml:space="preserve">Justificativa: A recomendação propõe a adoção de boas práticas de registros de informação nos sistemas de saúde, o que visa prevenir a reocorrência da falta de envio de prontuários, abordando a causa subjacente (práticas inadequadas de registro) e promovendo melhorias de longo prazo para o monitoramento e avaliação.</w:t>
      </w:r>
    </w:p>
    <w:p>
      <w:pPr>
        <w:pStyle w:val="Corpodetexto"/>
      </w:pPr>
      <w:r>
        <w:t xml:space="preserve">Análise Classificação: A justificativa aponta corretamente que a recomendação propõe a adoção de boas práticas de registro de informação, visando prevenir a reocorrência da falta de envio de prontuários, o que se alinha com o conceito de recomendação cause-based ao abordar a causa subjacente (práticas inadequadas de registro) e promover melhorias de longo prazo. A análise baseia-se exclusivamente no conteúdo da constatação (falta de envio de prontuários) e da recomendação (adoção de boas práticas de registro), sem introduzir elementos externos. Os pressupostos solicitados foram considerados corretamente, incluindo a definição de recomendações cause-based como aquelas que evitam a reocorrência do problema e demandam soluções de longo prazo, e o critério de desempate (optar por cause-based) não foi necessário, pois a classificação é consistente.</w:t>
      </w:r>
    </w:p>
    <w:p>
      <w:pPr>
        <w:pStyle w:val="Corpodetexto"/>
      </w:pPr>
      <w:r>
        <w:t xml:space="preserve">Opinião: concordo</w:t>
      </w:r>
    </w:p>
    <w:bookmarkEnd w:id="23"/>
    <w:bookmarkStart w:id="24" w:name="auditoria-19686-constatação-nº-689424"/>
    <w:p>
      <w:pPr>
        <w:pStyle w:val="Ttulo2"/>
      </w:pPr>
      <w:r>
        <w:t xml:space="preserve">Auditoria 19686, Constatação Nº 689424</w:t>
      </w:r>
    </w:p>
    <w:p>
      <w:pPr>
        <w:pStyle w:val="FirstParagraph"/>
      </w:pPr>
      <w:r>
        <w:t xml:space="preserve">Finalidade: Verificar a regularidade no Sistema de Regulação em Saúde de Alagoas.</w:t>
      </w:r>
    </w:p>
    <w:p>
      <w:pPr>
        <w:pStyle w:val="Corpodetexto"/>
      </w:pPr>
      <w:r>
        <w:t xml:space="preserve">Constatação: Fragilidades no monitoramento e controle da produção realizada com a pactuada no SISREG III, pelos serviços de controle e avaliação da produção assistencial, regulação do acesso e auditoria assistencial da Secretaria de Estado da Saúde de Alagoas (SESAU/AL).</w:t>
      </w:r>
    </w:p>
    <w:p>
      <w:pPr>
        <w:pStyle w:val="Corpodetexto"/>
      </w:pPr>
      <w:r>
        <w:t xml:space="preserve">Recomendação: A Gestão da SESAU/AL deve criar instrumentos de controle, no Complexo Regulador da SESAU, que possibilitem a integração dos sistemas de regulação utilizados pela Rede (Maceió e Arapiraca); atualizar a Programação Pactuada Integrada no SISREG III; fazer o levantamento crítico das solicitações médicas que aguardam para serem inclusas nos sistemas de regulação; fortalecer o monitoramento e controle da produção realizada com a pactuada no SISREG III, pelos serviços de controle e avaliação da produção assistencial, regulação do acesso e auditoria assistencial da Secretaria de Estado da Saúde de Alagoas (SESAU/AL). Cumprir os incisos VI, VII e VIII do art. 4º da Portaria de Consolidação nº 2, de 28/09/2017.</w:t>
      </w:r>
    </w:p>
    <w:p>
      <w:pPr>
        <w:pStyle w:val="Corpodetexto"/>
      </w:pPr>
      <w:r>
        <w:t xml:space="preserve">Classificação: cause-based</w:t>
      </w:r>
    </w:p>
    <w:p>
      <w:pPr>
        <w:pStyle w:val="Corpodetexto"/>
      </w:pPr>
      <w:r>
        <w:t xml:space="preserve">Justificativa: A recomendação propõe ações estruturais e de longo prazo, como a criação de instrumentos de controle para integração de sistemas, atualização da programação pactuada, levantamento crítico de solicitações, fortalecimento do monitoramento e cumprimento de normativas, visando prevenir a recorrência das fragilidades identificadas, em vez de apenas corrigir a condição atual de forma temporária.</w:t>
      </w:r>
    </w:p>
    <w:p>
      <w:pPr>
        <w:pStyle w:val="Corpodetexto"/>
      </w:pPr>
      <w:r>
        <w:t xml:space="preserve">Análise Classificação: A justificativa apresenta argumentos coerentes com a classificação</w:t>
      </w:r>
      <w:r>
        <w:t xml:space="preserve"> </w:t>
      </w:r>
      <w:r>
        <w:t xml:space="preserve">‘cause-based’</w:t>
      </w:r>
      <w:r>
        <w:t xml:space="preserve">, ao destacar que as ações propostas na recomendação são estruturais e de longo prazo, como a criação de instrumentos de controle para integração de sistemas, atualização da programação pactuada e fortalecimento do monitoramento, visando prevenir a recorrência das fragilidades. Esses elementos estão diretamente alinhados com o conceito de recomendações com foco na causa, que buscam soluções duradouras para evitar a repetição do problema. A análise baseia-se exclusivamente no conteúdo da constatação e da recomendação, sem introduzir pressupostos externos, e considera corretamente os critérios do IIA, incluindo a orientação de desempate para</w:t>
      </w:r>
      <w:r>
        <w:t xml:space="preserve"> </w:t>
      </w:r>
      <w:r>
        <w:t xml:space="preserve">‘cause-based’</w:t>
      </w:r>
      <w:r>
        <w:t xml:space="preserve">. Portanto, a justificativa sustenta adequadamente a classificação alcançada.</w:t>
      </w:r>
    </w:p>
    <w:p>
      <w:pPr>
        <w:pStyle w:val="Corpodetexto"/>
      </w:pPr>
      <w:r>
        <w:t xml:space="preserve">Opinião: concordo</w:t>
      </w:r>
    </w:p>
    <w:bookmarkEnd w:id="24"/>
    <w:bookmarkStart w:id="25" w:name="auditoria-19591-constatação-nº-677628"/>
    <w:p>
      <w:pPr>
        <w:pStyle w:val="Ttulo2"/>
      </w:pPr>
      <w:r>
        <w:t xml:space="preserve">Auditoria 19591, Constatação Nº 677628</w:t>
      </w:r>
    </w:p>
    <w:p>
      <w:pPr>
        <w:pStyle w:val="FirstParagraph"/>
      </w:pPr>
      <w:r>
        <w:t xml:space="preserve">Finalidade: Verificar a implementação da Política Nac. de Atenção ao Portador de Doença Renal. Estágios 4 e 5</w:t>
      </w:r>
    </w:p>
    <w:p>
      <w:pPr>
        <w:pStyle w:val="Corpodetexto"/>
      </w:pPr>
      <w:r>
        <w:t xml:space="preserve">Constatação: Os mecanismos de regulação para os serviços de TRS com indicação de referência e contrarreferência para os portadores de DRC, estágios 5-D em TRS, no Estado da Paraíba não estão organizados.</w:t>
      </w:r>
    </w:p>
    <w:p>
      <w:pPr>
        <w:pStyle w:val="Corpodetexto"/>
      </w:pPr>
      <w:r>
        <w:t xml:space="preserve">Recomendação: É necessário o gestor organizar os mecanismos da regulação entre o Estado e os Municípios com as seguintes ações a serem implementadas: - definir o fluxo de pacientes, desde o diagnóstico até o tratamento e acompanhamento contínuo. Este fluxo inclui várias etapas, como a triagem inicial, o diagnóstico preciso, o encaminhamento a especialistas, o tratamento em clínica especializada, o monitoramento regular e a gestão de complicações. Na definição do fluxo pode ser consultado um exemplo que está disponível no sítio eletrônico: https://linhasdecuidado.saude.gov.br/portal/doenca-renal-cronica- (DRC)-em-adultos/unidade-de-atencao-primaria/planejamento-terapeutico/#pills-fluxograma-atencao-paciente, acessado em 17/5/2024; - estruturar os mecanismos de comunicação entre os pontos de atenção que contemplam as macrorregiões da saúde sob o serviço de DRC, para garantir a articulação do acesso aos serviços de formar regulada com os fluxos de referências intermunicipais. Devendo os mecanismos de comunicação serem pactuados mediante termo de compromisso, com aprovação na Comissão Intergestora Bipartite (CIB) e expressos na Programação Pactuada e Integrada da atenção em saúde; - definir e pactuar a rede de referência e contrarreferência em DRC por meio do termo de compromisso entre o gestor estadual e o gestor municipal sobre as pactuações das referências de média e alta complexidade para os portadores de DRC; - pactuar termo de compromisso, com aprovação na CIB e expressa na Programação Pactuada e Integrada da atenção em saúde; - instituir a central de regulação que realize os encaminhamentos para a regulação do acesso à assistência em TRS nos serviços próprios do Estado e na rede prestadora de serviços municipais, de forma que gerencie as vagas disponíveis no estado da Paraíba; - manter o contato com as centrais de regulação municipais para o controle de vagas disponíveis no Estado; - regular o acesso por meio de protocolos clínicos e as linhas de cuidado dos pacientes, previamente definidos; - definir e elaborar os fluxos assistenciais em DRC com as redes assistenciais pelas respectivas áreas técnicas em DRC da Paraíba considerando um conjunto de diretrizes e procedimentos que orientam o cuidado dos pacientes renais ao longo de todo o espectro da doença, desde a triagem até o acompanhamento contínuo, envolvendo as etapas de revisão da literatura e das diretrizes existentes; da identificação de stakeholders (grupos de interesse); do mapeamento do fluxo de cuidados; da definição de critérios e de protocolos; do desenvolvimento de ferramentas de apoio; da educação e do treinamento; da avaliação e melhoria contínua e do envolvimento do paciente. Os dados dos procedimentos devem ser organizados em um sistema de regulação de forma que o Estado detenha o controle da oferta de vagas, demanda reprimida e tempo médio de espera, a fim de garantir o tratamento adequado no tempo certo em atendimento ao Parágrafo único, art. 4º, Título dos Direitos e Deveres dos Usuários da Saúde da Portaria de Consolidação GM/MS n.° 1/2017.</w:t>
      </w:r>
    </w:p>
    <w:p>
      <w:pPr>
        <w:pStyle w:val="Corpodetexto"/>
      </w:pPr>
      <w:r>
        <w:t xml:space="preserve">Classificação: cause-based</w:t>
      </w:r>
    </w:p>
    <w:p>
      <w:pPr>
        <w:pStyle w:val="Corpodetexto"/>
      </w:pPr>
      <w:r>
        <w:t xml:space="preserve">Justificativa: A recomendação propõe ações abrangentes e estruturais, como definir fluxos de pacientes, estruturar mecanismos de comunicação, pactuar termos de compromisso, instituir uma central de regulação e implementar protocolos clínicos, visando organizar e melhorar permanentemente os mecanismos de regulação para evitar a recorrência da desorganização observada, alinhando-se com soluções de longo prazo.</w:t>
      </w:r>
    </w:p>
    <w:p>
      <w:pPr>
        <w:pStyle w:val="Corpodetexto"/>
      </w:pPr>
      <w:r>
        <w:t xml:space="preserve">Análise Classificação: A justificativa apresenta argumentos consistentes que levam à classificação alcançada, destacando que as ações propostas são abrangentes, estruturais e visam melhorias permanentes para evitar a recorrência do problema, características típicas de recomendações cause-based. A análise baseia-se exclusivamente no conteúdo da constatação (desorganização dos mecanismos de regulação) e da recomendação (ações como definir fluxos, pactuar termos e instituir central de regulação), sem introduzir elementos externos. Os pressupostos solicitados foram considerados corretamente, incluindo a definição de cause-based como foco em evitar a recorrência com soluções de longo prazo e a aplicação do critério de desempate, que neste caso não foi necessário, pois a recomendação claramente aborda a causa raiz (falta de organização estrutural) e não apenas a correção pontual da condição.</w:t>
      </w:r>
    </w:p>
    <w:p>
      <w:pPr>
        <w:pStyle w:val="Corpodetexto"/>
      </w:pPr>
      <w:r>
        <w:t xml:space="preserve">Opinião: concordo</w:t>
      </w:r>
    </w:p>
    <w:bookmarkEnd w:id="25"/>
    <w:bookmarkEnd w:id="26"/>
    <w:bookmarkStart w:id="32" w:name="Xed7af17d4a03936169d703aec8cd7d9bb1125d3"/>
    <w:p>
      <w:pPr>
        <w:pStyle w:val="Ttulo1"/>
      </w:pPr>
      <w:r>
        <w:t xml:space="preserve">Exemplos Recomendações com Foco na Causa e Análise Divergente</w:t>
      </w:r>
    </w:p>
    <w:bookmarkStart w:id="27" w:name="auditoria-19001-constatação-nº-650120"/>
    <w:p>
      <w:pPr>
        <w:pStyle w:val="Ttulo2"/>
      </w:pPr>
      <w:r>
        <w:t xml:space="preserve">Auditoria 19001, Constatação Nº 650120</w:t>
      </w:r>
    </w:p>
    <w:p>
      <w:pPr>
        <w:pStyle w:val="FirstParagraph"/>
      </w:pPr>
      <w:r>
        <w:t xml:space="preserve">Finalidade: Verificar a correta aplicação do PMAQ-AB, pela SMS de Palmas/TO.</w:t>
      </w:r>
    </w:p>
    <w:p>
      <w:pPr>
        <w:pStyle w:val="Corpodetexto"/>
      </w:pPr>
      <w:r>
        <w:t xml:space="preserve">Constatação: A SMS de Palmas/TO realizou pagamento de bolsistas com recursos da Atenção Básica fora do objeto Atenção Básica.</w:t>
      </w:r>
    </w:p>
    <w:p>
      <w:pPr>
        <w:pStyle w:val="Corpodetexto"/>
      </w:pPr>
      <w:r>
        <w:t xml:space="preserve">Recomendação: a) Recompor o Fundo de Saúde local, com recursos próprios (Tesouro do ente federativo beneficiário), com o valor de R$ 550.080,00 (quinhentos e cinquenta mil e oitenta reais), em cumprimento ao que estabelece o inciso I do art. 27 da Lei Complementar nº 141/2012, regulamentado pelos §2º e §3º do art. 23 do Decreto nº 7.827/2012. b) Dar destinação aos recursos devolvidos a que se refere a alínea anterior, visando ao cumprimento do objeto do repasse, em consonância com o que preceitua o artigo 27 da Lei Complementar nº 141 de 2012, regulamentado pelos §§ 2º e 3º do artigo 23 do Decreto nº 7.827 de 2012. c) Comprovar a destinação dos recursos para a atenção básica mediante a inserção das ações na Programação Anual de Saúde e posterior lançamento dos resultados no RAG.</w:t>
      </w:r>
    </w:p>
    <w:p>
      <w:pPr>
        <w:pStyle w:val="Corpodetexto"/>
      </w:pPr>
      <w:r>
        <w:t xml:space="preserve">Classificação: cause-based</w:t>
      </w:r>
    </w:p>
    <w:p>
      <w:pPr>
        <w:pStyle w:val="Corpodetexto"/>
      </w:pPr>
      <w:r>
        <w:t xml:space="preserve">Justificativa: A recomendação propõe ações como recompor o fundo com recursos próprios, dar destinação adequada aos recursos devolvidos e comprovar a correta aplicação através de documentação e lançamentos no sistema, visando prevenir a reincidência do uso indevido de recursos e promover mudanças estruturais na gestão financeira e programática da SMS de Palmas/TO.</w:t>
      </w:r>
    </w:p>
    <w:p>
      <w:pPr>
        <w:pStyle w:val="Corpodetexto"/>
      </w:pPr>
      <w:r>
        <w:t xml:space="preserve">Análise Classificação: A justificativa afirma que a recomendação visa prevenir a reincidência e promover mudanças estruturais, mas analisando o conteúdo da recomendação, ela se concentra em corrigir a condição específica identificada: o pagamento indevido de bolsistas. As ações propostas (recompor o fundo, dar destinação adequada aos recursos devolvidos e comprovar a aplicação correta) são medidas corretivas diretas para a situação atual, sem evidências claras de abordar causas profundas, como falhas sistêmicas em processos de controle ou políticas de gestão. A justificativa extrapola o conteúdo explícito da recomendação ao inferir prevenção de reincidência e mudanças estruturais, que não são explicitamente mencionadas. Considerando os critérios do IIA e a instrução de desempate para</w:t>
      </w:r>
      <w:r>
        <w:t xml:space="preserve"> </w:t>
      </w:r>
      <w:r>
        <w:t xml:space="preserve">‘cause-based’</w:t>
      </w:r>
      <w:r>
        <w:t xml:space="preserve">, a classificação como</w:t>
      </w:r>
      <w:r>
        <w:t xml:space="preserve"> </w:t>
      </w:r>
      <w:r>
        <w:t xml:space="preserve">‘cause-based’</w:t>
      </w:r>
      <w:r>
        <w:t xml:space="preserve"> </w:t>
      </w:r>
      <w:r>
        <w:t xml:space="preserve">não se sustenta, pois a recomendação é predominantemente focada na correção da condição observada.</w:t>
      </w:r>
    </w:p>
    <w:p>
      <w:pPr>
        <w:pStyle w:val="Corpodetexto"/>
      </w:pPr>
      <w:r>
        <w:t xml:space="preserve">Opinião: discordo</w:t>
      </w:r>
    </w:p>
    <w:bookmarkEnd w:id="27"/>
    <w:bookmarkStart w:id="28" w:name="auditoria-19857-constatação-nº-702612"/>
    <w:p>
      <w:pPr>
        <w:pStyle w:val="Ttulo2"/>
      </w:pPr>
      <w:r>
        <w:t xml:space="preserve">Auditoria 19857, Constatação Nº 702612</w:t>
      </w:r>
    </w:p>
    <w:p>
      <w:pPr>
        <w:pStyle w:val="FirstParagraph"/>
      </w:pPr>
      <w:r>
        <w:t xml:space="preserve">Finalidade: Verificar a regularidade da execução da emenda parlamentar federal nº 3630007.</w:t>
      </w:r>
    </w:p>
    <w:p>
      <w:pPr>
        <w:pStyle w:val="Corpodetexto"/>
      </w:pPr>
      <w:r>
        <w:t xml:space="preserve">Constatação: O estudo técnico preliminar não considerou os custos e os benefícios entre a locação e a compra dos bens móveis contratados tais como Televisão, Impressora e Notebook.</w:t>
      </w:r>
    </w:p>
    <w:p>
      <w:pPr>
        <w:pStyle w:val="Corpodetexto"/>
      </w:pPr>
      <w:r>
        <w:t xml:space="preserve">Recomendação: Tomar conhecimento da presente constatação e adoção dos procedimentos a seu cargo, conforme estabelecido no art. 3º da Portaria GM/MS n.º 885/2021, visando a elisão do dano e/ou impropriedade ocorrida com recursos de origem federal, indicado no Capítulo IX - Proposição de Devolução deste relatório.</w:t>
      </w:r>
    </w:p>
    <w:p>
      <w:pPr>
        <w:pStyle w:val="Corpodetexto"/>
      </w:pPr>
      <w:r>
        <w:t xml:space="preserve">Classificação: cause-based</w:t>
      </w:r>
    </w:p>
    <w:p>
      <w:pPr>
        <w:pStyle w:val="Corpodetexto"/>
      </w:pPr>
      <w:r>
        <w:t xml:space="preserve">Justificativa: A recomendação enfatiza a adoção de procedimentos estabelecidos em normativo específico (Portaria GM/MS n.º 885/2021) para prevenir futuras ocorrências similares, focando na implementação de medidas estruturais de longo prazo, como a correta consideração de custos e benefícios em estudos técnicos, em vez de apenas corrigir a condição imediata.</w:t>
      </w:r>
    </w:p>
    <w:p>
      <w:pPr>
        <w:pStyle w:val="Corpodetexto"/>
      </w:pPr>
      <w:r>
        <w:t xml:space="preserve">Análise Classificação: A justificativa afirma que a recomendação enfatiza a adoção de procedimentos normativos para prevenir futuras ocorrências, focando em medidas estruturais de longo prazo. No entanto, a recomendação concreta é genérica (</w:t>
      </w:r>
      <w:r>
        <w:t xml:space="preserve">‘Tomar conhecimento da presente constatação e adoção dos procedimentos a seu cargo’</w:t>
      </w:r>
      <w:r>
        <w:t xml:space="preserve">) e não especifica ações para modificar processos ou sistemas que evitem a recorrência do problema (como revisão de metodologias de estudo técnico). Ela se baseia principalmente na correção imediata via procedimentos existentes, sem evidenciar claramente um foco na causa raiz (ex.: falhas na estrutura de análise de custo-benefício). A justificativa extrapola o conteúdo real da recomendação ao inferir medidas estruturais, não se limitando estritamente ao texto fornecido. Considerando o critério de desempate (preferência por cause-based) e que a recomendação parece mais direcionada à conformidade imediata do que à prevenção de longo prazo, a classificação como cause-based não é suficientemente fundamentada.</w:t>
      </w:r>
    </w:p>
    <w:p>
      <w:pPr>
        <w:pStyle w:val="Corpodetexto"/>
      </w:pPr>
      <w:r>
        <w:t xml:space="preserve">Opinião: discordo</w:t>
      </w:r>
    </w:p>
    <w:bookmarkEnd w:id="28"/>
    <w:bookmarkStart w:id="29" w:name="auditoria-18885-constatação-nº-664822"/>
    <w:p>
      <w:pPr>
        <w:pStyle w:val="Ttulo2"/>
      </w:pPr>
      <w:r>
        <w:t xml:space="preserve">Auditoria 18885, Constatação Nº 664822</w:t>
      </w:r>
    </w:p>
    <w:p>
      <w:pPr>
        <w:pStyle w:val="FirstParagraph"/>
      </w:pPr>
      <w:r>
        <w:t xml:space="preserve">Finalidade: Auditar a SMS de Catanduva/SP, focando Contrato de Gestão n°. 01/2015, com OSCIP Mahatma Gandhi</w:t>
      </w:r>
    </w:p>
    <w:p>
      <w:pPr>
        <w:pStyle w:val="Corpodetexto"/>
      </w:pPr>
      <w:r>
        <w:t xml:space="preserve">Constatação: Foram realizados pagamentos de encargos trabalhistas, previdenciários e fiscais, com recursos do Contrato de Gestão nº 01/2015, estando em desacordo com o contrato firmado.</w:t>
      </w:r>
    </w:p>
    <w:p>
      <w:pPr>
        <w:pStyle w:val="Corpodetexto"/>
      </w:pPr>
      <w:r>
        <w:t xml:space="preserve">Recomendação: Executar o contrato fielmente de acordo com as cláusulas avençadas conforme inciso II do artigo nº 39 da Portaria Interministerial nº 127, de 29 de maio de 2008, que determina que o convênio deverá ser executado em estrita observância às cláusulas avençadas e às normas pertinentes.</w:t>
      </w:r>
    </w:p>
    <w:p>
      <w:pPr>
        <w:pStyle w:val="Corpodetexto"/>
      </w:pPr>
      <w:r>
        <w:t xml:space="preserve">Classificação: cause-based</w:t>
      </w:r>
    </w:p>
    <w:p>
      <w:pPr>
        <w:pStyle w:val="Corpodetexto"/>
      </w:pPr>
      <w:r>
        <w:t xml:space="preserve">Justificativa: A recomendação enfatiza a necessidade de aderir estritamente às cláusulas contratuais e normas aplicáveis, o que visa prevenir futuras ocorrências de pagamentos indevidos ao estabelecer uma base normativa e procedimental de longo prazo, alinhando-se com soluções que abordam a causa subjacente da não conformidade.</w:t>
      </w:r>
    </w:p>
    <w:p>
      <w:pPr>
        <w:pStyle w:val="Corpodetexto"/>
      </w:pPr>
      <w:r>
        <w:t xml:space="preserve">Análise Classificação: A justificativa apresenta que a recomendação visa prevenir futuras ocorrências ao estabelecer uma base normativa e procedimental de longo prazo, o que teoricamente se alinha com recomendações cause-based. No entanto, a recomendação em si é genérica e se limita a exigir o cumprimento estrito do contrato e normas, sem propor ações específicas para modificar processos, políticas ou controles que evitem a recorrência do problema. Ela se concentra na correção imediata da condição observada (pagamentos indevidos), sem abordar explicitamente a causa raiz (como falhas na fiscalização, desconhecimento normativo ou deficiências no sistema de controle interno). A justificativa extrapola o conteúdo da recomendação ao inferir que ela estabelece uma</w:t>
      </w:r>
      <w:r>
        <w:t xml:space="preserve"> </w:t>
      </w:r>
      <w:r>
        <w:t xml:space="preserve">‘base normativa e procedimental de longo prazo’</w:t>
      </w:r>
      <w:r>
        <w:t xml:space="preserve">, quando na verdade a recomendação repete uma obrigação legal preexistente. Considerando que o critério de desempate é favorável a cause-based e que a recomendação não avança além da correção da condição atual, a classificação como cause-based não se sustenta integralmente com base apenas no texto da constatação e recomendação.</w:t>
      </w:r>
    </w:p>
    <w:p>
      <w:pPr>
        <w:pStyle w:val="Corpodetexto"/>
      </w:pPr>
      <w:r>
        <w:t xml:space="preserve">Opinião: discordo</w:t>
      </w:r>
    </w:p>
    <w:bookmarkEnd w:id="29"/>
    <w:bookmarkStart w:id="30" w:name="auditoria-19534-constatação-nº-673071"/>
    <w:p>
      <w:pPr>
        <w:pStyle w:val="Ttulo2"/>
      </w:pPr>
      <w:r>
        <w:t xml:space="preserve">Auditoria 19534, Constatação Nº 673071</w:t>
      </w:r>
    </w:p>
    <w:p>
      <w:pPr>
        <w:pStyle w:val="FirstParagraph"/>
      </w:pPr>
      <w:r>
        <w:t xml:space="preserve">Finalidade: Verificar a regularidade da execução do Programa Farmácia Popular do Brasil/PFPB</w:t>
      </w:r>
    </w:p>
    <w:p>
      <w:pPr>
        <w:pStyle w:val="Corpodetexto"/>
      </w:pPr>
      <w:r>
        <w:t xml:space="preserve">Constatação: O cidadão, L.V.L., não reconheceu a utilização e as dispensações de medicamentos pelo PFPB, realizadas no período de 29/05 a 09/10/2020, no estabelecimento auditado.</w:t>
      </w:r>
    </w:p>
    <w:p>
      <w:pPr>
        <w:pStyle w:val="Corpodetexto"/>
      </w:pPr>
      <w:r>
        <w:t xml:space="preserve">Recomendação: Comercializar e dispensar medicamentos e correlatos, em observância às regras de execução do Programa Farmácia Popular do Brasil, a fim de não incorrer em práticas irregulares, e somente mediante apresentação de documento oficial do paciente com foto e número de CPF, bem como solicitação da assinatura do usuário no cupom vinculado, sendo que a presença física do paciente somente é dispensada com apresentação de procuração, conforme estabelecido nos Art. 20 e Art. 25, Art. 36 e inciso I do art. 37 do Anexo LXXVII da Portaria de Consolidação GM/MS nº 5/2017, de 28/09/2017, alterada pela Portaria MS/GM nº 2898 de 03/11/2021, atualmente em vigor.</w:t>
      </w:r>
    </w:p>
    <w:p>
      <w:pPr>
        <w:pStyle w:val="Corpodetexto"/>
      </w:pPr>
      <w:r>
        <w:t xml:space="preserve">Classificação: cause-based</w:t>
      </w:r>
    </w:p>
    <w:p>
      <w:pPr>
        <w:pStyle w:val="Corpodetexto"/>
      </w:pPr>
      <w:r>
        <w:t xml:space="preserve">Justificativa: A recomendação propõe a implementação de procedimentos permanentes e sistemáticos, como a verificação de documentos e assinaturas, para prevenir futuras ocorrências de irregularidades, alinhando-se com soluções de longo prazo que abordam a causa subjacente das práticas inadequadas.</w:t>
      </w:r>
    </w:p>
    <w:p>
      <w:pPr>
        <w:pStyle w:val="Corpodetexto"/>
      </w:pPr>
      <w:r>
        <w:t xml:space="preserve">Análise Classificação: A justificativa afirma que a recomendação propõe</w:t>
      </w:r>
      <w:r>
        <w:t xml:space="preserve"> </w:t>
      </w:r>
      <w:r>
        <w:t xml:space="preserve">‘procedimentos permanentes e sistemáticos’</w:t>
      </w:r>
      <w:r>
        <w:t xml:space="preserve"> </w:t>
      </w:r>
      <w:r>
        <w:t xml:space="preserve">para</w:t>
      </w:r>
      <w:r>
        <w:t xml:space="preserve"> </w:t>
      </w:r>
      <w:r>
        <w:t xml:space="preserve">‘prevenir futuras ocorrências’</w:t>
      </w:r>
      <w:r>
        <w:t xml:space="preserve">, caracterizando-a como cause-based. No entanto, ao analisar o conteúdo da recomendação, verifica-se que ela se limita a listar requisitos operacionais específicos (documento com foto, CPF, assinatura no cupom, procuração quando aplicável) que corrigem diretamente a condição irregular observada - dispensação sem reconhecimento do paciente. A recomendação não propõe mudanças estruturais, políticas institucionais, treinamento ou mecanismos de controle que ataquem as causas raiz que permitiram essas irregularidades, como falhas de supervisão, cultura organizacional ou deficiências nos sistemas. A justificativa extrapola o conteúdo real da recomendação ao atribuir-lhe caráter de solução permanente e sistêmica, quando na verdade ela se concentra na correção imediata da condição problemática.</w:t>
      </w:r>
    </w:p>
    <w:p>
      <w:pPr>
        <w:pStyle w:val="Corpodetexto"/>
      </w:pPr>
      <w:r>
        <w:t xml:space="preserve">Opinião: discordo</w:t>
      </w:r>
    </w:p>
    <w:bookmarkEnd w:id="30"/>
    <w:bookmarkStart w:id="31" w:name="auditoria-19393-constatação-nº-662563"/>
    <w:p>
      <w:pPr>
        <w:pStyle w:val="Ttulo2"/>
      </w:pPr>
      <w:r>
        <w:t xml:space="preserve">Auditoria 19393, Constatação Nº 662563</w:t>
      </w:r>
    </w:p>
    <w:p>
      <w:pPr>
        <w:pStyle w:val="FirstParagraph"/>
      </w:pPr>
      <w:r>
        <w:t xml:space="preserve">Finalidade: Verificar a regular utilização de DMIs em cirurgias de coluna vertebral pelos prestadores do SUS</w:t>
      </w:r>
    </w:p>
    <w:p>
      <w:pPr>
        <w:pStyle w:val="Corpodetexto"/>
      </w:pPr>
      <w:r>
        <w:t xml:space="preserve">Constatação: Houve cobrança ao SUS de Órteses, Próteses e Materiais Especiais (OPME) em quantidade superior à implantada, referente ao código 07.02.05.040-7 - Parafuso de Titânio Associável a Placa Cervical.</w:t>
      </w:r>
    </w:p>
    <w:p>
      <w:pPr>
        <w:pStyle w:val="Corpodetexto"/>
      </w:pPr>
      <w:r>
        <w:t xml:space="preserve">Recomendação: Cumprir com o disposto no subitem 23.1 do Manual Técnico Operacional do Sistema de Informação Hospitalar SUS (versão 2017), onde se lê</w:t>
      </w:r>
      <w:r>
        <w:t xml:space="preserve"> </w:t>
      </w:r>
      <w:r>
        <w:t xml:space="preserve">“Em caso de implantes de produtos radiopacos, é importante o controle radiológico pré e pós- operatório, com a identificação do paciente”</w:t>
      </w:r>
      <w:r>
        <w:t xml:space="preserve"> </w:t>
      </w:r>
      <w:r>
        <w:t xml:space="preserve">e o tópico I do subitem 6.3 do Manual de Boas Práticas de Gestão das Órteses, Próteses e Materiais Especiais (OPME), do Ministério da Saúde, (versão 2016) aprovado pela Portaria MS/SAS nº 1.302, 01/08/2017, que estabelece</w:t>
      </w:r>
      <w:r>
        <w:t xml:space="preserve"> </w:t>
      </w:r>
      <w:r>
        <w:t xml:space="preserve">“Quando o procedimento tiver indicação de exame de imagem para controle, este deverá ser anexado ao prontuário do paciente, comprovando a efetiva utilização da OPME no ato cirúrgico”</w:t>
      </w:r>
      <w:r>
        <w:t xml:space="preserve">.</w:t>
      </w:r>
    </w:p>
    <w:p>
      <w:pPr>
        <w:pStyle w:val="Corpodetexto"/>
      </w:pPr>
      <w:r>
        <w:t xml:space="preserve">Classificação: cause-based</w:t>
      </w:r>
    </w:p>
    <w:p>
      <w:pPr>
        <w:pStyle w:val="Corpodetexto"/>
      </w:pPr>
      <w:r>
        <w:t xml:space="preserve">Justificativa: A recomendação enfatiza a implementação de controles radiológicos e a anexação de exames de imagem ao prontuário do paciente, visando estabelecer procedimentos permanentes para prevenir futuras ocorrências de cobranças indevidas, em vez de apenas corrigir a condição atual de superfaturamento.</w:t>
      </w:r>
    </w:p>
    <w:p>
      <w:pPr>
        <w:pStyle w:val="Corpodetexto"/>
      </w:pPr>
      <w:r>
        <w:t xml:space="preserve">Análise Classificação: A justificativa afirma que a recomendação visa estabelecer procedimentos permanentes para prevenir futuras ocorrências, caracterizando-a como cause-based. No entanto, ao analisar o conteúdo da constatação e da recomendação, verifica-se que a constatação identifica uma cobrança superior à implantada (condição atual), e a recomendação especificamente orienta sobre controles radiológicos e anexação de exames para comprovar a utilização da OPME, focando na verificação e documentação da condição real de uso. Isso se alinha mais com a correção/verificação da condição observada (superfaturamento) do que com a abordagem da causa raiz, que poderia envolver, por exemplo, revisão de processos de aquisição, treinamento de pessoal ou implementação de sistemas de controle preventivo. A justificativa extrapola o conteúdo explícito da recomendação ao inferir que ela estabelece procedimentos permanentes para prevenção, quando na verdade a recomendação se concentra em medidas de comprovação pós-operatória. Considerando que o critério de desempate é optar por cause-based e que a análise indica maior aderência à correção da condição, a classificação como cause-based não se sustenta exclusivamente no conteúdo da constatação e recomendação.</w:t>
      </w:r>
    </w:p>
    <w:p>
      <w:pPr>
        <w:pStyle w:val="Corpodetexto"/>
      </w:pPr>
      <w:r>
        <w:t xml:space="preserve">Opinião: discordo</w:t>
      </w:r>
    </w:p>
    <w:bookmarkEnd w:id="31"/>
    <w:bookmarkEnd w:id="32"/>
    <w:bookmarkStart w:id="38" w:name="X689d3935c18315b4f24d3173805b8f0f8c764fb"/>
    <w:p>
      <w:pPr>
        <w:pStyle w:val="Ttulo1"/>
      </w:pPr>
      <w:r>
        <w:t xml:space="preserve">Exemplos Recomendações com Foco na Condição e Análise Convergente</w:t>
      </w:r>
    </w:p>
    <w:bookmarkStart w:id="33" w:name="auditoria-19424-constatação-nº-663575"/>
    <w:p>
      <w:pPr>
        <w:pStyle w:val="Ttulo2"/>
      </w:pPr>
      <w:r>
        <w:t xml:space="preserve">Auditoria 19424, Constatação Nº 663575</w:t>
      </w:r>
    </w:p>
    <w:p>
      <w:pPr>
        <w:pStyle w:val="FirstParagraph"/>
      </w:pPr>
      <w:r>
        <w:t xml:space="preserve">Finalidade: Verificar a regularidade da execução do Programa Farmácia Popular do Brasil/PFPB</w:t>
      </w:r>
    </w:p>
    <w:p>
      <w:pPr>
        <w:pStyle w:val="Corpodetexto"/>
      </w:pPr>
      <w:r>
        <w:t xml:space="preserve">Constatação: A posição do estoque de medicamentos em 31/12/2015 não foi comprovada por meio de apresentação do Livro de Registro de Inventário ou documento análogo.</w:t>
      </w:r>
    </w:p>
    <w:p>
      <w:pPr>
        <w:pStyle w:val="Corpodetexto"/>
      </w:pPr>
      <w:r>
        <w:t xml:space="preserve">Recomendação: Encaminhar a documentação quando solicitada pelos órgãos de controle, atendendo o artigo 11 do Decreto 1.651, de 28 de setembro de 1995, que estabelece que os órgãos do SUS e as entidades privadas, que dele participarem de forma complementar, ficam obrigados a prestar, quando exigidos, ao pessoal em exercício no SNA, toda informação necessária ao desempenho das atividades de controle, avaliação e auditoria, como também o disposto no Art. 36 do Anexo LXXVII da Portaria de Consolidação nº 5, de 28/09/2017, onde dispõe que o MS solicitará ao estabelecimento credenciado a prestação de informações sobre as suas operações, bem como as cópias dos documentos previstos nesta Portaria e na legislação vigente.</w:t>
      </w:r>
    </w:p>
    <w:p>
      <w:pPr>
        <w:pStyle w:val="Corpodetexto"/>
      </w:pPr>
      <w:r>
        <w:t xml:space="preserve">Classificação: condition-based</w:t>
      </w:r>
    </w:p>
    <w:p>
      <w:pPr>
        <w:pStyle w:val="Corpodetexto"/>
      </w:pPr>
      <w:r>
        <w:t xml:space="preserve">Justificativa: A recomendação foca na correção imediata da condição encontrada, que é a falta de documentação comprobatória do estoque, ao exigir o encaminhamento da documentação quando solicitada, sem propor ações para prevenir a recorrência da causa subjacente, como a implementação de processos sistemáticos de registro e manutenção de inventários.</w:t>
      </w:r>
    </w:p>
    <w:p>
      <w:pPr>
        <w:pStyle w:val="Corpodetexto"/>
      </w:pPr>
      <w:r>
        <w:t xml:space="preserve">Análise Classificação: A justificativa corretamente identifica que a recomendação se concentra na correção imediata da condição específica (falta de documentação comprobatória do estoque), exigindo apenas o encaminhamento da documentação quando solicitada, sem propor ações preventivas ou corretivas de longo prazo para evitar a recorrência da causa subjacente, como a implementação de processos sistemáticos de registro e manutenção de inventários. A análise baseia-se exclusivamente no conteúdo da constatação e da recomendação, sem introduzir pressupostos externos, e considera adequadamente os critérios solicitados, onde a ausência de medidas preventivas ou de abordagem da causa raiz justifica a classificação como condition-based.</w:t>
      </w:r>
    </w:p>
    <w:p>
      <w:pPr>
        <w:pStyle w:val="Corpodetexto"/>
      </w:pPr>
      <w:r>
        <w:t xml:space="preserve">Opinião: concordo</w:t>
      </w:r>
    </w:p>
    <w:bookmarkEnd w:id="33"/>
    <w:bookmarkStart w:id="34" w:name="auditoria-19179-constatação-nº-666984"/>
    <w:p>
      <w:pPr>
        <w:pStyle w:val="Ttulo2"/>
      </w:pPr>
      <w:r>
        <w:t xml:space="preserve">Auditoria 19179, Constatação Nº 666984</w:t>
      </w:r>
    </w:p>
    <w:p>
      <w:pPr>
        <w:pStyle w:val="FirstParagraph"/>
      </w:pPr>
      <w:r>
        <w:t xml:space="preserve">Finalidade: Verificar prestação dos serviços e aplicação dos recursos federais no Hosp. Mun. de Imperatriz</w:t>
      </w:r>
    </w:p>
    <w:p>
      <w:pPr>
        <w:pStyle w:val="Corpodetexto"/>
      </w:pPr>
      <w:r>
        <w:t xml:space="preserve">Constatação: A Unidade de Terapia Intensiva (UTI) Pediátrica do HMI Hospital Municipal de Imperatriz não conta com todos os equipamentos preconizados na legislação para o atendimento.</w:t>
      </w:r>
    </w:p>
    <w:p>
      <w:pPr>
        <w:pStyle w:val="Corpodetexto"/>
      </w:pPr>
      <w:r>
        <w:t xml:space="preserve">Recomendação: Cumprir o que determina o Art. 63 da Resolução ANVISA nº 7, de 24 de fevereiro de 2010, quanto a ausência de equipamentos na UTI pediátrica.</w:t>
      </w:r>
    </w:p>
    <w:p>
      <w:pPr>
        <w:pStyle w:val="Corpodetexto"/>
      </w:pPr>
      <w:r>
        <w:t xml:space="preserve">Classificação: condition-based</w:t>
      </w:r>
    </w:p>
    <w:p>
      <w:pPr>
        <w:pStyle w:val="Corpodetexto"/>
      </w:pPr>
      <w:r>
        <w:t xml:space="preserve">Justificativa: A recomendação foca na correção imediata da condição encontrada (ausência de equipamentos), sem propor ações para prevenir a recorrência ou abordar causas subjacentes, como falhas em processos de aquisição ou manutenção.</w:t>
      </w:r>
    </w:p>
    <w:p>
      <w:pPr>
        <w:pStyle w:val="Corpodetexto"/>
      </w:pPr>
      <w:r>
        <w:t xml:space="preserve">Análise Classificação: A justificativa corretamente identifica que a recomendação se limita a exigir o cumprimento da norma específica sobre equipamentos, sem propor medidas preventivas ou de longo prazo. A análise baseia-se exclusivamente no conteúdo da constatação e da recomendação, sem introduzir elementos externos. Os pressupostos solicitados foram considerados adequadamente, incluindo a definição clara de recomendações condition-based como aquelas que corrigem a condição atual de forma temporária ou imediata. A recomendação em questão visa apenas sanar a falta de equipamentos, sem abordar causas raiz como falhas em processos de aquisição ou manutenção, o que a caracteriza como condition-based.</w:t>
      </w:r>
    </w:p>
    <w:p>
      <w:pPr>
        <w:pStyle w:val="Corpodetexto"/>
      </w:pPr>
      <w:r>
        <w:t xml:space="preserve">Opinião: concordo</w:t>
      </w:r>
    </w:p>
    <w:bookmarkEnd w:id="34"/>
    <w:bookmarkStart w:id="35" w:name="auditoria-19827-constatação-nº-695461"/>
    <w:p>
      <w:pPr>
        <w:pStyle w:val="Ttulo2"/>
      </w:pPr>
      <w:r>
        <w:t xml:space="preserve">Auditoria 19827, Constatação Nº 695461</w:t>
      </w:r>
    </w:p>
    <w:p>
      <w:pPr>
        <w:pStyle w:val="FirstParagraph"/>
      </w:pPr>
      <w:r>
        <w:t xml:space="preserve">Finalidade: Verificar a regularidade da produção inserida nos sistemas do SUS.</w:t>
      </w:r>
    </w:p>
    <w:p>
      <w:pPr>
        <w:pStyle w:val="Corpodetexto"/>
      </w:pPr>
      <w:r>
        <w:t xml:space="preserve">Constatação: O Departamento Municipal de Saúde de Guararapes não apresentou documentos que comprovem a execução do procedimento Atendimento Médico em Unidade de Pronto Atendimento (código SIGTAP 03.01.06.009-6) na Santa Casa de Guararapes CNES nº 2081814 no ano de 2022.</w:t>
      </w:r>
    </w:p>
    <w:p>
      <w:pPr>
        <w:pStyle w:val="Corpodetexto"/>
      </w:pPr>
      <w:r>
        <w:t xml:space="preserve">Recomendação: Adotar procedimentos a seu cargo ao acompanhamento da recomposição do recurso ao Fundo Nacional de Saúde (FNS) do valor total de R$ 1.419,00, indicado no capítulo proposição de devolução do presente relatório, com acréscimos legais, visando à elisão do dano ocorrido com recursos de origem federal, observados os princípios norteadores dos processos administrativos, conforme estabelece o art. 3º da Portaria GM/MS nº 885, de 4 de maio de 2021, combinado com o Inciso VIII, do art. 2º, do Decreto nº 3.964, de 10/10/2001.</w:t>
      </w:r>
    </w:p>
    <w:p>
      <w:pPr>
        <w:pStyle w:val="Corpodetexto"/>
      </w:pPr>
      <w:r>
        <w:t xml:space="preserve">Classificação: condition-based</w:t>
      </w:r>
    </w:p>
    <w:p>
      <w:pPr>
        <w:pStyle w:val="Corpodetexto"/>
      </w:pPr>
      <w:r>
        <w:t xml:space="preserve">Justificativa: A recomendação foca na correção imediata da condição encontrada, especificamente na devolução dos recursos financeiros com acréscimos legais para eliminar o dano atual, sem propor ações para prevenir a recorrência da falta de documentação ou melhorar processos subjacentes.</w:t>
      </w:r>
    </w:p>
    <w:p>
      <w:pPr>
        <w:pStyle w:val="Corpodetexto"/>
      </w:pPr>
      <w:r>
        <w:t xml:space="preserve">Análise Classificação: A justificativa apresentada pelo modelo analisa corretamente que a recomendação se concentra na devolução dos recursos financeiros com acréscimos legais para eliminar o dano atual, caracterizando uma correção imediata da condição encontrada. A análise baseia-se exclusivamente no conteúdo da constatação (falta de documentação comprobatória) e da recomendação (devolução de recursos), sem introduzir elementos externos. Os pressupostos solicitados foram considerados adequadamente, aplicando a definição de recomendações condition-based como medidas para corrigir a condição atual, em contraste com recomendações cause-based que abordariam causas raiz para prevenir recorrência. A justificativa demonstra compreensão clara da distinção conceitual entre os dois tipos de recomendações.</w:t>
      </w:r>
    </w:p>
    <w:p>
      <w:pPr>
        <w:pStyle w:val="Corpodetexto"/>
      </w:pPr>
      <w:r>
        <w:t xml:space="preserve">Opinião: concordo</w:t>
      </w:r>
    </w:p>
    <w:bookmarkEnd w:id="35"/>
    <w:bookmarkStart w:id="36" w:name="auditoria-19701-constatação-nº-688743"/>
    <w:p>
      <w:pPr>
        <w:pStyle w:val="Ttulo2"/>
      </w:pPr>
      <w:r>
        <w:t xml:space="preserve">Auditoria 19701, Constatação Nº 688743</w:t>
      </w:r>
    </w:p>
    <w:p>
      <w:pPr>
        <w:pStyle w:val="FirstParagraph"/>
      </w:pPr>
      <w:r>
        <w:t xml:space="preserve">Finalidade: Verificar a regularidade da produção inserida no sistema SIA/SUS.</w:t>
      </w:r>
    </w:p>
    <w:p>
      <w:pPr>
        <w:pStyle w:val="Corpodetexto"/>
      </w:pPr>
      <w:r>
        <w:t xml:space="preserve">Constatação: Não há compatibilidade entre os dados de produção inseridos no Sistema de Informações Ambulatoriais-SIA/SUS e a produção efetivamente executada dos procedimentos selecionados.</w:t>
      </w:r>
    </w:p>
    <w:p>
      <w:pPr>
        <w:pStyle w:val="Corpodetexto"/>
      </w:pPr>
      <w:r>
        <w:t xml:space="preserve">Recomendação: Restituir ao Fundo Nacional de Saúde (FNS) o valor de R$ 6.844.474,50 (seis milhões, oitocentos e quarenta e quatro mil, quatrocentos e setenta e quatro reais e cinquenta centavos), atualizados monetariamente e com os acréscimos legais adotados por esse ente transferidor, conforme indicado no Capítulo VII-</w:t>
      </w:r>
      <w:r>
        <w:t xml:space="preserve">‘’Proposição de Devolução’</w:t>
      </w:r>
      <w:r>
        <w:t xml:space="preserve">’ deste relatório, referente aos recursos recebidos irregularmente, provenientes de emendas parlamentares por informações não comprovadas inseridas nos sistemas do Ministério da Saúde. Ressalta-se ainda que é de responsabilidade dos Estados, Municípios e do Distrito Federal, conforme a gestão dos estabelecimentos, a alimentação dos Bancos de Dados Nacionais do SIA, de acordo com o previsto no § 1º, artigo 294, da Portaria de Consolidação GM/MS n.º 1, de 28/9/2017. ACÓRDÃO N.º 1072/2017 - TCU - Plenário, item 9.3.4 e Portaria GM/MS n.º 684, de 30/3/2022, Capítulo II, do inciso II, item b,</w:t>
      </w:r>
      <w:r>
        <w:t xml:space="preserve">‘’9.3.4. nos casos de débito decorrente do recebimento irregular de recursos federais pelos estados, municípios ou Distrito Federal, em razão de eventuais incorreções nas informações prestadas pelo beneficiário, independentemente do destino final dado aos recursos repassados, cabe ao ente recebedor restituir ao FNS, uma vez que não fazia jus ao repasse podendo, ainda, haver aplicação de multa ao agente público causador da irregularidade.’</w:t>
      </w:r>
      <w:r>
        <w:t xml:space="preserve">’</w:t>
      </w:r>
    </w:p>
    <w:p>
      <w:pPr>
        <w:pStyle w:val="Corpodetexto"/>
      </w:pPr>
      <w:r>
        <w:t xml:space="preserve">Classificação: condition-based</w:t>
      </w:r>
    </w:p>
    <w:p>
      <w:pPr>
        <w:pStyle w:val="Corpodetexto"/>
      </w:pPr>
      <w:r>
        <w:t xml:space="preserve">Justificativa: A recomendação foca na correção imediata da condição encontrada, que é o valor recebido irregularmente, ao propor a restituição ao Fundo Nacional de Saúde, sem abordar ações preventivas ou de longo prazo para evitar a reocorrência da incompatibilidade de dados.</w:t>
      </w:r>
    </w:p>
    <w:p>
      <w:pPr>
        <w:pStyle w:val="Corpodetexto"/>
      </w:pPr>
      <w:r>
        <w:t xml:space="preserve">Análise Classificação: A justificativa corretamente identifica que a recomendação se concentra na correção imediata da condição específica (valor recebido irregularmente) através da restituição ao FNS, sem propor medidas preventivas ou de longo prazo para evitar a reocorrência da incompatibilidade de dados. A análise baseia-se exclusivamente no conteúdo da constatação e da recomendação, considerando adequadamente os pressupostos solicitados, incluindo o critério de desempate que favorece recomendações cause-based quando há ambiguidade, o que não se aplica aqui dado o claro foco na correção da condição atual.</w:t>
      </w:r>
    </w:p>
    <w:p>
      <w:pPr>
        <w:pStyle w:val="Corpodetexto"/>
      </w:pPr>
      <w:r>
        <w:t xml:space="preserve">Opinião: concordo</w:t>
      </w:r>
    </w:p>
    <w:bookmarkEnd w:id="36"/>
    <w:bookmarkStart w:id="37" w:name="auditoria-19691-constatação-nº-685651"/>
    <w:p>
      <w:pPr>
        <w:pStyle w:val="Ttulo2"/>
      </w:pPr>
      <w:r>
        <w:t xml:space="preserve">Auditoria 19691, Constatação Nº 685651</w:t>
      </w:r>
    </w:p>
    <w:p>
      <w:pPr>
        <w:pStyle w:val="FirstParagraph"/>
      </w:pPr>
      <w:r>
        <w:t xml:space="preserve">Finalidade: Verificar a regularidade da produção inserida nos sistemas do SUS.</w:t>
      </w:r>
    </w:p>
    <w:p>
      <w:pPr>
        <w:pStyle w:val="Corpodetexto"/>
      </w:pPr>
      <w:r>
        <w:t xml:space="preserve">Constatação: A Secretaria Municipal de Saúde de Nova Luzitânia não comprovou a execução dos procedimentos de TFD: Unidade de remuneração para deslocamento de acompanhante por transporte terrestre (cada 50 km de distância), Código 08.03.01.010-9 e Unidade de remuneração para deslocamento de paciente por transporte terrestre (cada 50 km), Código 08.03.01.012-5, inseridos nos sistemas do Ministério da Saúde, realizados na UBS III NOVA LUZITÂNIA.</w:t>
      </w:r>
    </w:p>
    <w:p>
      <w:pPr>
        <w:pStyle w:val="Corpodetexto"/>
      </w:pPr>
      <w:r>
        <w:t xml:space="preserve">Recomendação: Adotar procedimentos a seu cargo ao acompanhamento da recomposição do recurso ao Fundo Nacional de Saúde (FNS) do valor total de R$ 662.047,70 (Seiscentos e sessenta e dois mil, quarenta e sete reais e setenta centavos), indicado no capítulo proposição de devolução do presente relatório, com acréscimos legais, visando à elisão do dano ocorrido com recursos de origem federal, observados os princípios norteadores dos processos administrativos, conforme estabelece o art. 3º da Portaria GM/MS nº 885, de 4 de maio de 2021, combinado com o Inciso VIII, do art. 2º, do Decreto nº 3.964, de 10/10/2001.</w:t>
      </w:r>
    </w:p>
    <w:p>
      <w:pPr>
        <w:pStyle w:val="Corpodetexto"/>
      </w:pPr>
      <w:r>
        <w:t xml:space="preserve">Classificação: condition-based</w:t>
      </w:r>
    </w:p>
    <w:p>
      <w:pPr>
        <w:pStyle w:val="Corpodetexto"/>
      </w:pPr>
      <w:r>
        <w:t xml:space="preserve">Justificativa: A recomendação foca na correção imediata da condição encontrada, que é a devolução do valor indevidamente recebido ao Fundo Nacional de Saúde, sem propor ações para prevenir a recorrência da inconformidade, como melhorias em processos de verificação ou controle interno.</w:t>
      </w:r>
    </w:p>
    <w:p>
      <w:pPr>
        <w:pStyle w:val="Corpodetexto"/>
      </w:pPr>
      <w:r>
        <w:t xml:space="preserve">Análise Classificação: A justificativa aponta corretamente que a recomendação se concentra na devolução do valor indevidamente recebido, caracterizando uma solução temporária para corrigir a condição atual de irregularidade financeira. A análise baseia-se exclusivamente no conteúdo da constatação (falta de comprovação da execução dos procedimentos) e da recomendação (devolução do recurso), sem extrapolar para pressupostos externos. Considerando que a recomendação não propõe medidas preventivas ou de longo prazo para evitar a recorrência, e seguindo o critério de que recomendações com foco na condição visam corrigir a situação atual, a classificação como condition-based está alinhada com os pressupostos solicitados.</w:t>
      </w:r>
    </w:p>
    <w:p>
      <w:pPr>
        <w:pStyle w:val="Corpodetexto"/>
      </w:pPr>
      <w:r>
        <w:t xml:space="preserve">Opinião: concordo</w:t>
      </w:r>
    </w:p>
    <w:bookmarkEnd w:id="37"/>
    <w:bookmarkEnd w:id="38"/>
    <w:bookmarkStart w:id="44" w:name="X66f478326fedec69e35035559942168d6deb1df"/>
    <w:p>
      <w:pPr>
        <w:pStyle w:val="Ttulo1"/>
      </w:pPr>
      <w:r>
        <w:t xml:space="preserve">Exemplos Recomendações com Foco na Condição e Análise Convergente</w:t>
      </w:r>
    </w:p>
    <w:bookmarkStart w:id="39" w:name="auditoria-19264-constatação-nº-665720"/>
    <w:p>
      <w:pPr>
        <w:pStyle w:val="Ttulo2"/>
      </w:pPr>
      <w:r>
        <w:t xml:space="preserve">Auditoria 19264, Constatação Nº 665720</w:t>
      </w:r>
    </w:p>
    <w:p>
      <w:pPr>
        <w:pStyle w:val="FirstParagraph"/>
      </w:pPr>
      <w:r>
        <w:t xml:space="preserve">Finalidade: Verificar a regular utilização de DMIs em cirurgias de coluna vertebral pelos prestadores do SUS.</w:t>
      </w:r>
    </w:p>
    <w:p>
      <w:pPr>
        <w:pStyle w:val="Corpodetexto"/>
      </w:pPr>
      <w:r>
        <w:t xml:space="preserve">Constatação: Falta de comprovação da utilização das OPME 07.02.05.039-3 - Parafuso de titânio associável à haste, tipo pedicular, poliaxial; 07.02.05.038-5 - Parafuso de titânio associável à haste, tipo pedicular, monoaxial; 070205033-4 - Haste para associação com parafusos e/ou ganchos de titânio e 070205052-0 - Sistema para fixação transversal de titânio, no Hospital Evangélico de Londrina, no período compreendido entre 2012 e 2017.</w:t>
      </w:r>
    </w:p>
    <w:p>
      <w:pPr>
        <w:pStyle w:val="Corpodetexto"/>
      </w:pPr>
      <w:r>
        <w:t xml:space="preserve">Recomendação: Tomar conhecimento e adotar medidas com os responsáveis identificados pelas irregularidades que deram causa ao dano, conforme apontamentos da constatação, na devolução ao Fundo Nacional de Saúde (FNS) do valor total de R$ 145.395,80 (cento e quarenta e cinco mil e trezentos e noventa e cinco reais e oitenta centavos), atualizado monetariamente segundo o</w:t>
      </w:r>
      <w:r>
        <w:t xml:space="preserve"> </w:t>
      </w:r>
      <w:r>
        <w:rPr>
          <w:rStyle w:val="VerbatimChar"/>
        </w:rPr>
        <w:t xml:space="preserve">Sistema Débito</w:t>
      </w:r>
      <w:r>
        <w:t xml:space="preserve"> </w:t>
      </w:r>
      <w:r>
        <w:t xml:space="preserve">do Tribunal de Contas da União, em cumprimento aos incisos VII e VIII do art. 2º do Decreto nº 3.964/2001.</w:t>
      </w:r>
    </w:p>
    <w:p>
      <w:pPr>
        <w:pStyle w:val="Corpodetexto"/>
      </w:pPr>
      <w:r>
        <w:t xml:space="preserve">Classificação: condition-based</w:t>
      </w:r>
    </w:p>
    <w:p>
      <w:pPr>
        <w:pStyle w:val="Corpodetexto"/>
      </w:pPr>
      <w:r>
        <w:t xml:space="preserve">Justificativa: A recomendação foca na correção imediata da condição encontrada, que é a falta de comprovação da utilização das OPMEs, ao exigir a devolução do valor indevidamente utilizado ao Fundo Nacional de Saúde. Isso representa uma solução temporária para remediar o dano financeiro atual, sem propor ações para prevenir a recorrência da irregularidade no futuro.</w:t>
      </w:r>
    </w:p>
    <w:p>
      <w:pPr>
        <w:pStyle w:val="Corpodetexto"/>
      </w:pPr>
      <w:r>
        <w:t xml:space="preserve">Análise Classificação: A justificativa apresentada pelo modelo indica que a recomendação é</w:t>
      </w:r>
      <w:r>
        <w:t xml:space="preserve"> </w:t>
      </w:r>
      <w:r>
        <w:t xml:space="preserve">‘condition-based’</w:t>
      </w:r>
      <w:r>
        <w:t xml:space="preserve"> </w:t>
      </w:r>
      <w:r>
        <w:t xml:space="preserve">porque foca na correção imediata da condição encontrada (falta de comprovação da utilização das OPMEs) ao exigir a devolução do valor indevidamente utilizado, sem propor ações preventivas para evitar a recorrência. No entanto, ao analisar o conteúdo da recomendação, observa-se que ela vai além da simples correção da condição, pois inclui a necessidade de</w:t>
      </w:r>
      <w:r>
        <w:t xml:space="preserve"> </w:t>
      </w:r>
      <w:r>
        <w:t xml:space="preserve">‘tomar conhecimento e adotar medidas com os responsáveis identificados pelas irregularidades que deram causa ao dano’</w:t>
      </w:r>
      <w:r>
        <w:t xml:space="preserve">. Essa parte da recomendação sugere uma abordagem que visa tratar as causas subjacentes (responsabilização e medidas corretivas sobre os responsáveis), o que se alinha mais com o conceito de</w:t>
      </w:r>
      <w:r>
        <w:t xml:space="preserve"> </w:t>
      </w:r>
      <w:r>
        <w:t xml:space="preserve">‘cause-based’</w:t>
      </w:r>
      <w:r>
        <w:t xml:space="preserve">. A justificativa do modelo baseia-se exclusivamente no conteúdo da constatação e da recomendação, mas não considerou adequadamente a parte da recomendação que aborda as causas, focando apenas no aspecto da devolução financeira. Além disso, o critério de desempate (optar por</w:t>
      </w:r>
      <w:r>
        <w:t xml:space="preserve"> </w:t>
      </w:r>
      <w:r>
        <w:t xml:space="preserve">‘cause-based’</w:t>
      </w:r>
      <w:r>
        <w:t xml:space="preserve"> </w:t>
      </w:r>
      <w:r>
        <w:t xml:space="preserve">em caso de dúvida) não foi aplicado, mesmo quando a recomendação apresenta elementos de ambas as classificações. Portanto, a justificativa não leva corretamente à classificação alcançada, pois subestima o potencial de abordagem da causa raiz presente na recomendação.</w:t>
      </w:r>
    </w:p>
    <w:p>
      <w:pPr>
        <w:pStyle w:val="Corpodetexto"/>
      </w:pPr>
      <w:r>
        <w:t xml:space="preserve">Opinião: discordo</w:t>
      </w:r>
    </w:p>
    <w:bookmarkEnd w:id="39"/>
    <w:bookmarkStart w:id="40" w:name="auditoria-19613-constatação-nº-677748"/>
    <w:p>
      <w:pPr>
        <w:pStyle w:val="Ttulo2"/>
      </w:pPr>
      <w:r>
        <w:t xml:space="preserve">Auditoria 19613, Constatação Nº 677748</w:t>
      </w:r>
    </w:p>
    <w:p>
      <w:pPr>
        <w:pStyle w:val="FirstParagraph"/>
      </w:pPr>
      <w:r>
        <w:t xml:space="preserve">Finalidade: Avaliar a execução dos convênios firmados com organizações sociais no âmbito da Saúde Indígena</w:t>
      </w:r>
    </w:p>
    <w:p>
      <w:pPr>
        <w:pStyle w:val="Corpodetexto"/>
      </w:pPr>
      <w:r>
        <w:t xml:space="preserve">Constatação: Ausência do fiscal financeiro vinculado para acompanhamento do Convênio nº 882485/2019.</w:t>
      </w:r>
    </w:p>
    <w:p>
      <w:pPr>
        <w:pStyle w:val="Corpodetexto"/>
      </w:pPr>
      <w:r>
        <w:t xml:space="preserve">Recomendação: Dar ciência ao Fundo Nacional de Saúde para que esse se manifeste quanto a sua competência de acompanhar a conformidade financeira.</w:t>
      </w:r>
    </w:p>
    <w:p>
      <w:pPr>
        <w:pStyle w:val="Corpodetexto"/>
      </w:pPr>
      <w:r>
        <w:t xml:space="preserve">Classificação: condition-based</w:t>
      </w:r>
    </w:p>
    <w:p>
      <w:pPr>
        <w:pStyle w:val="Corpodetexto"/>
      </w:pPr>
      <w:r>
        <w:t xml:space="preserve">Justificativa: A recomendação propõe uma ação imediata para corrigir a condição específica encontrada (ausência de fiscal financeiro), solicitando uma manifestação sobre a competência de acompanhamento, sem abordar medidas preventivas ou de longo prazo para evitar a recorrência da ausência.</w:t>
      </w:r>
    </w:p>
    <w:p>
      <w:pPr>
        <w:pStyle w:val="Corpodetexto"/>
      </w:pPr>
      <w:r>
        <w:t xml:space="preserve">Análise Classificação: A justificativa afirma que a recomendação propõe uma ação imediata para corrigir a condição específica (ausência de fiscal financeiro) e não aborda medidas preventivas ou de longo prazo. No entanto, a recomendação em si (</w:t>
      </w:r>
      <w:r>
        <w:t xml:space="preserve">‘Dar ciência ao Fundo Nacional de Saúde para que esse se manifeste quanto a sua competência de acompanhar a conformidade financeira’</w:t>
      </w:r>
      <w:r>
        <w:t xml:space="preserve">) não corrige diretamente a ausência do fiscal, mas busca esclarecer responsabilidades, o que pode ser um passo inicial para resolver a causa subjacente (falta de definição de competência). A justificativa baseia-se no conteúdo da constatação e da recomendação, mas não considera que a ação de esclarecer competências pode ser um elemento para abordar a causa raiz (gestão inadequada), mesmo que indiretamente. Pelo critério de desempate (optar por cause-based), a classificação como condition-based pode ser questionada, pois a recomendação visa resolver um problema estrutural (definição de competências) em vez de apenas corrigir a condição imediata.</w:t>
      </w:r>
    </w:p>
    <w:p>
      <w:pPr>
        <w:pStyle w:val="Corpodetexto"/>
      </w:pPr>
      <w:r>
        <w:t xml:space="preserve">Opinião: discordo</w:t>
      </w:r>
    </w:p>
    <w:bookmarkEnd w:id="40"/>
    <w:bookmarkStart w:id="41" w:name="auditoria-19336-constatação-nº-659809"/>
    <w:p>
      <w:pPr>
        <w:pStyle w:val="Ttulo2"/>
      </w:pPr>
      <w:r>
        <w:t xml:space="preserve">Auditoria 19336, Constatação Nº 659809</w:t>
      </w:r>
    </w:p>
    <w:p>
      <w:pPr>
        <w:pStyle w:val="FirstParagraph"/>
      </w:pPr>
      <w:r>
        <w:t xml:space="preserve">Finalidade: Verificar a regular utilização de DMIs em cirurgias de coluna vertebral pelos prestadores do SUS</w:t>
      </w:r>
    </w:p>
    <w:p>
      <w:pPr>
        <w:pStyle w:val="Corpodetexto"/>
      </w:pPr>
      <w:r>
        <w:t xml:space="preserve">Constatação: Ausência de exames de imagenologia nos prontuários analisados, no período auditado.</w:t>
      </w:r>
    </w:p>
    <w:p>
      <w:pPr>
        <w:pStyle w:val="Corpodetexto"/>
      </w:pPr>
      <w:r>
        <w:t xml:space="preserve">Recomendação: Adotar medidas com os responsáveis identificados pelas irregularidades que deram causa ao dano na devolução ao Fundo Nacional de Saúde do valor total de R$ 452.625,06 (quatrocentos e cinquenta e dois mil e seiscentos vinte e cinco reais e seis centavos), atualizado monetariamente segundo o</w:t>
      </w:r>
      <w:r>
        <w:t xml:space="preserve"> </w:t>
      </w:r>
      <w:r>
        <w:t xml:space="preserve">“Sistema Débito”</w:t>
      </w:r>
      <w:r>
        <w:t xml:space="preserve"> </w:t>
      </w:r>
      <w:r>
        <w:t xml:space="preserve">do Tribunal de Contas da União, em cumprimento aos incisos VII e VIII do art. 2º do Decreto nº 3.964 de 10/10/2001.</w:t>
      </w:r>
    </w:p>
    <w:p>
      <w:pPr>
        <w:pStyle w:val="Corpodetexto"/>
      </w:pPr>
      <w:r>
        <w:t xml:space="preserve">Classificação: condition-based</w:t>
      </w:r>
    </w:p>
    <w:p>
      <w:pPr>
        <w:pStyle w:val="Corpodetexto"/>
      </w:pPr>
      <w:r>
        <w:t xml:space="preserve">Justificativa: A recomendação foca na correção imediata da condição encontrada, especificamente na devolução de valores indevidamente utilizados, sem propor ações para prevenir a recorrência da ausência de exames de imagenologia nos prontuários.</w:t>
      </w:r>
    </w:p>
    <w:p>
      <w:pPr>
        <w:pStyle w:val="Corpodetexto"/>
      </w:pPr>
      <w:r>
        <w:t xml:space="preserve">Análise Classificação: A justificativa corretamente identifica que a recomendação se concentra na devolução de valores indevidamente utilizados, o que constitui uma correção da condição financeira irregular identificada. No entanto, a justificativa não se baseia exclusivamente no conteúdo da constatação e da recomendação, pois a constatação menciona especificamente</w:t>
      </w:r>
      <w:r>
        <w:t xml:space="preserve"> </w:t>
      </w:r>
      <w:r>
        <w:t xml:space="preserve">‘ausência de exames de imagenologia nos prontuários’</w:t>
      </w:r>
      <w:r>
        <w:t xml:space="preserve">, enquanto a recomendação aborda a devolução de valores sem ligação direta com a causa raiz (falta de exames). Além disso, a justificativa assume que a recomendação não propõe ações preventivas, mas isso não é explicitamente afirmado na recomendação fornecida, violando o pressuposto de basear-se apenas no conteúdo dado. O critério de desempate (optar por cause-based) não foi aplicado, embora a recomendação claramente não aborde a causa subjacente (falta de exames), focando apenas na condição financeira.</w:t>
      </w:r>
    </w:p>
    <w:p>
      <w:pPr>
        <w:pStyle w:val="Corpodetexto"/>
      </w:pPr>
      <w:r>
        <w:t xml:space="preserve">Opinião: discordo</w:t>
      </w:r>
    </w:p>
    <w:bookmarkEnd w:id="41"/>
    <w:bookmarkStart w:id="42" w:name="auditoria-19380-constatação-nº-660513"/>
    <w:p>
      <w:pPr>
        <w:pStyle w:val="Ttulo2"/>
      </w:pPr>
      <w:r>
        <w:t xml:space="preserve">Auditoria 19380, Constatação Nº 660513</w:t>
      </w:r>
    </w:p>
    <w:p>
      <w:pPr>
        <w:pStyle w:val="FirstParagraph"/>
      </w:pPr>
      <w:r>
        <w:t xml:space="preserve">Finalidade: Apurar a regularidade da produção inserida nos sistemas do SUS com incremento nos tetos MAC e PAB</w:t>
      </w:r>
    </w:p>
    <w:p>
      <w:pPr>
        <w:pStyle w:val="Corpodetexto"/>
      </w:pPr>
      <w:r>
        <w:t xml:space="preserve">Constatação: A Secretaria Municipal de Saúde de Tuntum inseriu em 2021 no Sistema de Informações Ambulatoriais (SIA/SUS) sem ter realizado, procedimentos da Atenção Especializada para o Hospital das Clínicas do Município de Tuntum referente às Consultas de Profissionais de Nível Superior (exceto médico), Código 03.01.01.004-8; Consulta Médica em Atenção Especializada, Código 03.01.01.007-2; Atendimento de Urgência em Atenção Especializada, Código 03.01.06.006- 1; Ajuda de Custo para alimentação/pernoite de paciente, Código 08.03.01.001-0, Ajuda de Custo para alimentação/pernoite de acompanhante, Código 08.03.01.004-4, Unidade de remuneração para deslocamento de acompanhante por transporte terrestre (cada 50 km de distância), Código 08.03.01.010-9 e Unidade de remuneração para deslocamento de paciente por transporte terrestre (cada 50 km), Código 08.03.01.012-5, no exercício de 2021, ocasionando proposta de devolução dos recursos recebidos a maior.</w:t>
      </w:r>
    </w:p>
    <w:p>
      <w:pPr>
        <w:pStyle w:val="Corpodetexto"/>
      </w:pPr>
      <w:r>
        <w:t xml:space="preserve">Recomendação: 1 - Adotar providências para restituir ao Fundo Nacional de Saúde (FNS) o valor de R$6.049.632,15 (seis milhões, quarenta e nove mil, seiscentos e trinta e dois reais e quinze centavos), atualizado monetariamente e com os acréscimos legais adotados por esse ente federado, conforme indicativo da Planilha de Proposição de Devolução, referente aos recursos recebidos de forma indevida, provenientes de emendas parlamentares por informação adulterada, inserida nos sistemas do Ministério da Saúde, com base no item 9.3.4, do ACÓRDÃO Nº 1072/2017, do TCU, que prevê:</w:t>
      </w:r>
      <w:r>
        <w:t xml:space="preserve"> </w:t>
      </w:r>
      <w:r>
        <w:t xml:space="preserve">“nos casos de débito decorrente do recebimento irregular de recursos federais pelos estados, municípios ou Distrito Federal, em razão de incorreções nas informações prestadas pelo beneficiário, independentemente do destino final dado aos recursos repassados, cabe ao ente recebedor restituir ao FNS, uma vez que não fazia jus ao repasse…”</w:t>
      </w:r>
      <w:r>
        <w:t xml:space="preserve">. Ressalta-se ainda que é de responsabilidade dos Estados, Municípios e do Distrito Federal, conforme a gestão dos estabelecimentos, a alimentação dos Bancos de Dados Nacionais do SIA, de acordo com o previsto no § 1º, Art. 294, da Portaria de Consolidação GM/MS nº 1, de 28/09/2017. ACÓRDÃO Nº 1072/2017 - TCU - Plenário, item 9.3.4 e Portaria GM/MS nº 684, de 30 de março de 2022, Capítulo II, do inciso II, item b,</w:t>
      </w:r>
      <w:r>
        <w:t xml:space="preserve"> </w:t>
      </w:r>
      <w:r>
        <w:t xml:space="preserve">“9.3.4. nos casos de débito decorrente do recebimento irregular de recursos federais pelos estados, municípios ou Distrito Federal, em razão de eventuais incorreções nas informações prestadas pelo beneficiário, independentemente do destino final dado aos recursos repassados, cabe ao ente recebedor restituir o Fundo Nacional de Saúde, uma vez que não fazia jus ao repasse, podendo, ainda, haver aplicação de multa ao agente público causador da irregularidade”</w:t>
      </w:r>
      <w:r>
        <w:t xml:space="preserve">; 2 - Cumprir com o disposto nos Arts. 2º e 3º da Lei do Fundo Municipal de Saúde de Tuntum, fundamentada pela Lei Federal nº 4.320, de 17 de março de I964 e pela Lei nº 8.080, de 19 de setembro de 1990, no que se refere ao controle contábil do Fundo Municipal de Saúde, assim como as atribuições de responsabilidade do Secretário Municipal de Saúde.</w:t>
      </w:r>
    </w:p>
    <w:p>
      <w:pPr>
        <w:pStyle w:val="Corpodetexto"/>
      </w:pPr>
      <w:r>
        <w:t xml:space="preserve">Classificação: condition-based</w:t>
      </w:r>
    </w:p>
    <w:p>
      <w:pPr>
        <w:pStyle w:val="Corpodetexto"/>
      </w:pPr>
      <w:r>
        <w:t xml:space="preserve">Justificativa: A recomendação foca na correção imediata da condição encontrada, que é a devolução dos recursos recebidos indevidamente, sem propor ações para prevenir a ocorrência futura de inserções irregulares nos sistemas do SUS.</w:t>
      </w:r>
    </w:p>
    <w:p>
      <w:pPr>
        <w:pStyle w:val="Corpodetexto"/>
      </w:pPr>
      <w:r>
        <w:t xml:space="preserve">Análise Classificação: A justificativa apresentada pelo modelo baseia-se exclusivamente no conteúdo da constatação e da recomendação, identificando corretamente que a recomendação principal (restituição dos recursos) visa corrigir a condição específica de recebimento irregular de verbas. No entanto, a justificativa ignora que a segunda parte da recomendação (</w:t>
      </w:r>
      <w:r>
        <w:t xml:space="preserve">‘Cumprir com o disposto nos Arts. 2º e 3º da Lei do Fundo Municipal de Saúde… no que se refere ao controle contábil do Fundo Municipal de Saúde, assim como as atribuições de responsabilidade do Secretário Municipal de Saúde’</w:t>
      </w:r>
      <w:r>
        <w:t xml:space="preserve">) constitui uma ação preventiva que busca endereçar causas estruturais relacionadas à governança e controle, podendo prevenir ocorrências futuras. Considerando o critério de desempate que orienta a opção pela tipologia cause-based quando há ambiguidade, e que a recomendação contém elementos que abordam tanto a condição imediata quanto aspectos de prevenção, a classificação como exclusivamente condition-based não reflete adequadamente a complexidade da recomendação.</w:t>
      </w:r>
    </w:p>
    <w:p>
      <w:pPr>
        <w:pStyle w:val="Corpodetexto"/>
      </w:pPr>
      <w:r>
        <w:t xml:space="preserve">Opinião: discordo</w:t>
      </w:r>
    </w:p>
    <w:bookmarkEnd w:id="42"/>
    <w:bookmarkStart w:id="43" w:name="auditoria-19845-constatação-nº-702214"/>
    <w:p>
      <w:pPr>
        <w:pStyle w:val="Ttulo2"/>
      </w:pPr>
      <w:r>
        <w:t xml:space="preserve">Auditoria 19845, Constatação Nº 702214</w:t>
      </w:r>
    </w:p>
    <w:p>
      <w:pPr>
        <w:pStyle w:val="FirstParagraph"/>
      </w:pPr>
      <w:r>
        <w:t xml:space="preserve">Finalidade: Verificar a regularidade na inserção da produção no Sistema de Informação Ambulatorial do SUS</w:t>
      </w:r>
    </w:p>
    <w:p>
      <w:pPr>
        <w:pStyle w:val="Corpodetexto"/>
      </w:pPr>
      <w:r>
        <w:t xml:space="preserve">Constatação: A Secretaria Municipal de Saúde de Porto Rico do Maranhão não apresentou a documentação comprobatória das despesas dos procedimentos</w:t>
      </w:r>
      <w:r>
        <w:t xml:space="preserve"> </w:t>
      </w:r>
      <w:r>
        <w:t xml:space="preserve">“Unidade de Remuneração para Deslocamento de Paciente por Transporte Terrestre (cada 50 km) - TFD”</w:t>
      </w:r>
      <w:r>
        <w:t xml:space="preserve"> </w:t>
      </w:r>
      <w:r>
        <w:t xml:space="preserve">(Código Sigtap 08.03.01.012-5), e Unidade de Remuneração para Deslocamento de Acompanhante por Transporte Terrestre (cada 50 km) - TFD” (Código Sigtap 08.03.01.010-9).</w:t>
      </w:r>
    </w:p>
    <w:p>
      <w:pPr>
        <w:pStyle w:val="Corpodetexto"/>
      </w:pPr>
      <w:r>
        <w:t xml:space="preserve">Recomendação: Adotar procedimentos a seu cargo ao acompanhamento da recomposição do recurso ao Fundo Nacional de Saúde (FNS) do valor total de R$ 1.288.237,50 (Um milhão duzentos e oitenta e oito mil, duzentos e trinta e sete reais e cinquenta centavos), indicado no capítulo proposição de devolução do presente relatório, com acréscimos legais, visando à elisão do dano ocorrido com recursos de origem federal, observados os princípios norteadores dos processos administrativos, conforme estabelece o art. 3º da Portaria GM/MS nº 885, de 4 de maio de 2021, combinado com o Inciso VIII, do art. 2º, do Decreto nº 3.964, de 10/10/2001.</w:t>
      </w:r>
    </w:p>
    <w:p>
      <w:pPr>
        <w:pStyle w:val="Corpodetexto"/>
      </w:pPr>
      <w:r>
        <w:t xml:space="preserve">Classificação: condition-based</w:t>
      </w:r>
    </w:p>
    <w:p>
      <w:pPr>
        <w:pStyle w:val="Corpodetexto"/>
      </w:pPr>
      <w:r>
        <w:t xml:space="preserve">Justificativa: A recomendação foca na correção imediata da condição encontrada, que é a falta de documentação comprobatória e a necessidade de devolução de recursos, sem propor ações para prevenir a recorrência do problema, como melhorias em processos ou controles internos.</w:t>
      </w:r>
    </w:p>
    <w:p>
      <w:pPr>
        <w:pStyle w:val="Corpodetexto"/>
      </w:pPr>
      <w:r>
        <w:t xml:space="preserve">Análise Classificação: A justificativa analisada indica que a recomendação se concentra na correção imediata da condição encontrada, especificamente a falta de documentação comprobatória e a necessidade de devolução de recursos, sem propor ações preventivas para evitar a recorrência. No entanto, ao examinar o conteúdo da recomendação, ela vai além de uma simples correção da condição atual, pois exige a adoção de procedimentos para acompanhar a recomposição do recurso ao Fundo Nacional de Saúde, com acréscimos legais, e referencia normas como a Portaria GM/MS nº 885/2021 e o Decreto nº 3.964/2001, que podem implicar mudanças processuais de longo prazo. A justificativa baseia-se exclusivamente no conteúdo da constatação e da recomendação, mas subestima o potencial da recomendação em abordar causas subjacentes, como falhas nos controles internos, ao focar apenas na devolução imediata. Considerando o critério de desempate (optar por cause-based em caso de dúvida) e que a recomendação pode induzir melhorias estruturais, discordo da classificação como condition-based.</w:t>
      </w:r>
    </w:p>
    <w:p>
      <w:pPr>
        <w:pStyle w:val="Corpodetexto"/>
      </w:pPr>
      <w:r>
        <w:t xml:space="preserve">Opinião: discordo</w:t>
      </w:r>
    </w:p>
    <w:bookmarkEnd w:id="43"/>
    <w:bookmarkEnd w:id="44"/>
    <w:sectPr w:rsidR="00186AD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0A4AE6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1817195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86AD4"/>
    <w:rsid w:val="00186AD4"/>
    <w:rsid w:val="004F38F9"/>
    <w:rsid w:val="009129B2"/>
    <w:rsid w:val="00A21709"/>
    <w:rsid w:val="00AA533A"/>
    <w:rsid w:val="00F92B3A"/>
    <w:rsid w:val="00FD5A2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rsid w:val="00A21709"/>
    <w:pPr>
      <w:spacing w:after="36" w:before="36"/>
    </w:pPr>
    <w:rPr>
      <w:sz w:val="20"/>
    </w:r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sid w:val="00A21709"/>
    <w:rPr>
      <w:rFonts w:ascii="Consolas" w:hAnsi="Consolas"/>
      <w:sz w:val="20"/>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65</Words>
  <Characters>357</Characters>
  <Application>Microsoft Office Word</Application>
  <DocSecurity>0</DocSecurity>
  <Lines>2</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Apêndice III - Recolhimento de Amostra</dc:title>
  <dc:creator>Fabiano A. Lima</dc:creator>
  <dc:language>pt-BR</dc:language>
  <cp:keywords/>
  <dcterms:created xsi:type="dcterms:W3CDTF">2025-10-01T16:22:36Z</dcterms:created>
  <dcterms:modified xsi:type="dcterms:W3CDTF">2025-10-01T16:22:36Z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./Quarto/referencias.bibtex</vt:lpwstr>
  </property>
  <property fmtid="{D5CDD505-2E9C-101B-9397-08002B2CF9AE}" pid="5" name="by-author">
    <vt:lpwstr/>
  </property>
  <property fmtid="{D5CDD505-2E9C-101B-9397-08002B2CF9AE}" pid="6" name="csl">
    <vt:lpwstr>./Quarto/abnt-nbr-6023-2018-citacao-autor-data.csl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toc-title">
    <vt:lpwstr>Índice</vt:lpwstr>
  </property>
</Properties>
</file>