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Apêndice III - Recolhimento de Amostra</w:t>
      </w:r>
    </w:p>
    <w:p>
      <w:pPr>
        <w:pStyle w:val="Author"/>
      </w:pPr>
      <w:r>
        <w:t xml:space="preserve">Fabiano A. Lima</w:t>
      </w:r>
    </w:p>
    <w:bookmarkStart w:id="20" w:name="introdução"/>
    <w:p>
      <w:pPr>
        <w:pStyle w:val="Ttulo1"/>
      </w:pPr>
      <w:r>
        <w:t xml:space="preserve">Introdução</w:t>
      </w:r>
    </w:p>
    <w:p>
      <w:pPr>
        <w:pStyle w:val="FirstParagraph"/>
      </w:pPr>
      <w:r>
        <w:t xml:space="preserve">O presente apêndice registra os passos tomados para a escolha de um conjunto de recomendações para exemplificar o processo de classificação.</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NormalTok"/>
        </w:rPr>
        <w:t xml:space="preserve">modelo </w:t>
      </w:r>
      <w:r>
        <w:rPr>
          <w:rStyle w:val="OtherTok"/>
        </w:rPr>
        <w:t xml:space="preserve">&lt;-</w:t>
      </w:r>
      <w:r>
        <w:rPr>
          <w:rStyle w:val="NormalTok"/>
        </w:rPr>
        <w:t xml:space="preserve"> </w:t>
      </w:r>
      <w:r>
        <w:rPr>
          <w:rStyle w:val="StringTok"/>
        </w:rPr>
        <w:t xml:space="preserve">"deepseek-chat"</w:t>
      </w:r>
      <w:r>
        <w:br/>
      </w:r>
      <w:r>
        <w:br/>
      </w:r>
      <w:r>
        <w:rPr>
          <w:rStyle w:val="NormalTok"/>
        </w:rPr>
        <w:t xml:space="preserve">classificacoes </w:t>
      </w:r>
      <w:r>
        <w:rPr>
          <w:rStyle w:val="OtherTok"/>
        </w:rPr>
        <w:t xml:space="preserve">&lt;-</w:t>
      </w:r>
      <w:r>
        <w:rPr>
          <w:rStyle w:val="NormalTok"/>
        </w:rPr>
        <w:t xml:space="preserve"> </w:t>
      </w:r>
      <w:r>
        <w:rPr>
          <w:rStyle w:val="FunctionTok"/>
        </w:rPr>
        <w:t xml:space="preserve">read_rds</w:t>
      </w:r>
      <w:r>
        <w:rPr>
          <w:rStyle w:val="NormalTok"/>
        </w:rPr>
        <w:t xml:space="preserve">(</w:t>
      </w:r>
      <w:r>
        <w:rPr>
          <w:rStyle w:val="FunctionTok"/>
        </w:rPr>
        <w:t xml:space="preserve">sprintf</w:t>
      </w:r>
      <w:r>
        <w:rPr>
          <w:rStyle w:val="NormalTok"/>
        </w:rPr>
        <w:t xml:space="preserve">(</w:t>
      </w:r>
      <w:r>
        <w:rPr>
          <w:rStyle w:val="StringTok"/>
        </w:rPr>
        <w:t xml:space="preserve">"./Dados Gerados/cls_%s.rds"</w:t>
      </w:r>
      <w:r>
        <w:rPr>
          <w:rStyle w:val="NormalTok"/>
        </w:rPr>
        <w:t xml:space="preserve">, modelo))</w:t>
      </w:r>
      <w:r>
        <w:br/>
      </w:r>
      <w:r>
        <w:br/>
      </w:r>
      <w:r>
        <w:rPr>
          <w:rStyle w:val="NormalTok"/>
        </w:rPr>
        <w:t xml:space="preserve">recomendacoes </w:t>
      </w:r>
      <w:r>
        <w:rPr>
          <w:rStyle w:val="OtherTok"/>
        </w:rPr>
        <w:t xml:space="preserve">&lt;-</w:t>
      </w:r>
      <w:r>
        <w:rPr>
          <w:rStyle w:val="NormalTok"/>
        </w:rPr>
        <w:t xml:space="preserve"> </w:t>
      </w:r>
      <w:r>
        <w:rPr>
          <w:rStyle w:val="FunctionTok"/>
        </w:rPr>
        <w:t xml:space="preserve">read_rds</w:t>
      </w:r>
      <w:r>
        <w:rPr>
          <w:rStyle w:val="NormalTok"/>
        </w:rPr>
        <w:t xml:space="preserve">(</w:t>
      </w:r>
      <w:r>
        <w:rPr>
          <w:rStyle w:val="StringTok"/>
        </w:rPr>
        <w:t xml:space="preserve">"./Dados Gerados/auditorias.rds"</w:t>
      </w:r>
      <w:r>
        <w:rPr>
          <w:rStyle w:val="NormalTok"/>
        </w:rPr>
        <w:t xml:space="preserve">)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read_rds</w:t>
      </w:r>
      <w:r>
        <w:rPr>
          <w:rStyle w:val="NormalTok"/>
        </w:rPr>
        <w:t xml:space="preserve">(</w:t>
      </w:r>
      <w:r>
        <w:rPr>
          <w:rStyle w:val="StringTok"/>
        </w:rPr>
        <w:t xml:space="preserve">"./Dados Gerados/constatacoes.rds"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StringTok"/>
        </w:rPr>
        <w:t xml:space="preserve">`</w:t>
      </w:r>
      <w:r>
        <w:rPr>
          <w:rStyle w:val="AttributeTok"/>
        </w:rPr>
        <w:t xml:space="preserve">No. Auditoria</w:t>
      </w:r>
      <w:r>
        <w:rPr>
          <w:rStyle w:val="StringTok"/>
        </w:rPr>
        <w:t xml:space="preser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"Arquivo"</w:t>
      </w:r>
      <w:r>
        <w:br/>
      </w:r>
      <w:r>
        <w:rPr>
          <w:rStyle w:val="NormalTok"/>
        </w:rPr>
        <w:t xml:space="preserve">    )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read_rds</w:t>
      </w:r>
      <w:r>
        <w:rPr>
          <w:rStyle w:val="NormalTok"/>
        </w:rPr>
        <w:t xml:space="preserve">(</w:t>
      </w:r>
      <w:r>
        <w:rPr>
          <w:rStyle w:val="StringTok"/>
        </w:rPr>
        <w:t xml:space="preserve">"./Dados Gerados/recomendacoes.rds"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StringTok"/>
        </w:rPr>
        <w:t xml:space="preserve">`</w:t>
      </w:r>
      <w:r>
        <w:rPr>
          <w:rStyle w:val="AttributeTok"/>
        </w:rPr>
        <w:t xml:space="preserve">No. Auditoria</w:t>
      </w:r>
      <w:r>
        <w:rPr>
          <w:rStyle w:val="StringTok"/>
        </w:rPr>
        <w:t xml:space="preser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"Arquivo"</w:t>
      </w:r>
      <w:r>
        <w:rPr>
          <w:rStyle w:val="NormalTok"/>
        </w:rPr>
        <w:t xml:space="preserve">, </w:t>
      </w:r>
      <w:r>
        <w:rPr>
          <w:rStyle w:val="StringTok"/>
        </w:rPr>
        <w:t xml:space="preserve">"# Constatação"</w:t>
      </w:r>
      <w:r>
        <w:rPr>
          <w:rStyle w:val="NormalTok"/>
        </w:rPr>
        <w:t xml:space="preserve">)</w:t>
      </w:r>
      <w:r>
        <w:br/>
      </w:r>
      <w:r>
        <w:rPr>
          <w:rStyle w:val="NormalTok"/>
        </w:rPr>
        <w:t xml:space="preserve">    ) </w:t>
      </w:r>
      <w:r>
        <w:br/>
      </w:r>
      <w:r>
        <w:br/>
      </w:r>
      <w:r>
        <w:rPr>
          <w:rStyle w:val="NormalTok"/>
        </w:rPr>
        <w:t xml:space="preserve">dataset_analise </w:t>
      </w:r>
      <w:r>
        <w:rPr>
          <w:rStyle w:val="OtherTok"/>
        </w:rPr>
        <w:t xml:space="preserve">&lt;-</w:t>
      </w:r>
      <w:r>
        <w:rPr>
          <w:rStyle w:val="NormalTok"/>
        </w:rPr>
        <w:t xml:space="preserve"> recomendacoes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 Recomendação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w:t>
      </w:r>
      <w:r>
        <w:rPr>
          <w:rStyle w:val="StringTok"/>
        </w:rPr>
        <w:t xml:space="preserve">`</w:t>
      </w:r>
      <w:r>
        <w:rPr>
          <w:rStyle w:val="AttributeTok"/>
        </w:rPr>
        <w:t xml:space="preserve"># Recomendação</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classificacoes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finish_reason, </w:t>
      </w:r>
      <w:r>
        <w:rPr>
          <w:rStyle w:val="SpecialCharTok"/>
        </w:rPr>
        <w:t xml:space="preserve">-</w:t>
      </w:r>
      <w:r>
        <w:rPr>
          <w:rStyle w:val="NormalTok"/>
        </w:rPr>
        <w:t xml:space="preserve">erro, </w:t>
      </w:r>
      <w:r>
        <w:rPr>
          <w:rStyle w:val="SpecialCharTok"/>
        </w:rPr>
        <w:t xml:space="preserve">-</w:t>
      </w:r>
      <w:r>
        <w:rPr>
          <w:rStyle w:val="NormalTok"/>
        </w:rPr>
        <w:t xml:space="preserve">arquivo)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recomendacao =</w:t>
      </w:r>
      <w:r>
        <w:rPr>
          <w:rStyle w:val="NormalTok"/>
        </w:rPr>
        <w:t xml:space="preserve"> </w:t>
      </w:r>
      <w:r>
        <w:rPr>
          <w:rStyle w:val="FunctionTok"/>
        </w:rPr>
        <w:t xml:space="preserve">as.integer</w:t>
      </w:r>
      <w:r>
        <w:rPr>
          <w:rStyle w:val="NormalTok"/>
        </w:rPr>
        <w:t xml:space="preserve">(recomendacao))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w:t>
      </w:r>
      <w:r>
        <w:rPr>
          <w:rStyle w:val="AttributeTok"/>
        </w:rPr>
        <w:t xml:space="preserve">Justificativa Classificação</w:t>
      </w:r>
      <w:r>
        <w:rPr>
          <w:rStyle w:val="StringTok"/>
        </w:rPr>
        <w:t xml:space="preserve">`</w:t>
      </w:r>
      <w:r>
        <w:rPr>
          <w:rStyle w:val="NormalTok"/>
        </w:rPr>
        <w:t xml:space="preserve"> </w:t>
      </w:r>
      <w:r>
        <w:rPr>
          <w:rStyle w:val="OtherTok"/>
        </w:rPr>
        <w:t xml:space="preserve">=</w:t>
      </w:r>
      <w:r>
        <w:rPr>
          <w:rStyle w:val="NormalTok"/>
        </w:rPr>
        <w:t xml:space="preserve"> justificativa),</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"Arquivo"</w:t>
      </w:r>
      <w:r>
        <w:rPr>
          <w:rStyle w:val="NormalTok"/>
        </w:rPr>
        <w:t xml:space="preserve"> </w:t>
      </w:r>
      <w:r>
        <w:rPr>
          <w:rStyle w:val="OtherTok"/>
        </w:rPr>
        <w:t xml:space="preserve">=</w:t>
      </w:r>
      <w:r>
        <w:rPr>
          <w:rStyle w:val="NormalTok"/>
        </w:rPr>
        <w:t xml:space="preserve"> </w:t>
      </w:r>
      <w:r>
        <w:rPr>
          <w:rStyle w:val="StringTok"/>
        </w:rPr>
        <w:t xml:space="preserve">"Arquivo Relatório"</w:t>
      </w:r>
      <w:r>
        <w:rPr>
          <w:rStyle w:val="NormalTok"/>
        </w:rPr>
        <w:t xml:space="preserve">,</w:t>
      </w:r>
      <w:r>
        <w:br/>
      </w:r>
      <w:r>
        <w:rPr>
          <w:rStyle w:val="NormalTok"/>
        </w:rPr>
        <w:t xml:space="preserve">            </w:t>
      </w:r>
      <w:r>
        <w:rPr>
          <w:rStyle w:val="StringTok"/>
        </w:rPr>
        <w:t xml:space="preserve">"# Constatação"</w:t>
      </w:r>
      <w:r>
        <w:rPr>
          <w:rStyle w:val="NormalTok"/>
        </w:rPr>
        <w:t xml:space="preserve"> </w:t>
      </w:r>
      <w:r>
        <w:rPr>
          <w:rStyle w:val="OtherTok"/>
        </w:rPr>
        <w:t xml:space="preserve">=</w:t>
      </w:r>
      <w:r>
        <w:rPr>
          <w:rStyle w:val="NormalTok"/>
        </w:rPr>
        <w:t xml:space="preserve"> </w:t>
      </w:r>
      <w:r>
        <w:rPr>
          <w:rStyle w:val="StringTok"/>
        </w:rPr>
        <w:t xml:space="preserve">"constatacao"</w:t>
      </w:r>
      <w:r>
        <w:rPr>
          <w:rStyle w:val="NormalTok"/>
        </w:rPr>
        <w:t xml:space="preserve">,</w:t>
      </w:r>
      <w:r>
        <w:br/>
      </w:r>
      <w:r>
        <w:rPr>
          <w:rStyle w:val="NormalTok"/>
        </w:rPr>
        <w:t xml:space="preserve">            </w:t>
      </w:r>
      <w:r>
        <w:rPr>
          <w:rStyle w:val="StringTok"/>
        </w:rPr>
        <w:t xml:space="preserve">"# Recomendação"</w:t>
      </w:r>
      <w:r>
        <w:rPr>
          <w:rStyle w:val="NormalTok"/>
        </w:rPr>
        <w:t xml:space="preserve"> </w:t>
      </w:r>
      <w:r>
        <w:rPr>
          <w:rStyle w:val="OtherTok"/>
        </w:rPr>
        <w:t xml:space="preserve">=</w:t>
      </w:r>
      <w:r>
        <w:rPr>
          <w:rStyle w:val="NormalTok"/>
        </w:rPr>
        <w:t xml:space="preserve"> </w:t>
      </w:r>
      <w:r>
        <w:rPr>
          <w:rStyle w:val="StringTok"/>
        </w:rPr>
        <w:t xml:space="preserve">"recomendacao"</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w:t>
      </w:r>
      <w:r>
        <w:rPr>
          <w:rStyle w:val="AttributeTok"/>
        </w:rPr>
        <w:t xml:space="preserve">Classificação</w:t>
      </w:r>
      <w:r>
        <w:rPr>
          <w:rStyle w:val="StringTok"/>
        </w:rPr>
        <w:t xml:space="preserve">`</w:t>
      </w:r>
      <w:r>
        <w:rPr>
          <w:rStyle w:val="NormalTok"/>
        </w:rPr>
        <w:t xml:space="preserve"> </w:t>
      </w:r>
      <w:r>
        <w:rPr>
          <w:rStyle w:val="OtherTok"/>
        </w:rPr>
        <w:t xml:space="preserve">=</w:t>
      </w:r>
      <w:r>
        <w:rPr>
          <w:rStyle w:val="NormalTok"/>
        </w:rPr>
        <w:t xml:space="preserve"> classificacao)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Ano =</w:t>
      </w:r>
      <w:r>
        <w:rPr>
          <w:rStyle w:val="NormalTok"/>
        </w:rPr>
        <w:t xml:space="preserve"> </w:t>
      </w:r>
      <w:r>
        <w:rPr>
          <w:rStyle w:val="FunctionTok"/>
        </w:rPr>
        <w:t xml:space="preserve">year</w:t>
      </w:r>
      <w:r>
        <w:rPr>
          <w:rStyle w:val="NormalTok"/>
        </w:rPr>
        <w:t xml:space="preserve">(</w:t>
      </w:r>
      <w:r>
        <w:rPr>
          <w:rStyle w:val="StringTok"/>
        </w:rPr>
        <w:t xml:space="preserve">`</w:t>
      </w:r>
      <w:r>
        <w:rPr>
          <w:rStyle w:val="AttributeTok"/>
        </w:rPr>
        <w:t xml:space="preserve">Data Geração</w:t>
      </w:r>
      <w:r>
        <w:rPr>
          <w:rStyle w:val="StringTok"/>
        </w:rPr>
        <w:t xml:space="preserve">`</w:t>
      </w:r>
      <w:r>
        <w:rPr>
          <w:rStyle w:val="NormalTok"/>
        </w:rPr>
        <w:t xml:space="preserve">) </w:t>
      </w:r>
      <w:r>
        <w:rPr>
          <w:rStyle w:val="SpecialCharTok"/>
        </w:rPr>
        <w:t xml:space="preserve">|&gt;</w:t>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Grupo =</w:t>
      </w:r>
      <w:r>
        <w:rPr>
          <w:rStyle w:val="NormalTok"/>
        </w:rPr>
        <w:t xml:space="preserve"> </w:t>
      </w:r>
      <w:r>
        <w:rPr>
          <w:rStyle w:val="FunctionTok"/>
        </w:rPr>
        <w:t xml:space="preserve">str_extract</w:t>
      </w:r>
      <w:r>
        <w:rPr>
          <w:rStyle w:val="NormalTok"/>
        </w:rPr>
        <w:t xml:space="preserve">(Grupo, </w:t>
      </w:r>
      <w:r>
        <w:rPr>
          <w:rStyle w:val="StringTok"/>
        </w:rPr>
        <w:t xml:space="preserve">"(^.*?) Constata..o.*"</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UF =</w:t>
      </w:r>
      <w:r>
        <w:rPr>
          <w:rStyle w:val="NormalTok"/>
        </w:rPr>
        <w:t xml:space="preserve"> </w:t>
      </w:r>
      <w:r>
        <w:rPr>
          <w:rStyle w:val="FunctionTok"/>
        </w:rPr>
        <w:t xml:space="preserve">str_sub</w:t>
      </w:r>
      <w:r>
        <w:rPr>
          <w:rStyle w:val="NormalTok"/>
        </w:rPr>
        <w:t xml:space="preserve">(</w:t>
      </w:r>
      <w:r>
        <w:rPr>
          <w:rStyle w:val="StringTok"/>
        </w:rPr>
        <w:t xml:space="preserve">`</w:t>
      </w:r>
      <w:r>
        <w:rPr>
          <w:rStyle w:val="AttributeTok"/>
        </w:rPr>
        <w:t xml:space="preserve">Munícipio/UF</w:t>
      </w:r>
      <w:r>
        <w:rPr>
          <w:rStyle w:val="StringTok"/>
        </w:rPr>
        <w:t xml:space="preserve">`</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.keep =</w:t>
      </w:r>
      <w:r>
        <w:rPr>
          <w:rStyle w:val="NormalTok"/>
        </w:rPr>
        <w:t xml:space="preserve"> </w:t>
      </w:r>
      <w:r>
        <w:rPr>
          <w:rStyle w:val="StringTok"/>
        </w:rPr>
        <w:t xml:space="preserve">"unused"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Objeto =</w:t>
      </w:r>
      <w:r>
        <w:rPr>
          <w:rStyle w:val="NormalTok"/>
        </w:rPr>
        <w:t xml:space="preserve"> Objeto </w:t>
      </w:r>
      <w:r>
        <w:rPr>
          <w:rStyle w:val="SpecialCharTok"/>
        </w:rPr>
        <w:t xml:space="preserve">|&gt;</w:t>
      </w:r>
      <w:r>
        <w:rPr>
          <w:rStyle w:val="NormalTok"/>
        </w:rPr>
        <w:t xml:space="preserve"> </w:t>
      </w:r>
      <w:r>
        <w:br/>
      </w:r>
      <w:r>
        <w:rPr>
          <w:rStyle w:val="NormalTok"/>
        </w:rPr>
        <w:t xml:space="preserve">                </w:t>
      </w:r>
      <w:r>
        <w:rPr>
          <w:rStyle w:val="FunctionTok"/>
        </w:rPr>
        <w:t xml:space="preserve">str_replace</w:t>
      </w:r>
      <w:r>
        <w:rPr>
          <w:rStyle w:val="NormalTok"/>
        </w:rPr>
        <w:t xml:space="preserve">(</w:t>
      </w:r>
      <w:r>
        <w:rPr>
          <w:rStyle w:val="FunctionTok"/>
        </w:rPr>
        <w:t xml:space="preserve">fixed</w:t>
      </w:r>
      <w:r>
        <w:rPr>
          <w:rStyle w:val="NormalTok"/>
        </w:rPr>
        <w:t xml:space="preserve">(</w:t>
      </w:r>
      <w:r>
        <w:rPr>
          <w:rStyle w:val="StringTok"/>
        </w:rPr>
        <w:t xml:space="preserve">".Fora de bloco|"</w:t>
      </w:r>
      <w:r>
        <w:rPr>
          <w:rStyle w:val="NormalTok"/>
        </w:rPr>
        <w:t xml:space="preserve">), </w:t>
      </w:r>
      <w:r>
        <w:rPr>
          <w:rStyle w:val="StringTok"/>
        </w:rPr>
        <w:t xml:space="preserve">"Sem Bloco|"</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NormalTok"/>
        </w:rPr>
        <w:t xml:space="preserve">(</w:t>
      </w:r>
      <w:r>
        <w:rPr>
          <w:rStyle w:val="StringTok"/>
        </w:rPr>
        <w:t xml:space="preserve">"</w:t>
      </w:r>
      <w:r>
        <w:rPr>
          <w:rStyle w:val="SpecialCharTok"/>
        </w:rPr>
        <w:t xml:space="preserve">\\</w:t>
      </w:r>
      <w:r>
        <w:rPr>
          <w:rStyle w:val="StringTok"/>
        </w:rPr>
        <w:t xml:space="preserve">.(?=[A-Z])"</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NormalTok"/>
        </w:rPr>
        <w:t xml:space="preserve">(</w:t>
      </w:r>
      <w:r>
        <w:rPr>
          <w:rStyle w:val="FunctionTok"/>
        </w:rPr>
        <w:t xml:space="preserve">fixed</w:t>
      </w:r>
      <w:r>
        <w:rPr>
          <w:rStyle w:val="NormalTok"/>
        </w:rPr>
        <w:t xml:space="preserve">(</w:t>
      </w:r>
      <w:r>
        <w:rPr>
          <w:rStyle w:val="StringTok"/>
        </w:rPr>
        <w:t xml:space="preserve">"MAC-OPME"</w:t>
      </w:r>
      <w:r>
        <w:rPr>
          <w:rStyle w:val="NormalTok"/>
        </w:rPr>
        <w:t xml:space="preserve">), </w:t>
      </w:r>
      <w:r>
        <w:rPr>
          <w:rStyle w:val="StringTok"/>
        </w:rPr>
        <w:t xml:space="preserve">"MAC|OPME"</w:t>
      </w:r>
      <w:r>
        <w:rPr>
          <w:rStyle w:val="NormalTok"/>
        </w:rPr>
        <w:t xml:space="preserve">) </w:t>
      </w:r>
      <w:r>
        <w:rPr>
          <w:rStyle w:val="SpecialCharTok"/>
        </w:rPr>
        <w:t xml:space="preserve">|&gt;</w:t>
      </w:r>
      <w:r>
        <w:br/>
      </w:r>
      <w:r>
        <w:rPr>
          <w:rStyle w:val="NormalTok"/>
        </w:rPr>
        <w:t xml:space="preserve">                </w:t>
      </w:r>
      <w:r>
        <w:rPr>
          <w:rStyle w:val="FunctionTok"/>
        </w:rPr>
        <w:t xml:space="preserve">str_replace</w:t>
      </w:r>
      <w:r>
        <w:rPr>
          <w:rStyle w:val="NormalTok"/>
        </w:rPr>
        <w:t xml:space="preserve">(</w:t>
      </w:r>
      <w:r>
        <w:rPr>
          <w:rStyle w:val="StringTok"/>
        </w:rPr>
        <w:t xml:space="preserve">" Órgão</w:t>
      </w:r>
      <w:r>
        <w:rPr>
          <w:rStyle w:val="SpecialCharTok"/>
        </w:rPr>
        <w:t xml:space="preserve">\\</w:t>
      </w:r>
      <w:r>
        <w:rPr>
          <w:rStyle w:val="StringTok"/>
        </w:rPr>
        <w:t xml:space="preserve">(s</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Bloco =</w:t>
      </w:r>
      <w:r>
        <w:rPr>
          <w:rStyle w:val="NormalTok"/>
        </w:rPr>
        <w:t xml:space="preserve"> </w:t>
      </w:r>
      <w:r>
        <w:rPr>
          <w:rStyle w:val="FunctionTok"/>
        </w:rPr>
        <w:t xml:space="preserve">str_extract</w:t>
      </w:r>
      <w:r>
        <w:rPr>
          <w:rStyle w:val="NormalTok"/>
        </w:rPr>
        <w:t xml:space="preserve">(Objeto, </w:t>
      </w:r>
      <w:r>
        <w:rPr>
          <w:rStyle w:val="StringTok"/>
        </w:rPr>
        <w:t xml:space="preserve">"(.*?)</w:t>
      </w:r>
      <w:r>
        <w:rPr>
          <w:rStyle w:val="SpecialCharTok"/>
        </w:rPr>
        <w:t xml:space="preserve">\\</w:t>
      </w:r>
      <w:r>
        <w:rPr>
          <w:rStyle w:v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Sub bloco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str_extract</w:t>
      </w:r>
      <w:r>
        <w:rPr>
          <w:rStyle w:val="NormalTok"/>
        </w:rPr>
        <w:t xml:space="preserve">(Objeto,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Bloco =</w:t>
      </w:r>
      <w:r>
        <w:rPr>
          <w:rStyle w:val="NormalTok"/>
        </w:rPr>
        <w:t xml:space="preserve"> </w:t>
      </w:r>
      <w:r>
        <w:rPr>
          <w:rStyle w:val="FunctionTok"/>
        </w:rPr>
        <w:t xml:space="preserve">coalesce</w:t>
      </w:r>
      <w:r>
        <w:rPr>
          <w:rStyle w:val="NormalTok"/>
        </w:rPr>
        <w:t xml:space="preserve">(Bloco, Objeto),</w:t>
      </w:r>
      <w:r>
        <w:br/>
      </w:r>
      <w:r>
        <w:rPr>
          <w:rStyle w:val="NormalTok"/>
        </w:rPr>
        <w:t xml:space="preserve">        </w:t>
      </w:r>
      <w:r>
        <w:rPr>
          <w:rStyle w:val="AttributeTok"/>
        </w:rPr>
        <w:t xml:space="preserve">Bloco =</w:t>
      </w:r>
      <w:r>
        <w:rPr>
          <w:rStyle w:val="NormalTok"/>
        </w:rPr>
        <w:t xml:space="preserve"> </w:t>
      </w:r>
      <w:r>
        <w:rPr>
          <w:rStyle w:val="FunctionTok"/>
        </w:rPr>
        <w:t xml:space="preserve">str_replace</w:t>
      </w:r>
      <w:r>
        <w:rPr>
          <w:rStyle w:val="NormalTok"/>
        </w:rPr>
        <w:t xml:space="preserve">(Bloco, </w:t>
      </w:r>
      <w:r>
        <w:rPr>
          <w:rStyle w:val="StringTok"/>
        </w:rPr>
        <w:t xml:space="preserve">"REGULAÇÃO DO ACESSO.*"</w:t>
      </w:r>
      <w:r>
        <w:rPr>
          <w:rStyle w:val="NormalTok"/>
        </w:rPr>
        <w:t xml:space="preserve">, </w:t>
      </w:r>
      <w:r>
        <w:rPr>
          <w:rStyle w:val="StringTok"/>
        </w:rPr>
        <w:t xml:space="preserve">"Reg. Acesso Consultas/Exames"</w:t>
      </w:r>
      <w:r>
        <w:rPr>
          <w:rStyle w:val="NormalTok"/>
        </w:rPr>
        <w:t xml:space="preserve">))</w:t>
      </w:r>
      <w:r>
        <w:br/>
      </w:r>
      <w:r>
        <w:br/>
      </w:r>
      <w:r>
        <w:rPr>
          <w:rStyle w:val="NormalTok"/>
        </w:rPr>
        <w:t xml:space="preserve">exemplos_classificados_condicao </w:t>
      </w:r>
      <w:r>
        <w:rPr>
          <w:rStyle w:val="OtherTok"/>
        </w:rPr>
        <w:t xml:space="preserve">&lt;-</w:t>
      </w:r>
      <w:r>
        <w:rPr>
          <w:rStyle w:val="NormalTok"/>
        </w:rPr>
        <w:t xml:space="preserve"> dataset_analise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Classificação</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"condition-based"</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w:t>
      </w:r>
      <w:r>
        <w:br/>
      </w:r>
      <w:r>
        <w:br/>
      </w:r>
      <w:r>
        <w:br/>
      </w:r>
      <w:r>
        <w:rPr>
          <w:rStyle w:val="NormalTok"/>
        </w:rPr>
        <w:t xml:space="preserve">exemplos_classificados_causa </w:t>
      </w:r>
      <w:r>
        <w:rPr>
          <w:rStyle w:val="OtherTok"/>
        </w:rPr>
        <w:t xml:space="preserve">&lt;-</w:t>
      </w:r>
      <w:r>
        <w:rPr>
          <w:rStyle w:val="NormalTok"/>
        </w:rPr>
        <w:t xml:space="preserve"> dataset_analise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Classificação</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"cause-based"</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w:t>
      </w:r>
    </w:p>
    <w:bookmarkEnd w:id="20"/>
    <w:bookmarkStart w:id="31" w:name="exemplos-recomendações-com-foco-na-causa"/>
    <w:p>
      <w:pPr>
        <w:pStyle w:val="Ttulo1"/>
      </w:pPr>
      <w:r>
        <w:t xml:space="preserve">Exemplos Recomendações com Foco na Causa</w:t>
      </w:r>
    </w:p>
    <w:bookmarkStart w:id="21" w:name="auditoria-19611-constatação-nº-674409"/>
    <w:p>
      <w:pPr>
        <w:pStyle w:val="Ttulo2"/>
      </w:pPr>
      <w:r>
        <w:t xml:space="preserve">Auditoria 19611, Constatação Nº 674409</w:t>
      </w:r>
    </w:p>
    <w:p>
      <w:pPr>
        <w:pStyle w:val="FirstParagraph"/>
      </w:pPr>
      <w:r>
        <w:t xml:space="preserve">Finalidade: Avaliar a execução dos convênios firmados com organizações sociais no âmbito da Saúde Indígena</w:t>
      </w:r>
    </w:p>
    <w:p>
      <w:pPr>
        <w:pStyle w:val="Corpodetexto"/>
      </w:pPr>
      <w:r>
        <w:t xml:space="preserve">Constatação: Ausência de justificativa para contratação da empresa J. de R.R. Borges, de comprovação de realização da prestação de serviço e possibilidade de duplicidade de serviço prestado.</w:t>
      </w:r>
    </w:p>
    <w:p>
      <w:pPr>
        <w:pStyle w:val="Corpodetexto"/>
      </w:pPr>
      <w:r>
        <w:t xml:space="preserve">Recomendação: Orientar os fiscais técnicos do convênio e/ou gestor do concedente, que atuam no processo de execução, a realizar a conferência da disponibilização da documentação comprobatória do processo de contratação para comprovação de realização da prestação dos serviço que apresentam duplicidade de serviço prestado, tendo em vista conteúdos no portal do FNS em que podem ser verificados pelas convenentes, documentos que auxiliam quanto ao acompanhamento, prestação de contas e Tomada de Contas Especial dos recursos oriundos de convênios, incluindo manuais específicos relacionados à saúde indígena, além da existência de cursos sobre o tema na Escola Virtual.Gov (EV.G), de forma gratuita, e, adicionalmente, as áreas técnica e financeira do Ministério da Saúde estão disponíveis para auxiliar durante o andamento do convênio.</w:t>
      </w:r>
    </w:p>
    <w:p>
      <w:pPr>
        <w:pStyle w:val="Corpodetexto"/>
      </w:pPr>
      <w:r>
        <w:t xml:space="preserve">Classificação: cause-based</w:t>
      </w:r>
    </w:p>
    <w:p>
      <w:pPr>
        <w:pStyle w:val="Corpodetexto"/>
      </w:pPr>
      <w:r>
        <w:t xml:space="preserve">Justificativa: A recomendação propõe ações de orientação e capacitação contínua para fiscais e gestores, incluindo o uso de recursos educacionais e suporte técnico, visando prevenir a ocorrência futura de ausência de documentação comprobatória e duplicidade de serviços, o que se alinha com soluções de longo prazo para evitar a reincidência da condição observada.</w:t>
      </w:r>
    </w:p>
    <w:bookmarkEnd w:id="21"/>
    <w:bookmarkStart w:id="22" w:name="auditoria-19684-constatação-nº-686760"/>
    <w:p>
      <w:pPr>
        <w:pStyle w:val="Ttulo2"/>
      </w:pPr>
      <w:r>
        <w:t xml:space="preserve">Auditoria 19684, Constatação Nº 686760</w:t>
      </w:r>
    </w:p>
    <w:p>
      <w:pPr>
        <w:pStyle w:val="FirstParagraph"/>
      </w:pPr>
      <w:r>
        <w:t xml:space="preserve">Finalidade: Verificar a regularidade da produção inserida nos sistemas do SUS</w:t>
      </w:r>
    </w:p>
    <w:p>
      <w:pPr>
        <w:pStyle w:val="Corpodetexto"/>
      </w:pPr>
      <w:r>
        <w:t xml:space="preserve">Constatação: Continuação da Constatação n.° 685687</w:t>
      </w:r>
    </w:p>
    <w:p>
      <w:pPr>
        <w:pStyle w:val="Corpodetexto"/>
      </w:pPr>
      <w:r>
        <w:t xml:space="preserve">Recomendação: Adotar providências administrativas, no sentido de atendimento ao disposto no item 2.3 do Manual de Operação do Sistema SIA-SUS/2016, que orienta ao gestor municipal e estadual e do Distrito Federal o controle e avaliação da produção ambulatorial processada e enviada para o gestor federal e os incisos I e II, do art. 295, Seção II da Portaria de Consolidação GM/MS n.° 01, de 28/09/2017 que define a sistemática de alimentação dos Bancos de Dados Nacionais dos Sistemas de Informação em Saúde SIA, SIH e Scnes, e ainda, ao inciso III do art. 369 da Portaria de Consolidação GM/MS n.° 01, de 28/09/2017, que trata das responsabilidades da direção municipal do SUS em relação ao Cnes, assim como, dos arts. 370 e 372, da mesma Portaria que estatui sobre o processo de cadastramento e manutenção ou atualização cadastral proposto para os estabelecimentos de saúde e envio dos referidos dados, devendo os mesmos serem validados para envio à base de dados nacional.</w:t>
      </w:r>
    </w:p>
    <w:p>
      <w:pPr>
        <w:pStyle w:val="Corpodetexto"/>
      </w:pPr>
      <w:r>
        <w:t xml:space="preserve">Classificação: cause-based</w:t>
      </w:r>
    </w:p>
    <w:p>
      <w:pPr>
        <w:pStyle w:val="Corpodetexto"/>
      </w:pPr>
      <w:r>
        <w:t xml:space="preserve">Justificativa: A recomendação enfatiza a adoção de providências administrativas para garantir conformidade com normas e portarias específicas, visando implementar controles e avaliações sistemáticas que previnam a recorrência de irregularidades na produção inserida nos sistemas do SUS, caracterizando um foco na causa subjacente.</w:t>
      </w:r>
    </w:p>
    <w:bookmarkEnd w:id="22"/>
    <w:bookmarkStart w:id="23" w:name="auditoria-19396-constatação-nº-663728"/>
    <w:p>
      <w:pPr>
        <w:pStyle w:val="Ttulo2"/>
      </w:pPr>
      <w:r>
        <w:t xml:space="preserve">Auditoria 19396, Constatação Nº 663728</w:t>
      </w:r>
    </w:p>
    <w:p>
      <w:pPr>
        <w:pStyle w:val="FirstParagraph"/>
      </w:pPr>
      <w:r>
        <w:t xml:space="preserve">Finalidade: Verificar a regularidade da execução do Programa Farmácia Popular do Brasil (PFPB)</w:t>
      </w:r>
    </w:p>
    <w:p>
      <w:pPr>
        <w:pStyle w:val="Corpodetexto"/>
      </w:pPr>
      <w:r>
        <w:t xml:space="preserve">Constatação: Registro de dispensação de medicamentos, no período de janeiro/2018 a dezembro/2022, sem a comprovação da aquisição por meio de notas fiscais.</w:t>
      </w:r>
    </w:p>
    <w:p>
      <w:pPr>
        <w:pStyle w:val="Corpodetexto"/>
      </w:pPr>
      <w:r>
        <w:t xml:space="preserve">Recomendação: Manter pelo prazo de dez anos a guarda dos documentos fiscais de aquisição dos medicamentos e ou correlatos do PFPB junto aos fornecedores, conforme determina o inciso II, dos artigos 22, 36 e 37 do Anexo LXXVII da Portaria de Consolidação 05, de 28 de setembro de 2017, alterado pela Portaria GM/MS nº 2.898, de 3 de novembro de 2021.</w:t>
      </w:r>
    </w:p>
    <w:p>
      <w:pPr>
        <w:pStyle w:val="Corpodetexto"/>
      </w:pPr>
      <w:r>
        <w:t xml:space="preserve">Classificação: cause-based</w:t>
      </w:r>
    </w:p>
    <w:p>
      <w:pPr>
        <w:pStyle w:val="Corpodetexto"/>
      </w:pPr>
      <w:r>
        <w:t xml:space="preserve">Justificativa: A recomendação enfatiza a implementação de uma prática sistemática de guarda de documentos por um prazo prolongado (dez anos), alinhada a normas específicas, visando prevenir a recorrência da falta de comprovação de aquisição no futuro, caracterizando uma solução de longo prazo focada na causa raiz da inconformidade.</w:t>
      </w:r>
    </w:p>
    <w:bookmarkEnd w:id="23"/>
    <w:bookmarkStart w:id="24" w:name="auditoria-19624-constatação-nº-685335"/>
    <w:p>
      <w:pPr>
        <w:pStyle w:val="Ttulo2"/>
      </w:pPr>
      <w:r>
        <w:t xml:space="preserve">Auditoria 19624, Constatação Nº 685335</w:t>
      </w:r>
    </w:p>
    <w:p>
      <w:pPr>
        <w:pStyle w:val="FirstParagraph"/>
      </w:pPr>
      <w:r>
        <w:t xml:space="preserve">Finalidade: Verificar a execução do convênio do DSEI Interior Sul</w:t>
      </w:r>
    </w:p>
    <w:p>
      <w:pPr>
        <w:pStyle w:val="Corpodetexto"/>
      </w:pPr>
      <w:r>
        <w:t xml:space="preserve">Constatação: Não foram localizados no TransfereGov todos os holerites que constem os descontos por faltas de funcionários.</w:t>
      </w:r>
    </w:p>
    <w:p>
      <w:pPr>
        <w:pStyle w:val="Corpodetexto"/>
      </w:pPr>
      <w:r>
        <w:t xml:space="preserve">Recomendação: 1 - Observar e cumprir ao determinado no Ofício Circular n° 28/2021/ISUL/DSEI/SESAI/MS - Processo SEI n° 25065.001058/2021-80. 2 - Tomar as providências a seu cargo e acompanhar sistematicamente a execução do Convênio, do seu início até o final de sua vigência, bem como verificar a sua conformidade financeira e se os registros/documentos inseridos no TransfereGov demonstram a boa e regular aplicação dos recursos, como determinado nos artigos 53 e 56 e da Portaria MP/MF/CGU n° 424/2016, desta forma, notificar a Convenente que insira os holerites na aba documentos de liquidação do TransfereGov. Em caso de não comprovação dos gastos dos recursos em sua finalidade, por meio de documentos hábeis, tomar as providências necessárias para ressarcimento ao Fundo Nacional de Saúde - FNS. 3 - Fornecer aos órgãos do Sistema Nacional de Auditoria - SNA, quando solicitadas, todas as informações necessárias ao desempenho das atividades de controle, avaliação e auditoria, conforme determina o art. 11 do Decreto nº 1.651, de 28 de setembro de 1995.</w:t>
      </w:r>
    </w:p>
    <w:p>
      <w:pPr>
        <w:pStyle w:val="Corpodetexto"/>
      </w:pPr>
      <w:r>
        <w:t xml:space="preserve">Classificação: cause-based</w:t>
      </w:r>
    </w:p>
    <w:p>
      <w:pPr>
        <w:pStyle w:val="Corpodetexto"/>
      </w:pPr>
      <w:r>
        <w:t xml:space="preserve">Justificativa: A recomendação propõe ações sistêmicas e de longo prazo, como observar e cumprir normativos, acompanhar sistematicamente a execução do convênio, verificar conformidade financeira, inserir documentos no sistema, e tomar providências para ressarcimento, visando prevenir a reocorrência da condição de não localização de holerites e garantir a regular aplicação dos recursos.</w:t>
      </w:r>
    </w:p>
    <w:bookmarkEnd w:id="24"/>
    <w:bookmarkStart w:id="25" w:name="auditoria-19197-constatação-nº-654774"/>
    <w:p>
      <w:pPr>
        <w:pStyle w:val="Ttulo2"/>
      </w:pPr>
      <w:r>
        <w:t xml:space="preserve">Auditoria 19197, Constatação Nº 654774</w:t>
      </w:r>
    </w:p>
    <w:p>
      <w:pPr>
        <w:pStyle w:val="FirstParagraph"/>
      </w:pPr>
      <w:r>
        <w:t xml:space="preserve">Finalidade: Verificar a regularidade nos proc. de adesão às Atas de Registro de Preços p/ aq. de OPME pelo HFI</w:t>
      </w:r>
    </w:p>
    <w:p>
      <w:pPr>
        <w:pStyle w:val="Corpodetexto"/>
      </w:pPr>
      <w:r>
        <w:t xml:space="preserve">Constatação: Ausência de folha de solicitação de OPME nos prontuários analisados.</w:t>
      </w:r>
    </w:p>
    <w:p>
      <w:pPr>
        <w:pStyle w:val="Corpodetexto"/>
      </w:pPr>
      <w:r>
        <w:t xml:space="preserve">Recomendação: Implementar rotina de verificação dos itens obrigatórios no prontuário, conforme recomendações presentes nos itens 4 e 23 do Manual Técnico Operacional do Sistema de Informação Hospitalar do SUS - SIH/SUS (Brasil, 2017) e no item I, artº 5º, da Resolução do Conselho Federal de Medicina nº 1.638/2002.</w:t>
      </w:r>
    </w:p>
    <w:p>
      <w:pPr>
        <w:pStyle w:val="Corpodetexto"/>
      </w:pPr>
      <w:r>
        <w:t xml:space="preserve">Classificação: cause-based</w:t>
      </w:r>
    </w:p>
    <w:p>
      <w:pPr>
        <w:pStyle w:val="Corpodetexto"/>
      </w:pPr>
      <w:r>
        <w:t xml:space="preserve">Justificativa: A recomendação propõe a implementação de uma rotina de verificação para garantir a presença de itens obrigatórios nos prontuários, o que visa prevenir a recorrência da ausência de documentação, abordando a causa subjacente de falta de processos sistemáticos em vez de apenas corrigir a condição atual.</w:t>
      </w:r>
    </w:p>
    <w:bookmarkEnd w:id="25"/>
    <w:bookmarkStart w:id="26" w:name="auditoria-19777-constatação-nº-691663"/>
    <w:p>
      <w:pPr>
        <w:pStyle w:val="Ttulo2"/>
      </w:pPr>
      <w:r>
        <w:t xml:space="preserve">Auditoria 19777, Constatação Nº 691663</w:t>
      </w:r>
    </w:p>
    <w:p>
      <w:pPr>
        <w:pStyle w:val="FirstParagraph"/>
      </w:pPr>
      <w:r>
        <w:t xml:space="preserve">Finalidade: Verificar se a SMS possui controles internos capazes de assegurar adequadamente a Cadeia de Frio.</w:t>
      </w:r>
    </w:p>
    <w:p>
      <w:pPr>
        <w:pStyle w:val="Corpodetexto"/>
      </w:pPr>
      <w:r>
        <w:t xml:space="preserve">Constatação: A CMRF não possui Plano de Contingência estabelecido para lidar com possíveis emergências que possam afetar a Cadeia de Frio.</w:t>
      </w:r>
    </w:p>
    <w:p>
      <w:pPr>
        <w:pStyle w:val="Corpodetexto"/>
      </w:pPr>
      <w:r>
        <w:t xml:space="preserve">Recomendação: Revisar o Plano de Contingência a fim de adequá-lo às possíveis intercorrências elencadas no Manual de Rede de Frio do Programa Nacional de Imunizações, conforme estabelecido no Art. 80, seção IX, da RDC n.º 430, de 08/10/2020; e no item 7.3, pág.78, do Manual da Rede de Frio do PNI/2017.</w:t>
      </w:r>
    </w:p>
    <w:p>
      <w:pPr>
        <w:pStyle w:val="Corpodetexto"/>
      </w:pPr>
      <w:r>
        <w:t xml:space="preserve">Classificação: cause-based</w:t>
      </w:r>
    </w:p>
    <w:p>
      <w:pPr>
        <w:pStyle w:val="Corpodetexto"/>
      </w:pPr>
      <w:r>
        <w:t xml:space="preserve">Justificativa: A recomendação propõe a revisão e adequação do Plano de Contingência para prevenir futuras emergências na Cadeia de Frio, focando em uma solução de longo prazo que aborda a causa raiz da ausência de controles, em vez de apenas corrigir uma condição imediata.</w:t>
      </w:r>
    </w:p>
    <w:bookmarkEnd w:id="26"/>
    <w:bookmarkStart w:id="27" w:name="auditoria-19871-constatação-nº-703490"/>
    <w:p>
      <w:pPr>
        <w:pStyle w:val="Ttulo2"/>
      </w:pPr>
      <w:r>
        <w:t xml:space="preserve">Auditoria 19871, Constatação Nº 703490</w:t>
      </w:r>
    </w:p>
    <w:p>
      <w:pPr>
        <w:pStyle w:val="FirstParagraph"/>
      </w:pPr>
      <w:r>
        <w:t xml:space="preserve">Finalidade: Verificar a regularidade do tratamento em oncologia do EAS vinculado ao SUS</w:t>
      </w:r>
    </w:p>
    <w:p>
      <w:pPr>
        <w:pStyle w:val="Corpodetexto"/>
      </w:pPr>
      <w:r>
        <w:t xml:space="preserve">Constatação: O Centro de Oncologia Cascavel (CEONC) apresentou AIHs de quimioterapia de administração contínua com permanência superior a 6 dias, sem emissão de nova AIH compatível, que justifique a extensão da internação.</w:t>
      </w:r>
    </w:p>
    <w:p>
      <w:pPr>
        <w:pStyle w:val="Corpodetexto"/>
      </w:pPr>
      <w:r>
        <w:t xml:space="preserve">Recomendação: Acompanhar, fiscalizar, supervisionar e auditar as ações descritas no contrato firmado com o prestador, principalmente no que se refere à adequada codificação dos procedimentos no SIGTAP, conforme as orientações no Manual de Operação do Sistema do SIA, que, em seu item 3.3, dispõe que: ” Compete ao gestor municipal e estadual o controle e avaliação da produção ambulatorial processada e enviada para o gestor federal.” bem como o disposto nos incisos I e II, do Art. 295, Seção II da PRC GM/MS nº 1, de 28/9/2017, que define a sistemática de alimentação dos Bancos de Dados Nacionais dos Sistemas de Informação em Saúde SIA, SIH e SCNES.</w:t>
      </w:r>
    </w:p>
    <w:p>
      <w:pPr>
        <w:pStyle w:val="Corpodetexto"/>
      </w:pPr>
      <w:r>
        <w:t xml:space="preserve">Classificação: cause-based</w:t>
      </w:r>
    </w:p>
    <w:p>
      <w:pPr>
        <w:pStyle w:val="Corpodetexto"/>
      </w:pPr>
      <w:r>
        <w:t xml:space="preserve">Justificativa: A recomendação propõe ações de acompanhamento, fiscalização, supervisão e auditoria contínuas para garantir a adequada codificação de procedimentos no SIGTAP, conforme orientações normativas, visando prevenir a ocorrência futura de irregularidades como AIHs com permanência superior a 6 dias sem justificativa, o que envolve soluções de longo prazo e mudanças estruturais na gestão.</w:t>
      </w:r>
    </w:p>
    <w:bookmarkEnd w:id="27"/>
    <w:bookmarkStart w:id="28" w:name="auditoria-19753-constatação-nº-694444"/>
    <w:p>
      <w:pPr>
        <w:pStyle w:val="Ttulo2"/>
      </w:pPr>
      <w:r>
        <w:t xml:space="preserve">Auditoria 19753, Constatação Nº 694444</w:t>
      </w:r>
    </w:p>
    <w:p>
      <w:pPr>
        <w:pStyle w:val="FirstParagraph"/>
      </w:pPr>
      <w:r>
        <w:t xml:space="preserve">Finalidade: Verificar a regularidade da produção inserida nos sistemas do SUS.</w:t>
      </w:r>
    </w:p>
    <w:p>
      <w:pPr>
        <w:pStyle w:val="Corpodetexto"/>
      </w:pPr>
      <w:r>
        <w:t xml:space="preserve">Constatação: Não há documentos comprobatórios que justifiquem a produção ambulatorial dos procedimentos sob código SIGTAP 08.03.01.012-5 e 08.03.01.010-9 registrada no Sistema de Informações Ambulatoriais.</w:t>
      </w:r>
    </w:p>
    <w:p>
      <w:pPr>
        <w:pStyle w:val="Corpodetexto"/>
      </w:pPr>
      <w:r>
        <w:t xml:space="preserve">Recomendação: Prestar ao pessoal em exercício no SNA, toda informação necessária ao desempenho das atividades de controle, avaliação e auditoria, em atendimento ao disposto no artigo art. 15 da Portaria SAS/MS n. 55/1999, que informa que os comprovantes de agendamento deveriam ser organizados e disponibilizados aos órgãos de controle do Sistema Único de Saúde.</w:t>
      </w:r>
    </w:p>
    <w:p>
      <w:pPr>
        <w:pStyle w:val="Corpodetexto"/>
      </w:pPr>
      <w:r>
        <w:t xml:space="preserve">Classificação: cause-based</w:t>
      </w:r>
    </w:p>
    <w:p>
      <w:pPr>
        <w:pStyle w:val="Corpodetexto"/>
      </w:pPr>
      <w:r>
        <w:t xml:space="preserve">Justificativa: A recomendação propõe a implementação de um processo contínuo de fornecimento de informações necessárias ao pessoal, visando prevenir a falta de documentação comprobatória no futuro, alinhando-se com a definição de recomendações com foco na causa, que buscam soluções de longo prazo para evitar a recorrência do problema.</w:t>
      </w:r>
    </w:p>
    <w:bookmarkEnd w:id="28"/>
    <w:bookmarkStart w:id="29" w:name="auditoria-19671-constatação-nº-688499"/>
    <w:p>
      <w:pPr>
        <w:pStyle w:val="Ttulo2"/>
      </w:pPr>
      <w:r>
        <w:t xml:space="preserve">Auditoria 19671, Constatação Nº 688499</w:t>
      </w:r>
    </w:p>
    <w:p>
      <w:pPr>
        <w:pStyle w:val="FirstParagraph"/>
      </w:pPr>
      <w:r>
        <w:t xml:space="preserve">Finalidade: Verificar a Política Nacional de Atenção ao Portador de Doença Renal Crônica em tratamento dialítico</w:t>
      </w:r>
    </w:p>
    <w:p>
      <w:pPr>
        <w:pStyle w:val="Corpodetexto"/>
      </w:pPr>
      <w:r>
        <w:t xml:space="preserve">Constatação: A oferta de serviço especializado para pacientes em tratamento dialítico no Município de Itabaiana/SE não atende a estimativa de prevalência para as regiões de saúde de Itabaiana/SE e Nossa Senhora da Glória/SE.</w:t>
      </w:r>
    </w:p>
    <w:p>
      <w:pPr>
        <w:pStyle w:val="Corpodetexto"/>
      </w:pPr>
      <w:r>
        <w:t xml:space="preserve">Recomendação: Adequar a capacidade instalada para o tratamento dialítico no município, de forma a atender a estimativa de prevalência esperada para pacientes dialíticos no Estágio 5, dos 23 municípios das duas regiões de saúde contempladas, conforme o art. 105 e §1º Capítulo II do Título IV da Portaria de Consolidação GM/MS nº 1, de 28/9/2017, que trata dos critérios e parâmetros utilizados no planejamento, programação, monitoramento, avaliação, controle e regulação das ações e serviços de saúde.</w:t>
      </w:r>
    </w:p>
    <w:p>
      <w:pPr>
        <w:pStyle w:val="Corpodetexto"/>
      </w:pPr>
      <w:r>
        <w:t xml:space="preserve">Classificação: cause-based</w:t>
      </w:r>
    </w:p>
    <w:p>
      <w:pPr>
        <w:pStyle w:val="Corpodetexto"/>
      </w:pPr>
      <w:r>
        <w:t xml:space="preserve">Justificativa: A recomendação propõe a adequação da capacidade instalada para atender a estimativa de prevalência, o que envolve uma solução de longo prazo para evitar a recorrência da insuficiência na oferta de serviços, focando na causa subjacente da discrepância observada.</w:t>
      </w:r>
    </w:p>
    <w:bookmarkEnd w:id="29"/>
    <w:bookmarkStart w:id="30" w:name="auditoria-19557-constatação-nº-676066"/>
    <w:p>
      <w:pPr>
        <w:pStyle w:val="Ttulo2"/>
      </w:pPr>
      <w:r>
        <w:t xml:space="preserve">Auditoria 19557, Constatação Nº 676066</w:t>
      </w:r>
    </w:p>
    <w:p>
      <w:pPr>
        <w:pStyle w:val="FirstParagraph"/>
      </w:pPr>
      <w:r>
        <w:t xml:space="preserve">Finalidade: Verificar a implementação da P. Nac. ao Portador de Doença Renal Crônica, nos estágios 4 e 5 em TRS.</w:t>
      </w:r>
    </w:p>
    <w:p>
      <w:pPr>
        <w:pStyle w:val="Corpodetexto"/>
      </w:pPr>
      <w:r>
        <w:t xml:space="preserve">Constatação: O fluxo de atendimento aos portadores de DRC, estágio 4 e 5, que precisam de TRS não está ocorrendo de acordo com o preconizado no Plano estadual da Rede de Doenças Crônicas do Estado do Amazonas.</w:t>
      </w:r>
    </w:p>
    <w:p>
      <w:pPr>
        <w:pStyle w:val="Corpodetexto"/>
      </w:pPr>
      <w:r>
        <w:t xml:space="preserve">Recomendação: À Secretaria Estadual de Saúde-SES/AM no âmbito da sua competênica como gestora Responsável pela implementação da Política Nacional de Atenção ao Portador de doença Renal providencie a implementação da rede de cuidados à pessoa com DRC, ampliando a assistência e o acesso aos ambulatórios pré dialíticos, permitindo ao paciente com DRC o início programado da TRS (uma vez que atualmente esse início se dá majoritariamente nos pronto atendimentos). Ampliar a interface entre a atenção especializada e a atenção básica Tornar mais efetiva a monitorização e fiscalização dos serviços contratados, principalmente em relação disponibilização das vagas contratadas.</w:t>
      </w:r>
    </w:p>
    <w:p>
      <w:pPr>
        <w:pStyle w:val="Corpodetexto"/>
      </w:pPr>
      <w:r>
        <w:t xml:space="preserve">Classificação: cause-based</w:t>
      </w:r>
    </w:p>
    <w:p>
      <w:pPr>
        <w:pStyle w:val="Corpodetexto"/>
      </w:pPr>
      <w:r>
        <w:t xml:space="preserve">Justificativa: A recomendação propõe ações estruturais e de longo prazo, como implementar a rede de cuidados, ampliar assistência e acesso, melhorar a interface entre níveis de atenção, e tornar efetiva a monitorização e fiscalização, visando prevenir a recorrência da condição observada, em vez de apenas corrigir a situação atual temporariamente.</w:t>
      </w:r>
    </w:p>
    <w:bookmarkEnd w:id="30"/>
    <w:bookmarkEnd w:id="31"/>
    <w:bookmarkStart w:id="42" w:name="X7fae42454b3090174480bd3b4ab133f7ee2918c"/>
    <w:p>
      <w:pPr>
        <w:pStyle w:val="Ttulo1"/>
      </w:pPr>
      <w:r>
        <w:t xml:space="preserve">Exemplos Recomendações com Foco na Causa</w:t>
      </w:r>
    </w:p>
    <w:bookmarkStart w:id="32" w:name="auditoria-19264-constatação-nº-665859"/>
    <w:p>
      <w:pPr>
        <w:pStyle w:val="Ttulo2"/>
      </w:pPr>
      <w:r>
        <w:t xml:space="preserve">Auditoria 19264, Constatação Nº 665859</w:t>
      </w:r>
    </w:p>
    <w:p>
      <w:pPr>
        <w:pStyle w:val="FirstParagraph"/>
      </w:pPr>
      <w:r>
        <w:t xml:space="preserve">Finalidade: Verificar a regular utilização de DMIs em cirurgias de coluna vertebral pelos prestadores do SUS.</w:t>
      </w:r>
    </w:p>
    <w:p>
      <w:pPr>
        <w:pStyle w:val="Corpodetexto"/>
      </w:pPr>
      <w:r>
        <w:t xml:space="preserve">Constatação: Há cobrança ao SUS de Órteses, Próteses e Materiais Especiais (OPME) em quantidade superior à implantada, no Hospital Evangélico de Londrina, das OPME 07.02.05.039-3 - Parafuso de titânio associável à haste, tipo pedicular, poliaxial; 07.02.05.038-5 - Parafuso de titânio associável à haste, tipo pedicular, monoaxial; 07.02.05.033-4 - Haste para associação com parafusos e/ou ganchos de titânio e 070205052-0 - Sistema para fixação transversal de titânio, no período compreendido entre 2012 e 2017.</w:t>
      </w:r>
    </w:p>
    <w:p>
      <w:pPr>
        <w:pStyle w:val="Corpodetexto"/>
      </w:pPr>
      <w:r>
        <w:t xml:space="preserve">Recomendação: Tomar conhecimento e adotar medidas com os responsáveis identificados pelas irregularidades que deram causa ao dano, conforme apontamentos da constatação, na devolução ao Fundo Nacional de Saúde (FNS) do valor total de R$ 4.485,32 (quatro mil, quatrocentos e oitenta e cinco reais e trinta e dois centavos), atualizado monetariamente segundo o</w:t>
      </w:r>
      <w:r>
        <w:t xml:space="preserve"> </w:t>
      </w:r>
      <w:r>
        <w:rPr>
          <w:rStyle w:val="VerbatimChar"/>
        </w:rPr>
        <w:t xml:space="preserve">Sistema Débito</w:t>
      </w:r>
      <w:r>
        <w:t xml:space="preserve"> </w:t>
      </w:r>
      <w:r>
        <w:t xml:space="preserve">do Tribunal de Contas da União, em cumprimento aos incisos VII e VIII do art. 2º do Decreto nº 3.964/2001.</w:t>
      </w:r>
    </w:p>
    <w:p>
      <w:pPr>
        <w:pStyle w:val="Corpodetexto"/>
      </w:pPr>
      <w:r>
        <w:t xml:space="preserve">Classificação: condition-based</w:t>
      </w:r>
    </w:p>
    <w:p>
      <w:pPr>
        <w:pStyle w:val="Corpodetexto"/>
      </w:pPr>
      <w:r>
        <w:t xml:space="preserve">Justificativa: A recomendação foca na correção imediata da condição encontrada, que é a cobrança indevida ao SUS, ao exigir a devolução do valor específico identificado, sem propor ações para prevenir a recorrência da irregularidade no futuro.</w:t>
      </w:r>
    </w:p>
    <w:bookmarkEnd w:id="32"/>
    <w:bookmarkStart w:id="33" w:name="auditoria-19889-constatação-nº-703710"/>
    <w:p>
      <w:pPr>
        <w:pStyle w:val="Ttulo2"/>
      </w:pPr>
      <w:r>
        <w:t xml:space="preserve">Auditoria 19889, Constatação Nº 703710</w:t>
      </w:r>
    </w:p>
    <w:p>
      <w:pPr>
        <w:pStyle w:val="FirstParagraph"/>
      </w:pPr>
      <w:r>
        <w:t xml:space="preserve">Finalidade: Realizar auditoria de oncologia, PAMDAS, na Santa Casa de Montes Claros/MG</w:t>
      </w:r>
    </w:p>
    <w:p>
      <w:pPr>
        <w:pStyle w:val="Corpodetexto"/>
      </w:pPr>
      <w:r>
        <w:t xml:space="preserve">Constatação: As AIHs com código 03.04.08.003-9 (internação para quimioterapia de leucemias agudas/crônicas agudizadas) não possuem APAC concomitante para quimioterapia.</w:t>
      </w:r>
    </w:p>
    <w:p>
      <w:pPr>
        <w:pStyle w:val="Corpodetexto"/>
      </w:pPr>
      <w:r>
        <w:t xml:space="preserve">Recomendação: Adotar providências legais no sentido de instar aos responsáveis inseridos na constatação para devolver ao Fundo Nacional de Saúde o valor de R$ 5.062,50 (cinco mil e sessenta e dois reais e cinquenta centavos) indicado no capítulo Proposição de Devolução do presente relatório em consonância com o parágrafo único do artigo 70 da Constituição Federal. CF, Art. 70, Parágrafo Único: Prestarão contas qualquer pessoa física ou jurídica, pública ou privada, que utilize, arrecade, guarde, gerencie ou administre dinheiros, bens e valores públicos ou pelos quais a União responda, ou que, em nome desta, assuma obrigações de natureza pecuniária. (Redação dada pela Emenda Constitucional nº 19, de 1998).</w:t>
      </w:r>
    </w:p>
    <w:p>
      <w:pPr>
        <w:pStyle w:val="Corpodetexto"/>
      </w:pPr>
      <w:r>
        <w:t xml:space="preserve">Classificação: condition-based</w:t>
      </w:r>
    </w:p>
    <w:p>
      <w:pPr>
        <w:pStyle w:val="Corpodetexto"/>
      </w:pPr>
      <w:r>
        <w:t xml:space="preserve">Justificativa: A recomendação visa corrigir a condição específica encontrada, que é a ausência de APAC concomitante para quimioterapia, ao propor a devolução de valores financeiros, fornecendo uma solução temporária para a situação atual, sem abordar as causas subjacentes para prevenir a recorrência.</w:t>
      </w:r>
    </w:p>
    <w:bookmarkEnd w:id="33"/>
    <w:bookmarkStart w:id="34" w:name="auditoria-19623-constatação-nº-680463"/>
    <w:p>
      <w:pPr>
        <w:pStyle w:val="Ttulo2"/>
      </w:pPr>
      <w:r>
        <w:t xml:space="preserve">Auditoria 19623, Constatação Nº 680463</w:t>
      </w:r>
    </w:p>
    <w:p>
      <w:pPr>
        <w:pStyle w:val="FirstParagraph"/>
      </w:pPr>
      <w:r>
        <w:t xml:space="preserve">Finalidade: Verificar as medidas empreendidas pela SES/AM no enfrentamento à COVID- 19.</w:t>
      </w:r>
    </w:p>
    <w:p>
      <w:pPr>
        <w:pStyle w:val="Corpodetexto"/>
      </w:pPr>
      <w:r>
        <w:t xml:space="preserve">Constatação: Superfaturamento causado pelo sobrepreço na aquisição de equipamento laboratorial tipo teste rápido em cassete, realizada pela Secretaria de Estado de Saúde do Amazonas (SUSAM/AM) e a empresa Medlevensohn Com. e Repr. de Produtos Hospitalares Ltda.</w:t>
      </w:r>
    </w:p>
    <w:p>
      <w:pPr>
        <w:pStyle w:val="Corpodetexto"/>
      </w:pPr>
      <w:r>
        <w:t xml:space="preserve">Recomendação: Proceder à devolução dos valores pagos no total de R$ 1.074.000,00 ao Fundo Nacional de Saúde -FNS, conforme indicativo na planilha de proposição de devolução parte integrante deste Relatório, pelo dano causado ao Erário advindo do superfaturamento da compra de 30 mil testes rápidos de COVID 19, verificado no Contrato nº 015/2020-SUSAM com a empresa Medlevensohn Comércio e Representações de Produtos Hospitalares Ltda.</w:t>
      </w:r>
    </w:p>
    <w:p>
      <w:pPr>
        <w:pStyle w:val="Corpodetexto"/>
      </w:pPr>
      <w:r>
        <w:t xml:space="preserve">Classificação: condition-based</w:t>
      </w:r>
    </w:p>
    <w:p>
      <w:pPr>
        <w:pStyle w:val="Corpodetexto"/>
      </w:pPr>
      <w:r>
        <w:t xml:space="preserve">Justificativa: A recomendação visa corrigir a condição específica encontrada (superfaturamento) por meio da devolução dos valores pagos, fornecendo uma solução temporária para remediar o dano financeiro atual, sem abordar as causas subjacentes que permitiram o sobrepreço, como falhas em processos de aquisição ou controle interno.</w:t>
      </w:r>
    </w:p>
    <w:bookmarkEnd w:id="34"/>
    <w:bookmarkStart w:id="35" w:name="auditoria-19500-constatação-nº-671053"/>
    <w:p>
      <w:pPr>
        <w:pStyle w:val="Ttulo2"/>
      </w:pPr>
      <w:r>
        <w:t xml:space="preserve">Auditoria 19500, Constatação Nº 671053</w:t>
      </w:r>
    </w:p>
    <w:p>
      <w:pPr>
        <w:pStyle w:val="FirstParagraph"/>
      </w:pPr>
      <w:r>
        <w:t xml:space="preserve">Finalidade: Verificar a regularidade da utilização de Dispositivos Médicos Implantáveis (Ortopedia).</w:t>
      </w:r>
    </w:p>
    <w:p>
      <w:pPr>
        <w:pStyle w:val="Corpodetexto"/>
      </w:pPr>
      <w:r>
        <w:t xml:space="preserve">Constatação: Prontuários físicos de pacientes não localizados.</w:t>
      </w:r>
    </w:p>
    <w:p>
      <w:pPr>
        <w:pStyle w:val="Corpodetexto"/>
      </w:pPr>
      <w:r>
        <w:t xml:space="preserve">Recomendação: Adotar medidas com os responsáveis pelas irregularidades indicados nesta Constatação visando ao ressarcimento ao Fundo Nacional de Saúde - FNS no valor de R$ 342.542,48, em atendimento ao item 9.3.3 do Acórdão TCU nº 1072/2017.</w:t>
      </w:r>
    </w:p>
    <w:p>
      <w:pPr>
        <w:pStyle w:val="Corpodetexto"/>
      </w:pPr>
      <w:r>
        <w:t xml:space="preserve">Classificação: condition-based</w:t>
      </w:r>
    </w:p>
    <w:p>
      <w:pPr>
        <w:pStyle w:val="Corpodetexto"/>
      </w:pPr>
      <w:r>
        <w:t xml:space="preserve">Justificativa: A recomendação foca na correção imediata da condição encontrada, que é o não ressarcimento do valor devido, sem abordar ações para prevenir a perda ou não localização de prontuários no futuro.</w:t>
      </w:r>
    </w:p>
    <w:bookmarkEnd w:id="35"/>
    <w:bookmarkStart w:id="36" w:name="auditoria-19335-constatação-nº-665601"/>
    <w:p>
      <w:pPr>
        <w:pStyle w:val="Ttulo2"/>
      </w:pPr>
      <w:r>
        <w:t xml:space="preserve">Auditoria 19335, Constatação Nº 665601</w:t>
      </w:r>
    </w:p>
    <w:p>
      <w:pPr>
        <w:pStyle w:val="FirstParagraph"/>
      </w:pPr>
      <w:r>
        <w:t xml:space="preserve">Finalidade: Verificar a regularidade da utilização de Dispositivos Médicos Implantáveis - DMI.</w:t>
      </w:r>
    </w:p>
    <w:p>
      <w:pPr>
        <w:pStyle w:val="Corpodetexto"/>
      </w:pPr>
      <w:r>
        <w:t xml:space="preserve">Constatação: Os exames comprobatórios de imagenologia pós-operatório não foram apresentados em parte dos prontuários médicos analisados.</w:t>
      </w:r>
    </w:p>
    <w:p>
      <w:pPr>
        <w:pStyle w:val="Corpodetexto"/>
      </w:pPr>
      <w:r>
        <w:t xml:space="preserve">Recomendação: Adotar medidas de cobrança em face dos responsáveis identificados pelas irregularidades que deram causa ao dano, e na devolução ao Fundo Nacional de Saúde do valor de R$ 70.761,50 (setenta mil setecentos e sessenta e um reais e cinquenta centavos), atualizado monetariamente segundo o</w:t>
      </w:r>
      <w:r>
        <w:t xml:space="preserve"> </w:t>
      </w:r>
      <w:r>
        <w:rPr>
          <w:rStyle w:val="VerbatimChar"/>
        </w:rPr>
        <w:t xml:space="preserve">Sistema Débito</w:t>
      </w:r>
      <w:r>
        <w:t xml:space="preserve"> </w:t>
      </w:r>
      <w:r>
        <w:t xml:space="preserve">do Tribunal de Contas da União, em cumprimento aos incisos VII e VIII do art. 2º do Decreto nº 3.964, de 10/10/2001.</w:t>
      </w:r>
    </w:p>
    <w:p>
      <w:pPr>
        <w:pStyle w:val="Corpodetexto"/>
      </w:pPr>
      <w:r>
        <w:t xml:space="preserve">Classificação: condition-based</w:t>
      </w:r>
    </w:p>
    <w:p>
      <w:pPr>
        <w:pStyle w:val="Corpodetexto"/>
      </w:pPr>
      <w:r>
        <w:t xml:space="preserve">Justificativa: A recomendação foca na correção imediata da condição encontrada, especificando a devolução de valores e a aplicação de medidas de cobrança, sem propor ações preventivas de longo prazo para evitar a recorrência da falta de documentação.</w:t>
      </w:r>
    </w:p>
    <w:bookmarkEnd w:id="36"/>
    <w:bookmarkStart w:id="37" w:name="auditoria-19610-constatação-nº-674204"/>
    <w:p>
      <w:pPr>
        <w:pStyle w:val="Ttulo2"/>
      </w:pPr>
      <w:r>
        <w:t xml:space="preserve">Auditoria 19610, Constatação Nº 674204</w:t>
      </w:r>
    </w:p>
    <w:p>
      <w:pPr>
        <w:pStyle w:val="FirstParagraph"/>
      </w:pPr>
      <w:r>
        <w:t xml:space="preserve">Finalidade: Avaliar a execução dos convênios firmados com organizações sociais no âmbito da Saúde Indígena</w:t>
      </w:r>
    </w:p>
    <w:p>
      <w:pPr>
        <w:pStyle w:val="Corpodetexto"/>
      </w:pPr>
      <w:r>
        <w:t xml:space="preserve">Constatação: Incompletude e intempestividade na inserção dos relatórios mensais de acompanhamento dos Eixos de Saneamento Ambiental e Edificações de Saúde Indígena no Tranferegov.</w:t>
      </w:r>
    </w:p>
    <w:p>
      <w:pPr>
        <w:pStyle w:val="Corpodetexto"/>
      </w:pPr>
      <w:r>
        <w:t xml:space="preserve">Recomendação: Inserir no Transferegov os relatórios mensais de acompanhamento dos Eixos de Saneamento Ambiental e Edificações de Saúde Indígena, referente ao ano de 2022, em atendimento ao inciso V, art. 12, da Portaria de Consolidação nº 1 SESAI/MS, de 17 de dezembro de 2020.</w:t>
      </w:r>
    </w:p>
    <w:p>
      <w:pPr>
        <w:pStyle w:val="Corpodetexto"/>
      </w:pPr>
      <w:r>
        <w:t xml:space="preserve">Classificação: condition-based</w:t>
      </w:r>
    </w:p>
    <w:p>
      <w:pPr>
        <w:pStyle w:val="Corpodetexto"/>
      </w:pPr>
      <w:r>
        <w:t xml:space="preserve">Justificativa: A recomendação foca na correção imediata da condição encontrada (incompletude e intempestividade na inserção dos relatórios), solicitando a inserção específica dos relatórios de 2022 no Transferegov, sem propor ações para prevenir a recorrência do problema no futuro.</w:t>
      </w:r>
    </w:p>
    <w:bookmarkEnd w:id="37"/>
    <w:bookmarkStart w:id="38" w:name="auditoria-19497-constatação-nº-669563"/>
    <w:p>
      <w:pPr>
        <w:pStyle w:val="Ttulo2"/>
      </w:pPr>
      <w:r>
        <w:t xml:space="preserve">Auditoria 19497, Constatação Nº 669563</w:t>
      </w:r>
    </w:p>
    <w:p>
      <w:pPr>
        <w:pStyle w:val="FirstParagraph"/>
      </w:pPr>
      <w:r>
        <w:t xml:space="preserve">Finalidade: Verificar a regularidade da execução do Programa Farmácia Popular do Brasil/PFPB</w:t>
      </w:r>
    </w:p>
    <w:p>
      <w:pPr>
        <w:pStyle w:val="Corpodetexto"/>
      </w:pPr>
      <w:r>
        <w:t xml:space="preserve">Constatação: A empresa não apresentou cópia do Livro de Registro de Inventário ou documento análogo contendo a posição do estoque na data anterior ao período auditado.</w:t>
      </w:r>
    </w:p>
    <w:p>
      <w:pPr>
        <w:pStyle w:val="Corpodetexto"/>
      </w:pPr>
      <w:r>
        <w:t xml:space="preserve">Recomendação: Apresentar sempre que solicitados, os documentos obrigatórios para funcionamento regular da empresa, cumprindo com o que determina o item VII do Art. 10 do Anexo LXXVII, da Portaria de Consolidação n° 05 de 03 de outubro de 2017 e o Art. 11 do Decreto nº 1.651, de 28 de setembro de 1995.</w:t>
      </w:r>
    </w:p>
    <w:p>
      <w:pPr>
        <w:pStyle w:val="Corpodetexto"/>
      </w:pPr>
      <w:r>
        <w:t xml:space="preserve">Classificação: condition-based</w:t>
      </w:r>
    </w:p>
    <w:p>
      <w:pPr>
        <w:pStyle w:val="Corpodetexto"/>
      </w:pPr>
      <w:r>
        <w:t xml:space="preserve">Justificativa: A recomendação foca na correção imediata da condição encontrada, que é a ausência de documentos obrigatórios, ao exigir a apresentação desses documentos quando solicitados, sem propor ações para prevenir a não apresentação no futuro, como melhorias em processos ou sistemas de gestão documental.</w:t>
      </w:r>
    </w:p>
    <w:bookmarkEnd w:id="38"/>
    <w:bookmarkStart w:id="39" w:name="auditoria-19431-constatação-nº-663755"/>
    <w:p>
      <w:pPr>
        <w:pStyle w:val="Ttulo2"/>
      </w:pPr>
      <w:r>
        <w:t xml:space="preserve">Auditoria 19431, Constatação Nº 663755</w:t>
      </w:r>
    </w:p>
    <w:p>
      <w:pPr>
        <w:pStyle w:val="FirstParagraph"/>
      </w:pPr>
      <w:r>
        <w:t xml:space="preserve">Finalidade: Verificar a regularidade da execução do Programa Farmácia Popular do Brasil/PFPB</w:t>
      </w:r>
    </w:p>
    <w:p>
      <w:pPr>
        <w:pStyle w:val="Corpodetexto"/>
      </w:pPr>
      <w:r>
        <w:t xml:space="preserve">Constatação: Falta de apresentação das cópias dos cupons fiscais e vinculados e as respectivas prescrições médicas solicitadas.</w:t>
      </w:r>
    </w:p>
    <w:p>
      <w:pPr>
        <w:pStyle w:val="Corpodetexto"/>
      </w:pPr>
      <w:r>
        <w:t xml:space="preserve">Recomendação: Ao Departamento de Assistência Farmacêutica e Insumos Estratégicos-DAF/SCTIE/MS para conhecimento da presente constatação e adoção dos procedimentos a seu cargo, conforme estabelece o inciso IV, do artigo 17, do Decreto nº 9.795, de 17.05.2019, combinado com o inciso VIII, do artigo 2º, do Decreto nº 3.964, de 10.10.2001, visando à elisão do dano e/ou impropriedade ocorrida com recursos de origem federal com características de PREJUÍZO, indicado no capítulo PROPOSIÇÃO DE DEVOLUÇÃO do presente relatório, no valor de R$ 2.626,28 (dois mil, seiscentos e vinte e seis reais e vinte e oito centavos), com os acréscimos legais, observados os princípios norteadores dos processos administrativos. Poderá, também, deduzir dos valores retidos referentes ao mês de fevereiro 2020 e ainda não pagos ao estabelecimento farmacêutico a importância de R$ 30,72 (trinta reais e setenta e dois centavos), cuja regularidade das dispensações não ficou comprovada.</w:t>
      </w:r>
    </w:p>
    <w:p>
      <w:pPr>
        <w:pStyle w:val="Corpodetexto"/>
      </w:pPr>
      <w:r>
        <w:t xml:space="preserve">Classificação: condition-based</w:t>
      </w:r>
    </w:p>
    <w:p>
      <w:pPr>
        <w:pStyle w:val="Corpodetexto"/>
      </w:pPr>
      <w:r>
        <w:t xml:space="preserve">Justificativa: A recomendação foca na correção imediata da condição encontrada, propondo a devolução de valores e dedução de pagamentos não comprovados, sem abordar ações preventivas ou de longo prazo para evitar a recorrência da falta de documentação.</w:t>
      </w:r>
    </w:p>
    <w:bookmarkEnd w:id="39"/>
    <w:bookmarkStart w:id="40" w:name="auditoria-19899-constatação-nº-703859"/>
    <w:p>
      <w:pPr>
        <w:pStyle w:val="Ttulo2"/>
      </w:pPr>
      <w:r>
        <w:t xml:space="preserve">Auditoria 19899, Constatação Nº 703859</w:t>
      </w:r>
    </w:p>
    <w:p>
      <w:pPr>
        <w:pStyle w:val="FirstParagraph"/>
      </w:pPr>
      <w:r>
        <w:t xml:space="preserve">Finalidade: Verificar a regularidade do tratamento em oncologia do EAS vinculado ao SUS</w:t>
      </w:r>
    </w:p>
    <w:p>
      <w:pPr>
        <w:pStyle w:val="Corpodetexto"/>
      </w:pPr>
      <w:r>
        <w:t xml:space="preserve">Constatação: Não foi apresentada a APAC concomitante para o procedimento SIGTAP 03.04.08.003-9 (Internação para Quimioterapia de Leucemias Agudas / Crônicas Agudizadas), no período auditado.</w:t>
      </w:r>
    </w:p>
    <w:p>
      <w:pPr>
        <w:pStyle w:val="Corpodetexto"/>
      </w:pPr>
      <w:r>
        <w:t xml:space="preserve">Recomendação: Manter Apac concomitante a internação do paciente ocorrida pelo procedimento SIGTAP 03.04.08.003-9 (Internação para Quimioterapia de Leucemias Agudas / Crônicas Agudizadas), em consonância com o que determina a Portaria SAES/MS 470/2021 no seu Art. 14.</w:t>
      </w:r>
    </w:p>
    <w:p>
      <w:pPr>
        <w:pStyle w:val="Corpodetexto"/>
      </w:pPr>
      <w:r>
        <w:t xml:space="preserve">Classificação: condition-based</w:t>
      </w:r>
    </w:p>
    <w:p>
      <w:pPr>
        <w:pStyle w:val="Corpodetexto"/>
      </w:pPr>
      <w:r>
        <w:t xml:space="preserve">Justificativa: A recomendação foca na correção imediata da condição encontrada, que é a ausência da APAC concomitante, ao exigir sua manutenção futura em conformidade com a portaria, sem propor ações para prevenir a causa raiz da não apresentação, como melhorias em processos ou treinamentos.</w:t>
      </w:r>
    </w:p>
    <w:bookmarkEnd w:id="40"/>
    <w:bookmarkStart w:id="41" w:name="auditoria-19461-constatação-nº-667143"/>
    <w:p>
      <w:pPr>
        <w:pStyle w:val="Ttulo2"/>
      </w:pPr>
      <w:r>
        <w:t xml:space="preserve">Auditoria 19461, Constatação Nº 667143</w:t>
      </w:r>
    </w:p>
    <w:p>
      <w:pPr>
        <w:pStyle w:val="FirstParagraph"/>
      </w:pPr>
      <w:r>
        <w:t xml:space="preserve">Finalidade: verificar a regularidade no faturamento das APACs nos procedimentos de quimioterapia do HSVP</w:t>
      </w:r>
    </w:p>
    <w:p>
      <w:pPr>
        <w:pStyle w:val="Corpodetexto"/>
      </w:pPr>
      <w:r>
        <w:t xml:space="preserve">Constatação: Não foi apresentada a documentação dos gestores SUS da Secretaria de Estado da Saúde do Rio Grande do Sul/RS, no período auditado.</w:t>
      </w:r>
    </w:p>
    <w:p>
      <w:pPr>
        <w:pStyle w:val="Corpodetexto"/>
      </w:pPr>
      <w:r>
        <w:t xml:space="preserve">Recomendação: Fornecer documentação e/ou as informações solicitadas pelas equipes de auditoria, em cumprimento ao disposto no art. 11, Decreto nº 1.651, de 28/09/1995, onde se lê:” Os órgãos do SUS e as entidades privadas, que dele participarem de forma complementar, ficam obrigados a prestar, quando exigida, ao pessoal em exercício no SNA e à Comissão Corregedora, toda informação necessária ao desempenho das atividades de controle, avaliação e auditoria, facilitando- lhes o acesso a documentos, pessoas e instalações.”</w:t>
      </w:r>
    </w:p>
    <w:p>
      <w:pPr>
        <w:pStyle w:val="Corpodetexto"/>
      </w:pPr>
      <w:r>
        <w:t xml:space="preserve">Classificação: condition-based</w:t>
      </w:r>
    </w:p>
    <w:p>
      <w:pPr>
        <w:pStyle w:val="Corpodetexto"/>
      </w:pPr>
      <w:r>
        <w:t xml:space="preserve">Justificativa: A recomendação foca na correção imediata da condição encontrada, que é a falta de documentação, solicitando o fornecimento das informações e documentos específicos para atender à exigência legal atual, sem propor ações preventivas ou de longo prazo para evitar a recorrência.</w:t>
      </w:r>
    </w:p>
    <w:bookmarkEnd w:id="41"/>
    <w:bookmarkEnd w:id="42"/>
    <w:sectPr w:rsidR="00186AD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A4AE6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817195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86AD4"/>
    <w:rsid w:val="00186AD4"/>
    <w:rsid w:val="004F38F9"/>
    <w:rsid w:val="009129B2"/>
    <w:rsid w:val="00A21709"/>
    <w:rsid w:val="00AA533A"/>
    <w:rsid w:val="00F92B3A"/>
    <w:rsid w:val="00FD5A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rsid w:val="00A21709"/>
    <w:pPr>
      <w:spacing w:after="36" w:before="36"/>
    </w:pPr>
    <w:rPr>
      <w:sz w:val="20"/>
    </w:r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sid w:val="00A21709"/>
    <w:rPr>
      <w:rFonts w:ascii="Consolas" w:hAnsi="Consolas"/>
      <w:sz w:val="20"/>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Apêndice III - Recolhimento de Amostra</dc:title>
  <dc:creator>Fabiano A. Lima</dc:creator>
  <dc:language>pt-BR</dc:language>
  <cp:keywords/>
  <dcterms:created xsi:type="dcterms:W3CDTF">2025-09-23T20:45:03Z</dcterms:created>
  <dcterms:modified xsi:type="dcterms:W3CDTF">2025-09-23T20:45:03Z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./Quarto/referencias.bibtex</vt:lpwstr>
  </property>
  <property fmtid="{D5CDD505-2E9C-101B-9397-08002B2CF9AE}" pid="5" name="by-author">
    <vt:lpwstr/>
  </property>
  <property fmtid="{D5CDD505-2E9C-101B-9397-08002B2CF9AE}" pid="6" name="csl">
    <vt:lpwstr>./Quarto/abnt-nbr-6023-2018-citacao-autor-data.csl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Índice</vt:lpwstr>
  </property>
</Properties>
</file>