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29B2" w14:textId="77777777" w:rsidR="00E8063B" w:rsidRDefault="00E8063B" w:rsidP="00E8063B">
      <w:pPr>
        <w:pStyle w:val="Ttulo3"/>
        <w:tabs>
          <w:tab w:val="left" w:pos="9356"/>
        </w:tabs>
      </w:pPr>
      <w:r>
        <w:t>Cronograma de Desembolso</w:t>
      </w:r>
    </w:p>
    <w:p w14:paraId="141B3FAC" w14:textId="77777777" w:rsidR="00E8063B" w:rsidRPr="00F729D2" w:rsidRDefault="00E8063B" w:rsidP="00E8063B">
      <w:pPr>
        <w:tabs>
          <w:tab w:val="left" w:pos="9356"/>
        </w:tabs>
        <w:rPr>
          <w:rFonts w:eastAsiaTheme="minorEastAsia"/>
        </w:rPr>
      </w:pPr>
      <w:r w:rsidRPr="00F729D2">
        <w:rPr>
          <w:rFonts w:eastAsiaTheme="minorEastAsia"/>
        </w:rPr>
        <w:t>Responsável por compilar, estruturar e emitir o cronograma físico-financeiro de desembolsos planejado para uma Proposta Comercial ou Termo Aditivo. Este componente atua como uma matriz temporal reativa, distribuindo as parcelas de custos acumulados de pessoal (</w:t>
      </w:r>
      <w:proofErr w:type="spellStart"/>
      <w:r w:rsidRPr="00F729D2">
        <w:rPr>
          <w:rFonts w:eastAsiaTheme="minorEastAsia"/>
          <w:i/>
          <w:iCs/>
        </w:rPr>
        <w:t>headcounts</w:t>
      </w:r>
      <w:proofErr w:type="spellEnd"/>
      <w:r w:rsidRPr="00F729D2">
        <w:rPr>
          <w:rFonts w:eastAsiaTheme="minorEastAsia"/>
        </w:rPr>
        <w:t>) e logística (</w:t>
      </w:r>
      <w:r w:rsidRPr="00F729D2">
        <w:rPr>
          <w:rFonts w:eastAsiaTheme="minorEastAsia"/>
          <w:i/>
          <w:iCs/>
        </w:rPr>
        <w:t>viagens</w:t>
      </w:r>
      <w:r w:rsidRPr="00F729D2">
        <w:rPr>
          <w:rFonts w:eastAsiaTheme="minorEastAsia"/>
        </w:rPr>
        <w:t>) de forma automática, mês a mês, baseado nos dados unificados consolidados pelo </w:t>
      </w:r>
      <w:proofErr w:type="spellStart"/>
      <w:r>
        <w:fldChar w:fldCharType="begin"/>
      </w:r>
      <w:r>
        <w:instrText>HYPERLINK "https://ctceaorg-my.sharepoint.com/:w:/r/personal/fabianofsg_ctcea_org_br/_layouts/15/Doc.aspx?sourcedoc=%7Bb0a55525-9372-47b0-ab39-0a54df27359d%7D&amp;action=editnew" \t "_blank"</w:instrText>
      </w:r>
      <w:r>
        <w:fldChar w:fldCharType="separate"/>
      </w:r>
      <w:r w:rsidRPr="00F729D2">
        <w:rPr>
          <w:rStyle w:val="Hyperlink"/>
        </w:rPr>
        <w:t>TotalizerService</w:t>
      </w:r>
      <w:proofErr w:type="spellEnd"/>
      <w:r>
        <w:fldChar w:fldCharType="end"/>
      </w:r>
      <w:r w:rsidRPr="00F729D2">
        <w:rPr>
          <w:rFonts w:eastAsiaTheme="minorEastAsia"/>
        </w:rPr>
        <w:t> no servidor. Opera sob as diretrizes de </w:t>
      </w:r>
      <w:r w:rsidRPr="00F729D2">
        <w:rPr>
          <w:rFonts w:eastAsiaTheme="minorEastAsia"/>
          <w:i/>
          <w:iCs/>
        </w:rPr>
        <w:t>"Origem Blindada"</w:t>
      </w:r>
      <w:r w:rsidRPr="00F729D2">
        <w:rPr>
          <w:rFonts w:eastAsiaTheme="minorEastAsia"/>
        </w:rPr>
        <w:t> e </w:t>
      </w:r>
      <w:r w:rsidRPr="00F729D2">
        <w:rPr>
          <w:rFonts w:eastAsiaTheme="minorEastAsia"/>
          <w:i/>
          <w:iCs/>
        </w:rPr>
        <w:t>"Trava o Erro"</w:t>
      </w:r>
      <w:r w:rsidRPr="00F729D2">
        <w:rPr>
          <w:rFonts w:eastAsiaTheme="minorEastAsia"/>
        </w:rPr>
        <w:t>, impossibilitando furos de centavos ou quebras de dízimas periódicas na interface, além de bloquear de forma absoluta inputs manuais ou alterações de descrições textuais consolidadoras de parcelas.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6160"/>
      </w:tblGrid>
      <w:tr w:rsidR="00E8063B" w:rsidRPr="00F729D2" w14:paraId="44A2D680" w14:textId="77777777" w:rsidTr="003C3242">
        <w:trPr>
          <w:trHeight w:val="300"/>
        </w:trPr>
        <w:tc>
          <w:tcPr>
            <w:tcW w:w="333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4667130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Atores envolvidos</w:t>
            </w:r>
          </w:p>
        </w:tc>
        <w:tc>
          <w:tcPr>
            <w:tcW w:w="616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9113820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Usuário Comum, Orçamentista, Auditor, Sistema SGO (Motor de Cronogramas). </w:t>
            </w:r>
          </w:p>
        </w:tc>
      </w:tr>
      <w:tr w:rsidR="00E8063B" w:rsidRPr="00F729D2" w14:paraId="7EB05329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60BD327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Condições </w:t>
            </w:r>
          </w:p>
        </w:tc>
      </w:tr>
      <w:tr w:rsidR="00E8063B" w:rsidRPr="00F729D2" w14:paraId="58B0AD92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D733D7C" w14:textId="77777777" w:rsidR="00E8063B" w:rsidRPr="00FB4503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B4503">
              <w:rPr>
                <w:rFonts w:eastAsiaTheme="minorEastAsia"/>
              </w:rPr>
              <w:t>Pré-Condições: </w:t>
            </w:r>
          </w:p>
          <w:p w14:paraId="590AA5F9" w14:textId="77777777" w:rsidR="00E8063B" w:rsidRPr="00791DA9" w:rsidRDefault="00E8063B" w:rsidP="00E8063B">
            <w:pPr>
              <w:pStyle w:val="PargrafodaLista"/>
              <w:numPr>
                <w:ilvl w:val="0"/>
                <w:numId w:val="2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O usuário deve estar devidamente autenticado e ativo no ecossistema SGO. </w:t>
            </w:r>
          </w:p>
          <w:p w14:paraId="088E18D4" w14:textId="77777777" w:rsidR="00E8063B" w:rsidRPr="00791DA9" w:rsidRDefault="00E8063B" w:rsidP="00E8063B">
            <w:pPr>
              <w:pStyle w:val="PargrafodaLista"/>
              <w:numPr>
                <w:ilvl w:val="0"/>
                <w:numId w:val="2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Habilitação de perfil de leitura ativa no menu </w:t>
            </w:r>
            <w:r w:rsidRPr="00791DA9">
              <w:rPr>
                <w:rFonts w:eastAsiaTheme="minorEastAsia"/>
                <w:i/>
                <w:iCs/>
              </w:rPr>
              <w:t>Orçamentário &gt; Cronograma de Desembolso</w:t>
            </w:r>
            <w:r w:rsidRPr="00791DA9">
              <w:rPr>
                <w:rFonts w:eastAsiaTheme="minorEastAsia"/>
              </w:rPr>
              <w:t>. </w:t>
            </w:r>
          </w:p>
          <w:p w14:paraId="4E5B288C" w14:textId="77777777" w:rsidR="00E8063B" w:rsidRPr="00791DA9" w:rsidRDefault="00E8063B" w:rsidP="00E8063B">
            <w:pPr>
              <w:pStyle w:val="PargrafodaLista"/>
              <w:numPr>
                <w:ilvl w:val="0"/>
                <w:numId w:val="2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A Proposta Comercial mestre correspondente deve possuir uma versão orçamentária ativa e salva em tabelas físicas no banco de dados. </w:t>
            </w:r>
          </w:p>
          <w:p w14:paraId="1A2F7128" w14:textId="77777777" w:rsidR="00E8063B" w:rsidRPr="00FB4503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B4503">
              <w:rPr>
                <w:rFonts w:eastAsiaTheme="minorEastAsia"/>
              </w:rPr>
              <w:t>Pós-Condições: </w:t>
            </w:r>
          </w:p>
          <w:p w14:paraId="2914CD65" w14:textId="77777777" w:rsidR="00E8063B" w:rsidRPr="00791DA9" w:rsidRDefault="00E8063B" w:rsidP="00E8063B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Matriz temporal do Cronograma de Desembolso gerada e renderizada em tela. </w:t>
            </w:r>
          </w:p>
          <w:p w14:paraId="1E186892" w14:textId="77777777" w:rsidR="00E8063B" w:rsidRPr="00791DA9" w:rsidRDefault="00E8063B" w:rsidP="00E8063B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Documento oficial exportado em lote para formatos de planilha eletrônica (.XLSX) e PDF estruturado para anexo em propostas. </w:t>
            </w:r>
          </w:p>
          <w:p w14:paraId="29706A74" w14:textId="77777777" w:rsidR="00E8063B" w:rsidRPr="00791DA9" w:rsidRDefault="00E8063B" w:rsidP="00E8063B">
            <w:pPr>
              <w:pStyle w:val="PargrafodaLista"/>
              <w:numPr>
                <w:ilvl w:val="0"/>
                <w:numId w:val="3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Operação de consulta e extração registrada com sucesso na trilha central de auditoria (</w:t>
            </w:r>
            <w:proofErr w:type="spellStart"/>
            <w:r w:rsidRPr="00791DA9">
              <w:rPr>
                <w:rFonts w:eastAsiaTheme="minorEastAsia"/>
              </w:rPr>
              <w:t>HistoricodeOperacoes</w:t>
            </w:r>
            <w:proofErr w:type="spellEnd"/>
            <w:r w:rsidRPr="00791DA9">
              <w:rPr>
                <w:rFonts w:eastAsiaTheme="minorEastAsia"/>
              </w:rPr>
              <w:t>).  </w:t>
            </w:r>
          </w:p>
        </w:tc>
      </w:tr>
      <w:tr w:rsidR="00E8063B" w:rsidRPr="00F729D2" w14:paraId="43E46FE5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CFF942E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Cenários </w:t>
            </w:r>
          </w:p>
        </w:tc>
      </w:tr>
      <w:tr w:rsidR="00E8063B" w:rsidRPr="00F729D2" w14:paraId="6DA6C86E" w14:textId="77777777" w:rsidTr="003C3242">
        <w:trPr>
          <w:trHeight w:val="1035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DA56D19" w14:textId="77777777" w:rsidR="00E8063B" w:rsidRPr="00BE2315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Fluxo Principal: Emissão de Matriz Temporal com Consolidação de </w:t>
            </w:r>
            <w:proofErr w:type="spellStart"/>
            <w:r w:rsidRPr="00BE2315">
              <w:rPr>
                <w:rFonts w:eastAsiaTheme="minorEastAsia"/>
              </w:rPr>
              <w:t>Backend</w:t>
            </w:r>
            <w:proofErr w:type="spellEnd"/>
            <w:r w:rsidRPr="00BE2315">
              <w:rPr>
                <w:rFonts w:eastAsiaTheme="minorEastAsia"/>
              </w:rPr>
              <w:t> </w:t>
            </w:r>
          </w:p>
          <w:p w14:paraId="3E5727CE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usuário acessa o menu </w:t>
            </w:r>
            <w:r w:rsidRPr="003E4279">
              <w:rPr>
                <w:rFonts w:eastAsiaTheme="minorEastAsia"/>
                <w:i/>
                <w:iCs/>
              </w:rPr>
              <w:t>Novo TP / Cronograma de Desembolso</w:t>
            </w:r>
            <w:r w:rsidRPr="003E4279">
              <w:rPr>
                <w:rFonts w:eastAsiaTheme="minorEastAsia"/>
              </w:rPr>
              <w:t> no módulo Orçamentário; </w:t>
            </w:r>
          </w:p>
          <w:p w14:paraId="309EEDDE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exibe a interface de filtros contendo os seletores controlados: </w:t>
            </w:r>
            <w:r w:rsidRPr="003E4279">
              <w:rPr>
                <w:rFonts w:eastAsiaTheme="minorEastAsia"/>
                <w:i/>
                <w:iCs/>
              </w:rPr>
              <w:t>Proposta, Versão do Projeto e Anexo Opcional</w:t>
            </w:r>
            <w:r w:rsidRPr="003E4279">
              <w:rPr>
                <w:rFonts w:eastAsiaTheme="minorEastAsia"/>
              </w:rPr>
              <w:t>, mantendo os botões </w:t>
            </w:r>
            <w:proofErr w:type="gramStart"/>
            <w:r w:rsidRPr="003E4279">
              <w:rPr>
                <w:rFonts w:eastAsiaTheme="minorEastAsia"/>
              </w:rPr>
              <w:t>[Consultar</w:t>
            </w:r>
            <w:proofErr w:type="gramEnd"/>
            <w:r w:rsidRPr="003E4279">
              <w:rPr>
                <w:rFonts w:eastAsiaTheme="minorEastAsia"/>
              </w:rPr>
              <w:t>], </w:t>
            </w:r>
            <w:proofErr w:type="gramStart"/>
            <w:r w:rsidRPr="003E4279">
              <w:rPr>
                <w:rFonts w:eastAsiaTheme="minorEastAsia"/>
              </w:rPr>
              <w:t>[Imprimir</w:t>
            </w:r>
            <w:proofErr w:type="gramEnd"/>
            <w:r w:rsidRPr="003E4279">
              <w:rPr>
                <w:rFonts w:eastAsiaTheme="minorEastAsia"/>
              </w:rPr>
              <w:t>], </w:t>
            </w:r>
            <w:proofErr w:type="gramStart"/>
            <w:r w:rsidRPr="003E4279">
              <w:rPr>
                <w:rFonts w:eastAsiaTheme="minorEastAsia"/>
              </w:rPr>
              <w:t>[Exportar</w:t>
            </w:r>
            <w:proofErr w:type="gramEnd"/>
            <w:r w:rsidRPr="003E4279">
              <w:rPr>
                <w:rFonts w:eastAsiaTheme="minorEastAsia"/>
              </w:rPr>
              <w:t>] e </w:t>
            </w:r>
            <w:proofErr w:type="gramStart"/>
            <w:r w:rsidRPr="003E4279">
              <w:rPr>
                <w:rFonts w:eastAsiaTheme="minorEastAsia"/>
              </w:rPr>
              <w:t>[Cancelar</w:t>
            </w:r>
            <w:proofErr w:type="gramEnd"/>
            <w:r w:rsidRPr="003E4279">
              <w:rPr>
                <w:rFonts w:eastAsiaTheme="minorEastAsia"/>
              </w:rPr>
              <w:t>] habilitados; </w:t>
            </w:r>
          </w:p>
          <w:p w14:paraId="5C1823EE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usuário seleciona a Proposta Comercial desejada e clica no botão </w:t>
            </w:r>
            <w:proofErr w:type="gramStart"/>
            <w:r w:rsidRPr="003E4279">
              <w:rPr>
                <w:rFonts w:eastAsiaTheme="minorEastAsia"/>
              </w:rPr>
              <w:t>[Consultar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252749D7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intercepta o comando e aciona sincronamente o serviço central do </w:t>
            </w:r>
            <w:proofErr w:type="spellStart"/>
            <w:r>
              <w:fldChar w:fldCharType="begin"/>
            </w:r>
            <w:r>
              <w:instrText>HYPERLINK "https://ctceaorg-my.sharepoint.com/:w:/r/personal/fabianofsg_ctcea_org_br/_layouts/15/Doc.aspx?sourcedoc=%7Bb0a55525-9372-47b0-ab39-0a54df27359d%7D&amp;action=editnew" \t "_blank"</w:instrText>
            </w:r>
            <w:r>
              <w:fldChar w:fldCharType="separate"/>
            </w:r>
            <w:r w:rsidRPr="00F729D2">
              <w:rPr>
                <w:rStyle w:val="Hyperlink"/>
              </w:rPr>
              <w:t>TotalizerService</w:t>
            </w:r>
            <w:proofErr w:type="spellEnd"/>
            <w:r>
              <w:fldChar w:fldCharType="end"/>
            </w:r>
            <w:r w:rsidRPr="003E4279">
              <w:rPr>
                <w:rFonts w:eastAsiaTheme="minorEastAsia"/>
              </w:rPr>
              <w:t> no </w:t>
            </w:r>
            <w:proofErr w:type="spellStart"/>
            <w:r w:rsidRPr="003E4279">
              <w:rPr>
                <w:rFonts w:eastAsiaTheme="minorEastAsia"/>
              </w:rPr>
              <w:t>backend</w:t>
            </w:r>
            <w:proofErr w:type="spellEnd"/>
            <w:r w:rsidRPr="003E4279">
              <w:rPr>
                <w:rFonts w:eastAsiaTheme="minorEastAsia"/>
              </w:rPr>
              <w:t>; </w:t>
            </w:r>
          </w:p>
          <w:p w14:paraId="6F48718D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motor do servidor varre as dotações das contas analíticas folha (Nível 7), extrai os </w:t>
            </w:r>
            <w:proofErr w:type="spellStart"/>
            <w:r w:rsidRPr="003E4279">
              <w:rPr>
                <w:rFonts w:eastAsiaTheme="minorEastAsia"/>
              </w:rPr>
              <w:t>headcounts</w:t>
            </w:r>
            <w:proofErr w:type="spellEnd"/>
            <w:r w:rsidRPr="003E4279">
              <w:rPr>
                <w:rFonts w:eastAsiaTheme="minorEastAsia"/>
              </w:rPr>
              <w:t> e as estimativas logísticas de viagens vigentes do projeto; </w:t>
            </w:r>
          </w:p>
          <w:p w14:paraId="4939341F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renderiza a grade matricial dinâmica gerando colunas automáticas de competências mês a mês, preenchendo as parcelas com base em sua distribuição cronológica; </w:t>
            </w:r>
          </w:p>
          <w:p w14:paraId="32915384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gera e concatena as descrições textuais consolidadas das parcelas de forma totalmente automatizada no servidor, exibindo as células em modo Somente Leitura (</w:t>
            </w:r>
            <w:proofErr w:type="spellStart"/>
            <w:r w:rsidRPr="003E4279">
              <w:rPr>
                <w:rFonts w:eastAsiaTheme="minorEastAsia"/>
                <w:i/>
                <w:iCs/>
              </w:rPr>
              <w:t>Read-only</w:t>
            </w:r>
            <w:proofErr w:type="spellEnd"/>
            <w:r w:rsidRPr="003E4279">
              <w:rPr>
                <w:rFonts w:eastAsiaTheme="minorEastAsia"/>
              </w:rPr>
              <w:t>) [</w:t>
            </w:r>
            <w:r w:rsidRPr="003E4279">
              <w:rPr>
                <w:rFonts w:eastAsiaTheme="minorEastAsia"/>
                <w:b/>
                <w:bCs/>
              </w:rPr>
              <w:t>ORIGEM BLINDADA</w:t>
            </w:r>
            <w:r w:rsidRPr="003E4279">
              <w:rPr>
                <w:rFonts w:eastAsiaTheme="minorEastAsia"/>
              </w:rPr>
              <w:t>]; </w:t>
            </w:r>
          </w:p>
          <w:p w14:paraId="0C3DC905" w14:textId="77777777" w:rsidR="00E8063B" w:rsidRPr="003E4279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usuário aciona os botões macros </w:t>
            </w:r>
            <w:proofErr w:type="gramStart"/>
            <w:r w:rsidRPr="003E4279">
              <w:rPr>
                <w:rFonts w:eastAsiaTheme="minorEastAsia"/>
              </w:rPr>
              <w:t>[Exportar</w:t>
            </w:r>
            <w:proofErr w:type="gramEnd"/>
            <w:r w:rsidRPr="003E4279">
              <w:rPr>
                <w:rFonts w:eastAsiaTheme="minorEastAsia"/>
              </w:rPr>
              <w:t>] ou </w:t>
            </w:r>
            <w:proofErr w:type="gramStart"/>
            <w:r w:rsidRPr="003E4279">
              <w:rPr>
                <w:rFonts w:eastAsiaTheme="minorEastAsia"/>
              </w:rPr>
              <w:t>[Imprimir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39558508" w14:textId="77777777" w:rsidR="00E8063B" w:rsidRDefault="00E8063B" w:rsidP="00E8063B">
            <w:pPr>
              <w:pStyle w:val="PargrafodaLista"/>
              <w:numPr>
                <w:ilvl w:val="0"/>
                <w:numId w:val="1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lastRenderedPageBreak/>
              <w:t>O sistema converte a matriz para o formato final selecionado, inicia o download automático do arquivo e grava o log de extração delta na classe central </w:t>
            </w:r>
            <w:proofErr w:type="spellStart"/>
            <w:r w:rsidRPr="003E4279">
              <w:rPr>
                <w:rFonts w:eastAsiaTheme="minorEastAsia"/>
              </w:rPr>
              <w:t>HistoricodeOperacoes</w:t>
            </w:r>
            <w:proofErr w:type="spellEnd"/>
            <w:r w:rsidRPr="003E4279">
              <w:rPr>
                <w:rFonts w:eastAsiaTheme="minorEastAsia"/>
              </w:rPr>
              <w:t>. </w:t>
            </w:r>
          </w:p>
          <w:p w14:paraId="20DD50EF" w14:textId="77777777" w:rsidR="00E8063B" w:rsidRDefault="00E8063B" w:rsidP="003C324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6576B02C" w14:textId="77777777" w:rsidR="00E8063B" w:rsidRPr="003E4279" w:rsidRDefault="00E8063B" w:rsidP="003C324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15516F8A" w14:textId="77777777" w:rsidR="00E8063B" w:rsidRPr="00BE2315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Fluxo Alternativo A1 – Cancelamento da Operação </w:t>
            </w:r>
          </w:p>
          <w:p w14:paraId="7030B5A8" w14:textId="77777777" w:rsidR="00E8063B" w:rsidRPr="003E4279" w:rsidRDefault="00E8063B" w:rsidP="00E8063B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Na tela de parâmetros e filtros do relatório, o usuário clica no botão </w:t>
            </w:r>
            <w:proofErr w:type="gramStart"/>
            <w:r w:rsidRPr="003E4279">
              <w:rPr>
                <w:rFonts w:eastAsiaTheme="minorEastAsia"/>
              </w:rPr>
              <w:t>[Cancelar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17B5D489" w14:textId="77777777" w:rsidR="00E8063B" w:rsidRPr="003E4279" w:rsidRDefault="00E8063B" w:rsidP="00E8063B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interrompe as varreduras de banco de dados, limpa a memória temporária da interface e retorna o foco para a página inicial estável sem gerar arquivos. </w:t>
            </w:r>
          </w:p>
          <w:p w14:paraId="35A751D4" w14:textId="77777777" w:rsidR="00E8063B" w:rsidRDefault="00E8063B" w:rsidP="00E8063B">
            <w:pPr>
              <w:pStyle w:val="PargrafodaLista"/>
              <w:numPr>
                <w:ilvl w:val="0"/>
                <w:numId w:val="4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Fluxos de Exceção [TRAVA O ERRO] </w:t>
            </w:r>
          </w:p>
          <w:p w14:paraId="6EFB057C" w14:textId="77777777" w:rsidR="00E8063B" w:rsidRPr="003E4279" w:rsidRDefault="00E8063B" w:rsidP="003C324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2F0E4D39" w14:textId="77777777" w:rsidR="00E8063B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E1 – Tentativa de Emissão para Proposta sem Saldo/Dotação: </w:t>
            </w:r>
          </w:p>
          <w:p w14:paraId="52B56231" w14:textId="77777777" w:rsidR="00E8063B" w:rsidRDefault="00E8063B" w:rsidP="00E8063B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No passo 4 do fluxo principal, caso o </w:t>
            </w:r>
            <w:proofErr w:type="spellStart"/>
            <w:r w:rsidRPr="00BE2315">
              <w:rPr>
                <w:rFonts w:eastAsiaTheme="minorEastAsia"/>
              </w:rPr>
              <w:t>TotalizerService</w:t>
            </w:r>
            <w:proofErr w:type="spellEnd"/>
            <w:r w:rsidRPr="00BE2315">
              <w:rPr>
                <w:rFonts w:eastAsiaTheme="minorEastAsia"/>
              </w:rPr>
              <w:t> retorne que o Valor Global acumulado da proposta está zerado (R$ 0,00) ou não possui registros analíticos preenchidos, a compilação é imediatamente abortada.</w:t>
            </w:r>
          </w:p>
          <w:p w14:paraId="1384CD84" w14:textId="77777777" w:rsidR="00E8063B" w:rsidRPr="00BE2315" w:rsidRDefault="00E8063B" w:rsidP="00E8063B">
            <w:pPr>
              <w:pStyle w:val="PargrafodaLista"/>
              <w:numPr>
                <w:ilvl w:val="0"/>
                <w:numId w:val="5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 xml:space="preserve"> O sistema barra a abertura da grade de meses e exibe o alerta: "Operação Rejeitada: A Proposta selecionada não possui dados financeiros cadastrados para consolidação." </w:t>
            </w:r>
          </w:p>
          <w:p w14:paraId="68CD0104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1BACDBE9" w14:textId="77777777" w:rsidR="00E8063B" w:rsidRPr="00D75624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Dicionário de Campos e Layout do Relatório (Modelo de Saída) </w:t>
            </w:r>
          </w:p>
          <w:p w14:paraId="517D2ADF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Cabeçalho:</w:t>
            </w:r>
            <w:r w:rsidRPr="00F729D2">
              <w:rPr>
                <w:rFonts w:eastAsiaTheme="minorEastAsia"/>
              </w:rPr>
              <w:t> Logotipo Institucional CTCEA, Título centralizado </w:t>
            </w:r>
            <w:r w:rsidRPr="00F729D2">
              <w:rPr>
                <w:rFonts w:eastAsiaTheme="minorEastAsia"/>
                <w:b/>
                <w:bCs/>
              </w:rPr>
              <w:t>'CRONOGRAMA DE DESEMBOLSO'</w:t>
            </w:r>
            <w:r w:rsidRPr="00F729D2">
              <w:rPr>
                <w:rFonts w:eastAsiaTheme="minorEastAsia"/>
              </w:rPr>
              <w:t> e, imediatamente abaixo, o </w:t>
            </w:r>
            <w:r w:rsidRPr="00F729D2">
              <w:rPr>
                <w:rFonts w:eastAsiaTheme="minorEastAsia"/>
                <w:i/>
                <w:iCs/>
              </w:rPr>
              <w:t>Nome do Anexo</w:t>
            </w:r>
            <w:r w:rsidRPr="00F729D2">
              <w:rPr>
                <w:rFonts w:eastAsiaTheme="minorEastAsia"/>
              </w:rPr>
              <w:t> correspondente gravado na base de dados (RN0259). </w:t>
            </w:r>
          </w:p>
          <w:p w14:paraId="49E293D0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b/>
                <w:bCs/>
              </w:rPr>
              <w:t xml:space="preserve">Corpo </w:t>
            </w:r>
            <w:r w:rsidRPr="00F729D2">
              <w:rPr>
                <w:rFonts w:eastAsiaTheme="minorEastAsia"/>
              </w:rPr>
              <w:t>(Painel de Filtros Aplicados — RN0200 / RN0250): </w:t>
            </w:r>
          </w:p>
          <w:p w14:paraId="144D747F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[Nome do Termo de Parceria selecionado] </w:t>
            </w:r>
          </w:p>
          <w:p w14:paraId="7A7AEF1F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[Meta selecionada ou o texto "Todos" caso nenhum parâmetro de meta tenha sido informado] </w:t>
            </w:r>
          </w:p>
          <w:p w14:paraId="593460EF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[Versão do TP selecionado] </w:t>
            </w:r>
          </w:p>
          <w:p w14:paraId="4977A796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Cabeçalho da Tabela (Colunas da Grid — Somente Leitura): </w:t>
            </w:r>
          </w:p>
          <w:p w14:paraId="0E64FB83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Evento | Data | Descrição do Evento | Desembolso Mensal (R$) | Desembolso Acumulado (R$) | % Financeiro Acumulado (%) | Valor Repassado a cada 12 meses de execução (R$). </w:t>
            </w:r>
          </w:p>
          <w:p w14:paraId="53119825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Campos Calculados e Subtotais por Ano (RN0251, RN0252, RN0253, RN0254): </w:t>
            </w:r>
          </w:p>
          <w:p w14:paraId="6506AF30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Desembolso Acumulado:</w:t>
            </w:r>
            <w:r w:rsidRPr="00F729D2">
              <w:rPr>
                <w:rFonts w:eastAsiaTheme="minorEastAsia"/>
              </w:rPr>
              <w:t> Soma progressiva vertical das parcelas. </w:t>
            </w:r>
          </w:p>
          <w:p w14:paraId="4C7BA5EB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% Financeiro Acumulado:</w:t>
            </w:r>
            <w:r w:rsidRPr="00F729D2">
              <w:rPr>
                <w:rFonts w:eastAsiaTheme="minorEastAsia"/>
              </w:rPr>
              <w:t> $(\</w:t>
            </w:r>
            <w:proofErr w:type="spellStart"/>
            <w:proofErr w:type="gramStart"/>
            <w:r w:rsidRPr="00F729D2">
              <w:rPr>
                <w:rFonts w:eastAsiaTheme="minorEastAsia"/>
              </w:rPr>
              <w:t>text</w:t>
            </w:r>
            <w:proofErr w:type="spellEnd"/>
            <w:r w:rsidRPr="00F729D2">
              <w:rPr>
                <w:rFonts w:eastAsiaTheme="minorEastAsia"/>
              </w:rPr>
              <w:t>{</w:t>
            </w:r>
            <w:proofErr w:type="gramEnd"/>
            <w:r w:rsidRPr="00F729D2">
              <w:rPr>
                <w:rFonts w:eastAsiaTheme="minorEastAsia"/>
              </w:rPr>
              <w:t>Desembolso Acumulado} / \</w:t>
            </w:r>
            <w:proofErr w:type="spellStart"/>
            <w:proofErr w:type="gramStart"/>
            <w:r w:rsidRPr="00F729D2">
              <w:rPr>
                <w:rFonts w:eastAsiaTheme="minorEastAsia"/>
              </w:rPr>
              <w:t>text</w:t>
            </w:r>
            <w:proofErr w:type="spellEnd"/>
            <w:r w:rsidRPr="00F729D2">
              <w:rPr>
                <w:rFonts w:eastAsiaTheme="minorEastAsia"/>
              </w:rPr>
              <w:t>{</w:t>
            </w:r>
            <w:proofErr w:type="gramEnd"/>
            <w:r w:rsidRPr="00F729D2">
              <w:rPr>
                <w:rFonts w:eastAsiaTheme="minorEastAsia"/>
              </w:rPr>
              <w:t>Valor Total Global da Proposta}) \times 100$. </w:t>
            </w:r>
          </w:p>
          <w:p w14:paraId="3E990E46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Valor Repassado a cada 12 meses:</w:t>
            </w:r>
            <w:r w:rsidRPr="00F729D2">
              <w:rPr>
                <w:rFonts w:eastAsiaTheme="minorEastAsia"/>
              </w:rPr>
              <w:t> Somatório dos desembolsos mensais injetado unicamente nas linhas de competência 12, 24, 36... </w:t>
            </w:r>
          </w:p>
          <w:p w14:paraId="10C56E79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Linha de Quebra Anual (</w:t>
            </w:r>
            <w:proofErr w:type="spellStart"/>
            <w:r w:rsidRPr="00F729D2">
              <w:rPr>
                <w:rFonts w:eastAsiaTheme="minorEastAsia"/>
              </w:rPr>
              <w:t>Table</w:t>
            </w:r>
            <w:proofErr w:type="spellEnd"/>
            <w:r w:rsidRPr="00F729D2">
              <w:rPr>
                <w:rFonts w:eastAsiaTheme="minorEastAsia"/>
              </w:rPr>
              <w:t> </w:t>
            </w:r>
            <w:proofErr w:type="spellStart"/>
            <w:r w:rsidRPr="00F729D2">
              <w:rPr>
                <w:rFonts w:eastAsiaTheme="minorEastAsia"/>
              </w:rPr>
              <w:t>Footer</w:t>
            </w:r>
            <w:proofErr w:type="spellEnd"/>
            <w:r w:rsidRPr="00F729D2">
              <w:rPr>
                <w:rFonts w:eastAsiaTheme="minorEastAsia"/>
              </w:rPr>
              <w:t>): Somatório das colunas Desembolso Mensal, Desembolso Acumulado e % Financeiro Acumulado por Ano. </w:t>
            </w:r>
          </w:p>
          <w:p w14:paraId="012BBFAC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Ordenação:</w:t>
            </w:r>
            <w:r w:rsidRPr="00F729D2">
              <w:rPr>
                <w:rFonts w:eastAsiaTheme="minorEastAsia"/>
              </w:rPr>
              <w:t> Ordem crescente estruturada estritamente pelo código do </w:t>
            </w:r>
            <w:r w:rsidRPr="00F729D2">
              <w:rPr>
                <w:rFonts w:eastAsiaTheme="minorEastAsia"/>
                <w:i/>
                <w:iCs/>
              </w:rPr>
              <w:t>Evento</w:t>
            </w:r>
            <w:r w:rsidRPr="00F729D2">
              <w:rPr>
                <w:rFonts w:eastAsiaTheme="minorEastAsia"/>
              </w:rPr>
              <w:t> e pelo </w:t>
            </w:r>
            <w:r w:rsidRPr="00F729D2">
              <w:rPr>
                <w:rFonts w:eastAsiaTheme="minorEastAsia"/>
                <w:i/>
                <w:iCs/>
              </w:rPr>
              <w:t>Período</w:t>
            </w:r>
            <w:r w:rsidRPr="00F729D2">
              <w:rPr>
                <w:rFonts w:eastAsiaTheme="minorEastAsia"/>
              </w:rPr>
              <w:t> cronológico. Caso haja Meta associada, a ordenação prioritária ocorre posteriormente pelo </w:t>
            </w:r>
            <w:r w:rsidRPr="00F729D2">
              <w:rPr>
                <w:rFonts w:eastAsiaTheme="minorEastAsia"/>
                <w:i/>
                <w:iCs/>
              </w:rPr>
              <w:t>Número da Meta</w:t>
            </w:r>
            <w:r w:rsidRPr="00F729D2">
              <w:rPr>
                <w:rFonts w:eastAsiaTheme="minorEastAsia"/>
              </w:rPr>
              <w:t>. </w:t>
            </w:r>
          </w:p>
          <w:p w14:paraId="0664E74E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lastRenderedPageBreak/>
              <w:t>Rodapé:</w:t>
            </w:r>
            <w:r w:rsidRPr="00F729D2">
              <w:rPr>
                <w:rFonts w:eastAsiaTheme="minorEastAsia"/>
              </w:rPr>
              <w:t> Rodapé padrão contendo numeração de páginas e o título unificado fixado: </w:t>
            </w:r>
            <w:r w:rsidRPr="00F729D2">
              <w:rPr>
                <w:rFonts w:eastAsiaTheme="minorEastAsia"/>
                <w:b/>
                <w:bCs/>
              </w:rPr>
              <w:t>CRONOGRAMA DE DESEMBOLSO</w:t>
            </w:r>
            <w:r w:rsidRPr="00F729D2">
              <w:rPr>
                <w:rFonts w:eastAsiaTheme="minorEastAsia"/>
              </w:rPr>
              <w:t>. </w:t>
            </w:r>
          </w:p>
          <w:p w14:paraId="680A4931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E8063B" w:rsidRPr="00F729D2" w14:paraId="425CC403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2640691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Requisitos </w:t>
            </w:r>
          </w:p>
        </w:tc>
      </w:tr>
      <w:tr w:rsidR="00E8063B" w:rsidRPr="00F729D2" w14:paraId="6050FAD4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BD89109" w14:textId="77777777" w:rsidR="00E8063B" w:rsidRDefault="00E8063B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Requisitos Funcionais</w:t>
            </w:r>
          </w:p>
          <w:p w14:paraId="3E410054" w14:textId="77777777" w:rsidR="00E8063B" w:rsidRPr="00EF3674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REQ_CD_001 Matriz Temporal Dinâmica -</w:t>
            </w:r>
            <w:r w:rsidRPr="00EF3674">
              <w:rPr>
                <w:rFonts w:eastAsiaTheme="minorEastAsia"/>
              </w:rPr>
              <w:t> O sistema deve renderizar a grade em formato de matriz temporal reativa, gerando colunas de competências automaticamente baseadas nos meses de vigência da Proposta Comercial. </w:t>
            </w:r>
          </w:p>
          <w:p w14:paraId="5EB66C4F" w14:textId="77777777" w:rsidR="00E8063B" w:rsidRPr="00EF3674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REQ_CD_002 Origem Blindada Textual -</w:t>
            </w:r>
            <w:r w:rsidRPr="00EF3674">
              <w:rPr>
                <w:rFonts w:eastAsiaTheme="minorEastAsia"/>
              </w:rPr>
              <w:t> O sistema deve concatenar e preencher de forma 100% automatizada e via </w:t>
            </w:r>
            <w:proofErr w:type="spellStart"/>
            <w:r w:rsidRPr="00EF3674">
              <w:rPr>
                <w:rFonts w:eastAsiaTheme="minorEastAsia"/>
              </w:rPr>
              <w:t>backend</w:t>
            </w:r>
            <w:proofErr w:type="spellEnd"/>
            <w:r w:rsidRPr="00EF3674">
              <w:rPr>
                <w:rFonts w:eastAsiaTheme="minorEastAsia"/>
              </w:rPr>
              <w:t> os campos de descrição de parcelas textuais, bloqueando inputs manuais do operador.</w:t>
            </w:r>
          </w:p>
          <w:p w14:paraId="1765EBB8" w14:textId="77777777" w:rsidR="00E8063B" w:rsidRPr="00EF3674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REQ_CD_003 Sincronismo de </w:t>
            </w:r>
            <w:proofErr w:type="spellStart"/>
            <w:r w:rsidRPr="00EF3674">
              <w:rPr>
                <w:rFonts w:eastAsiaTheme="minorEastAsia"/>
                <w:b/>
                <w:bCs/>
              </w:rPr>
              <w:t>MotorA</w:t>
            </w:r>
            <w:proofErr w:type="spellEnd"/>
            <w:r w:rsidRPr="00EF3674">
              <w:rPr>
                <w:rFonts w:eastAsiaTheme="minorEastAsia"/>
                <w:b/>
                <w:bCs/>
              </w:rPr>
              <w:t> -</w:t>
            </w:r>
            <w:r w:rsidRPr="00EF3674">
              <w:rPr>
                <w:rFonts w:eastAsiaTheme="minorEastAsia"/>
              </w:rPr>
              <w:t> interface do cronograma deve realizar o consumo direto e síncrono da </w:t>
            </w:r>
            <w:hyperlink r:id="rId5" w:tgtFrame="_blank" w:history="1">
              <w:r w:rsidRPr="00F729D2">
                <w:rPr>
                  <w:rStyle w:val="Hyperlink"/>
                </w:rPr>
                <w:t xml:space="preserve">API do </w:t>
              </w:r>
              <w:proofErr w:type="spellStart"/>
              <w:r w:rsidRPr="00F729D2">
                <w:rPr>
                  <w:rStyle w:val="Hyperlink"/>
                </w:rPr>
                <w:t>TotalizerService</w:t>
              </w:r>
              <w:proofErr w:type="spellEnd"/>
            </w:hyperlink>
            <w:r w:rsidRPr="00EF3674">
              <w:rPr>
                <w:rFonts w:eastAsiaTheme="minorEastAsia"/>
              </w:rPr>
              <w:t> para povoar a grade, impedindo a criação de tabelas totalizadoras isoladas em banco.</w:t>
            </w:r>
          </w:p>
          <w:p w14:paraId="3C109D3A" w14:textId="77777777" w:rsidR="00E8063B" w:rsidRPr="00EF3674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REQ_CD_004 Mecanismo de Extração - </w:t>
            </w:r>
            <w:r w:rsidRPr="00EF3674">
              <w:rPr>
                <w:rFonts w:eastAsiaTheme="minorEastAsia"/>
              </w:rPr>
              <w:t>O sistema deve disponibilizar botões macros para a conversão e exportação completa do relatório orçamentário para formatos Excel (.XLSX) e PDF estruturado.</w:t>
            </w:r>
          </w:p>
          <w:p w14:paraId="646C9A6D" w14:textId="77777777" w:rsidR="00E8063B" w:rsidRPr="00EF3674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REQ_CD_005 Injeção de Filtros na Saída - </w:t>
            </w:r>
            <w:r w:rsidRPr="00EF3674">
              <w:rPr>
                <w:rFonts w:eastAsiaTheme="minorEastAsia"/>
              </w:rPr>
              <w:t>Caso o usuário selecione "Sim" no parâmetro visual "Exibir Filtros", o cabeçalho do PDF/XLSX deve estampar os critérios aplicados. </w:t>
            </w:r>
          </w:p>
          <w:p w14:paraId="356D3811" w14:textId="77777777" w:rsidR="00E8063B" w:rsidRDefault="00E8063B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 xml:space="preserve">Requisitos </w:t>
            </w:r>
            <w:proofErr w:type="gramStart"/>
            <w:r>
              <w:rPr>
                <w:rFonts w:eastAsiaTheme="minorEastAsia"/>
                <w:b/>
                <w:bCs/>
              </w:rPr>
              <w:t xml:space="preserve">não </w:t>
            </w:r>
            <w:r w:rsidRPr="00EF3674">
              <w:rPr>
                <w:rFonts w:eastAsiaTheme="minorEastAsia"/>
                <w:b/>
                <w:bCs/>
              </w:rPr>
              <w:t>Funcionais</w:t>
            </w:r>
            <w:proofErr w:type="gramEnd"/>
          </w:p>
          <w:p w14:paraId="3A0CB04E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RNF_CD_001 (Performance de Agregação):</w:t>
            </w:r>
            <w:r w:rsidRPr="008D710C">
              <w:rPr>
                <w:rFonts w:eastAsiaTheme="minorEastAsia"/>
              </w:rPr>
              <w:t xml:space="preserve"> O processamento da matriz temporal pelo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 xml:space="preserve"> para contratos de até 60 meses não deve ultrapassar 2,0 segundos de tempo de resposta no servidor.</w:t>
            </w:r>
          </w:p>
          <w:p w14:paraId="13D468CB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RNF_CD_002 (Renderização Virtual):</w:t>
            </w:r>
            <w:r w:rsidRPr="008D710C">
              <w:rPr>
                <w:rFonts w:eastAsiaTheme="minorEastAsia"/>
              </w:rPr>
              <w:t xml:space="preserve"> A grade de resultados do front-</w:t>
            </w:r>
            <w:proofErr w:type="spellStart"/>
            <w:r w:rsidRPr="008D710C">
              <w:rPr>
                <w:rFonts w:eastAsiaTheme="minorEastAsia"/>
              </w:rPr>
              <w:t>end</w:t>
            </w:r>
            <w:proofErr w:type="spellEnd"/>
            <w:r w:rsidRPr="008D710C">
              <w:rPr>
                <w:rFonts w:eastAsiaTheme="minorEastAsia"/>
              </w:rPr>
              <w:t xml:space="preserve"> deve utilizar </w:t>
            </w:r>
            <w:r w:rsidRPr="008D710C">
              <w:rPr>
                <w:rFonts w:eastAsiaTheme="minorEastAsia"/>
                <w:i/>
                <w:iCs/>
              </w:rPr>
              <w:t xml:space="preserve">Virtual 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Scrolling</w:t>
            </w:r>
            <w:proofErr w:type="spellEnd"/>
            <w:r w:rsidRPr="008D710C">
              <w:rPr>
                <w:rFonts w:eastAsiaTheme="minorEastAsia"/>
              </w:rPr>
              <w:t xml:space="preserve"> para suportar a rolagem fluida em lote único (</w:t>
            </w:r>
            <w:proofErr w:type="spellStart"/>
            <w:r w:rsidRPr="008D710C">
              <w:rPr>
                <w:rFonts w:eastAsiaTheme="minorEastAsia"/>
              </w:rPr>
              <w:t>Bypass</w:t>
            </w:r>
            <w:proofErr w:type="spellEnd"/>
            <w:r w:rsidRPr="008D710C">
              <w:rPr>
                <w:rFonts w:eastAsiaTheme="minorEastAsia"/>
              </w:rPr>
              <w:t xml:space="preserve"> de paginação) mantendo a taxa estável de 60 FPS, mitigando o travamento do navegador (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lag</w:t>
            </w:r>
            <w:proofErr w:type="spellEnd"/>
            <w:r w:rsidRPr="008D710C">
              <w:rPr>
                <w:rFonts w:eastAsiaTheme="minorEastAsia"/>
              </w:rPr>
              <w:t xml:space="preserve"> de script).</w:t>
            </w:r>
          </w:p>
          <w:p w14:paraId="56C50006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RNF_CD_003 (Precisão Monetária):</w:t>
            </w:r>
            <w:r w:rsidRPr="008D710C">
              <w:rPr>
                <w:rFonts w:eastAsiaTheme="minorEastAsia"/>
              </w:rPr>
              <w:t xml:space="preserve"> Todos os cálculos de somatórios verticais (Somas Anuais e Progressivas) devem utilizar tipos de dados primitivos de alta precisão decimal fixada (</w:t>
            </w:r>
            <w:proofErr w:type="spellStart"/>
            <w:r w:rsidRPr="008D710C">
              <w:rPr>
                <w:rFonts w:eastAsiaTheme="minorEastAsia"/>
              </w:rPr>
              <w:t>BigDecimal</w:t>
            </w:r>
            <w:proofErr w:type="spellEnd"/>
            <w:r w:rsidRPr="008D710C">
              <w:rPr>
                <w:rFonts w:eastAsiaTheme="minorEastAsia"/>
              </w:rPr>
              <w:t xml:space="preserve"> no Java/C# ou </w:t>
            </w:r>
            <w:proofErr w:type="spellStart"/>
            <w:proofErr w:type="gramStart"/>
            <w:r w:rsidRPr="008D710C">
              <w:rPr>
                <w:rFonts w:eastAsiaTheme="minorEastAsia"/>
              </w:rPr>
              <w:t>numeric</w:t>
            </w:r>
            <w:proofErr w:type="spellEnd"/>
            <w:r w:rsidRPr="008D710C">
              <w:rPr>
                <w:rFonts w:eastAsiaTheme="minorEastAsia"/>
              </w:rPr>
              <w:t>(</w:t>
            </w:r>
            <w:proofErr w:type="gramEnd"/>
            <w:r w:rsidRPr="008D710C">
              <w:rPr>
                <w:rFonts w:eastAsiaTheme="minorEastAsia"/>
              </w:rPr>
              <w:t>18,2) no PostgreSQL), anulando erros de arredondamento de ponto flutuante (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float</w:t>
            </w:r>
            <w:proofErr w:type="spellEnd"/>
            <w:r w:rsidRPr="008D710C">
              <w:rPr>
                <w:rFonts w:eastAsiaTheme="minorEastAsia"/>
                <w:i/>
                <w:iCs/>
              </w:rPr>
              <w:t>/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double</w:t>
            </w:r>
            <w:proofErr w:type="spellEnd"/>
            <w:r w:rsidRPr="008D710C">
              <w:rPr>
                <w:rFonts w:eastAsiaTheme="minorEastAsia"/>
              </w:rPr>
              <w:t>).</w:t>
            </w:r>
          </w:p>
          <w:p w14:paraId="5E9EBC92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RNF_CD_004 (Transação Atômica de Log):</w:t>
            </w:r>
            <w:r w:rsidRPr="008D710C">
              <w:rPr>
                <w:rFonts w:eastAsiaTheme="minorEastAsia"/>
              </w:rPr>
              <w:t xml:space="preserve"> A geração do Log Delta de auditoria na tabela central </w:t>
            </w:r>
            <w:proofErr w:type="spellStart"/>
            <w:r w:rsidRPr="008D710C">
              <w:rPr>
                <w:rFonts w:eastAsiaTheme="minorEastAsia"/>
              </w:rPr>
              <w:t>HistoricodeOperacoes</w:t>
            </w:r>
            <w:proofErr w:type="spellEnd"/>
            <w:r w:rsidRPr="008D710C">
              <w:rPr>
                <w:rFonts w:eastAsiaTheme="minorEastAsia"/>
              </w:rPr>
              <w:t xml:space="preserve"> deve rodar sob o mesmo escopo transacional (@Transactional) da requisição de extração.</w:t>
            </w:r>
          </w:p>
          <w:p w14:paraId="0AB51771" w14:textId="77777777" w:rsidR="00E8063B" w:rsidRPr="00EF3674" w:rsidRDefault="00E8063B" w:rsidP="003C324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</w:p>
        </w:tc>
      </w:tr>
      <w:tr w:rsidR="00E8063B" w:rsidRPr="00F729D2" w14:paraId="096A62CF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DB37A5F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Regras de Negócio </w:t>
            </w:r>
          </w:p>
        </w:tc>
      </w:tr>
      <w:tr w:rsidR="00E8063B" w:rsidRPr="00F729D2" w14:paraId="447AF382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15D5FF0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RN_CD_001 (Imutabilidade de Descrições):</w:t>
            </w:r>
            <w:r w:rsidRPr="008D710C">
              <w:rPr>
                <w:rFonts w:eastAsiaTheme="minorEastAsia"/>
              </w:rPr>
              <w:t xml:space="preserve"> Fica proibido o uso de campos de digitação livre (</w:t>
            </w:r>
            <w:r w:rsidRPr="008D710C">
              <w:rPr>
                <w:rFonts w:eastAsiaTheme="minorEastAsia"/>
                <w:i/>
                <w:iCs/>
              </w:rPr>
              <w:t>inputs</w:t>
            </w:r>
            <w:r w:rsidRPr="008D710C">
              <w:rPr>
                <w:rFonts w:eastAsiaTheme="minorEastAsia"/>
              </w:rPr>
              <w:t xml:space="preserve"> abertos) nas células de descrição de parcelas contratuais. Toda a árvore descritiva é gerada de forma automatizada pelo servidor.</w:t>
            </w:r>
          </w:p>
          <w:p w14:paraId="063651A2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RN_CD_002 (Trava de Redistribuição Automatizada):</w:t>
            </w:r>
            <w:r w:rsidRPr="008D710C">
              <w:rPr>
                <w:rFonts w:eastAsiaTheme="minorEastAsia"/>
              </w:rPr>
              <w:t xml:space="preserve"> O somatório de todas as colunas de parcelas resultantes distribuídas periodicamente deve bater obrigatoriamente e de forma exata com o Custo Total do projeto gerenciado pelo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>.</w:t>
            </w:r>
          </w:p>
          <w:p w14:paraId="6CE6665A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RN_CD_003 (Conformidade Temporal):</w:t>
            </w:r>
            <w:r w:rsidRPr="008D710C">
              <w:rPr>
                <w:rFonts w:eastAsiaTheme="minorEastAsia"/>
              </w:rPr>
              <w:t xml:space="preserve"> O sistema rejeita e barra a geração de matrizes temporais cujo intervalo de meses de desembolso extrapole as datas limites inicial e final de execução macro estabelecidas na Proposta Comercial</w:t>
            </w:r>
            <w:r>
              <w:rPr>
                <w:rFonts w:eastAsiaTheme="minorEastAsia"/>
              </w:rPr>
              <w:t>.</w:t>
            </w:r>
          </w:p>
          <w:p w14:paraId="5DF174DE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lastRenderedPageBreak/>
              <w:t>RN0200 (Amostragem de Parâmetros):</w:t>
            </w:r>
            <w:r w:rsidRPr="008D710C">
              <w:rPr>
                <w:rFonts w:eastAsiaTheme="minorEastAsia"/>
              </w:rPr>
              <w:t xml:space="preserve"> Se o parâmetro de exibição de filtros for marcado como "Sim", os critérios utilizados na busca devem ser renderizados obrigatoriamente no topo da folha virtual e nas impressões.</w:t>
            </w:r>
          </w:p>
          <w:p w14:paraId="131D5154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RN0250 (Tratamento de Rótulo de Meta Vazio):</w:t>
            </w:r>
            <w:r w:rsidRPr="008D710C">
              <w:rPr>
                <w:rFonts w:eastAsiaTheme="minorEastAsia"/>
              </w:rPr>
              <w:t xml:space="preserve"> Se o operador realizar a consulta mantendo o seletor de "Meta" em branco (nulo), o sistema fica proibido de exibir dados nulos no cabeçalho. Deve estampar compulsoriamente a 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string</w:t>
            </w:r>
            <w:proofErr w:type="spellEnd"/>
            <w:r w:rsidRPr="008D710C">
              <w:rPr>
                <w:rFonts w:eastAsiaTheme="minorEastAsia"/>
              </w:rPr>
              <w:t xml:space="preserve"> descritiva </w:t>
            </w:r>
            <w:r w:rsidRPr="008D710C">
              <w:rPr>
                <w:rFonts w:eastAsiaTheme="minorEastAsia"/>
                <w:b/>
                <w:bCs/>
              </w:rPr>
              <w:t>"Todos</w:t>
            </w:r>
            <w:r w:rsidRPr="008D710C">
              <w:rPr>
                <w:rFonts w:eastAsiaTheme="minorEastAsia"/>
              </w:rPr>
              <w:t>.</w:t>
            </w:r>
          </w:p>
          <w:p w14:paraId="66C5AD79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RN0251 (Cálculo do Desembolso Acumulado):</w:t>
            </w:r>
            <w:r w:rsidRPr="008D710C">
              <w:rPr>
                <w:rFonts w:eastAsiaTheme="minorEastAsia"/>
              </w:rPr>
              <w:t xml:space="preserve"> O campo de cada linha realiza a somatória vertical progressiva do valor informado na coluna </w:t>
            </w:r>
            <w:r w:rsidRPr="008D710C">
              <w:rPr>
                <w:rFonts w:eastAsiaTheme="minorEastAsia"/>
                <w:i/>
                <w:iCs/>
              </w:rPr>
              <w:t>Desembolso Mensal</w:t>
            </w:r>
            <w:r w:rsidRPr="008D710C">
              <w:rPr>
                <w:rFonts w:eastAsiaTheme="minorEastAsia"/>
              </w:rPr>
              <w:t>, acumulando os totais linha a linha, cronologicamente</w:t>
            </w:r>
            <w:r>
              <w:rPr>
                <w:rFonts w:eastAsiaTheme="minorEastAsia"/>
              </w:rPr>
              <w:t>.</w:t>
            </w:r>
          </w:p>
          <w:p w14:paraId="489CF05F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RN0252 (Percentual Financeiro Acumulado):</w:t>
            </w:r>
            <w:r w:rsidRPr="008D710C">
              <w:rPr>
                <w:rFonts w:eastAsiaTheme="minorEastAsia"/>
              </w:rPr>
              <w:t xml:space="preserve"> O cálculo deve ser executado dividindo o </w:t>
            </w:r>
            <w:r w:rsidRPr="008D710C">
              <w:rPr>
                <w:rFonts w:eastAsiaTheme="minorEastAsia"/>
                <w:i/>
                <w:iCs/>
              </w:rPr>
              <w:t>Desembolso Acumulado</w:t>
            </w:r>
            <w:r w:rsidRPr="008D710C">
              <w:rPr>
                <w:rFonts w:eastAsiaTheme="minorEastAsia"/>
              </w:rPr>
              <w:t xml:space="preserve"> da linha atual pelo </w:t>
            </w:r>
            <w:r w:rsidRPr="008D710C">
              <w:rPr>
                <w:rFonts w:eastAsiaTheme="minorEastAsia"/>
                <w:i/>
                <w:iCs/>
              </w:rPr>
              <w:t>Valor Total Global Contratado</w:t>
            </w:r>
            <w:r w:rsidRPr="008D710C">
              <w:rPr>
                <w:rFonts w:eastAsiaTheme="minorEastAsia"/>
              </w:rPr>
              <w:t xml:space="preserve"> na Proposta mestre, multiplicado por 100. O resultado deve ser </w:t>
            </w:r>
            <w:r w:rsidRPr="008D710C">
              <w:rPr>
                <w:rFonts w:eastAsiaTheme="minorEastAsia"/>
                <w:b/>
                <w:bCs/>
              </w:rPr>
              <w:t>travado rigidamente com 02 casas decimais fixas</w:t>
            </w:r>
            <w:r w:rsidRPr="008D710C">
              <w:rPr>
                <w:rFonts w:eastAsiaTheme="minorEastAsia"/>
              </w:rPr>
              <w:t xml:space="preserve"> (</w:t>
            </w:r>
            <w:proofErr w:type="spellStart"/>
            <w:r w:rsidRPr="008D710C">
              <w:rPr>
                <w:rFonts w:eastAsiaTheme="minorEastAsia"/>
              </w:rPr>
              <w:t>Ex</w:t>
            </w:r>
            <w:proofErr w:type="spellEnd"/>
            <w:r w:rsidRPr="008D710C">
              <w:rPr>
                <w:rFonts w:eastAsiaTheme="minorEastAsia"/>
              </w:rPr>
              <w:t>: 61,14%).</w:t>
            </w:r>
          </w:p>
          <w:p w14:paraId="47BE3830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RN0253 (Cálculo do Repasse Ciclo 12 Meses):</w:t>
            </w:r>
            <w:r w:rsidRPr="008D710C">
              <w:rPr>
                <w:rFonts w:eastAsiaTheme="minorEastAsia"/>
              </w:rPr>
              <w:t xml:space="preserve"> Nos registros que corresponderem exatamente aos múltiplos de 12 meses de execução cronológica (meses 12, 24, 36, 48...), o sistema deve computar a somatória exata de desembolsos daquele ciclo anual. </w:t>
            </w:r>
            <w:r w:rsidRPr="008D710C">
              <w:rPr>
                <w:rFonts w:eastAsiaTheme="minorEastAsia"/>
                <w:b/>
                <w:bCs/>
              </w:rPr>
              <w:t>Nas demais linhas intermediárias, a célula deve permanecer vazia ou preenchida com um hífen (-)</w:t>
            </w:r>
            <w:r w:rsidRPr="008D710C">
              <w:rPr>
                <w:rFonts w:eastAsiaTheme="minorEastAsia"/>
              </w:rPr>
              <w:t>, blindando a planilha contra furos de projeção.</w:t>
            </w:r>
          </w:p>
          <w:p w14:paraId="677E74CF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RN0254 (Somatórios Anuais por Quebra de Ano):</w:t>
            </w:r>
            <w:r w:rsidRPr="008D710C">
              <w:rPr>
                <w:rFonts w:eastAsiaTheme="minorEastAsia"/>
              </w:rPr>
              <w:t xml:space="preserve"> O motor do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 xml:space="preserve"> deve injetar de forma automática e reativa uma linha física de fechamento de tabela (</w:t>
            </w:r>
            <w:proofErr w:type="spellStart"/>
            <w:r w:rsidRPr="008D710C">
              <w:rPr>
                <w:rFonts w:eastAsiaTheme="minorEastAsia"/>
              </w:rPr>
              <w:t>Tfoot</w:t>
            </w:r>
            <w:proofErr w:type="spellEnd"/>
            <w:r w:rsidRPr="008D710C">
              <w:rPr>
                <w:rFonts w:eastAsiaTheme="minorEastAsia"/>
              </w:rPr>
              <w:t>) ao final de cada doze meses de vigência, estampando os subtotais verticais por ano.</w:t>
            </w:r>
          </w:p>
          <w:p w14:paraId="79540E33" w14:textId="77777777" w:rsidR="00E8063B" w:rsidRPr="008D710C" w:rsidRDefault="00E8063B" w:rsidP="00E8063B">
            <w:pPr>
              <w:pStyle w:val="PargrafodaLista"/>
              <w:numPr>
                <w:ilvl w:val="0"/>
                <w:numId w:val="6"/>
              </w:numPr>
              <w:tabs>
                <w:tab w:val="left" w:pos="9356"/>
              </w:tabs>
              <w:contextualSpacing w:val="0"/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RN0259 (Concatenação de Anexo):</w:t>
            </w:r>
            <w:r w:rsidRPr="008D710C">
              <w:rPr>
                <w:rFonts w:eastAsiaTheme="minorEastAsia"/>
              </w:rPr>
              <w:t xml:space="preserve"> Se o campo "Anexo" for preenchido no formulário de filtros, o seu conteúdo descritivo deverá ser concatenado e exibido juntamente ao Título do Relatório no cabeçalho.</w:t>
            </w:r>
          </w:p>
          <w:p w14:paraId="28B1B509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E8063B" w:rsidRPr="00F729D2" w14:paraId="1B4793BC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BDCA8E1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Protótipos </w:t>
            </w:r>
          </w:p>
        </w:tc>
      </w:tr>
      <w:tr w:rsidR="00E8063B" w:rsidRPr="00F729D2" w14:paraId="18B78F6F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3FB5E87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532B9495" wp14:editId="49EFF0EB">
                  <wp:extent cx="3238500" cy="2057400"/>
                  <wp:effectExtent l="0" t="0" r="0" b="0"/>
                  <wp:docPr id="199977399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7D66229A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524A6BAD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0C119DE6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14FA4A94" wp14:editId="610BD61F">
                  <wp:extent cx="4095750" cy="3371850"/>
                  <wp:effectExtent l="0" t="0" r="0" b="0"/>
                  <wp:docPr id="102324606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1AE33010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1E22529C" wp14:editId="25C7DB01">
                  <wp:extent cx="4076700" cy="4362450"/>
                  <wp:effectExtent l="0" t="0" r="0" b="0"/>
                  <wp:docPr id="85562064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436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</w:tc>
      </w:tr>
      <w:tr w:rsidR="00E8063B" w:rsidRPr="00F729D2" w14:paraId="710EE502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50662F3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Classes envolvidas </w:t>
            </w:r>
          </w:p>
        </w:tc>
      </w:tr>
      <w:tr w:rsidR="00E8063B" w:rsidRPr="00F729D2" w14:paraId="042D2686" w14:textId="77777777" w:rsidTr="003C3242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3746AAC" w14:textId="77777777" w:rsidR="00E8063B" w:rsidRPr="00F729D2" w:rsidRDefault="00E8063B" w:rsidP="003C324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Proposta, </w:t>
            </w:r>
            <w:proofErr w:type="spellStart"/>
            <w:r w:rsidRPr="00F729D2">
              <w:rPr>
                <w:rFonts w:eastAsiaTheme="minorEastAsia"/>
              </w:rPr>
              <w:t>VersaoProposta</w:t>
            </w:r>
            <w:proofErr w:type="spellEnd"/>
            <w:r w:rsidRPr="00F729D2">
              <w:rPr>
                <w:rFonts w:eastAsiaTheme="minorEastAsia"/>
              </w:rPr>
              <w:t>, Meta, </w:t>
            </w:r>
            <w:proofErr w:type="spellStart"/>
            <w:r w:rsidRPr="00F729D2">
              <w:rPr>
                <w:rFonts w:eastAsiaTheme="minorEastAsia"/>
              </w:rPr>
              <w:t>ContaAnalitica</w:t>
            </w:r>
            <w:proofErr w:type="spellEnd"/>
            <w:r w:rsidRPr="00F729D2">
              <w:rPr>
                <w:rFonts w:eastAsiaTheme="minorEastAsia"/>
              </w:rPr>
              <w:t> (Nível 7), </w:t>
            </w:r>
            <w:proofErr w:type="spellStart"/>
            <w:r w:rsidRPr="00F729D2">
              <w:rPr>
                <w:rFonts w:eastAsiaTheme="minorEastAsia"/>
              </w:rPr>
              <w:t>TotalizerService</w:t>
            </w:r>
            <w:proofErr w:type="spellEnd"/>
            <w:r w:rsidRPr="00F729D2">
              <w:rPr>
                <w:rFonts w:eastAsiaTheme="minorEastAsia"/>
              </w:rPr>
              <w:t> (Hub síncrono de </w:t>
            </w:r>
            <w:proofErr w:type="spellStart"/>
            <w:r w:rsidRPr="00F729D2">
              <w:rPr>
                <w:rFonts w:eastAsiaTheme="minorEastAsia"/>
              </w:rPr>
              <w:t>backend</w:t>
            </w:r>
            <w:proofErr w:type="spellEnd"/>
            <w:r w:rsidRPr="00F729D2">
              <w:rPr>
                <w:rFonts w:eastAsiaTheme="minorEastAsia"/>
              </w:rPr>
              <w:t>), </w:t>
            </w:r>
            <w:proofErr w:type="spellStart"/>
            <w:r w:rsidRPr="00F729D2">
              <w:rPr>
                <w:rFonts w:eastAsiaTheme="minorEastAsia"/>
              </w:rPr>
              <w:t>HistoricodeOperacoes</w:t>
            </w:r>
            <w:proofErr w:type="spellEnd"/>
            <w:r w:rsidRPr="00F729D2">
              <w:rPr>
                <w:rFonts w:eastAsiaTheme="minorEastAsia"/>
              </w:rPr>
              <w:t>. </w:t>
            </w:r>
          </w:p>
        </w:tc>
      </w:tr>
    </w:tbl>
    <w:p w14:paraId="539980A4" w14:textId="77777777" w:rsidR="009B247F" w:rsidRDefault="009B247F"/>
    <w:sectPr w:rsidR="009B2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F3A3D"/>
    <w:multiLevelType w:val="hybridMultilevel"/>
    <w:tmpl w:val="9F2264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A604D"/>
    <w:multiLevelType w:val="hybridMultilevel"/>
    <w:tmpl w:val="65CE0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C4363"/>
    <w:multiLevelType w:val="hybridMultilevel"/>
    <w:tmpl w:val="C13E1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1322B"/>
    <w:multiLevelType w:val="hybridMultilevel"/>
    <w:tmpl w:val="CAC8D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B4AF5"/>
    <w:multiLevelType w:val="hybridMultilevel"/>
    <w:tmpl w:val="B2388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D0750"/>
    <w:multiLevelType w:val="hybridMultilevel"/>
    <w:tmpl w:val="75D4C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696879">
    <w:abstractNumId w:val="0"/>
  </w:num>
  <w:num w:numId="2" w16cid:durableId="1727414411">
    <w:abstractNumId w:val="3"/>
  </w:num>
  <w:num w:numId="3" w16cid:durableId="961418733">
    <w:abstractNumId w:val="4"/>
  </w:num>
  <w:num w:numId="4" w16cid:durableId="669798255">
    <w:abstractNumId w:val="5"/>
  </w:num>
  <w:num w:numId="5" w16cid:durableId="2021227143">
    <w:abstractNumId w:val="1"/>
  </w:num>
  <w:num w:numId="6" w16cid:durableId="1422603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3B"/>
    <w:rsid w:val="00726592"/>
    <w:rsid w:val="007F4794"/>
    <w:rsid w:val="009B247F"/>
    <w:rsid w:val="00E210E1"/>
    <w:rsid w:val="00E8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F9F8"/>
  <w15:chartTrackingRefBased/>
  <w15:docId w15:val="{4F560A56-09FC-4F86-B368-A307F44F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E8063B"/>
    <w:pPr>
      <w:spacing w:after="200" w:line="276" w:lineRule="auto"/>
    </w:pPr>
    <w:rPr>
      <w:rFonts w:ascii="Arial" w:eastAsia="Times New Roman" w:hAnsi="Arial" w:cs="Arial"/>
      <w:color w:val="000000"/>
      <w:kern w:val="0"/>
      <w:sz w:val="18"/>
      <w:szCs w:val="18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9"/>
    <w:qFormat/>
    <w:rsid w:val="00E8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9"/>
    <w:unhideWhenUsed/>
    <w:qFormat/>
    <w:rsid w:val="00E8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unhideWhenUsed/>
    <w:qFormat/>
    <w:rsid w:val="00E8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unhideWhenUsed/>
    <w:qFormat/>
    <w:rsid w:val="00E8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9"/>
    <w:unhideWhenUsed/>
    <w:qFormat/>
    <w:rsid w:val="00E8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9"/>
    <w:unhideWhenUsed/>
    <w:qFormat/>
    <w:rsid w:val="00E80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9"/>
    <w:unhideWhenUsed/>
    <w:qFormat/>
    <w:rsid w:val="00E80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9"/>
    <w:unhideWhenUsed/>
    <w:qFormat/>
    <w:rsid w:val="00E80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9"/>
    <w:unhideWhenUsed/>
    <w:qFormat/>
    <w:rsid w:val="00E80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9"/>
    <w:rsid w:val="00E8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6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6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6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6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6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6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6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rsid w:val="00E806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tceaorg-my.sharepoint.com/:w:/r/personal/fabianofsg_ctcea_org_br/_layouts/15/Doc.aspx?sourcedoc=%7Bb0a55525-9372-47b0-ab39-0a54df27359d%7D&amp;action=editn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1554</Words>
  <Characters>8734</Characters>
  <Application>Microsoft Office Word</Application>
  <DocSecurity>0</DocSecurity>
  <Lines>223</Lines>
  <Paragraphs>183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Santos Garcia (ADM CENTRAL)</dc:creator>
  <cp:keywords/>
  <dc:description/>
  <cp:lastModifiedBy>Fabiano Santos Garcia (ADM CENTRAL)</cp:lastModifiedBy>
  <cp:revision>1</cp:revision>
  <dcterms:created xsi:type="dcterms:W3CDTF">2026-08-10T17:31:00Z</dcterms:created>
  <dcterms:modified xsi:type="dcterms:W3CDTF">2026-08-10T17:31:00Z</dcterms:modified>
</cp:coreProperties>
</file>