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Prezado Albert,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Segue o resumo dos resultados do mês de abril de 2026 para o seu portfólio. Neste período, o portfólio global apresentou um retorno de -1,59%, abaixo do benchmark CDI em 2,68%, resultando em um retorno acumulado de 4,18% desde a data base de novembro de 2025. Essa performance reflete um alpha negativo de -2,75%, indicando que o portfólio ficou aquém do benchmark ao longo do tempo.</w:t>
        <w:br/>
        <w:t xml:space="preserve"/>
        <w:br/>
        <w:t xml:space="preserve">Analisando as contribuições por classe de ativos, a categoria de Fundos se destacou como o principal motor de crescimento, com o Brave 90 FIC FIDC apresentando um retorno de 1,14% no mês e um retorno acumulado de 7,61% desde novembro de 2025. Por outro lado, a categoria de Ações foi a principal responsável pela desvalorização, com a MBRF3 liderando as perdas ao registrar -19,45%, impactando significativamente o desempenho geral, mesmo com seu peso relativamente baixo de 4,94%. O destaque positivo do mês foi a ação HAPV3, que obteve um retorno expressivo de 22,67%, mas seu peso de apenas 1,97% limitou seu efeito no resultado total do portfólio.</w:t>
        <w:br/>
        <w:t xml:space="preserve"/>
        <w:br/>
        <w:t xml:space="preserve">Esses resultados ressaltam a necessidade de uma revisão nas alocações em ações, considerando as perdas substanciais de determinados papéis, e sugerem um possível direcionamento para investimentos em fundos mais estáveis, a fim de aumentar a resiliência do portfólio diante da volatilidade do mercado.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/>
      </w:r>
      <w:r>
        <w:drawing>
          <wp:inline>
            <wp:extent cx="5040000" cy="3335242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52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Nesse contexto macroeconômico, a recuperação gradual da economia brasileira se dá em meio a pressões inflacionárias persistentes e taxas de juros elevadas. A recente redução da taxa Selic pelo Banco Central para 14,50% é uma tentativa cautelosa de estimular o crescimento, embora as projeções de inflação para 2026 tenham aumentado para 4,89%. Com um crescimento do PIB projetado em apenas 1,0% para este ano, é evidente que a política monetária contracionista e as pressões fiscais continuam a impactar a economia. Além disso, o mercado de trabalho apresenta sinais de fraqueza, com aumento esperado na taxa de desemprego, o que complica ainda mais o cenário econômico.</w:t>
        <w:br/>
        <w:t xml:space="preserve"/>
        <w:br/>
        <w:t xml:space="preserve">Diante desse cenário, nosso portfólio deve ser ajustado para refletir as condições do mercado. Recomendamos manter aportes balanceados, reforçando taticamente o papel MBRF3, que, apesar de ter apresentado o pior desempenho mensal, pode representar uma oportunidade de valorização a preços mais baixos. Por outro lado, sugerimos um rebalanceamento tático, reduzindo ligeiramente a exposição em HAPV3, que, embora tenha sido o melhor desempenho mensal, pode estar sobrevalorizado neste momento. </w:t>
        <w:br/>
        <w:t xml:space="preserve"/>
        <w:br/>
        <w:t xml:space="preserve">Além dessas ações, é importante considerar a inclusão de GGBR4 em sua carteira, que teve um desempenho positivo de 19,63% no último mês, como uma opção para diversificação. Outras ações, como PETR4 e ITUB4, também mostraram retornos modestos, enquanto VALE3 apresentou uma leve queda. Essas recomendações visam alinhar-se ao seu perfil de risco moderado, equilibrando a busca por crescimento de capital com a necessidade de estabilidade e segurança em um ambiente de mercado volátil. Se desejar, podemos discutir essas recomendações em mais detalhes para garantir que estejam alinhadas com seus objetivos de investimento.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Atenciosamente,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315"/>
        <w:gridCol w:w="4725"/>
        <w:tblGridChange w:id="0">
          <w:tblGrid>
            <w:gridCol w:w="3315"/>
            <w:gridCol w:w="4725"/>
          </w:tblGrid>
        </w:tblGridChange>
      </w:tblGrid>
      <w:tr>
        <w:trPr>
          <w:cantSplit w:val="0"/>
          <w:trHeight w:val="1129.892578125" w:hRule="atLeast"/>
          <w:tblHeader w:val="0"/>
        </w:trPr>
        <w:tc>
          <w:tcPr>
            <w:tcBorders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928813" cy="566800"/>
                  <wp:effectExtent b="0" l="0" r="0" t="0"/>
                  <wp:docPr id="100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33038" l="15781" r="15781" t="30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13" cy="5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Antonio Bicudo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Assesor de Investimentos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+55 11 99504-3853 </w:t>
            </w:r>
            <w:r w:rsidDel="00000000" w:rsidR="00000000" w:rsidRPr="00000000">
              <w:rPr>
                <w:b w:val="1"/>
                <w:bCs w:val="1"/>
                <w:color w:val="999999"/>
                <w:sz w:val="18"/>
                <w:szCs w:val="18"/>
                <w:rtl w:val="0"/>
              </w:rPr>
              <w:t xml:space="preserve"> |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www.xpi.com.br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>
        <w:b w:val="1"/>
        <w:bCs w:val="1"/>
        <w:color w:val="fbc105"/>
      </w:rPr>
    </w:pPr>
    <w:r w:rsidDel="00000000" w:rsidR="00000000" w:rsidRPr="00000000">
      <w:rPr>
        <w:b w:val="1"/>
        <w:bCs w:val="1"/>
        <w:color w:val="fbc10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>
        <w:b w:val="1"/>
        <w:bCs w:val="1"/>
        <w:color w:val="fbc105"/>
      </w:rPr>
    </w:pPr>
    <w:r w:rsidDel="00000000" w:rsidR="00000000" w:rsidRPr="00000000">
      <w:rPr>
        <w:b w:val="1"/>
        <w:bCs w:val="1"/>
        <w:color w:val="fbc10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       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b w:val="1"/>
        <w:bCs w:val="1"/>
        <w:color w:val="fbc105"/>
      </w:rPr>
    </w:pPr>
    <w:r w:rsidDel="00000000" w:rsidR="00000000" w:rsidRPr="00000000">
      <w:rPr/>
      <w:drawing>
        <wp:inline distB="114300" distT="114300" distL="114300" distR="114300">
          <wp:extent cx="2138363" cy="63054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038" l="15781" r="15781" t="30973"/>
                  <a:stretch>
                    <a:fillRect/>
                  </a:stretch>
                </pic:blipFill>
                <pic:spPr>
                  <a:xfrm>
                    <a:off x="0" y="0"/>
                    <a:ext cx="2138363" cy="6305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</w:t>
      <w:tab/>
      <w:tab/>
      <w:tab/>
    </w:r>
    <w:r w:rsidDel="00000000" w:rsidR="00000000" w:rsidRPr="00000000">
      <w:rPr>
        <w:b w:val="1"/>
        <w:bCs w:val="1"/>
        <w:color w:val="fbc105"/>
        <w:rtl w:val="0"/>
      </w:rPr>
      <w:tab/>
      <w:t xml:space="preserve">4 de maio de 2026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xpi.com.br" TargetMode="External"/><Relationship Id="rId8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2026-05-05T00:20:36Z</dcterms:modified>
  <dc:creator/>
  <dc:description/>
  <dc:identifier/>
  <dc:language/>
  <dc:subject/>
</cp:coreProperties>
</file>