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16263A"/>
            <w:tcMar>
              <w:top w:w="360" w:type="dxa"/>
              <w:start w:w="300" w:type="dxa"/>
              <w:bottom w:w="360" w:type="dxa"/>
              <w:end w:w="300" w:type="dxa"/>
            </w:tcMar>
          </w:tcPr>
          <w:p>
            <w:pPr>
              <w:spacing w:after="280"/>
            </w:pPr>
            <w:r>
              <w:rPr>
                <w:rFonts w:ascii="DejaVu Sans Condensed" w:hAnsi="DejaVu Sans Condensed" w:eastAsia="DejaVu Sans Condensed"/>
                <w:b/>
                <w:color w:val="E2742B"/>
                <w:sz w:val="26"/>
              </w:rPr>
              <w:t>VENDA MAIS</w:t>
            </w:r>
          </w:p>
          <w:p>
            <w:pPr>
              <w:spacing w:after="100"/>
            </w:pPr>
            <w:r>
              <w:rPr>
                <w:rFonts w:ascii="DejaVu Sans Condensed" w:hAnsi="DejaVu Sans Condensed" w:eastAsia="DejaVu Sans Condensed"/>
                <w:b/>
                <w:color w:val="FFFFFF"/>
                <w:sz w:val="68"/>
              </w:rPr>
              <w:t>Content Engine</w:t>
            </w:r>
          </w:p>
          <w:p>
            <w:pPr>
              <w:spacing w:after="280"/>
            </w:pPr>
            <w:r>
              <w:rPr>
                <w:rFonts w:ascii="Carlito" w:hAnsi="Carlito" w:eastAsia="Carlito"/>
                <w:b/>
                <w:color w:val="FFFFFF"/>
                <w:sz w:val="30"/>
              </w:rPr>
              <w:t>Newsletter + Conteúdo Social + Geração Visual</w:t>
            </w:r>
          </w:p>
          <w:p>
            <w:r>
              <w:rPr>
                <w:rFonts w:ascii="Carlito" w:hAnsi="Carlito" w:eastAsia="Carlito"/>
                <w:color w:val="9FB3C2"/>
                <w:sz w:val="21"/>
              </w:rPr>
              <w:t>Documento Mestre para construção no Claude/Cloud Design</w:t>
            </w:r>
          </w:p>
        </w:tc>
      </w:tr>
    </w:tbl>
    <w:p>
      <w:pPr>
        <w:spacing w:after="200" w:line="269" w:lineRule="auto"/>
        <w:jc w:val="right"/>
      </w:pPr>
      <w:r>
        <w:rPr>
          <w:rFonts w:ascii="Carlito" w:hAnsi="Carlito" w:eastAsia="Carlito"/>
          <w:b w:val="0"/>
          <w:color w:val="5E6770"/>
          <w:sz w:val="18"/>
        </w:rPr>
        <w:t>Versão 1.0  |  11 de setembro de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AF7F2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single" w:sz="18" w:color="E2742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DejaVu Sans Condensed" w:hAnsi="DejaVu Sans Condensed" w:eastAsia="DejaVu Sans Condensed"/>
                <w:b/>
                <w:color w:val="16263A"/>
                <w:sz w:val="22"/>
              </w:rPr>
              <w:t>OBJETIVO EM UMA FRASE</w:t>
            </w:r>
          </w:p>
          <w:p>
            <w:pPr>
              <w:spacing w:after="0" w:line="259" w:lineRule="auto"/>
            </w:pPr>
            <w:r>
              <w:rPr>
                <w:rFonts w:ascii="Carlito" w:hAnsi="Carlito" w:eastAsia="Carlito"/>
                <w:color w:val="1E1E1E"/>
                <w:sz w:val="19"/>
              </w:rPr>
              <w:t>Criar uma única newsletter forte, prática e consistente com o DNA da VendaMais e, a partir dela, gerar automaticamente três peças sociais completas - cada uma com um ângulo editorial diferente, imagem, diagramação, copy e CTA - sem perder a unidade da marca.</w:t>
            </w:r>
          </w:p>
        </w:tc>
      </w:tr>
    </w:tbl>
    <w:p>
      <w:pPr>
        <w:spacing w:after="20"/>
      </w:pPr>
    </w:p>
    <w:p>
      <w:pPr>
        <w:spacing w:after="0" w:line="269" w:lineRule="auto"/>
      </w:pPr>
      <w:r>
        <w:rPr>
          <w:rFonts w:ascii="Carlito" w:hAnsi="Carlito" w:eastAsia="Carlito"/>
          <w:b w:val="0"/>
          <w:color w:val="5E6770"/>
          <w:sz w:val="18"/>
        </w:rPr>
        <w:t>Este documento foi pensado para ser entregue diretamente ao Claude/Cloud Design e também servir como especificação para um programador.</w:t>
      </w:r>
    </w:p>
    <w:p>
      <w:r>
        <w:br w:type="page"/>
      </w: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1. Visão do produto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PRINCÍPIO DO SISTEMA</w:t>
      </w:r>
    </w:p>
    <w:p>
      <w:pPr>
        <w:spacing w:after="100" w:line="269" w:lineRule="auto"/>
      </w:pPr>
      <w:r>
        <w:rPr>
          <w:rFonts w:ascii="Carlito" w:hAnsi="Carlito" w:eastAsia="Carlito"/>
          <w:b w:val="0"/>
          <w:color w:val="1E1E1E"/>
          <w:sz w:val="21"/>
        </w:rPr>
        <w:t>O sistema será uma central editorial da VendaMais. A newsletter é a peça-mãe. Os conteúdos de LinkedIn e Instagram não serão produzidos como ideias independentes: eles serão derivados do mesmo conteúdo aprovado, cada um reinterpretado para uma lente específica.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AF7F2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single" w:sz="18" w:color="E2742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DejaVu Sans Condensed" w:hAnsi="DejaVu Sans Condensed" w:eastAsia="DejaVu Sans Condensed"/>
                <w:b/>
                <w:color w:val="16263A"/>
                <w:sz w:val="22"/>
              </w:rPr>
              <w:t>DECISÃO-CHAVE</w:t>
            </w:r>
          </w:p>
          <w:p>
            <w:pPr>
              <w:spacing w:after="0" w:line="259" w:lineRule="auto"/>
            </w:pPr>
            <w:r>
              <w:rPr>
                <w:rFonts w:ascii="Carlito" w:hAnsi="Carlito" w:eastAsia="Carlito"/>
                <w:color w:val="1E1E1E"/>
                <w:sz w:val="19"/>
              </w:rPr>
              <w:t>Os três posts representam ângulos editoriais, não três marcas nem três BUs. A comunicação visual continua sendo 100% VendaMais. O leitor deve enxergar uma única marca falando de treinamento, consultoria ou negócio conforme o assunto.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1.1 Resultado de cada edição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1 newsletter em HTML responsivo, pronta para copiar, exportar ou enviar por uma plataforma de e-mail.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Assunto do e-mail, preheader, título principal, abertura, desenvolvimento, bloco prático e CTA.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1 post com ângulo Educação / Treinamento.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1 post com ângulo Consultoria / Gestão Comercial.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1 post com ângulo Negócio / VendaMais.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Para cada post: headline, texto de apoio, conceito visual, imagem final 1080 x 1350 px, legenda/copy, CTA e hashtags opcionais.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Histórico de versões, regenerações, aprovação e exportação.</w:t>
      </w: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1.2 O que o sistema não deve fazer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Criar três conteúdos desconectados do tema da newsletter.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Expor a estrutura interna de BUs como se fossem marcas separadas.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Gerar visual inteiro dentro do modelo de imagem com logo e tipografia “imitados”.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Inventar números, cases, clientes ou provas que não estejam nas fontes fornecidas.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Publicar ou disparar automaticamente sem uma etapa humana de aprovação.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Produzir reflexão genérica sem responder também “o que fazer” e “como fazer”.</w:t>
      </w: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2. A regra estrutural: conteúdo gerado, marca renderizada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POR QUE SEPARAR INTELIGÊNCIA DE DESIGN</w:t>
      </w:r>
    </w:p>
    <w:p>
      <w:pPr>
        <w:spacing w:after="100" w:line="269" w:lineRule="auto"/>
      </w:pPr>
      <w:r>
        <w:rPr>
          <w:rFonts w:ascii="Carlito" w:hAnsi="Carlito" w:eastAsia="Carlito"/>
          <w:b w:val="0"/>
          <w:color w:val="1E1E1E"/>
          <w:sz w:val="21"/>
        </w:rPr>
        <w:t>O sistema deve separar duas tarefas que normalmente são misturadas. A IA decide o conteúdo e cria a imagem-base. Um motor de renderização aplica a identidade visual da VendaMais com regras fixas. Essa separação é o que torna o resultado profissional e repetível.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Fontes</w:t>
            </w:r>
          </w:p>
        </w:tc>
        <w:tc>
          <w:tcPr>
            <w:tcW w:type="dxa" w:w="948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E2742B"/>
                <w:sz w:val="28"/>
              </w:rPr>
              <w:t>&gt;</w:t>
            </w:r>
          </w:p>
        </w:tc>
        <w:tc>
          <w:tcPr>
            <w:tcW w:type="dxa" w:w="94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IA de conteúdo</w:t>
            </w:r>
          </w:p>
        </w:tc>
        <w:tc>
          <w:tcPr>
            <w:tcW w:type="dxa" w:w="948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E2742B"/>
                <w:sz w:val="28"/>
              </w:rPr>
              <w:t>&gt;</w:t>
            </w:r>
          </w:p>
        </w:tc>
        <w:tc>
          <w:tcPr>
            <w:tcW w:type="dxa" w:w="94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Imagem-base</w:t>
            </w:r>
          </w:p>
        </w:tc>
        <w:tc>
          <w:tcPr>
            <w:tcW w:type="dxa" w:w="948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E2742B"/>
                <w:sz w:val="28"/>
              </w:rPr>
              <w:t>&gt;</w:t>
            </w:r>
          </w:p>
        </w:tc>
        <w:tc>
          <w:tcPr>
            <w:tcW w:type="dxa" w:w="94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Render da marca</w:t>
            </w:r>
          </w:p>
        </w:tc>
        <w:tc>
          <w:tcPr>
            <w:tcW w:type="dxa" w:w="948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E2742B"/>
                <w:sz w:val="28"/>
              </w:rPr>
              <w:t>&gt;</w:t>
            </w:r>
          </w:p>
        </w:tc>
        <w:tc>
          <w:tcPr>
            <w:tcW w:type="dxa" w:w="94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Aprovação</w:t>
            </w:r>
          </w:p>
        </w:tc>
        <w:tc>
          <w:tcPr>
            <w:tcW w:type="dxa" w:w="948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E2742B"/>
                <w:sz w:val="28"/>
              </w:rPr>
              <w:t>&gt;</w:t>
            </w:r>
          </w:p>
        </w:tc>
        <w:tc>
          <w:tcPr>
            <w:tcW w:type="dxa" w:w="94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Exportação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2.1 Camada de inteligência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Lê o briefing e as fontes.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Produz a newsletter em estrutura de blocos.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Extrai os três melhores ângulos sociais.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Cria headline, subheadline, copy, CTA e briefing visual.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Checa coerência, prova, clareza e aderência ao DNA.</w:t>
      </w: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2.2 Camada visual determinística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Usa sempre os arquivos oficiais do logo e do símbolo V.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Aplica cores, margens, hierarquia, tipografia e grafismos conforme templates aprovados.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Coloca o texto sobre a imagem em SVG/HTML e só depois converte para PNG.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Garante que o logo nunca seja redesenhado pela IA.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Mantém o mesmo padrão quando o provedor de imagem for trocado.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16263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single" w:sz="18" w:color="E2742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DejaVu Sans Condensed" w:hAnsi="DejaVu Sans Condensed" w:eastAsia="DejaVu Sans Condensed"/>
                <w:b/>
                <w:color w:val="E2742B"/>
                <w:sz w:val="22"/>
              </w:rPr>
              <w:t>REGRA DE PRODUÇÃO</w:t>
            </w:r>
          </w:p>
          <w:p>
            <w:pPr>
              <w:spacing w:after="0" w:line="259" w:lineRule="auto"/>
            </w:pPr>
            <w:r>
              <w:rPr>
                <w:rFonts w:ascii="Carlito" w:hAnsi="Carlito" w:eastAsia="Carlito"/>
                <w:color w:val="FFFFFF"/>
                <w:sz w:val="19"/>
              </w:rPr>
              <w:t>Pedir ao gerador de imagens “faça um post da VendaMais com logo e texto” é proibido. O gerador entrega apenas a fotografia/ilustração-base. Texto, logo e elementos da marca entram depois, no renderizador.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3. Brand Engine - DNA da VendaMais codificado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FONTE DE VERDADE</w:t>
      </w:r>
    </w:p>
    <w:p>
      <w:pPr>
        <w:spacing w:after="100" w:line="269" w:lineRule="auto"/>
      </w:pPr>
      <w:r>
        <w:rPr>
          <w:rFonts w:ascii="Carlito" w:hAnsi="Carlito" w:eastAsia="Carlito"/>
          <w:b w:val="0"/>
          <w:color w:val="1E1E1E"/>
          <w:sz w:val="20"/>
        </w:rPr>
        <w:t>O sistema deve usar o DNA Criativo e o Manual de Marca como fonte oficial, mas não deve reler PDFs inteiros em toda geração. Na implantação, as regras são transformadas em um objeto estruturado “brand_rules”, versionado e aprovado. Quando a marca mudar, esse objeto é atualizado primeiro.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80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Regra</w:t>
            </w:r>
          </w:p>
        </w:tc>
        <w:tc>
          <w:tcPr>
            <w:tcW w:type="dxa" w:w="7200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Aplicação no sistema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Marca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Grafia obrigatória: VendaMais. Uma marca, sete rostos. No fluxo deste produto, padrão institucional = marca sozinha.</w:t>
            </w:r>
          </w:p>
        </w:tc>
      </w:tr>
      <w:tr>
        <w:tc>
          <w:tcPr>
            <w:tcW w:type="dxa" w:w="288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Tese</w:t>
            </w:r>
          </w:p>
        </w:tc>
        <w:tc>
          <w:tcPr>
            <w:tcW w:type="dxa" w:w="720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“Vendas levadas a sério”. Prova antes da promessa. Método, rotina e aplicação acima de energia e superlativos.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Cores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Navy #16263A, laranja #E2742B e branco #FFFFFF como base. Areia e tons de apoio conforme o manual.</w:t>
            </w:r>
          </w:p>
        </w:tc>
      </w:tr>
      <w:tr>
        <w:tc>
          <w:tcPr>
            <w:tcW w:type="dxa" w:w="288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Proporção visual</w:t>
            </w:r>
          </w:p>
        </w:tc>
        <w:tc>
          <w:tcPr>
            <w:tcW w:type="dxa" w:w="720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Referência de peça típica: 55% navy, 20% laranja, 25% branco. Laranja como ação, não como fundo dominante.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Tipografia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Obviously na frente; Poppins no apoio. O sistema permite upload/licenciamento da fonte oficial e usa Poppins como fallback.</w:t>
            </w:r>
          </w:p>
        </w:tc>
      </w:tr>
      <w:tr>
        <w:tc>
          <w:tcPr>
            <w:tcW w:type="dxa" w:w="288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Grafismos</w:t>
            </w:r>
          </w:p>
        </w:tc>
        <w:tc>
          <w:tcPr>
            <w:tcW w:type="dxa" w:w="720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Símbolo V, barra laranja, hexágono apenas para retrato de sócio. Sem gradiente e sem efeitos 3D.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Fotografia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Pele natural, contraste médio, sombras puxadas para navy. Se houver texto sobre foto, camada navy antes do texto branco.</w:t>
            </w:r>
          </w:p>
        </w:tc>
      </w:tr>
      <w:tr>
        <w:tc>
          <w:tcPr>
            <w:tcW w:type="dxa" w:w="288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Vocabulário</w:t>
            </w:r>
          </w:p>
        </w:tc>
        <w:tc>
          <w:tcPr>
            <w:tcW w:type="dxa" w:w="720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Preferir método, campo, previsibilidade, governança, cultura comercial, rotina de execução e indicador.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Evitar</w:t>
            </w:r>
          </w:p>
        </w:tc>
        <w:tc>
          <w:tcPr>
            <w:tcW w:type="dxa" w:w="72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Energia, mindset, virada de chave, disruptivo, paixão por vendas, “o maior/o melhor” sem prova.</w:t>
            </w:r>
          </w:p>
        </w:tc>
      </w:tr>
      <w:tr>
        <w:tc>
          <w:tcPr>
            <w:tcW w:type="dxa" w:w="288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Texto</w:t>
            </w:r>
          </w:p>
        </w:tc>
        <w:tc>
          <w:tcPr>
            <w:tcW w:type="dxa" w:w="720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Número antes do adjetivo; verbo de ação; título curto; sem ponto final em título.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3.1 Biblioteca de ativos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Logos oficiais: principal, negativa, laranja e símbolo V.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Retratos oficiais dos sócios e fotos aprovadas de palco, sala e contexto de cliente.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Fontes oficiais, somente quando houver licença adequada para uso no sistema.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DNA Criativo, Manual de Marca e versões anteriores apenas como arquivo de referência.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Templates visuais aprovados e exemplos de “certo / errado”.</w:t>
      </w: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4. Jornada do usuário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DO BRIEFING À PUBLICAÇÃO</w:t>
      </w:r>
    </w:p>
    <w:p>
      <w:pPr>
        <w:pStyle w:val="ListNumber"/>
        <w:spacing w:after="60"/>
      </w:pPr>
      <w:r>
        <w:rPr>
          <w:rFonts w:ascii="Carlito" w:hAnsi="Carlito" w:eastAsia="Carlito"/>
          <w:color w:val="1E1E1E"/>
          <w:sz w:val="20"/>
        </w:rPr>
        <w:t>Entrar no Dashboard e clicar em “Nova edição”.</w:t>
      </w:r>
    </w:p>
    <w:p>
      <w:pPr>
        <w:pStyle w:val="ListNumber"/>
        <w:spacing w:after="60"/>
      </w:pPr>
      <w:r>
        <w:rPr>
          <w:rFonts w:ascii="Carlito" w:hAnsi="Carlito" w:eastAsia="Carlito"/>
          <w:color w:val="1E1E1E"/>
          <w:sz w:val="20"/>
        </w:rPr>
        <w:t>Informar tema, objetivo, público, CTA desejado e data da edição.</w:t>
      </w:r>
    </w:p>
    <w:p>
      <w:pPr>
        <w:pStyle w:val="ListNumber"/>
        <w:spacing w:after="60"/>
      </w:pPr>
      <w:r>
        <w:rPr>
          <w:rFonts w:ascii="Carlito" w:hAnsi="Carlito" w:eastAsia="Carlito"/>
          <w:color w:val="1E1E1E"/>
          <w:sz w:val="20"/>
        </w:rPr>
        <w:t>Adicionar fontes: texto colado, URL, PDF, DOCX, notas internas ou arquivos de apoio.</w:t>
      </w:r>
    </w:p>
    <w:p>
      <w:pPr>
        <w:pStyle w:val="ListNumber"/>
        <w:spacing w:after="60"/>
      </w:pPr>
      <w:r>
        <w:rPr>
          <w:rFonts w:ascii="Carlito" w:hAnsi="Carlito" w:eastAsia="Carlito"/>
          <w:color w:val="1E1E1E"/>
          <w:sz w:val="20"/>
        </w:rPr>
        <w:t>Clicar em “Analisar fontes”. O sistema extrai fatos, dados, exemplos, argumentos e possíveis ângulos.</w:t>
      </w:r>
    </w:p>
    <w:p>
      <w:pPr>
        <w:pStyle w:val="ListNumber"/>
        <w:spacing w:after="60"/>
      </w:pPr>
      <w:r>
        <w:rPr>
          <w:rFonts w:ascii="Carlito" w:hAnsi="Carlito" w:eastAsia="Carlito"/>
          <w:color w:val="1E1E1E"/>
          <w:sz w:val="20"/>
        </w:rPr>
        <w:t>Gerar a primeira versão da newsletter.</w:t>
      </w:r>
    </w:p>
    <w:p>
      <w:pPr>
        <w:pStyle w:val="ListNumber"/>
        <w:spacing w:after="60"/>
      </w:pPr>
      <w:r>
        <w:rPr>
          <w:rFonts w:ascii="Carlito" w:hAnsi="Carlito" w:eastAsia="Carlito"/>
          <w:color w:val="1E1E1E"/>
          <w:sz w:val="20"/>
        </w:rPr>
        <w:t>Editar qualquer bloco diretamente na tela e regenerar somente o bloco selecionado, sem perder o restante.</w:t>
      </w:r>
    </w:p>
    <w:p>
      <w:pPr>
        <w:pStyle w:val="ListNumber"/>
        <w:spacing w:after="60"/>
      </w:pPr>
      <w:r>
        <w:rPr>
          <w:rFonts w:ascii="Carlito" w:hAnsi="Carlito" w:eastAsia="Carlito"/>
          <w:color w:val="1E1E1E"/>
          <w:sz w:val="20"/>
        </w:rPr>
        <w:t>Executar “Revisão VendaMais”: clareza, utilidade prática, evidência, vocabulário, consistência e CTA.</w:t>
      </w:r>
    </w:p>
    <w:p>
      <w:pPr>
        <w:pStyle w:val="ListNumber"/>
        <w:spacing w:after="60"/>
      </w:pPr>
      <w:r>
        <w:rPr>
          <w:rFonts w:ascii="Carlito" w:hAnsi="Carlito" w:eastAsia="Carlito"/>
          <w:color w:val="1E1E1E"/>
          <w:sz w:val="20"/>
        </w:rPr>
        <w:t>Aprovar a newsletter como “fonte-mãe”.</w:t>
      </w:r>
    </w:p>
    <w:p>
      <w:pPr>
        <w:pStyle w:val="ListNumber"/>
        <w:spacing w:after="60"/>
      </w:pPr>
      <w:r>
        <w:rPr>
          <w:rFonts w:ascii="Carlito" w:hAnsi="Carlito" w:eastAsia="Carlito"/>
          <w:color w:val="1E1E1E"/>
          <w:sz w:val="20"/>
        </w:rPr>
        <w:t>Gerar os três posts derivados.</w:t>
      </w:r>
    </w:p>
    <w:p>
      <w:pPr>
        <w:pStyle w:val="ListNumber"/>
        <w:spacing w:after="60"/>
      </w:pPr>
      <w:r>
        <w:rPr>
          <w:rFonts w:ascii="Carlito" w:hAnsi="Carlito" w:eastAsia="Carlito"/>
          <w:color w:val="1E1E1E"/>
          <w:sz w:val="20"/>
        </w:rPr>
        <w:t>Escolher ou regenerar imagem-base de cada post.</w:t>
      </w:r>
    </w:p>
    <w:p>
      <w:pPr>
        <w:pStyle w:val="ListNumber"/>
        <w:spacing w:after="60"/>
      </w:pPr>
      <w:r>
        <w:rPr>
          <w:rFonts w:ascii="Carlito" w:hAnsi="Carlito" w:eastAsia="Carlito"/>
          <w:color w:val="1E1E1E"/>
          <w:sz w:val="20"/>
        </w:rPr>
        <w:t>Renderizar o layout final 1080 x 1350 px.</w:t>
      </w:r>
    </w:p>
    <w:p>
      <w:pPr>
        <w:pStyle w:val="ListNumber"/>
        <w:spacing w:after="60"/>
      </w:pPr>
      <w:r>
        <w:rPr>
          <w:rFonts w:ascii="Carlito" w:hAnsi="Carlito" w:eastAsia="Carlito"/>
          <w:color w:val="1E1E1E"/>
          <w:sz w:val="20"/>
        </w:rPr>
        <w:t>Revisar, editar texto, trocar imagem, mudar template ou regenerar apenas a parte desejada.</w:t>
      </w:r>
    </w:p>
    <w:p>
      <w:pPr>
        <w:pStyle w:val="ListNumber"/>
        <w:spacing w:after="60"/>
      </w:pPr>
      <w:r>
        <w:rPr>
          <w:rFonts w:ascii="Carlito" w:hAnsi="Carlito" w:eastAsia="Carlito"/>
          <w:color w:val="1E1E1E"/>
          <w:sz w:val="20"/>
        </w:rPr>
        <w:t>Exportar PNG + copy de cada post e HTML + texto simples da newsletter.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AF7F2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single" w:sz="18" w:color="E2742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DejaVu Sans Condensed" w:hAnsi="DejaVu Sans Condensed" w:eastAsia="DejaVu Sans Condensed"/>
                <w:b/>
                <w:color w:val="16263A"/>
                <w:sz w:val="22"/>
              </w:rPr>
              <w:t>EXPERIÊNCIA IMPORTANTE</w:t>
            </w:r>
          </w:p>
          <w:p>
            <w:pPr>
              <w:spacing w:after="0" w:line="259" w:lineRule="auto"/>
            </w:pPr>
            <w:r>
              <w:rPr>
                <w:rFonts w:ascii="Carlito" w:hAnsi="Carlito" w:eastAsia="Carlito"/>
                <w:color w:val="1E1E1E"/>
                <w:sz w:val="19"/>
              </w:rPr>
              <w:t>Nenhum botão “Regenerar tudo”. A interface deve favorecer regenerações locais: título, parágrafo, CTA, imagem, copy ou post específico. Isso reduz retrabalho e evita perder uma versão boa por causa de um único trecho ruim.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5. Módulo Newsletter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A PEÇA-MÃE</w:t>
      </w: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5.1 Entradas do briefing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2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7"/>
              </w:rPr>
              <w:t>Tipo / regra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Tema central</w:t>
            </w:r>
          </w:p>
        </w:tc>
        <w:tc>
          <w:tcPr>
            <w:tcW w:type="dxa" w:w="69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Obrigatório. Uma frase simples.</w:t>
            </w:r>
          </w:p>
        </w:tc>
      </w:tr>
      <w:tr>
        <w:tc>
          <w:tcPr>
            <w:tcW w:type="dxa" w:w="316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Objetivo</w:t>
            </w:r>
          </w:p>
        </w:tc>
        <w:tc>
          <w:tcPr>
            <w:tcW w:type="dxa" w:w="691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Educar, gerar demanda, relacionamento, posicionamento ou convite.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Público principal</w:t>
            </w:r>
          </w:p>
        </w:tc>
        <w:tc>
          <w:tcPr>
            <w:tcW w:type="dxa" w:w="69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CEO/dono, gestor comercial, RH/T&amp;D, vendedor/representante ou outro.</w:t>
            </w:r>
          </w:p>
        </w:tc>
      </w:tr>
      <w:tr>
        <w:tc>
          <w:tcPr>
            <w:tcW w:type="dxa" w:w="316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Fonte principal</w:t>
            </w:r>
          </w:p>
        </w:tc>
        <w:tc>
          <w:tcPr>
            <w:tcW w:type="dxa" w:w="691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Texto, arquivo ou URL.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Fontes complementares</w:t>
            </w:r>
          </w:p>
        </w:tc>
        <w:tc>
          <w:tcPr>
            <w:tcW w:type="dxa" w:w="69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0 a N arquivos/links/notas.</w:t>
            </w:r>
          </w:p>
        </w:tc>
      </w:tr>
      <w:tr>
        <w:tc>
          <w:tcPr>
            <w:tcW w:type="dxa" w:w="316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CTA</w:t>
            </w:r>
          </w:p>
        </w:tc>
        <w:tc>
          <w:tcPr>
            <w:tcW w:type="dxa" w:w="691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Pode ser informado pelo usuário ou sugerido pela IA.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Tom da edição</w:t>
            </w:r>
          </w:p>
        </w:tc>
        <w:tc>
          <w:tcPr>
            <w:tcW w:type="dxa" w:w="69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Analítico, provocativo, didático, executivo, case, tendência.</w:t>
            </w:r>
          </w:p>
        </w:tc>
      </w:tr>
      <w:tr>
        <w:tc>
          <w:tcPr>
            <w:tcW w:type="dxa" w:w="316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Extensão</w:t>
            </w:r>
          </w:p>
        </w:tc>
        <w:tc>
          <w:tcPr>
            <w:tcW w:type="dxa" w:w="691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Curta, padrão ou aprofundada. Padrão recomendado: 700-1.200 palavras.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5.2 Estrutura editorial obrigatória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Assunto do e-mail: específico, sem clickbait.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Preheader: complementa o assunto; não repete.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Headline principal: uma tese clara.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Abertura: problema real ou tensão, sem “Hoje vamos falar sobre...”.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Contexto / diagnóstico: por que isso importa para uma operação comercial.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Desenvolvimento: 2 a 4 blocos com argumentos, exemplos ou dados.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Aplicação prática: “o que fazer” e “como fazer”. Deve existir sempre.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Checklist, roteiro, perguntas ou passos que o leitor possa aplicar.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Fechamento: uma conclusão útil, sem frase motivacional vazia.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CTA: coerente com o conteúdo. Pode ser conversa, diagnóstico, treinamento, material ou resposta ao e-mail.</w:t>
      </w: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5.3 HTML de e-mail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Template responsivo com largura principal de 600 px.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HTML de e-mail com estilos inline e estrutura compatível com Gmail e Outlook.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Nada de JavaScript dentro do e-mail.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Imagens com alt text, largura responsiva e links editáveis.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Versão “plain text” gerada automaticamente.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Botão: copiar HTML, baixar .html e visualizar desktop/mobile.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O conteúdo é armazenado em JSON estruturado e renderizado em HTML; a IA não escreve um layout HTML livre a cada edição.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5F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6E2DA"/>
              <w:left w:val="single" w:sz="4" w:color="E6E2DA"/>
              <w:bottom w:val="single" w:sz="4" w:color="E6E2DA"/>
              <w:right w:val="single" w:sz="4" w:color="E6E2DA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color w:val="1E1E1E"/>
                <w:sz w:val="14"/>
              </w:rPr>
              <w:t>newsletter = {</w:t>
              <w:br/>
              <w:t xml:space="preserve">  subject, preheader, headline, intro,</w:t>
              <w:br/>
              <w:t xml:space="preserve">  sections: [{title, body, evidence_ids[]}],</w:t>
              <w:br/>
              <w:t xml:space="preserve">  practical_block: {title, steps[]},</w:t>
              <w:br/>
              <w:t xml:space="preserve">  closing, cta: {label, url, type},</w:t>
              <w:br/>
              <w:t xml:space="preserve">  sources_used[], quality_score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6. Motor de reaproveitamento: três posts, uma tese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DERIVAÇÃO EDITORIAL</w:t>
      </w:r>
    </w:p>
    <w:p>
      <w:pPr>
        <w:spacing w:after="100" w:line="269" w:lineRule="auto"/>
      </w:pPr>
      <w:r>
        <w:rPr>
          <w:rFonts w:ascii="Carlito" w:hAnsi="Carlito" w:eastAsia="Carlito"/>
          <w:b w:val="0"/>
          <w:color w:val="1E1E1E"/>
          <w:sz w:val="20"/>
        </w:rPr>
        <w:t>Somente depois de a newsletter ser aprovada, o sistema gera os três conteúdos sociais. Cada post precisa conseguir viver sozinho, mas deve ser rastreável à newsletter e às mesmas fontes.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088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Ângulo</w:t>
            </w:r>
          </w:p>
        </w:tc>
        <w:tc>
          <w:tcPr>
            <w:tcW w:type="dxa" w:w="3672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Público / tensão</w:t>
            </w:r>
          </w:p>
        </w:tc>
        <w:tc>
          <w:tcPr>
            <w:tcW w:type="dxa" w:w="4320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Como deve aparecer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Treinamento / Educação</w:t>
            </w:r>
          </w:p>
        </w:tc>
        <w:tc>
          <w:tcPr>
            <w:tcW w:type="dxa" w:w="367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RH, T&amp;D, líderes e gestores que precisam transformar conhecimento em comportamento.</w:t>
            </w:r>
          </w:p>
        </w:tc>
        <w:tc>
          <w:tcPr>
            <w:tcW w:type="dxa" w:w="432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Aplicação, prática, aprendizagem, acompanhamento, indicador, transferência para o campo. Não vender “curso” genérico.</w:t>
            </w:r>
          </w:p>
        </w:tc>
      </w:tr>
      <w:tr>
        <w:tc>
          <w:tcPr>
            <w:tcW w:type="dxa" w:w="208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Consultoria / Gestão</w:t>
            </w:r>
          </w:p>
        </w:tc>
        <w:tc>
          <w:tcPr>
            <w:tcW w:type="dxa" w:w="367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CEO, dono, diretor ou gerente comercial com problema de previsibilidade, processo ou execução.</w:t>
            </w:r>
          </w:p>
        </w:tc>
        <w:tc>
          <w:tcPr>
            <w:tcW w:type="dxa" w:w="432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Diagnóstico, governança, processo, rotina, forecast, gestão, indicadores, arquitetura comercial e sustentação.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Negócio / VendaMais</w:t>
            </w:r>
          </w:p>
        </w:tc>
        <w:tc>
          <w:tcPr>
            <w:tcW w:type="dxa" w:w="367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Lideranças que olham crescimento, produtividade e performance de forma mais ampla.</w:t>
            </w:r>
          </w:p>
        </w:tc>
        <w:tc>
          <w:tcPr>
            <w:tcW w:type="dxa" w:w="432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Tese de negócio, leitura de mercado, decisão gerencial, relação entre vendas, liderança, marketing, IA e crescimento.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AF7F2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single" w:sz="18" w:color="E2742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DejaVu Sans Condensed" w:hAnsi="DejaVu Sans Condensed" w:eastAsia="DejaVu Sans Condensed"/>
                <w:b/>
                <w:color w:val="16263A"/>
                <w:sz w:val="22"/>
              </w:rPr>
              <w:t>REGRA DE UNIDADE</w:t>
            </w:r>
          </w:p>
          <w:p>
            <w:pPr>
              <w:spacing w:after="0" w:line="259" w:lineRule="auto"/>
            </w:pPr>
            <w:r>
              <w:rPr>
                <w:rFonts w:ascii="Carlito" w:hAnsi="Carlito" w:eastAsia="Carlito"/>
                <w:color w:val="1E1E1E"/>
                <w:sz w:val="19"/>
              </w:rPr>
              <w:t>Não escrever “pela ótica da BU Treinamentos” ou “pela ótica da BU Consultoria”. O sistema muda o ângulo, não a marca. Todos os posts são VendaMais.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6.1 Saída estruturada por post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5F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6E2DA"/>
              <w:left w:val="single" w:sz="4" w:color="E6E2DA"/>
              <w:bottom w:val="single" w:sz="4" w:color="E6E2DA"/>
              <w:right w:val="single" w:sz="4" w:color="E6E2DA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color w:val="1E1E1E"/>
                <w:sz w:val="14"/>
              </w:rPr>
              <w:t>post = {</w:t>
              <w:br/>
              <w:t xml:space="preserve">  angle: "training | consulting | business",</w:t>
              <w:br/>
              <w:t xml:space="preserve">  thesis, headline, support_line,</w:t>
              <w:br/>
              <w:t xml:space="preserve">  visual_concept, image_prompt, template_id,</w:t>
              <w:br/>
              <w:t xml:space="preserve">  caption: {hook, body, practical_takeaway, cta, hashtags[]},</w:t>
              <w:br/>
              <w:t xml:space="preserve">  source_claims[], quality_score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6.2 Regras da copy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Abrir com uma tensão ou afirmação específica; evitar perguntas genéricas.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Entregar valor mesmo para quem não clicar em nada.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Incluir pelo menos um ponto aplicável ou uma pergunta de gestão.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CTA proporcional: conversar, salvar, compartilhar, ler a newsletter ou conhecer uma solução.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Hashtags são opcionais e limitadas; não usar bloco de 15 a 30 hashtags.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Não repetir na legenda exatamente o texto que já está na arte.</w:t>
      </w: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7. Geração visual dos posts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FORMATO COMPARTILHADO LINKEDIN + INSTAGRAM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16263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single" w:sz="18" w:color="E2742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DejaVu Sans Condensed" w:hAnsi="DejaVu Sans Condensed" w:eastAsia="DejaVu Sans Condensed"/>
                <w:b/>
                <w:color w:val="E2742B"/>
                <w:sz w:val="22"/>
              </w:rPr>
              <w:t>FORMATO-MESTRE</w:t>
            </w:r>
          </w:p>
          <w:p>
            <w:pPr>
              <w:spacing w:after="0" w:line="259" w:lineRule="auto"/>
            </w:pPr>
            <w:r>
              <w:rPr>
                <w:rFonts w:ascii="Carlito" w:hAnsi="Carlito" w:eastAsia="Carlito"/>
                <w:color w:val="FFFFFF"/>
                <w:sz w:val="19"/>
              </w:rPr>
              <w:t>1080 x 1350 px (4:5). É o formato vertical mais seguro para reaproveitar a mesma peça no feed do LinkedIn e do Instagram, com boa ocupação de tela e sem criar dois arquivos para o mesmo post.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7.1 Pipeline visual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115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Briefing visual</w:t>
            </w:r>
          </w:p>
        </w:tc>
        <w:tc>
          <w:tcPr>
            <w:tcW w:type="dxa" w:w="1158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E2742B"/>
                <w:sz w:val="28"/>
              </w:rPr>
              <w:t>&gt;</w:t>
            </w:r>
          </w:p>
        </w:tc>
        <w:tc>
          <w:tcPr>
            <w:tcW w:type="dxa" w:w="115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Gerador de imagem</w:t>
            </w:r>
          </w:p>
        </w:tc>
        <w:tc>
          <w:tcPr>
            <w:tcW w:type="dxa" w:w="1158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E2742B"/>
                <w:sz w:val="28"/>
              </w:rPr>
              <w:t>&gt;</w:t>
            </w:r>
          </w:p>
        </w:tc>
        <w:tc>
          <w:tcPr>
            <w:tcW w:type="dxa" w:w="115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Recorte / crop</w:t>
            </w:r>
          </w:p>
        </w:tc>
        <w:tc>
          <w:tcPr>
            <w:tcW w:type="dxa" w:w="1158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E2742B"/>
                <w:sz w:val="28"/>
              </w:rPr>
              <w:t>&gt;</w:t>
            </w:r>
          </w:p>
        </w:tc>
        <w:tc>
          <w:tcPr>
            <w:tcW w:type="dxa" w:w="115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Template VM</w:t>
            </w:r>
          </w:p>
        </w:tc>
        <w:tc>
          <w:tcPr>
            <w:tcW w:type="dxa" w:w="1158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E2742B"/>
                <w:sz w:val="28"/>
              </w:rPr>
              <w:t>&gt;</w:t>
            </w:r>
          </w:p>
        </w:tc>
        <w:tc>
          <w:tcPr>
            <w:tcW w:type="dxa" w:w="115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PNG final</w:t>
            </w:r>
          </w:p>
        </w:tc>
      </w:tr>
    </w:tbl>
    <w:p>
      <w:pPr>
        <w:spacing w:after="20"/>
      </w:pP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O gerador recebe um briefing sem logo e sem textos obrigatórios.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 imagem-base deve deixar área negativa para o título quando o template exigir.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O sistema cria crop 4:5 e permite reposicionar a imagem manualmente.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O renderizador aplica overlay, logo, título, barra laranja, símbolo V e demais elementos.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O usuário pode escolher entre 3 a 5 templates aprovados; nunca um layout totalmente livre.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Exportação final em PNG de alta qualidade.</w:t>
      </w: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7.2 Direção de imagem por ângulo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800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Ângulo</w:t>
            </w:r>
          </w:p>
        </w:tc>
        <w:tc>
          <w:tcPr>
            <w:tcW w:type="dxa" w:w="4320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Direção visual preferida</w:t>
            </w:r>
          </w:p>
        </w:tc>
        <w:tc>
          <w:tcPr>
            <w:tcW w:type="dxa" w:w="3960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Evitar</w:t>
            </w:r>
          </w:p>
        </w:tc>
      </w:tr>
      <w:tr>
        <w:tc>
          <w:tcPr>
            <w:tcW w:type="dxa" w:w="18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Treinamento</w:t>
            </w:r>
          </w:p>
        </w:tc>
        <w:tc>
          <w:tcPr>
            <w:tcW w:type="dxa" w:w="432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Pessoas reais em sala, dinâmica, cocriação, liderança, mão na massa, quadro e interação.</w:t>
            </w:r>
          </w:p>
        </w:tc>
        <w:tc>
          <w:tcPr>
            <w:tcW w:type="dxa" w:w="396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Foto genérica de plateia comemorando, braços cruzados, “high five” de banco de imagens.</w:t>
            </w:r>
          </w:p>
        </w:tc>
      </w:tr>
      <w:tr>
        <w:tc>
          <w:tcPr>
            <w:tcW w:type="dxa" w:w="180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Consultoria</w:t>
            </w:r>
          </w:p>
        </w:tc>
        <w:tc>
          <w:tcPr>
            <w:tcW w:type="dxa" w:w="432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Mesa de decisão, quadro de indicadores, executivos trabalhando, campo, reunião de diagnóstico.</w:t>
            </w:r>
          </w:p>
        </w:tc>
        <w:tc>
          <w:tcPr>
            <w:tcW w:type="dxa" w:w="396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Aperto de mão, gráfico flutuando no ar, “consultor apontando tela” artificial.</w:t>
            </w:r>
          </w:p>
        </w:tc>
      </w:tr>
      <w:tr>
        <w:tc>
          <w:tcPr>
            <w:tcW w:type="dxa" w:w="18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Negócio</w:t>
            </w:r>
          </w:p>
        </w:tc>
        <w:tc>
          <w:tcPr>
            <w:tcW w:type="dxa" w:w="432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Liderança, operação, mercado, tomada de decisão, vendas conectadas a crescimento e produtividade.</w:t>
            </w:r>
          </w:p>
        </w:tc>
        <w:tc>
          <w:tcPr>
            <w:tcW w:type="dxa" w:w="396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Imagem abstrata de foguete, alvo, lâmpada, xadrez ou metáfora empresarial clichê.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7.3 Templates mínimos do MVP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T01 - Foto cheia + overlay navy + headline branca + barra laranja.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T02 - Fundo branco + foto em bloco + headline navy + número/dado em laranja.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T03 - Fundo navy + imagem recortada + frase curta + símbolo V.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T04 - Card editorial limpo + dado/prova + apoio visual discreto.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T05 - Retrato de sócio, somente quando a peça for realmente assinada por uma pessoa e respeitar as regras do Manual.</w:t>
      </w: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8. Integração com geração de imagens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ARQUITETURA SEM DEPENDÊNCIA DE FORNECEDOR</w:t>
      </w:r>
    </w:p>
    <w:p>
      <w:pPr>
        <w:spacing w:after="100" w:line="269" w:lineRule="auto"/>
      </w:pPr>
      <w:r>
        <w:rPr>
          <w:rFonts w:ascii="Carlito" w:hAnsi="Carlito" w:eastAsia="Carlito"/>
          <w:b w:val="0"/>
          <w:color w:val="1E1E1E"/>
          <w:sz w:val="20"/>
        </w:rPr>
        <w:t>A aplicação terá um “Image Provider Adapter”. O usuário escolhe o provedor nas configurações. O restante do sistema não muda. Isso evita reconstruir o produto quando surgir um modelo melhor.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584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Modo</w:t>
            </w:r>
          </w:p>
        </w:tc>
        <w:tc>
          <w:tcPr>
            <w:tcW w:type="dxa" w:w="3600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Provedor sugerido hoje</w:t>
            </w:r>
          </w:p>
        </w:tc>
        <w:tc>
          <w:tcPr>
            <w:tcW w:type="dxa" w:w="4896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Padrão</w:t>
            </w:r>
          </w:p>
        </w:tc>
        <w:tc>
          <w:tcPr>
            <w:tcW w:type="dxa" w:w="36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Gemini 3.1 Flash Image (Nano Banana 2)</w:t>
            </w:r>
          </w:p>
        </w:tc>
        <w:tc>
          <w:tcPr>
            <w:tcW w:type="dxa" w:w="48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Boa relação entre qualidade, velocidade e custo para geração recorrente.</w:t>
            </w:r>
          </w:p>
        </w:tc>
      </w:tr>
      <w:tr>
        <w:tc>
          <w:tcPr>
            <w:tcW w:type="dxa" w:w="1584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Premium</w:t>
            </w:r>
          </w:p>
        </w:tc>
        <w:tc>
          <w:tcPr>
            <w:tcW w:type="dxa" w:w="360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Gemini 3 Pro Image (Nano Banana Pro)</w:t>
            </w:r>
          </w:p>
        </w:tc>
        <w:tc>
          <w:tcPr>
            <w:tcW w:type="dxa" w:w="4896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Peças mais complexas, alto controle criativo, consistência e produção de ativos profissionais.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Alternativa</w:t>
            </w:r>
          </w:p>
        </w:tc>
        <w:tc>
          <w:tcPr>
            <w:tcW w:type="dxa" w:w="36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OpenAI GPT Image 2.5</w:t>
            </w:r>
          </w:p>
        </w:tc>
        <w:tc>
          <w:tcPr>
            <w:tcW w:type="dxa" w:w="48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Geração/edição; Sunburst favorece precisão de edição e Flare prioriza velocidade no fluxo cotidiano.</w:t>
            </w:r>
          </w:p>
        </w:tc>
      </w:tr>
      <w:tr>
        <w:tc>
          <w:tcPr>
            <w:tcW w:type="dxa" w:w="1584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Fallback</w:t>
            </w:r>
          </w:p>
        </w:tc>
        <w:tc>
          <w:tcPr>
            <w:tcW w:type="dxa" w:w="360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Modelo configurável em Admin</w:t>
            </w:r>
          </w:p>
        </w:tc>
        <w:tc>
          <w:tcPr>
            <w:tcW w:type="dxa" w:w="4896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Nunca deixar nomes de modelo espalhados no código; salvar em configuração.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8.1 Regras técnicas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Chaves de API ficam somente no backend, em variáveis de ambiente. Nunca expor no navegador.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Salvar prompt, provedor, modelo, custo estimado, horário e resultado para auditoria.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Permitir “modo econômico”, “padrão” e “premium”.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Aceitar imagens de referência aprovadas para direcionar cena e linguagem visual.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Nunca usar o gerador como fonte do logo oficial.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Se a API falhar, manter briefing e conteúdo salvos e permitir tentar outro provedor.</w:t>
      </w: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8.2 Exemplo de prompt para imagem-base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5F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6E2DA"/>
              <w:left w:val="single" w:sz="4" w:color="E6E2DA"/>
              <w:bottom w:val="single" w:sz="4" w:color="E6E2DA"/>
              <w:right w:val="single" w:sz="4" w:color="E6E2DA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color w:val="1E1E1E"/>
                <w:sz w:val="14"/>
              </w:rPr>
              <w:t>Crie uma fotografia editorial B2B realista para uma peça da VendaMais.</w:t>
              <w:br/>
              <w:t>Assunto: [tema do post].</w:t>
              <w:br/>
              <w:t>Cena: [contexto concreto].</w:t>
              <w:br/>
              <w:t>Pessoas: profissionais brasileiros/latino-americanos, naturais, sem pose de banco de imagens.</w:t>
              <w:br/>
              <w:t>Composição: vertical 4:5, espaço negativo em [lado] para aplicação posterior de título.</w:t>
              <w:br/>
              <w:t>Luz: natural, contraste médio, pele natural, sombras ligeiramente frias.</w:t>
              <w:br/>
              <w:t>NÃO inserir texto, letras, logotipos, marcas, ícones, gráficos falsos, molduras ou watermark visual.</w:t>
              <w:br/>
              <w:t>Evitar clichês de negócios como aperto de mão, alvo, foguete, lâmpada, peças de xadrez e “high five”.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9. Arquitetura técnica recomendada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STACK SIMPLES PARA EVOLUIR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512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3672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Tecnologia recomendada</w:t>
            </w:r>
          </w:p>
        </w:tc>
        <w:tc>
          <w:tcPr>
            <w:tcW w:type="dxa" w:w="4896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Frontend</w:t>
            </w:r>
          </w:p>
        </w:tc>
        <w:tc>
          <w:tcPr>
            <w:tcW w:type="dxa" w:w="367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Next.js / React + Tailwind</w:t>
            </w:r>
          </w:p>
        </w:tc>
        <w:tc>
          <w:tcPr>
            <w:tcW w:type="dxa" w:w="48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Dashboard, editores, previews, configurações e exportação.</w:t>
            </w:r>
          </w:p>
        </w:tc>
      </w:tr>
      <w:tr>
        <w:tc>
          <w:tcPr>
            <w:tcW w:type="dxa" w:w="151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Backend</w:t>
            </w:r>
          </w:p>
        </w:tc>
        <w:tc>
          <w:tcPr>
            <w:tcW w:type="dxa" w:w="367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API Routes / Server Actions em Vercel</w:t>
            </w:r>
          </w:p>
        </w:tc>
        <w:tc>
          <w:tcPr>
            <w:tcW w:type="dxa" w:w="4896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Orquestra IA, protege chaves e renderiza arquivos.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Banco/Auth</w:t>
            </w:r>
          </w:p>
        </w:tc>
        <w:tc>
          <w:tcPr>
            <w:tcW w:type="dxa" w:w="367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Supabase Postgres + Auth</w:t>
            </w:r>
          </w:p>
        </w:tc>
        <w:tc>
          <w:tcPr>
            <w:tcW w:type="dxa" w:w="48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Usuários, edições, versões, prompts, brand rules e auditoria.</w:t>
            </w:r>
          </w:p>
        </w:tc>
      </w:tr>
      <w:tr>
        <w:tc>
          <w:tcPr>
            <w:tcW w:type="dxa" w:w="151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Arquivos</w:t>
            </w:r>
          </w:p>
        </w:tc>
        <w:tc>
          <w:tcPr>
            <w:tcW w:type="dxa" w:w="367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Supabase Storage</w:t>
            </w:r>
          </w:p>
        </w:tc>
        <w:tc>
          <w:tcPr>
            <w:tcW w:type="dxa" w:w="4896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Fontes, PDFs, logos, imagens-base, renders e exports.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Texto IA</w:t>
            </w:r>
          </w:p>
        </w:tc>
        <w:tc>
          <w:tcPr>
            <w:tcW w:type="dxa" w:w="367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Provider configurável</w:t>
            </w:r>
          </w:p>
        </w:tc>
        <w:tc>
          <w:tcPr>
            <w:tcW w:type="dxa" w:w="48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Geração estruturada da newsletter e posts.</w:t>
            </w:r>
          </w:p>
        </w:tc>
      </w:tr>
      <w:tr>
        <w:tc>
          <w:tcPr>
            <w:tcW w:type="dxa" w:w="151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Imagem IA</w:t>
            </w:r>
          </w:p>
        </w:tc>
        <w:tc>
          <w:tcPr>
            <w:tcW w:type="dxa" w:w="367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Gemini / OpenAI via adapter</w:t>
            </w:r>
          </w:p>
        </w:tc>
        <w:tc>
          <w:tcPr>
            <w:tcW w:type="dxa" w:w="4896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Somente imagem-base e edição visual.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Render social</w:t>
            </w:r>
          </w:p>
        </w:tc>
        <w:tc>
          <w:tcPr>
            <w:tcW w:type="dxa" w:w="367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SVG/Satori + Sharp (ou equivalente)</w:t>
            </w:r>
          </w:p>
        </w:tc>
        <w:tc>
          <w:tcPr>
            <w:tcW w:type="dxa" w:w="48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Aplica layout, fonte, logo e converte para PNG.</w:t>
            </w:r>
          </w:p>
        </w:tc>
      </w:tr>
      <w:tr>
        <w:tc>
          <w:tcPr>
            <w:tcW w:type="dxa" w:w="151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Render e-mail</w:t>
            </w:r>
          </w:p>
        </w:tc>
        <w:tc>
          <w:tcPr>
            <w:tcW w:type="dxa" w:w="367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MJML ou template HTML estruturado</w:t>
            </w:r>
          </w:p>
        </w:tc>
        <w:tc>
          <w:tcPr>
            <w:tcW w:type="dxa" w:w="4896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Gera HTML consistente e responsivo.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9.1 Endpoints principais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5F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6E2DA"/>
              <w:left w:val="single" w:sz="4" w:color="E6E2DA"/>
              <w:bottom w:val="single" w:sz="4" w:color="E6E2DA"/>
              <w:right w:val="single" w:sz="4" w:color="E6E2DA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color w:val="1E1E1E"/>
                <w:sz w:val="14"/>
              </w:rPr>
              <w:t>POST /api/sources/analyze</w:t>
              <w:br/>
              <w:t>POST /api/newsletter/generate</w:t>
              <w:br/>
              <w:t>POST /api/newsletter/rewrite-block</w:t>
              <w:br/>
              <w:t>POST /api/newsletter/qa</w:t>
              <w:br/>
              <w:t>POST /api/posts/generate</w:t>
              <w:br/>
              <w:t>POST /api/posts/rewrite</w:t>
              <w:br/>
              <w:t>POST /api/images/generate</w:t>
              <w:br/>
              <w:t>POST /api/social/render</w:t>
              <w:br/>
              <w:t>POST /api/export/newsletter</w:t>
              <w:br/>
              <w:t>POST /api/export/post</w:t>
              <w:br/>
              <w:t>GET  /api/projects/:id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9.2 Variáveis de ambiente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5F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6E2DA"/>
              <w:left w:val="single" w:sz="4" w:color="E6E2DA"/>
              <w:bottom w:val="single" w:sz="4" w:color="E6E2DA"/>
              <w:right w:val="single" w:sz="4" w:color="E6E2DA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color w:val="1E1E1E"/>
                <w:sz w:val="14"/>
              </w:rPr>
              <w:t>SUPABASE_URL=...</w:t>
              <w:br/>
              <w:t>SUPABASE_ANON_KEY=...</w:t>
              <w:br/>
              <w:t>SUPABASE_SERVICE_ROLE_KEY=...</w:t>
              <w:br/>
              <w:t>TEXT_PROVIDER=...</w:t>
              <w:br/>
              <w:t>TEXT_MODEL=...</w:t>
              <w:br/>
              <w:t>GEMINI_API_KEY=...</w:t>
              <w:br/>
              <w:t>OPENAI_API_KEY=...</w:t>
              <w:br/>
              <w:t>IMAGE_PROVIDER_DEFAULT=gemini</w:t>
              <w:br/>
              <w:t>IMAGE_MODEL_STANDARD=gemini-3.1-flash-image</w:t>
              <w:br/>
              <w:t>IMAGE_MODEL_PREMIUM=gemini-3-pro-image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10. Estrutura de dados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SUPABASE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20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7560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Campos essenciais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workspaces</w:t>
            </w:r>
          </w:p>
        </w:tc>
        <w:tc>
          <w:tcPr>
            <w:tcW w:type="dxa" w:w="756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id, name, brand_rules_version, created_at</w:t>
            </w:r>
          </w:p>
        </w:tc>
      </w:tr>
      <w:tr>
        <w:tc>
          <w:tcPr>
            <w:tcW w:type="dxa" w:w="252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users</w:t>
            </w:r>
          </w:p>
        </w:tc>
        <w:tc>
          <w:tcPr>
            <w:tcW w:type="dxa" w:w="756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id, workspace_id, role, name, email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brand_assets</w:t>
            </w:r>
          </w:p>
        </w:tc>
        <w:tc>
          <w:tcPr>
            <w:tcW w:type="dxa" w:w="756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id, type, file_url, version, active, metadata</w:t>
            </w:r>
          </w:p>
        </w:tc>
      </w:tr>
      <w:tr>
        <w:tc>
          <w:tcPr>
            <w:tcW w:type="dxa" w:w="252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brand_rules</w:t>
            </w:r>
          </w:p>
        </w:tc>
        <w:tc>
          <w:tcPr>
            <w:tcW w:type="dxa" w:w="756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id, version, rules_json, approved_by, approved_at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editions</w:t>
            </w:r>
          </w:p>
        </w:tc>
        <w:tc>
          <w:tcPr>
            <w:tcW w:type="dxa" w:w="756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id, title, theme, audience, objective, status, edition_date</w:t>
            </w:r>
          </w:p>
        </w:tc>
      </w:tr>
      <w:tr>
        <w:tc>
          <w:tcPr>
            <w:tcW w:type="dxa" w:w="252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sources</w:t>
            </w:r>
          </w:p>
        </w:tc>
        <w:tc>
          <w:tcPr>
            <w:tcW w:type="dxa" w:w="756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id, edition_id, type, url/file, extracted_text, hash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newsletter_versions</w:t>
            </w:r>
          </w:p>
        </w:tc>
        <w:tc>
          <w:tcPr>
            <w:tcW w:type="dxa" w:w="756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id, edition_id, content_json, html, score, is_approved</w:t>
            </w:r>
          </w:p>
        </w:tc>
      </w:tr>
      <w:tr>
        <w:tc>
          <w:tcPr>
            <w:tcW w:type="dxa" w:w="252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posts</w:t>
            </w:r>
          </w:p>
        </w:tc>
        <w:tc>
          <w:tcPr>
            <w:tcW w:type="dxa" w:w="756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id, edition_id, angle, content_json, status, score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generated_images</w:t>
            </w:r>
          </w:p>
        </w:tc>
        <w:tc>
          <w:tcPr>
            <w:tcW w:type="dxa" w:w="756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id, post_id, provider, model, prompt, file_url, cost_meta</w:t>
            </w:r>
          </w:p>
        </w:tc>
      </w:tr>
      <w:tr>
        <w:tc>
          <w:tcPr>
            <w:tcW w:type="dxa" w:w="252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renders</w:t>
            </w:r>
          </w:p>
        </w:tc>
        <w:tc>
          <w:tcPr>
            <w:tcW w:type="dxa" w:w="756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id, post_id, template_id, image_url, render_url, dimensions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prompt_templates</w:t>
            </w:r>
          </w:p>
        </w:tc>
        <w:tc>
          <w:tcPr>
            <w:tcW w:type="dxa" w:w="756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id, name, version, prompt_text, active</w:t>
            </w:r>
          </w:p>
        </w:tc>
      </w:tr>
      <w:tr>
        <w:tc>
          <w:tcPr>
            <w:tcW w:type="dxa" w:w="252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audit_log</w:t>
            </w:r>
          </w:p>
        </w:tc>
        <w:tc>
          <w:tcPr>
            <w:tcW w:type="dxa" w:w="756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id, user_id, action, entity, entity_id, metadata, created_at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10.1 Status de uma edição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Draft</w:t>
            </w:r>
          </w:p>
        </w:tc>
        <w:tc>
          <w:tcPr>
            <w:tcW w:type="dxa" w:w="948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E2742B"/>
                <w:sz w:val="28"/>
              </w:rPr>
              <w:t>&gt;</w:t>
            </w:r>
          </w:p>
        </w:tc>
        <w:tc>
          <w:tcPr>
            <w:tcW w:type="dxa" w:w="94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Newsletter gerada</w:t>
            </w:r>
          </w:p>
        </w:tc>
        <w:tc>
          <w:tcPr>
            <w:tcW w:type="dxa" w:w="948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E2742B"/>
                <w:sz w:val="28"/>
              </w:rPr>
              <w:t>&gt;</w:t>
            </w:r>
          </w:p>
        </w:tc>
        <w:tc>
          <w:tcPr>
            <w:tcW w:type="dxa" w:w="94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Newsletter aprovada</w:t>
            </w:r>
          </w:p>
        </w:tc>
        <w:tc>
          <w:tcPr>
            <w:tcW w:type="dxa" w:w="948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E2742B"/>
                <w:sz w:val="28"/>
              </w:rPr>
              <w:t>&gt;</w:t>
            </w:r>
          </w:p>
        </w:tc>
        <w:tc>
          <w:tcPr>
            <w:tcW w:type="dxa" w:w="94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Posts gerados</w:t>
            </w:r>
          </w:p>
        </w:tc>
        <w:tc>
          <w:tcPr>
            <w:tcW w:type="dxa" w:w="948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E2742B"/>
                <w:sz w:val="28"/>
              </w:rPr>
              <w:t>&gt;</w:t>
            </w:r>
          </w:p>
        </w:tc>
        <w:tc>
          <w:tcPr>
            <w:tcW w:type="dxa" w:w="94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Aprovado</w:t>
            </w:r>
          </w:p>
        </w:tc>
        <w:tc>
          <w:tcPr>
            <w:tcW w:type="dxa" w:w="948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E2742B"/>
                <w:sz w:val="28"/>
              </w:rPr>
              <w:t>&gt;</w:t>
            </w:r>
          </w:p>
        </w:tc>
        <w:tc>
          <w:tcPr>
            <w:tcW w:type="dxa" w:w="948"/>
            <w:shd w:fill="FAF7F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tcBorders>
              <w:top w:val="single" w:sz="5" w:color="E6E2DA"/>
              <w:left w:val="single" w:sz="5" w:color="E6E2DA"/>
              <w:bottom w:val="single" w:sz="5" w:color="E6E2DA"/>
              <w:right w:val="single" w:sz="5" w:color="E6E2DA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16263A"/>
                <w:sz w:val="16"/>
              </w:rPr>
              <w:t>Exportado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10.2 Permissões no MVP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Admin: Brand Center, integrações, usuários, prompts e todas as edições.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Editor: criar, editar, gerar, aprovar e exportar conteúdo.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Viewer (fase 2): visualizar e comentar sem alterar.</w:t>
      </w: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11. Telas do sistema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32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Tela</w:t>
            </w:r>
          </w:p>
        </w:tc>
        <w:tc>
          <w:tcPr>
            <w:tcW w:type="dxa" w:w="7848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Elementos obrigatórios</w:t>
            </w:r>
          </w:p>
        </w:tc>
      </w:tr>
      <w:tr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Dashboard</w:t>
            </w:r>
          </w:p>
        </w:tc>
        <w:tc>
          <w:tcPr>
            <w:tcW w:type="dxa" w:w="784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Nova edição, edições recentes, status, filtro por data/tema, atalhos.</w:t>
            </w:r>
          </w:p>
        </w:tc>
      </w:tr>
      <w:tr>
        <w:tc>
          <w:tcPr>
            <w:tcW w:type="dxa" w:w="223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Nova edição</w:t>
            </w:r>
          </w:p>
        </w:tc>
        <w:tc>
          <w:tcPr>
            <w:tcW w:type="dxa" w:w="784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Briefing + fontes + CTA + público + profundidade.</w:t>
            </w:r>
          </w:p>
        </w:tc>
      </w:tr>
      <w:tr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Análise de fontes</w:t>
            </w:r>
          </w:p>
        </w:tc>
        <w:tc>
          <w:tcPr>
            <w:tcW w:type="dxa" w:w="784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Resumo, fatos, números, evidências, riscos e ângulos sugeridos.</w:t>
            </w:r>
          </w:p>
        </w:tc>
      </w:tr>
      <w:tr>
        <w:tc>
          <w:tcPr>
            <w:tcW w:type="dxa" w:w="223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Editor da Newsletter</w:t>
            </w:r>
          </w:p>
        </w:tc>
        <w:tc>
          <w:tcPr>
            <w:tcW w:type="dxa" w:w="784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Preview e edição por blocos; regeneração local; QA; desktop/mobile.</w:t>
            </w:r>
          </w:p>
        </w:tc>
      </w:tr>
      <w:tr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Post Studio</w:t>
            </w:r>
          </w:p>
        </w:tc>
        <w:tc>
          <w:tcPr>
            <w:tcW w:type="dxa" w:w="784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Abas Treinamento / Consultoria / Negócio; texto, visual, copy e score.</w:t>
            </w:r>
          </w:p>
        </w:tc>
      </w:tr>
      <w:tr>
        <w:tc>
          <w:tcPr>
            <w:tcW w:type="dxa" w:w="223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Image Lab</w:t>
            </w:r>
          </w:p>
        </w:tc>
        <w:tc>
          <w:tcPr>
            <w:tcW w:type="dxa" w:w="784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Gerar, escolher, comparar, editar prompt, crop e trocar provedor.</w:t>
            </w:r>
          </w:p>
        </w:tc>
      </w:tr>
      <w:tr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Brand Center</w:t>
            </w:r>
          </w:p>
        </w:tc>
        <w:tc>
          <w:tcPr>
            <w:tcW w:type="dxa" w:w="784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Logo, símbolo V, cores, fontes, templates, DNA e Manual.</w:t>
            </w:r>
          </w:p>
        </w:tc>
      </w:tr>
      <w:tr>
        <w:tc>
          <w:tcPr>
            <w:tcW w:type="dxa" w:w="223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Configurações</w:t>
            </w:r>
          </w:p>
        </w:tc>
        <w:tc>
          <w:tcPr>
            <w:tcW w:type="dxa" w:w="784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Provedores, modelos, chaves, modo de custo e defaults.</w:t>
            </w:r>
          </w:p>
        </w:tc>
      </w:tr>
      <w:tr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Histórico</w:t>
            </w:r>
          </w:p>
        </w:tc>
        <w:tc>
          <w:tcPr>
            <w:tcW w:type="dxa" w:w="784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Versões, quem alterou, quando, antes/depois e restauração.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11.1 Requisitos de UX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Preview visual sempre ao lado do editor quando houver espaço de tela.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Autosave a cada alteração relevante.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Desfazer/refazer.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Duplicar edição.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Regenerar seleção, não somente conteúdo inteiro.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Comparar duas versões lado a lado.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Botão “Fixar” em trechos bons para impedir que a IA altere em novas versões.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Mostrar claramente o que é conteúdo gerado e o que foi editado por uma pessoa.</w:t>
      </w: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12. Guardrails editoriais e de marca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QA ANTES DE APROVAR</w:t>
      </w:r>
    </w:p>
    <w:p>
      <w:pPr>
        <w:spacing w:after="100" w:line="269" w:lineRule="auto"/>
      </w:pPr>
      <w:r>
        <w:rPr>
          <w:rFonts w:ascii="Carlito" w:hAnsi="Carlito" w:eastAsia="Carlito"/>
          <w:b w:val="0"/>
          <w:color w:val="1E1E1E"/>
          <w:sz w:val="20"/>
        </w:rPr>
        <w:t>Cada saída recebe uma nota de 0 a 100. A peça pode ser salva em qualquer nota, mas só recebe o selo interno “Pronta” quando atingir o limite configurado, sugerido inicialmente em 85.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4320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1008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4752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6"/>
              </w:rPr>
              <w:t>Checagem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Fidelidade às fontes</w:t>
            </w:r>
          </w:p>
        </w:tc>
        <w:tc>
          <w:tcPr>
            <w:tcW w:type="dxa" w:w="100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25</w:t>
            </w:r>
          </w:p>
        </w:tc>
        <w:tc>
          <w:tcPr>
            <w:tcW w:type="dxa" w:w="475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Não inventa dados, cases, nomes, números ou causalidades.</w:t>
            </w:r>
          </w:p>
        </w:tc>
      </w:tr>
      <w:tr>
        <w:tc>
          <w:tcPr>
            <w:tcW w:type="dxa" w:w="432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Utilidade prática</w:t>
            </w:r>
          </w:p>
        </w:tc>
        <w:tc>
          <w:tcPr>
            <w:tcW w:type="dxa" w:w="100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20</w:t>
            </w:r>
          </w:p>
        </w:tc>
        <w:tc>
          <w:tcPr>
            <w:tcW w:type="dxa" w:w="475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Explica o que fazer e como fazer; entrega aplicação concreta.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DNA verbal</w:t>
            </w:r>
          </w:p>
        </w:tc>
        <w:tc>
          <w:tcPr>
            <w:tcW w:type="dxa" w:w="100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15</w:t>
            </w:r>
          </w:p>
        </w:tc>
        <w:tc>
          <w:tcPr>
            <w:tcW w:type="dxa" w:w="475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Vocabulário, tese, sobriedade, prova antes da promessa.</w:t>
            </w:r>
          </w:p>
        </w:tc>
      </w:tr>
      <w:tr>
        <w:tc>
          <w:tcPr>
            <w:tcW w:type="dxa" w:w="432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Ajuste ao canal</w:t>
            </w:r>
          </w:p>
        </w:tc>
        <w:tc>
          <w:tcPr>
            <w:tcW w:type="dxa" w:w="100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10</w:t>
            </w:r>
          </w:p>
        </w:tc>
        <w:tc>
          <w:tcPr>
            <w:tcW w:type="dxa" w:w="475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Newsletter, post e legenda têm densidade adequada.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Unidade da marca</w:t>
            </w:r>
          </w:p>
        </w:tc>
        <w:tc>
          <w:tcPr>
            <w:tcW w:type="dxa" w:w="100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10</w:t>
            </w:r>
          </w:p>
        </w:tc>
        <w:tc>
          <w:tcPr>
            <w:tcW w:type="dxa" w:w="475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VendaMais única; sem linguagem de BU na frente do cliente.</w:t>
            </w:r>
          </w:p>
        </w:tc>
      </w:tr>
      <w:tr>
        <w:tc>
          <w:tcPr>
            <w:tcW w:type="dxa" w:w="432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Qualidade visual</w:t>
            </w:r>
          </w:p>
        </w:tc>
        <w:tc>
          <w:tcPr>
            <w:tcW w:type="dxa" w:w="100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10</w:t>
            </w:r>
          </w:p>
        </w:tc>
        <w:tc>
          <w:tcPr>
            <w:tcW w:type="dxa" w:w="475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Cores, logo, contraste, tipografia, margem, crop e legibilidade.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CTA</w:t>
            </w:r>
          </w:p>
        </w:tc>
        <w:tc>
          <w:tcPr>
            <w:tcW w:type="dxa" w:w="100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5</w:t>
            </w:r>
          </w:p>
        </w:tc>
        <w:tc>
          <w:tcPr>
            <w:tcW w:type="dxa" w:w="475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Coerente, específico e proporcional.</w:t>
            </w:r>
          </w:p>
        </w:tc>
      </w:tr>
      <w:tr>
        <w:tc>
          <w:tcPr>
            <w:tcW w:type="dxa" w:w="4320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Revisão linguística</w:t>
            </w:r>
          </w:p>
        </w:tc>
        <w:tc>
          <w:tcPr>
            <w:tcW w:type="dxa" w:w="100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5</w:t>
            </w:r>
          </w:p>
        </w:tc>
        <w:tc>
          <w:tcPr>
            <w:tcW w:type="dxa" w:w="475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6"/>
              </w:rPr>
              <w:t>Ortografia, pontuação, clareza e leitura natural.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12.1 Bloqueios automáticos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“Venda Mais” separado quando se referir à marca.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Superlativo (“maior”, “melhor”, “número 1”) sem evidência associada.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Logo gerado por IA ou asset não oficial.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Gradiente em peça social.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Cor fora da paleta sem exceção aprovada.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Dado numérico sem source_id.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Cliente citado sem ter aparecido nas fontes.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Post marcado como pronto sem headline legível em preview mobile.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AF7F2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single" w:sz="18" w:color="E2742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DejaVu Sans Condensed" w:hAnsi="DejaVu Sans Condensed" w:eastAsia="DejaVu Sans Condensed"/>
                <w:b/>
                <w:color w:val="16263A"/>
                <w:sz w:val="22"/>
              </w:rPr>
              <w:t>PRINCÍPIO DE EVIDÊNCIA</w:t>
            </w:r>
          </w:p>
          <w:p>
            <w:pPr>
              <w:spacing w:after="0" w:line="259" w:lineRule="auto"/>
            </w:pPr>
            <w:r>
              <w:rPr>
                <w:rFonts w:ascii="Carlito" w:hAnsi="Carlito" w:eastAsia="Carlito"/>
                <w:color w:val="1E1E1E"/>
                <w:sz w:val="19"/>
              </w:rPr>
              <w:t>Toda afirmação factual forte deve ser rastreável. O sistema mantém internamente um mapa “claim -&gt; source”. Esse mapa não precisa aparecer para o leitor, mas precisa existir para a revisão.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13. Prompts internos do sistema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BASE PARA IMPLEMENTAÇÃO</w:t>
      </w: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13.1 Prompt-base do Editor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5F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6E2DA"/>
              <w:left w:val="single" w:sz="4" w:color="E6E2DA"/>
              <w:bottom w:val="single" w:sz="4" w:color="E6E2DA"/>
              <w:right w:val="single" w:sz="4" w:color="E6E2DA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color w:val="1E1E1E"/>
                <w:sz w:val="14"/>
              </w:rPr>
              <w:t>Você é o editor executivo da VendaMais. Escreva conteúdo B2B para líderes comerciais, CEOs, RH/T&amp;D e profissionais de vendas.</w:t>
              <w:br/>
              <w:br/>
              <w:t>REGRAS DE MARCA:</w:t>
              <w:br/>
              <w:t>- VendaMais, uma palavra.</w:t>
              <w:br/>
              <w:t>- Prova antes da promessa.</w:t>
              <w:br/>
              <w:t>- Método, campo, previsibilidade, governança, cultura comercial, rotina de execução e indicador são territórios naturais.</w:t>
              <w:br/>
              <w:t>- Evite energia, mindset, virada de chave, disruptivo, paixão por vendas e superlativos sem prova.</w:t>
              <w:br/>
              <w:t>- Não invente cases, números, clientes ou fatos.</w:t>
              <w:br/>
              <w:t>- Conteúdo deve ser útil sozinho: diagnóstico + implicação + o que fazer + como fazer.</w:t>
              <w:br/>
              <w:t>- Linguagem adulta, clara, direta, natural e sem “corporativês”.</w:t>
              <w:br/>
              <w:t>- Não exponha BUs na frente do cliente; a marca é VendaMais.</w:t>
              <w:br/>
              <w:br/>
              <w:t>Use somente as evidências fornecidas. Retorne JSON no schema solicitado.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13.2 Prompt de derivação dos três posts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5F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6E2DA"/>
              <w:left w:val="single" w:sz="4" w:color="E6E2DA"/>
              <w:bottom w:val="single" w:sz="4" w:color="E6E2DA"/>
              <w:right w:val="single" w:sz="4" w:color="E6E2DA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color w:val="1E1E1E"/>
                <w:sz w:val="14"/>
              </w:rPr>
              <w:t>A newsletter abaixo foi aprovada. Transforme-a em três posts independentes, sem repetir a mesma headline ou a mesma construção.</w:t>
              <w:br/>
              <w:br/>
              <w:t>1) TREINAMENTO: traduza a tese para aprendizagem, comportamento, prática, acompanhamento e indicador.</w:t>
              <w:br/>
              <w:t>2) CONSULTORIA: traduza para diagnóstico, processo, governança, previsibilidade e execução.</w:t>
              <w:br/>
              <w:t>3) NEGÓCIO: traduza para decisão executiva, crescimento, produtividade, mercado e performance da operação.</w:t>
              <w:br/>
              <w:br/>
              <w:t>Todos são VendaMais. Não escreva “BU”, “pela ótica de” ou equivalentes.</w:t>
              <w:br/>
              <w:t>Cada post deve trazer tese, headline, apoio curto, briefing de imagem sem texto/logo e uma legenda completa com valor prático e CTA.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13.3 Prompt de QA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5F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6E2DA"/>
              <w:left w:val="single" w:sz="4" w:color="E6E2DA"/>
              <w:bottom w:val="single" w:sz="4" w:color="E6E2DA"/>
              <w:right w:val="single" w:sz="4" w:color="E6E2DA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color w:val="1E1E1E"/>
                <w:sz w:val="14"/>
              </w:rPr>
              <w:t>Audite esta peça como revisor de marca e editor B2B. Dê nota de 0 a 100. Liste: (1) fatos sem fonte, (2) linguagem genérica, (3) clichês, (4) desalinhamentos com o DNA, (5) falhas de utilidade prática, (6) repetição, (7) CTA fraco, (8) correções exatas. Não elogie por educação. Só aprove se todos os bloqueios forem resolvidos.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14. MVP, fases e critérios de aceite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ESCOPO CONTROLADO</w:t>
      </w: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14.1 MVP - construir agora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Login simples e um workspace VendaMais.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Brand Center com regras e ativos.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Criação de edição + fontes.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Geração e edição da newsletter.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Preview HTML desktop/mobile + exportação.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Geração dos três posts derivados.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Integração com pelo menos um provedor de imagem + arquitetura para segundo provedor.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5 templates visuais 1080 x 1350.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Copy completa para cada post.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QA, score e bloqueios.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Histórico de versões e autosave.</w:t>
      </w: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14.2 Fase 2 - depois do MVP validado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Integração direta com plataforma de e-mail/CRM.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Agendamento/publicação em LinkedIn e Instagram.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Analytics de abertura, clique, alcance e engajamento.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Recomendações editoriais baseadas no desempenho histórico.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Biblioteca de temas, calendário editorial e reutilização por campanha.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Aprovação por comentários e fluxo multiusuário.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A/B de assunto, headline e CTA.</w:t>
      </w: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14.3 Critérios de aceite do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792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7"/>
              </w:rPr>
              <w:t>#</w:t>
            </w:r>
          </w:p>
        </w:tc>
        <w:tc>
          <w:tcPr>
            <w:tcW w:type="dxa" w:w="9288"/>
            <w:shd w:fill="16263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rlito" w:hAnsi="Carlito" w:eastAsia="Carlito"/>
                <w:b/>
                <w:color w:val="FFFFFF"/>
                <w:sz w:val="17"/>
              </w:rPr>
              <w:t>Critério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01</w:t>
            </w:r>
          </w:p>
        </w:tc>
        <w:tc>
          <w:tcPr>
            <w:tcW w:type="dxa" w:w="92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Uma edição completa pode ser criada sem sair do sistema.</w:t>
            </w:r>
          </w:p>
        </w:tc>
      </w:tr>
      <w:tr>
        <w:tc>
          <w:tcPr>
            <w:tcW w:type="dxa" w:w="79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02</w:t>
            </w:r>
          </w:p>
        </w:tc>
        <w:tc>
          <w:tcPr>
            <w:tcW w:type="dxa" w:w="928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Newsletter HTML renderiza corretamente em desktop e mobile.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03</w:t>
            </w:r>
          </w:p>
        </w:tc>
        <w:tc>
          <w:tcPr>
            <w:tcW w:type="dxa" w:w="92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Os 3 posts são claramente diferentes em ângulo, mas coerentes com a mesma newsletter.</w:t>
            </w:r>
          </w:p>
        </w:tc>
      </w:tr>
      <w:tr>
        <w:tc>
          <w:tcPr>
            <w:tcW w:type="dxa" w:w="79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04</w:t>
            </w:r>
          </w:p>
        </w:tc>
        <w:tc>
          <w:tcPr>
            <w:tcW w:type="dxa" w:w="928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A imagem final usa logo oficial e tipografia controlada, nunca logo inventado pela IA.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05</w:t>
            </w:r>
          </w:p>
        </w:tc>
        <w:tc>
          <w:tcPr>
            <w:tcW w:type="dxa" w:w="92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O mesmo PNG 1080 x 1350 está pronto para LinkedIn e Instagram.</w:t>
            </w:r>
          </w:p>
        </w:tc>
      </w:tr>
      <w:tr>
        <w:tc>
          <w:tcPr>
            <w:tcW w:type="dxa" w:w="79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06</w:t>
            </w:r>
          </w:p>
        </w:tc>
        <w:tc>
          <w:tcPr>
            <w:tcW w:type="dxa" w:w="928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Usuário consegue editar conteúdo sem regenerar tudo.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07</w:t>
            </w:r>
          </w:p>
        </w:tc>
        <w:tc>
          <w:tcPr>
            <w:tcW w:type="dxa" w:w="92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Nenhum dado factual forte fica sem referência interna de fonte.</w:t>
            </w:r>
          </w:p>
        </w:tc>
      </w:tr>
      <w:tr>
        <w:tc>
          <w:tcPr>
            <w:tcW w:type="dxa" w:w="79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08</w:t>
            </w:r>
          </w:p>
        </w:tc>
        <w:tc>
          <w:tcPr>
            <w:tcW w:type="dxa" w:w="928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API keys não aparecem no client.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09</w:t>
            </w:r>
          </w:p>
        </w:tc>
        <w:tc>
          <w:tcPr>
            <w:tcW w:type="dxa" w:w="92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O sistema não perde trabalho se uma chamada de IA falhar.</w:t>
            </w:r>
          </w:p>
        </w:tc>
      </w:tr>
      <w:tr>
        <w:tc>
          <w:tcPr>
            <w:tcW w:type="dxa" w:w="792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10</w:t>
            </w:r>
          </w:p>
        </w:tc>
        <w:tc>
          <w:tcPr>
            <w:tcW w:type="dxa" w:w="9288"/>
            <w:shd w:fill="FAF7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4" w:color="E6E2DA"/>
            </w:tcBorders>
          </w:tcPr>
          <w:p>
            <w:r>
              <w:rPr>
                <w:rFonts w:ascii="Carlito" w:hAnsi="Carlito" w:eastAsia="Carlito"/>
                <w:color w:val="1E1E1E"/>
                <w:sz w:val="17"/>
              </w:rPr>
              <w:t>Exportar HTML, PNG e copy leva no máximo poucos cliques.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15. Prompt mestre para entregar ao Claude/Cloud Design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COPIAR E USAR JUNTO DESTE DOCUMENTO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AF7F2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single" w:sz="18" w:color="E2742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DejaVu Sans Condensed" w:hAnsi="DejaVu Sans Condensed" w:eastAsia="DejaVu Sans Condensed"/>
                <w:b/>
                <w:color w:val="16263A"/>
                <w:sz w:val="22"/>
              </w:rPr>
              <w:t>COMO USAR</w:t>
            </w:r>
          </w:p>
          <w:p>
            <w:pPr>
              <w:spacing w:after="0" w:line="259" w:lineRule="auto"/>
            </w:pPr>
            <w:r>
              <w:rPr>
                <w:rFonts w:ascii="Carlito" w:hAnsi="Carlito" w:eastAsia="Carlito"/>
                <w:color w:val="1E1E1E"/>
                <w:sz w:val="19"/>
              </w:rPr>
              <w:t>Anexe este documento ao projeto e cole o prompt abaixo. A orientação é construir o MVP funcional, não apenas um mockup visual. Se a plataforma limitar backend ou secrets, ela deve gerar o frontend completo e o pacote de integração/backend necessário, com instruções objetivas do que ainda precisa ser conectado.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5F7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6E2DA"/>
              <w:left w:val="single" w:sz="4" w:color="E6E2DA"/>
              <w:bottom w:val="single" w:sz="4" w:color="E6E2DA"/>
              <w:right w:val="single" w:sz="4" w:color="E6E2DA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DejaVu Sans Mono"/>
                <w:color w:val="1E1E1E"/>
                <w:sz w:val="14"/>
              </w:rPr>
              <w:t>Construa o MVP funcional descrito no documento “VendaMais Content Engine”.</w:t>
              <w:br/>
              <w:br/>
              <w:t>Objetivo: uma aplicação web interna da VendaMais que transforma briefing + fontes em uma newsletter HTML e, após aprovação, em três posts sociais completos (Treinamento, Consultoria e Negócio), todos derivados da mesma tese e seguindo o DNA da marca.</w:t>
              <w:br/>
              <w:br/>
              <w:t>Requisitos obrigatórios:</w:t>
              <w:br/>
              <w:t>1. Use o documento anexado como especificação principal e não simplifique o fluxo.</w:t>
              <w:br/>
              <w:t>2. A newsletter é a fonte-mãe. Os posts só são gerados após sua aprovação.</w:t>
              <w:br/>
              <w:t>3. Conteúdo e design são camadas separadas: IA gera texto estruturado e imagem-base; o app renderiza logo, tipografia, cores e grafismos de forma determinística.</w:t>
              <w:br/>
              <w:t>4. Nunca peça ao modelo de imagem para desenhar o logo ou o texto final da peça.</w:t>
              <w:br/>
              <w:t>5. Formato social mestre: 1080x1350 px (4:5).</w:t>
              <w:br/>
              <w:t>6. Crie Brand Center com regras, logos, fontes, templates e versionamento.</w:t>
              <w:br/>
              <w:t>7. Use Supabase para Auth, Postgres e Storage.</w:t>
              <w:br/>
              <w:t>8. Proteja todas as API keys no backend.</w:t>
              <w:br/>
              <w:t>9. Crie Image Provider Adapter que permita Gemini/Nano Banana e OpenAI sem alterar o restante da aplicação.</w:t>
              <w:br/>
              <w:t>10. Permita regeneração local de título, bloco, CTA, copy ou imagem, sem regenerar tudo.</w:t>
              <w:br/>
              <w:t>11. Implemente QA/score e bloqueios do documento.</w:t>
              <w:br/>
              <w:t>12. Gere HTML de e-mail responsivo e exportável, além da versão plain text.</w:t>
              <w:br/>
              <w:t>13. Gere PNG + copy para os três posts.</w:t>
              <w:br/>
              <w:t>14. Faça uma UI premium, sóbria, limpa e coerente com navy #16263A, laranja #E2742B e branco, sem gradientes.</w:t>
              <w:br/>
              <w:t>15. Não use dados fictícios para parecer que integrações funcionam. Quando algo depender de chave/configuração externa, mostre estado “não configurado” e permita configurar.</w:t>
              <w:br/>
              <w:br/>
              <w:t>Entregue:</w:t>
              <w:br/>
              <w:t>- aplicação funcional;</w:t>
              <w:br/>
              <w:t>- schema/migrations do Supabase;</w:t>
              <w:br/>
              <w:t>- variáveis de ambiente necessárias;</w:t>
              <w:br/>
              <w:t>- rotas de API;</w:t>
              <w:br/>
              <w:t>- templates de e-mail e social;</w:t>
              <w:br/>
              <w:t>- prompts do sistema versionados;</w:t>
              <w:br/>
              <w:t>- README com setup, deploy e testes;</w:t>
              <w:br/>
              <w:t>- checklist do que ficou 100% funcional e do que exige credencial externa.</w:t>
              <w:br/>
              <w:br/>
              <w:t>Antes de encerrar, percorra o fluxo completo com dados de teste e corrija erros de interface, persistência, renderização e responsividade.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40" w:after="160"/>
      </w:pPr>
      <w:r>
        <w:rPr>
          <w:rFonts w:ascii="DejaVu Sans Condensed" w:hAnsi="DejaVu Sans Condensed" w:eastAsia="DejaVu Sans Condensed"/>
          <w:b/>
          <w:color w:val="16263A"/>
          <w:sz w:val="46"/>
        </w:rPr>
        <w:t>16. Decisões técnicas atuais e observações</w:t>
      </w:r>
    </w:p>
    <w:p>
      <w:pPr>
        <w:spacing w:before="80" w:after="40"/>
      </w:pPr>
      <w:r>
        <w:rPr>
          <w:rFonts w:ascii="DejaVu Sans Condensed" w:hAnsi="DejaVu Sans Condensed" w:eastAsia="DejaVu Sans Condensed"/>
          <w:b/>
          <w:color w:val="E2742B"/>
          <w:sz w:val="17"/>
        </w:rPr>
        <w:t>ESTADO EM 11/09/2026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Google recomenda atualmente o Gemini 3.1 Flash Image (Nano Banana 2) como opção geral e mantém Gemini 3 Pro Image (Nano Banana Pro) para produção visual complexa e controle profissional.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 documentação atual da OpenAI oferece geração e edição por API com GPT Image 2.5, inclusive em fluxos multi-etapas; modelos e nomes devem permanecer configuráveis no Admin.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O LinkedIn aceita imagem orgânica até a proporção 4:5 e recomenda 1080 px de largura para melhor qualidade. O formato 1080 x 1350 é, portanto, adequado ao uso compartilhado com Instagram.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 camada de composição é mais importante do que escolher “o melhor gerador de imagem”. Ela é o mecanismo que preserva o DNA da marca ao longo do tempo.</w:t>
      </w:r>
    </w:p>
    <w:p>
      <w:pPr>
        <w:pStyle w:val="ListBullet"/>
        <w:spacing w:after="50"/>
        <w:ind w:left="317"/>
      </w:pPr>
      <w:r>
        <w:rPr>
          <w:rFonts w:ascii="Carlito" w:hAnsi="Carlito" w:eastAsia="Carlito"/>
          <w:color w:val="1E1E1E"/>
          <w:sz w:val="20"/>
        </w:rPr>
        <w:t>A primeira versão deve otimizar consistência e velocidade de produção, não automação de publicação. Distribuição e analytics entram depois da validação editorial.</w:t>
      </w:r>
    </w:p>
    <w:p>
      <w:pPr>
        <w:pStyle w:val="Heading2"/>
        <w:keepNext/>
        <w:spacing w:before="200" w:after="80"/>
      </w:pPr>
      <w:r>
        <w:rPr>
          <w:rFonts w:ascii="DejaVu Sans Condensed" w:hAnsi="DejaVu Sans Condensed" w:eastAsia="DejaVu Sans Condensed"/>
          <w:b/>
          <w:color w:val="16263A"/>
          <w:sz w:val="31"/>
        </w:rPr>
        <w:t>16.1 Referências técnicas consultadas</w:t>
      </w:r>
    </w:p>
    <w:p>
      <w:pPr>
        <w:spacing w:after="100" w:line="269" w:lineRule="auto"/>
      </w:pPr>
      <w:r>
        <w:rPr>
          <w:rFonts w:ascii="Carlito" w:hAnsi="Carlito" w:eastAsia="Carlito"/>
          <w:b w:val="0"/>
          <w:color w:val="5E6770"/>
          <w:sz w:val="18"/>
        </w:rPr>
        <w:t>OpenAI API - Image generation: https://developers.openai.com/api/docs/guides/image-generation</w:t>
      </w:r>
    </w:p>
    <w:p>
      <w:pPr>
        <w:spacing w:after="100" w:line="269" w:lineRule="auto"/>
      </w:pPr>
      <w:r>
        <w:rPr>
          <w:rFonts w:ascii="Carlito" w:hAnsi="Carlito" w:eastAsia="Carlito"/>
          <w:b w:val="0"/>
          <w:color w:val="5E6770"/>
          <w:sz w:val="18"/>
        </w:rPr>
        <w:t>Google AI for Developers - Nano Banana image generation: https://ai.google.dev/gemini-api/docs/image-generation</w:t>
      </w:r>
    </w:p>
    <w:p>
      <w:pPr>
        <w:spacing w:after="100" w:line="269" w:lineRule="auto"/>
      </w:pPr>
      <w:r>
        <w:rPr>
          <w:rFonts w:ascii="Carlito" w:hAnsi="Carlito" w:eastAsia="Carlito"/>
          <w:b w:val="0"/>
          <w:color w:val="5E6770"/>
          <w:sz w:val="18"/>
        </w:rPr>
        <w:t>LinkedIn Help - Share photos on LinkedIn: https://www.linkedin.com/help/linkedin/answer/a526313/</w:t>
      </w:r>
    </w:p>
    <w:p>
      <w:pPr>
        <w:spacing w:after="100" w:line="269" w:lineRule="auto"/>
      </w:pPr>
      <w:r>
        <w:rPr>
          <w:rFonts w:ascii="Carlito" w:hAnsi="Carlito" w:eastAsia="Carlito"/>
          <w:b w:val="0"/>
          <w:color w:val="5E6770"/>
          <w:sz w:val="18"/>
        </w:rPr>
        <w:t>Fontes de marca: DNA Criativo VendaMais e Manual de Marca VendaMais v2.0 (setembro de 2026).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16263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single" w:sz="18" w:color="E2742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DejaVu Sans Condensed" w:hAnsi="DejaVu Sans Condensed" w:eastAsia="DejaVu Sans Condensed"/>
                <w:b/>
                <w:color w:val="E2742B"/>
                <w:sz w:val="22"/>
              </w:rPr>
              <w:t>RESULTADO ESPERADO</w:t>
            </w:r>
          </w:p>
          <w:p>
            <w:pPr>
              <w:spacing w:after="0" w:line="259" w:lineRule="auto"/>
            </w:pPr>
            <w:r>
              <w:rPr>
                <w:rFonts w:ascii="Carlito" w:hAnsi="Carlito" w:eastAsia="Carlito"/>
                <w:color w:val="FFFFFF"/>
                <w:sz w:val="19"/>
              </w:rPr>
              <w:t>O Content Engine transforma uma pauta em um pequeno sistema editorial: uma tese bem construída entra; saem uma newsletter útil e três conteúdos sociais prontos, visualmente consistentes, rastreáveis às fontes e fáceis de aprovar. O ganho real não é “gerar conteúdo com IA”; é criar consistência, velocidade e reaproveitamento sem diluir a VendaMais.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907" w:bottom="79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rlito" w:hAnsi="Carlito" w:eastAsia="Carlito"/>
        <w:color w:val="5E6770"/>
        <w:sz w:val="16"/>
      </w:rPr>
      <w:t xml:space="preserve">VENDA MAIS CONTENT ENGINE  |  DOCUMENTO MESTRE  |  v1.0     </w:t>
    </w:r>
    <w:r>
      <w:rPr>
        <w:rFonts w:ascii="Carlito" w:hAnsi="Carlito" w:eastAsia="Carlito"/>
        <w:color w:val="5E6770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 Condensed" w:hAnsi="DejaVu Sans Condensed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 Condensed" w:hAnsi="DejaVu Sans Condensed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