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01"/>
      </w:tblGrid>
      <w:tr w:rsidR="00E04FB5" w:rsidRPr="00E04FB5" w:rsidTr="00E04FB5">
        <w:trPr>
          <w:jc w:val="center"/>
        </w:trPr>
        <w:tc>
          <w:tcPr>
            <w:tcW w:w="0" w:type="auto"/>
            <w:shd w:val="clear" w:color="auto" w:fill="FFFFFF"/>
            <w:tcMar>
              <w:top w:w="300" w:type="dxa"/>
              <w:left w:w="600" w:type="dxa"/>
              <w:bottom w:w="0" w:type="dxa"/>
              <w:right w:w="60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7801"/>
            </w:tblGrid>
            <w:tr w:rsidR="00E04FB5" w:rsidRPr="00E04FB5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50"/>
                  </w:tblGrid>
                  <w:tr w:rsidR="00E04FB5" w:rsidRPr="00E04FB5">
                    <w:trPr>
                      <w:jc w:val="right"/>
                    </w:trPr>
                    <w:tc>
                      <w:tcPr>
                        <w:tcW w:w="3750" w:type="dxa"/>
                        <w:vAlign w:val="center"/>
                        <w:hideMark/>
                      </w:tcPr>
                      <w:p w:rsidR="00E04FB5" w:rsidRPr="00E04FB5" w:rsidRDefault="00E04FB5" w:rsidP="00E04F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E04FB5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de-DE"/>
                          </w:rPr>
                          <w:drawing>
                            <wp:inline distT="0" distB="0" distL="0" distR="0">
                              <wp:extent cx="2381250" cy="771525"/>
                              <wp:effectExtent l="0" t="0" r="0" b="0"/>
                              <wp:docPr id="4" name="Grafik 4" descr="AND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ND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0" cy="771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04FB5" w:rsidRPr="00E04FB5" w:rsidRDefault="00E04FB5" w:rsidP="00E04F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de-DE"/>
                    </w:rPr>
                  </w:pPr>
                </w:p>
              </w:tc>
            </w:tr>
          </w:tbl>
          <w:p w:rsidR="00E04FB5" w:rsidRPr="00E04FB5" w:rsidRDefault="00E04FB5" w:rsidP="00E04FB5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04FB5" w:rsidRPr="00E04FB5" w:rsidTr="00E04FB5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600" w:type="dxa"/>
              <w:bottom w:w="0" w:type="dxa"/>
              <w:right w:w="60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7801"/>
            </w:tblGrid>
            <w:tr w:rsidR="00E04FB5" w:rsidRPr="00E04FB5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E04FB5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</w:pPr>
                  <w:proofErr w:type="spellStart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>Dear</w:t>
                  </w:r>
                  <w:proofErr w:type="spellEnd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 xml:space="preserve"> {</w:t>
                  </w:r>
                  <w:proofErr w:type="spellStart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>name</w:t>
                  </w:r>
                  <w:proofErr w:type="spellEnd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>} {</w:t>
                  </w:r>
                  <w:proofErr w:type="spellStart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>surname</w:t>
                  </w:r>
                  <w:proofErr w:type="spellEnd"/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0"/>
                      <w:szCs w:val="30"/>
                      <w:lang w:eastAsia="de-DE"/>
                    </w:rPr>
                    <w:t>},</w:t>
                  </w:r>
                </w:p>
              </w:tc>
            </w:tr>
            <w:tr w:rsidR="00E04FB5" w:rsidRPr="00904679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F619E2" w:rsidP="00F619E2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the </w:t>
                  </w:r>
                  <w:hyperlink r:id="rId6" w:history="1">
                    <w:r w:rsidRPr="00F619E2">
                      <w:rPr>
                        <w:rStyle w:val="Hyperlink"/>
                        <w:rFonts w:ascii="Arial" w:eastAsia="Times New Roman" w:hAnsi="Arial" w:cs="Arial"/>
                        <w:sz w:val="20"/>
                        <w:szCs w:val="20"/>
                        <w:lang w:val="en-US" w:eastAsia="de-DE"/>
                      </w:rPr>
                      <w:t>18th Innovations Forum for Automation</w:t>
                    </w:r>
                  </w:hyperlink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is in full swing and we are already looking back at two very successful and inspiring digital events! Last week, the </w:t>
                  </w:r>
                  <w:proofErr w:type="spellStart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Fabmatics</w:t>
                  </w:r>
                  <w:proofErr w:type="spellEnd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team brought together their automation experts with speakers from Bosch, </w:t>
                  </w:r>
                  <w:proofErr w:type="spellStart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Nexperia</w:t>
                  </w:r>
                  <w:proofErr w:type="spellEnd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and </w:t>
                  </w:r>
                  <w:proofErr w:type="spellStart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Cohu</w:t>
                  </w:r>
                  <w:proofErr w:type="spellEnd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for their web session. The recording of the webinar “</w:t>
                  </w:r>
                  <w:r w:rsidRP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Forever Young: Automation Makeover Rejuvenates Golden Age Fabs</w:t>
                  </w:r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” is now available. In case you could not make it or would like to revisit the webinar, visit the following link to </w:t>
                  </w:r>
                  <w:proofErr w:type="spellStart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rewatch</w:t>
                  </w:r>
                  <w:proofErr w:type="spellEnd"/>
                  <w:r w:rsidRPr="00F619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and access the presentations shown:</w:t>
                  </w:r>
                </w:p>
              </w:tc>
            </w:tr>
            <w:tr w:rsidR="00F619E2" w:rsidRPr="00E04FB5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28"/>
                  </w:tblGrid>
                  <w:tr w:rsidR="00F619E2" w:rsidRPr="00E04FB5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90D4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:rsidR="00F619E2" w:rsidRPr="00E04FB5" w:rsidRDefault="0047633E" w:rsidP="00E04FB5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7" w:tgtFrame="_blank" w:history="1">
                          <w:r w:rsidR="00F619E2" w:rsidRPr="00E04FB5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FFFFFF"/>
                              <w:sz w:val="20"/>
                              <w:szCs w:val="20"/>
                              <w:u w:val="single"/>
                              <w:shd w:val="clear" w:color="auto" w:fill="0090D4"/>
                              <w:lang w:eastAsia="de-DE"/>
                            </w:rPr>
                            <w:t>WATCH THE RECORDING</w:t>
                          </w:r>
                        </w:hyperlink>
                      </w:p>
                    </w:tc>
                  </w:tr>
                </w:tbl>
                <w:p w:rsidR="00F619E2" w:rsidRPr="00F619E2" w:rsidRDefault="00F619E2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</w:p>
              </w:tc>
            </w:tr>
            <w:tr w:rsidR="00F619E2" w:rsidRPr="00904679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</w:tcPr>
                <w:p w:rsidR="00F619E2" w:rsidRPr="00E04FB5" w:rsidRDefault="00F619E2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But we take no time to stop there and will provide you with more exciting content! The next 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#InnovationThursday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 is just around the corner as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XENON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 follows suit with its promising webinar topic:</w:t>
                  </w:r>
                </w:p>
              </w:tc>
            </w:tr>
            <w:tr w:rsidR="00F619E2" w:rsidRPr="00904679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F619E2" w:rsidRPr="00E04FB5" w:rsidRDefault="00F619E2" w:rsidP="00FC6CA9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val="en-US" w:eastAsia="de-DE"/>
                    </w:rPr>
                  </w:pPr>
                  <w:r w:rsidRP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lang w:val="en-US" w:eastAsia="de-DE"/>
                    </w:rPr>
                    <w:t xml:space="preserve">DIGITALIZATION MEETS </w:t>
                  </w:r>
                  <w:r w:rsidR="00FC6CA9" w:rsidRP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lang w:val="en-US" w:eastAsia="de-DE"/>
                    </w:rPr>
                    <w:br/>
                  </w:r>
                  <w:r w:rsidRP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2"/>
                      <w:szCs w:val="32"/>
                      <w:lang w:val="en-US" w:eastAsia="de-DE"/>
                    </w:rPr>
                    <w:t xml:space="preserve">MECHANICAL ENGINEERING </w:t>
                  </w:r>
                  <w:r w:rsid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3"/>
                      <w:szCs w:val="33"/>
                      <w:lang w:val="en-US" w:eastAsia="de-DE"/>
                    </w:rPr>
                    <w:br/>
                  </w:r>
                  <w:r w:rsidRPr="00FC6CA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de-DE"/>
                    </w:rPr>
                    <w:t>Chances and Challenges of Smart Manufacturing</w:t>
                  </w:r>
                </w:p>
              </w:tc>
            </w:tr>
            <w:tr w:rsidR="00F619E2" w:rsidRPr="00904679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F619E2" w:rsidRPr="00E04FB5" w:rsidRDefault="00F619E2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Free Online Event | </w:t>
                  </w:r>
                  <w:r w:rsid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March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 25, 2021 | </w:t>
                  </w:r>
                  <w:r w:rsid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9 am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 – </w:t>
                  </w:r>
                  <w:r w:rsid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Noon 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CET</w:t>
                  </w:r>
                </w:p>
              </w:tc>
            </w:tr>
            <w:tr w:rsidR="00FC6CA9" w:rsidRPr="00E04FB5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</w:tcPr>
                <w:p w:rsidR="00FC6CA9" w:rsidRPr="00E04FB5" w:rsidRDefault="00FC6CA9" w:rsidP="00E04FB5">
                  <w:pPr>
                    <w:spacing w:after="0" w:line="450" w:lineRule="atLeast"/>
                    <w:rPr>
                      <w:rFonts w:ascii="Arial" w:eastAsia="Times New Roman" w:hAnsi="Arial" w:cs="Arial"/>
                      <w:color w:val="000000"/>
                      <w:sz w:val="33"/>
                      <w:szCs w:val="33"/>
                      <w:lang w:val="en-US"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de-DE"/>
                    </w:rPr>
                    <w:drawing>
                      <wp:inline distT="0" distB="0" distL="0" distR="0">
                        <wp:extent cx="4472574" cy="1514475"/>
                        <wp:effectExtent l="0" t="0" r="4445" b="0"/>
                        <wp:docPr id="6" name="Grafi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17425" b="223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483766" cy="1518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6CA9" w:rsidRPr="00E04FB5" w:rsidTr="00F619E2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</w:tcPr>
                <w:p w:rsidR="00FC6CA9" w:rsidRPr="00E04FB5" w:rsidRDefault="00FC6CA9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</w:pPr>
                </w:p>
              </w:tc>
            </w:tr>
          </w:tbl>
          <w:p w:rsidR="00E04FB5" w:rsidRPr="00E04FB5" w:rsidRDefault="00E04FB5" w:rsidP="00E04FB5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E04FB5" w:rsidRPr="00E04FB5" w:rsidRDefault="00E04FB5" w:rsidP="00E04F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val="en-US" w:eastAsia="de-DE"/>
        </w:rPr>
      </w:pPr>
    </w:p>
    <w:tbl>
      <w:tblPr>
        <w:tblW w:w="90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00"/>
      </w:tblGrid>
      <w:tr w:rsidR="00E04FB5" w:rsidRPr="00E04FB5" w:rsidTr="00E04FB5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600" w:type="dxa"/>
              <w:bottom w:w="0" w:type="dxa"/>
              <w:right w:w="60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7800"/>
            </w:tblGrid>
            <w:tr w:rsidR="00E04FB5" w:rsidRPr="00E04FB5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50"/>
                  </w:tblGrid>
                  <w:tr w:rsidR="00E04FB5" w:rsidRPr="00E04FB5">
                    <w:trPr>
                      <w:jc w:val="center"/>
                    </w:trPr>
                    <w:tc>
                      <w:tcPr>
                        <w:tcW w:w="7050" w:type="dxa"/>
                        <w:vAlign w:val="center"/>
                        <w:hideMark/>
                      </w:tcPr>
                      <w:p w:rsidR="00E04FB5" w:rsidRPr="00E04FB5" w:rsidRDefault="00E04FB5" w:rsidP="00E04F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</w:tr>
                </w:tbl>
                <w:p w:rsidR="00E04FB5" w:rsidRPr="00E04FB5" w:rsidRDefault="00E04FB5" w:rsidP="00E04F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de-DE"/>
                    </w:rPr>
                  </w:pPr>
                </w:p>
              </w:tc>
            </w:tr>
          </w:tbl>
          <w:p w:rsidR="00E04FB5" w:rsidRPr="00E04FB5" w:rsidRDefault="00E04FB5" w:rsidP="00E04FB5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04FB5" w:rsidRPr="006C12B8" w:rsidTr="00E04FB5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600" w:type="dxa"/>
              <w:bottom w:w="0" w:type="dxa"/>
              <w:right w:w="60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7800"/>
            </w:tblGrid>
            <w:tr w:rsidR="00E04FB5" w:rsidRPr="00904679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F84C21" w:rsidRDefault="00F84C21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</w:p>
                <w:p w:rsidR="00F84C21" w:rsidRPr="00E04FB5" w:rsidRDefault="00904679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Digital transformation is a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key success factor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in the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automotive industry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as 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lastRenderedPageBreak/>
                    <w:t xml:space="preserve">well as in the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electronics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and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medical sector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. In order to keep pace as a leading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automation supplier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, XENON has initiated extensive activities and strategies for a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successful digital transformation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. The free event offers you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exclusive insights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into current topics and key processes of our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digitalization strategy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along with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new technologies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and </w:t>
                  </w:r>
                  <w:r w:rsidRPr="009046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solutions </w:t>
                  </w:r>
                  <w:r w:rsidRP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from our automation portfolio.</w:t>
                  </w:r>
                </w:p>
              </w:tc>
            </w:tr>
            <w:tr w:rsidR="00E04FB5" w:rsidRPr="00904679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904679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de-DE"/>
                    </w:rPr>
                    <w:lastRenderedPageBreak/>
                    <w:t xml:space="preserve">For more information and a detailed agenda visit our </w:t>
                  </w:r>
                  <w:hyperlink r:id="rId9" w:history="1">
                    <w:r w:rsidRPr="00904679">
                      <w:rPr>
                        <w:rStyle w:val="Hyperlink"/>
                        <w:rFonts w:ascii="Arial" w:eastAsia="Times New Roman" w:hAnsi="Arial" w:cs="Arial"/>
                        <w:sz w:val="20"/>
                        <w:szCs w:val="20"/>
                        <w:lang w:val="en-US" w:eastAsia="de-DE"/>
                      </w:rPr>
                      <w:t>website</w:t>
                    </w:r>
                  </w:hyperlink>
                  <w:r w:rsidR="00E04FB5"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 or simply click the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button</w:t>
                  </w:r>
                  <w:r w:rsidR="00E04FB5"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below:</w:t>
                  </w:r>
                </w:p>
              </w:tc>
            </w:tr>
            <w:tr w:rsidR="00E04FB5" w:rsidRPr="00E04FB5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17"/>
                  </w:tblGrid>
                  <w:tr w:rsidR="00E04FB5" w:rsidRPr="00E04FB5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90D4"/>
                        <w:tcMar>
                          <w:top w:w="150" w:type="dxa"/>
                          <w:left w:w="375" w:type="dxa"/>
                          <w:bottom w:w="150" w:type="dxa"/>
                          <w:right w:w="375" w:type="dxa"/>
                        </w:tcMar>
                        <w:vAlign w:val="center"/>
                        <w:hideMark/>
                      </w:tcPr>
                      <w:p w:rsidR="00E04FB5" w:rsidRPr="00E04FB5" w:rsidRDefault="0047633E" w:rsidP="00E04FB5">
                        <w:pPr>
                          <w:spacing w:after="0" w:line="0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0" w:history="1">
                          <w:r w:rsidR="00E04FB5" w:rsidRPr="00E04FB5">
                            <w:rPr>
                              <w:rStyle w:val="Hyperlink"/>
                              <w:rFonts w:ascii="Helvetica" w:eastAsia="Times New Roman" w:hAnsi="Helvetica" w:cs="Helvetica"/>
                              <w:b/>
                              <w:bCs/>
                              <w:sz w:val="20"/>
                              <w:szCs w:val="20"/>
                              <w:shd w:val="clear" w:color="auto" w:fill="0090D4"/>
                              <w:lang w:eastAsia="de-DE"/>
                            </w:rPr>
                            <w:t>REGISTER NOW</w:t>
                          </w:r>
                        </w:hyperlink>
                      </w:p>
                    </w:tc>
                  </w:tr>
                </w:tbl>
                <w:p w:rsidR="00E04FB5" w:rsidRPr="00E04FB5" w:rsidRDefault="00E04FB5" w:rsidP="00E04FB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de-DE"/>
                    </w:rPr>
                  </w:pPr>
                </w:p>
              </w:tc>
            </w:tr>
            <w:tr w:rsidR="00E04FB5" w:rsidRPr="00904679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E04FB5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Please register 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before </w:t>
                  </w:r>
                  <w:r w:rsidR="00FC6CA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>March</w:t>
                  </w:r>
                  <w:r w:rsidRPr="00E04FB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US" w:eastAsia="de-DE"/>
                    </w:rPr>
                    <w:t xml:space="preserve"> 24, 2021.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br/>
                    <w:t>We are looking forward to</w:t>
                  </w:r>
                  <w:r w:rsidR="0090467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 exciting presentations and 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welcoming you again soon!</w:t>
                  </w:r>
                </w:p>
              </w:tc>
            </w:tr>
            <w:tr w:rsidR="00E04FB5" w:rsidRPr="00904679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E04FB5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</w:pP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Best Regards,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br/>
                  </w:r>
                  <w:r w:rsidR="0016042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Dr. Hartmut Freitag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 xml:space="preserve">, </w:t>
                  </w:r>
                  <w:r w:rsidR="00FC6C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t>XENON</w:t>
                  </w:r>
                  <w:r w:rsidRPr="00E04FB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de-DE"/>
                    </w:rPr>
                    <w:br/>
                    <w:t>on behalf of the Automation Network Dresden</w:t>
                  </w:r>
                </w:p>
              </w:tc>
            </w:tr>
            <w:tr w:rsidR="00E04FB5" w:rsidRPr="006C12B8">
              <w:tc>
                <w:tcPr>
                  <w:tcW w:w="0" w:type="auto"/>
                  <w:tcMar>
                    <w:top w:w="150" w:type="dxa"/>
                    <w:left w:w="375" w:type="dxa"/>
                    <w:bottom w:w="150" w:type="dxa"/>
                    <w:right w:w="375" w:type="dxa"/>
                  </w:tcMar>
                  <w:vAlign w:val="center"/>
                  <w:hideMark/>
                </w:tcPr>
                <w:p w:rsidR="00E04FB5" w:rsidRPr="00E04FB5" w:rsidRDefault="00E04FB5" w:rsidP="00E04FB5">
                  <w:pPr>
                    <w:spacing w:after="0" w:line="330" w:lineRule="atLeas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 w:eastAsia="de-DE"/>
                    </w:rPr>
                  </w:pPr>
                  <w:r w:rsidRPr="00E04FB5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 w:eastAsia="de-DE"/>
                    </w:rPr>
                    <w:t xml:space="preserve">The event will be initiated by the Automation Network Dresden (AND) and all its member companies Kontron AIS, </w:t>
                  </w:r>
                  <w:proofErr w:type="spellStart"/>
                  <w:r w:rsidRPr="00E04FB5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 w:eastAsia="de-DE"/>
                    </w:rPr>
                    <w:t>Fabmatics</w:t>
                  </w:r>
                  <w:proofErr w:type="spellEnd"/>
                  <w:r w:rsidRPr="00E04FB5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 w:eastAsia="de-DE"/>
                    </w:rPr>
                    <w:t>, SYSTEMA and XENON. The four companies have been successfully working together on automation projects in the high-tech industry for more than 20 years. Commonly, we are shaping progress towards industry 4.0 and setting standards with regard to current automation trends.</w:t>
                  </w:r>
                </w:p>
              </w:tc>
            </w:tr>
          </w:tbl>
          <w:p w:rsidR="00E04FB5" w:rsidRPr="00E04FB5" w:rsidRDefault="00E04FB5" w:rsidP="00E04FB5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E04FB5" w:rsidRPr="00E04FB5" w:rsidRDefault="00E04FB5" w:rsidP="00E04FB5">
      <w:pPr>
        <w:rPr>
          <w:lang w:val="en-US"/>
        </w:rPr>
      </w:pPr>
    </w:p>
    <w:sectPr w:rsidR="00E04FB5" w:rsidRPr="00E04FB5" w:rsidSect="00476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A350A"/>
    <w:multiLevelType w:val="multilevel"/>
    <w:tmpl w:val="0954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4FB5"/>
    <w:rsid w:val="00160427"/>
    <w:rsid w:val="0047633E"/>
    <w:rsid w:val="006C12B8"/>
    <w:rsid w:val="00833DFE"/>
    <w:rsid w:val="00904679"/>
    <w:rsid w:val="00BD11C6"/>
    <w:rsid w:val="00E04FB5"/>
    <w:rsid w:val="00E11D0F"/>
    <w:rsid w:val="00EF3744"/>
    <w:rsid w:val="00F619E2"/>
    <w:rsid w:val="00F84C21"/>
    <w:rsid w:val="00FC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63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4FB5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619E2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1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it.ly/3jaoVy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sden.and-innovation.d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xenon-automation.com/innovation-forum-for-automation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enon-automation.com/innovation-forum-for-automation-20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Günther</dc:creator>
  <cp:lastModifiedBy>frichter</cp:lastModifiedBy>
  <cp:revision>2</cp:revision>
  <dcterms:created xsi:type="dcterms:W3CDTF">2021-03-09T10:04:00Z</dcterms:created>
  <dcterms:modified xsi:type="dcterms:W3CDTF">2021-03-09T10:04:00Z</dcterms:modified>
</cp:coreProperties>
</file>