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C772C" w14:textId="5A01FF97" w:rsidR="00251EDD" w:rsidRDefault="00AA1509">
      <w:pPr>
        <w:rPr>
          <w:lang w:val="en-GB"/>
        </w:rPr>
      </w:pPr>
      <w:r>
        <w:rPr>
          <w:lang w:val="en-GB"/>
        </w:rPr>
        <w:t>Policy Reports</w:t>
      </w:r>
    </w:p>
    <w:p w14:paraId="026206FC" w14:textId="30DAB2CC" w:rsidR="00AA1509" w:rsidRPr="00AA1509" w:rsidRDefault="00AA1509">
      <w:pPr>
        <w:rPr>
          <w:b/>
          <w:bCs/>
          <w:u w:val="single"/>
          <w:lang w:val="en-GB"/>
        </w:rPr>
      </w:pPr>
      <w:r w:rsidRPr="00AA1509">
        <w:rPr>
          <w:b/>
          <w:bCs/>
          <w:u w:val="single"/>
          <w:lang w:val="en-GB"/>
        </w:rPr>
        <w:t>World Bank- TIDES of Change: Igniting Productivity Growth in Europe and Central Asia</w:t>
      </w:r>
    </w:p>
    <w:p w14:paraId="2C795E2A" w14:textId="77777777" w:rsidR="00AA1509" w:rsidRPr="00AA1509" w:rsidRDefault="00AA1509" w:rsidP="00AA1509">
      <w:pPr>
        <w:rPr>
          <w:lang w:val="en-GB"/>
        </w:rPr>
      </w:pPr>
      <w:r w:rsidRPr="00AA1509">
        <w:rPr>
          <w:lang w:val="en-GB"/>
        </w:rPr>
        <w:t xml:space="preserve">Europe and Central Asia (ECA) </w:t>
      </w:r>
      <w:proofErr w:type="gramStart"/>
      <w:r w:rsidRPr="00AA1509">
        <w:rPr>
          <w:lang w:val="en-GB"/>
        </w:rPr>
        <w:t>is</w:t>
      </w:r>
      <w:proofErr w:type="gramEnd"/>
      <w:r w:rsidRPr="00AA1509">
        <w:rPr>
          <w:lang w:val="en-GB"/>
        </w:rPr>
        <w:t xml:space="preserve"> at a turning point. After a period of convergence and reform-driven</w:t>
      </w:r>
    </w:p>
    <w:p w14:paraId="471E44F4" w14:textId="77777777" w:rsidR="00AA1509" w:rsidRPr="00AA1509" w:rsidRDefault="00AA1509" w:rsidP="00AA1509">
      <w:pPr>
        <w:rPr>
          <w:lang w:val="en-GB"/>
        </w:rPr>
      </w:pPr>
      <w:r w:rsidRPr="00AA1509">
        <w:rPr>
          <w:lang w:val="en-GB"/>
        </w:rPr>
        <w:t>growth during the first decade of the 2000s, the region’s productivity engine has lost momentum.</w:t>
      </w:r>
    </w:p>
    <w:p w14:paraId="6F481A5B" w14:textId="77777777" w:rsidR="00AA1509" w:rsidRPr="00AA1509" w:rsidRDefault="00AA1509" w:rsidP="00AA1509">
      <w:pPr>
        <w:rPr>
          <w:lang w:val="en-GB"/>
        </w:rPr>
      </w:pPr>
      <w:r w:rsidRPr="00AA1509">
        <w:rPr>
          <w:lang w:val="en-GB"/>
        </w:rPr>
        <w:t>Total factor productivity growth has halved since the global financial crisis, and the gains from</w:t>
      </w:r>
    </w:p>
    <w:p w14:paraId="3C280D78" w14:textId="77777777" w:rsidR="00AA1509" w:rsidRPr="00AA1509" w:rsidRDefault="00AA1509" w:rsidP="00AA1509">
      <w:pPr>
        <w:rPr>
          <w:lang w:val="en-GB"/>
        </w:rPr>
      </w:pPr>
      <w:r w:rsidRPr="00AA1509">
        <w:rPr>
          <w:lang w:val="en-GB"/>
        </w:rPr>
        <w:t xml:space="preserve">capital deepening and </w:t>
      </w:r>
      <w:proofErr w:type="spellStart"/>
      <w:r w:rsidRPr="00AA1509">
        <w:rPr>
          <w:lang w:val="en-GB"/>
        </w:rPr>
        <w:t>labor</w:t>
      </w:r>
      <w:proofErr w:type="spellEnd"/>
      <w:r w:rsidRPr="00AA1509">
        <w:rPr>
          <w:lang w:val="en-GB"/>
        </w:rPr>
        <w:t xml:space="preserve"> expansion are no longer sufficient to sustain economic growth. If pre-</w:t>
      </w:r>
    </w:p>
    <w:p w14:paraId="67998A89" w14:textId="77777777" w:rsidR="00AA1509" w:rsidRPr="00AA1509" w:rsidRDefault="00AA1509" w:rsidP="00AA1509">
      <w:pPr>
        <w:rPr>
          <w:lang w:val="en-GB"/>
        </w:rPr>
      </w:pPr>
      <w:r w:rsidRPr="00AA1509">
        <w:rPr>
          <w:lang w:val="en-GB"/>
        </w:rPr>
        <w:t>2008 trends in productivity growth had continued, average incomes would be around 60 percent</w:t>
      </w:r>
    </w:p>
    <w:p w14:paraId="086490BA" w14:textId="77777777" w:rsidR="00AA1509" w:rsidRPr="00AA1509" w:rsidRDefault="00AA1509" w:rsidP="00AA1509">
      <w:pPr>
        <w:rPr>
          <w:lang w:val="en-GB"/>
        </w:rPr>
      </w:pPr>
      <w:r w:rsidRPr="00AA1509">
        <w:rPr>
          <w:lang w:val="en-GB"/>
        </w:rPr>
        <w:t>higher today. Instead, misallocated resources, incomplete integration into global markets, and weak</w:t>
      </w:r>
    </w:p>
    <w:p w14:paraId="1510D2B7" w14:textId="77777777" w:rsidR="00AA1509" w:rsidRPr="00AA1509" w:rsidRDefault="00AA1509" w:rsidP="00AA1509">
      <w:pPr>
        <w:rPr>
          <w:lang w:val="en-GB"/>
        </w:rPr>
      </w:pPr>
      <w:r w:rsidRPr="00AA1509">
        <w:rPr>
          <w:lang w:val="en-GB"/>
        </w:rPr>
        <w:t>firm capabilities during a period of stalled reforms have left the region below its potential.</w:t>
      </w:r>
    </w:p>
    <w:p w14:paraId="41707139" w14:textId="77777777" w:rsidR="00AA1509" w:rsidRPr="00AA1509" w:rsidRDefault="00AA1509" w:rsidP="00AA1509">
      <w:pPr>
        <w:rPr>
          <w:lang w:val="en-GB"/>
        </w:rPr>
      </w:pPr>
      <w:r w:rsidRPr="00AA1509">
        <w:rPr>
          <w:lang w:val="en-GB"/>
        </w:rPr>
        <w:t>This report lays out a new agenda for boosting productivity. Drawing on unique firm-level data</w:t>
      </w:r>
    </w:p>
    <w:p w14:paraId="11B48122" w14:textId="77777777" w:rsidR="00AA1509" w:rsidRPr="00AA1509" w:rsidRDefault="00AA1509" w:rsidP="00AA1509">
      <w:pPr>
        <w:rPr>
          <w:lang w:val="en-GB"/>
        </w:rPr>
      </w:pPr>
      <w:r w:rsidRPr="00AA1509">
        <w:rPr>
          <w:lang w:val="en-GB"/>
        </w:rPr>
        <w:t>from across the region, it shows how deeper trade integration, smarter investment, and adoption</w:t>
      </w:r>
    </w:p>
    <w:p w14:paraId="54CABEA1" w14:textId="77777777" w:rsidR="00AA1509" w:rsidRPr="00AA1509" w:rsidRDefault="00AA1509" w:rsidP="00AA1509">
      <w:pPr>
        <w:rPr>
          <w:lang w:val="en-GB"/>
        </w:rPr>
      </w:pPr>
      <w:r w:rsidRPr="00AA1509">
        <w:rPr>
          <w:lang w:val="en-GB"/>
        </w:rPr>
        <w:t>of technology, coupled with improved firm capabilities and investments in workers’ skills, can</w:t>
      </w:r>
    </w:p>
    <w:p w14:paraId="0100190F" w14:textId="77777777" w:rsidR="00AA1509" w:rsidRPr="00AA1509" w:rsidRDefault="00AA1509" w:rsidP="00AA1509">
      <w:pPr>
        <w:rPr>
          <w:lang w:val="en-GB"/>
        </w:rPr>
      </w:pPr>
      <w:r w:rsidRPr="00AA1509">
        <w:rPr>
          <w:lang w:val="en-GB"/>
        </w:rPr>
        <w:t>unlock significant productivity gains. The report highlights the need to face the challenges of the</w:t>
      </w:r>
    </w:p>
    <w:p w14:paraId="7BCDFD82" w14:textId="77777777" w:rsidR="00AA1509" w:rsidRPr="00AA1509" w:rsidRDefault="00AA1509" w:rsidP="00AA1509">
      <w:pPr>
        <w:rPr>
          <w:lang w:val="en-GB"/>
        </w:rPr>
      </w:pPr>
      <w:r w:rsidRPr="00AA1509">
        <w:rPr>
          <w:lang w:val="en-GB"/>
        </w:rPr>
        <w:t>unrealized potential of exports and foreign direct investment, insufficient level of digital technology</w:t>
      </w:r>
    </w:p>
    <w:p w14:paraId="288352C0" w14:textId="77777777" w:rsidR="00AA1509" w:rsidRPr="00AA1509" w:rsidRDefault="00AA1509" w:rsidP="00AA1509">
      <w:pPr>
        <w:rPr>
          <w:lang w:val="en-GB"/>
        </w:rPr>
      </w:pPr>
      <w:r w:rsidRPr="00AA1509">
        <w:rPr>
          <w:lang w:val="en-GB"/>
        </w:rPr>
        <w:t>adoption, and limited investment in skills training (offered by only one in five firms in ECA today),</w:t>
      </w:r>
    </w:p>
    <w:p w14:paraId="510A4BC4" w14:textId="77777777" w:rsidR="00AA1509" w:rsidRPr="00AA1509" w:rsidRDefault="00AA1509" w:rsidP="00AA1509">
      <w:pPr>
        <w:rPr>
          <w:lang w:val="en-GB"/>
        </w:rPr>
      </w:pPr>
      <w:r w:rsidRPr="00AA1509">
        <w:rPr>
          <w:lang w:val="en-GB"/>
        </w:rPr>
        <w:t>coupled with weak foundational skills. The evidence is clear: Addressing these challenges through</w:t>
      </w:r>
    </w:p>
    <w:p w14:paraId="13098B01" w14:textId="77777777" w:rsidR="00AA1509" w:rsidRPr="00AA1509" w:rsidRDefault="00AA1509" w:rsidP="00AA1509">
      <w:pPr>
        <w:rPr>
          <w:lang w:val="en-GB"/>
        </w:rPr>
      </w:pPr>
      <w:r w:rsidRPr="00AA1509">
        <w:rPr>
          <w:lang w:val="en-GB"/>
        </w:rPr>
        <w:t>targeted reforms in improving market functioning, technology adoption, export promotion, and</w:t>
      </w:r>
    </w:p>
    <w:p w14:paraId="70264EF2" w14:textId="77777777" w:rsidR="00AA1509" w:rsidRPr="00AA1509" w:rsidRDefault="00AA1509" w:rsidP="00AA1509">
      <w:pPr>
        <w:rPr>
          <w:lang w:val="en-GB"/>
        </w:rPr>
      </w:pPr>
      <w:r w:rsidRPr="00AA1509">
        <w:rPr>
          <w:lang w:val="en-GB"/>
        </w:rPr>
        <w:t>skills development is crucial for unlocking the region’s productivity potential.</w:t>
      </w:r>
    </w:p>
    <w:p w14:paraId="08AF92DA" w14:textId="77777777" w:rsidR="00AA1509" w:rsidRPr="00AA1509" w:rsidRDefault="00AA1509" w:rsidP="00AA1509">
      <w:pPr>
        <w:rPr>
          <w:lang w:val="en-GB"/>
        </w:rPr>
      </w:pPr>
      <w:r w:rsidRPr="00AA1509">
        <w:rPr>
          <w:lang w:val="en-GB"/>
        </w:rPr>
        <w:t>The path forward is captured by the policy framework of trade, investment, digitalization, efficiency,</w:t>
      </w:r>
    </w:p>
    <w:p w14:paraId="52A16F44" w14:textId="77777777" w:rsidR="00AA1509" w:rsidRPr="00AA1509" w:rsidRDefault="00AA1509" w:rsidP="00AA1509">
      <w:pPr>
        <w:rPr>
          <w:lang w:val="en-GB"/>
        </w:rPr>
      </w:pPr>
      <w:r w:rsidRPr="00AA1509">
        <w:rPr>
          <w:lang w:val="en-GB"/>
        </w:rPr>
        <w:t>and skills (TIDES)—the levers that can help boost the region’s productivity. This flagship report is</w:t>
      </w:r>
    </w:p>
    <w:p w14:paraId="163654C7" w14:textId="77777777" w:rsidR="00AA1509" w:rsidRPr="00AA1509" w:rsidRDefault="00AA1509" w:rsidP="00AA1509">
      <w:pPr>
        <w:rPr>
          <w:lang w:val="en-GB"/>
        </w:rPr>
      </w:pPr>
      <w:r w:rsidRPr="00AA1509">
        <w:rPr>
          <w:lang w:val="en-GB"/>
        </w:rPr>
        <w:t>not just a diagnosis of what went wrong; it is a call to action for what must come next. Focusing on</w:t>
      </w:r>
    </w:p>
    <w:p w14:paraId="3D5F1E4D" w14:textId="77777777" w:rsidR="00AA1509" w:rsidRPr="00AA1509" w:rsidRDefault="00AA1509" w:rsidP="00AA1509">
      <w:pPr>
        <w:rPr>
          <w:lang w:val="en-GB"/>
        </w:rPr>
      </w:pPr>
      <w:r w:rsidRPr="00AA1509">
        <w:rPr>
          <w:lang w:val="en-GB"/>
        </w:rPr>
        <w:t>TIDES, with the right policies and political will, ECA can reclaim its momentum and deliver a new era</w:t>
      </w:r>
    </w:p>
    <w:p w14:paraId="0778054D" w14:textId="051A38CF" w:rsidR="00AA1509" w:rsidRDefault="00AA1509" w:rsidP="00AA1509">
      <w:pPr>
        <w:rPr>
          <w:lang w:val="en-GB"/>
        </w:rPr>
      </w:pPr>
      <w:r w:rsidRPr="00AA1509">
        <w:rPr>
          <w:lang w:val="en-GB"/>
        </w:rPr>
        <w:t>of shared prosperity.</w:t>
      </w:r>
    </w:p>
    <w:p w14:paraId="23200EA3" w14:textId="77777777" w:rsidR="00AA1509" w:rsidRDefault="00AA1509" w:rsidP="00AA1509">
      <w:pPr>
        <w:rPr>
          <w:lang w:val="en-GB"/>
        </w:rPr>
      </w:pPr>
    </w:p>
    <w:p w14:paraId="2D99B6CE" w14:textId="77777777" w:rsidR="00AA1509" w:rsidRDefault="00AA1509" w:rsidP="00AA1509">
      <w:pPr>
        <w:rPr>
          <w:lang w:val="en-GB"/>
        </w:rPr>
      </w:pPr>
    </w:p>
    <w:p w14:paraId="0AF915ED" w14:textId="77777777" w:rsidR="00AA1509" w:rsidRDefault="00AA1509" w:rsidP="00AA1509">
      <w:pPr>
        <w:rPr>
          <w:lang w:val="en-GB"/>
        </w:rPr>
      </w:pPr>
    </w:p>
    <w:p w14:paraId="53D46F31" w14:textId="77777777" w:rsidR="00AA1509" w:rsidRDefault="00AA1509" w:rsidP="00AA1509">
      <w:pPr>
        <w:rPr>
          <w:lang w:val="en-GB"/>
        </w:rPr>
      </w:pPr>
    </w:p>
    <w:p w14:paraId="68996398" w14:textId="77777777" w:rsidR="00AA1509" w:rsidRDefault="00AA1509" w:rsidP="00AA1509">
      <w:pPr>
        <w:rPr>
          <w:lang w:val="en-GB"/>
        </w:rPr>
      </w:pPr>
    </w:p>
    <w:p w14:paraId="7FC4E294" w14:textId="77777777" w:rsidR="00AA1509" w:rsidRDefault="00AA1509" w:rsidP="00AA1509">
      <w:pPr>
        <w:rPr>
          <w:lang w:val="en-GB"/>
        </w:rPr>
      </w:pPr>
    </w:p>
    <w:p w14:paraId="79F44864" w14:textId="77777777" w:rsidR="00AA1509" w:rsidRDefault="00AA1509" w:rsidP="00AA1509">
      <w:pPr>
        <w:rPr>
          <w:lang w:val="en-GB"/>
        </w:rPr>
      </w:pPr>
    </w:p>
    <w:p w14:paraId="6A8C0B0D" w14:textId="77777777" w:rsidR="00AA1509" w:rsidRDefault="00AA1509" w:rsidP="00AA1509">
      <w:pPr>
        <w:rPr>
          <w:lang w:val="en-GB"/>
        </w:rPr>
      </w:pPr>
    </w:p>
    <w:p w14:paraId="3955BB64" w14:textId="054A1B6F" w:rsidR="00AA1509" w:rsidRPr="00AA1509" w:rsidRDefault="00AA1509" w:rsidP="00AA1509">
      <w:pPr>
        <w:rPr>
          <w:b/>
          <w:bCs/>
          <w:lang w:val="en-GB"/>
        </w:rPr>
      </w:pPr>
      <w:r w:rsidRPr="00AA1509">
        <w:rPr>
          <w:b/>
          <w:bCs/>
          <w:lang w:val="en-GB"/>
        </w:rPr>
        <w:lastRenderedPageBreak/>
        <w:t>OECD</w:t>
      </w:r>
      <w:proofErr w:type="gramStart"/>
      <w:r w:rsidRPr="00AA1509">
        <w:rPr>
          <w:b/>
          <w:bCs/>
          <w:lang w:val="en-GB"/>
        </w:rPr>
        <w:t xml:space="preserve">- </w:t>
      </w:r>
      <w:r w:rsidRPr="00AA1509">
        <w:rPr>
          <w:b/>
          <w:bCs/>
          <w:lang w:val="en-GB"/>
        </w:rPr>
        <w:t xml:space="preserve"> SME</w:t>
      </w:r>
      <w:proofErr w:type="gramEnd"/>
      <w:r w:rsidRPr="00AA1509">
        <w:rPr>
          <w:b/>
          <w:bCs/>
          <w:lang w:val="en-GB"/>
        </w:rPr>
        <w:t xml:space="preserve"> Policy Index: Western Balkans and Turkey 2022</w:t>
      </w:r>
      <w:r w:rsidRPr="00AA1509">
        <w:rPr>
          <w:b/>
          <w:bCs/>
          <w:lang w:val="en-GB"/>
        </w:rPr>
        <w:t xml:space="preserve"> </w:t>
      </w:r>
      <w:r w:rsidRPr="00AA1509">
        <w:rPr>
          <w:b/>
          <w:bCs/>
          <w:lang w:val="en-GB"/>
        </w:rPr>
        <w:t>Assessing the Implementation of the Small Business Act for Europe</w:t>
      </w:r>
    </w:p>
    <w:p w14:paraId="4DD67BB2" w14:textId="178A8935" w:rsidR="00AA1509" w:rsidRDefault="00AA1509" w:rsidP="00AA1509">
      <w:pPr>
        <w:rPr>
          <w:lang w:val="en-GB"/>
        </w:rPr>
      </w:pPr>
      <w:r>
        <w:rPr>
          <w:lang w:val="en-GB"/>
        </w:rPr>
        <w:t>Lead Author of Chapter 8 on Standards and Technical Regulation</w:t>
      </w:r>
    </w:p>
    <w:p w14:paraId="2CF78DD2" w14:textId="77777777" w:rsidR="00AA1509" w:rsidRPr="00AA1509" w:rsidRDefault="00AA1509" w:rsidP="00AA1509">
      <w:pPr>
        <w:rPr>
          <w:lang w:val="en-DE"/>
        </w:rPr>
      </w:pPr>
      <w:r w:rsidRPr="00AA1509">
        <w:rPr>
          <w:lang w:val="en-DE"/>
        </w:rPr>
        <w:t>Small and medium-sized enterprises (SMEs) are essential drivers of sustainable economic growth in the Western Balkans and Turkey, where they make up 99% of all firms, generate 65% value added and account for 75% of employment. Nevertheless, SMEs across the region continue to face obstacles such as difficulties accessing financing, low levels of digital uptake, regulatory barriers and relatively low participation in international trade. The situation has been further exacerbated by the COVID-19 pandemic: SMEs found themselves fighting for survival amidst reduced demand, lockdowns and travel restrictions, and supply chain disruptions. </w:t>
      </w:r>
    </w:p>
    <w:p w14:paraId="300882F6" w14:textId="77777777" w:rsidR="00AA1509" w:rsidRPr="00AA1509" w:rsidRDefault="00AA1509" w:rsidP="00AA1509">
      <w:pPr>
        <w:rPr>
          <w:lang w:val="en-DE"/>
        </w:rPr>
      </w:pPr>
      <w:r w:rsidRPr="00AA1509">
        <w:rPr>
          <w:lang w:val="en-DE"/>
        </w:rPr>
        <w:t>This report provides an overview of the implementation of the Small Business Act for Europe during the period 2019-22. It is designed to help policy makers design, implement and monitor policies to support the recovery of SMEs from the pandemic, boost their competitiveness based on OECD and EU good practices, and further enhance the region’s economic growth and resilience.  </w:t>
      </w:r>
    </w:p>
    <w:p w14:paraId="537BE4D6" w14:textId="77777777" w:rsidR="00AA1509" w:rsidRDefault="00AA1509" w:rsidP="00AA1509">
      <w:pPr>
        <w:rPr>
          <w:lang w:val="en-DE"/>
        </w:rPr>
      </w:pPr>
    </w:p>
    <w:p w14:paraId="7CB30576" w14:textId="670FC82D" w:rsidR="00507EC4" w:rsidRPr="00C51CA7" w:rsidRDefault="00507EC4" w:rsidP="00507EC4">
      <w:pPr>
        <w:rPr>
          <w:b/>
          <w:bCs/>
          <w:lang w:val="en-DE"/>
        </w:rPr>
      </w:pPr>
      <w:r w:rsidRPr="00C51CA7">
        <w:rPr>
          <w:b/>
          <w:bCs/>
          <w:lang w:val="en-DE"/>
        </w:rPr>
        <w:t>Fraunhofer ISI- Report on key enabling technologies</w:t>
      </w:r>
    </w:p>
    <w:p w14:paraId="3950A507" w14:textId="4EB06F88" w:rsidR="00507EC4" w:rsidRPr="00AA1509" w:rsidRDefault="00507EC4" w:rsidP="00507EC4">
      <w:pPr>
        <w:rPr>
          <w:lang w:val="en-DE"/>
        </w:rPr>
      </w:pPr>
      <w:r w:rsidRPr="00507EC4">
        <w:rPr>
          <w:lang w:val="en-DE"/>
        </w:rPr>
        <w:t xml:space="preserve">This report on the role of key </w:t>
      </w:r>
      <w:r>
        <w:rPr>
          <w:lang w:val="en-DE"/>
        </w:rPr>
        <w:t xml:space="preserve">enabling </w:t>
      </w:r>
      <w:r w:rsidRPr="00507EC4">
        <w:rPr>
          <w:lang w:val="en-DE"/>
        </w:rPr>
        <w:t>technologies in the German innovation system pursues three central objectives, which are addressed in seven consecutive chapters.</w:t>
      </w:r>
      <w:r>
        <w:rPr>
          <w:lang w:val="en-DE"/>
        </w:rPr>
        <w:t xml:space="preserve"> </w:t>
      </w:r>
      <w:r w:rsidRPr="00507EC4">
        <w:rPr>
          <w:lang w:val="en-DE"/>
        </w:rPr>
        <w:t xml:space="preserve">First, the academic and political origins of the concept of "key </w:t>
      </w:r>
      <w:r>
        <w:rPr>
          <w:lang w:val="en-DE"/>
        </w:rPr>
        <w:t xml:space="preserve">enabling </w:t>
      </w:r>
      <w:r w:rsidRPr="00507EC4">
        <w:rPr>
          <w:lang w:val="en-DE"/>
        </w:rPr>
        <w:t xml:space="preserve">technology" are examined in detail, and an empirical study is conducted to determine which technologies currently best fulfill the criteria derived from this concept. At the end of this first section, the various rationales that are logically suitable for the political designation of specific technologies as "key </w:t>
      </w:r>
      <w:r>
        <w:rPr>
          <w:lang w:val="en-DE"/>
        </w:rPr>
        <w:t xml:space="preserve">enabling </w:t>
      </w:r>
      <w:r w:rsidRPr="00507EC4">
        <w:rPr>
          <w:lang w:val="en-DE"/>
        </w:rPr>
        <w:t xml:space="preserve">technologies" are presented. Subsequently, in a second part, Germany's position in the selected key </w:t>
      </w:r>
      <w:r>
        <w:rPr>
          <w:lang w:val="en-DE"/>
        </w:rPr>
        <w:t xml:space="preserve">enabling </w:t>
      </w:r>
      <w:r w:rsidRPr="00507EC4">
        <w:rPr>
          <w:lang w:val="en-DE"/>
        </w:rPr>
        <w:t xml:space="preserve">technology areas and individual </w:t>
      </w:r>
      <w:r>
        <w:rPr>
          <w:lang w:val="en-DE"/>
        </w:rPr>
        <w:t xml:space="preserve">enabling </w:t>
      </w:r>
      <w:r w:rsidRPr="00507EC4">
        <w:rPr>
          <w:lang w:val="en-DE"/>
        </w:rPr>
        <w:t>technologies is empirically examined.</w:t>
      </w:r>
      <w:r>
        <w:rPr>
          <w:lang w:val="en-DE"/>
        </w:rPr>
        <w:t xml:space="preserve"> </w:t>
      </w:r>
      <w:r w:rsidRPr="00507EC4">
        <w:rPr>
          <w:lang w:val="en-DE"/>
        </w:rPr>
        <w:t xml:space="preserve">Specific chapters here examine Germany's positioning </w:t>
      </w:r>
      <w:proofErr w:type="gramStart"/>
      <w:r w:rsidRPr="00507EC4">
        <w:rPr>
          <w:lang w:val="en-DE"/>
        </w:rPr>
        <w:t>with regard to</w:t>
      </w:r>
      <w:proofErr w:type="gramEnd"/>
      <w:r w:rsidRPr="00507EC4">
        <w:rPr>
          <w:lang w:val="en-DE"/>
        </w:rPr>
        <w:t xml:space="preserve"> research and development, foreign trade, international standardization, and international cooperation—all those aspects that were previously identified as core dimensions of technological sovereignty. Finally, a last chapter specifically highlights key obstacles for German innovators and outlines which political measures have been and are being implemented in the world's largest economic regions (EU-27, USA, China) to promote the development of key </w:t>
      </w:r>
      <w:r>
        <w:rPr>
          <w:lang w:val="en-DE"/>
        </w:rPr>
        <w:t xml:space="preserve">enabling </w:t>
      </w:r>
      <w:r w:rsidRPr="00507EC4">
        <w:rPr>
          <w:lang w:val="en-DE"/>
        </w:rPr>
        <w:t>technologies. The report concludes with an overarching summary and recommendations.</w:t>
      </w:r>
    </w:p>
    <w:sectPr w:rsidR="00507EC4" w:rsidRPr="00AA15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509"/>
    <w:rsid w:val="001B4182"/>
    <w:rsid w:val="00251EDD"/>
    <w:rsid w:val="00507EC4"/>
    <w:rsid w:val="0054386A"/>
    <w:rsid w:val="005C4DA4"/>
    <w:rsid w:val="007D3C22"/>
    <w:rsid w:val="007F33E5"/>
    <w:rsid w:val="00AA1509"/>
    <w:rsid w:val="00C51CA7"/>
    <w:rsid w:val="00C67437"/>
    <w:rsid w:val="00E65AB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B4565"/>
  <w15:chartTrackingRefBased/>
  <w15:docId w15:val="{995C160D-A86D-4637-BFBF-DCE42869D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A15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15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5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5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5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509"/>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AA1509"/>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AA1509"/>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AA1509"/>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A1509"/>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AA150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A150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A150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A150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A1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50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A1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50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A1509"/>
    <w:pPr>
      <w:spacing w:before="160"/>
      <w:jc w:val="center"/>
    </w:pPr>
    <w:rPr>
      <w:i/>
      <w:iCs/>
      <w:color w:val="404040" w:themeColor="text1" w:themeTint="BF"/>
    </w:rPr>
  </w:style>
  <w:style w:type="character" w:customStyle="1" w:styleId="QuoteChar">
    <w:name w:val="Quote Char"/>
    <w:basedOn w:val="DefaultParagraphFont"/>
    <w:link w:val="Quote"/>
    <w:uiPriority w:val="29"/>
    <w:rsid w:val="00AA1509"/>
    <w:rPr>
      <w:i/>
      <w:iCs/>
      <w:color w:val="404040" w:themeColor="text1" w:themeTint="BF"/>
      <w:lang w:val="en-US"/>
    </w:rPr>
  </w:style>
  <w:style w:type="paragraph" w:styleId="ListParagraph">
    <w:name w:val="List Paragraph"/>
    <w:basedOn w:val="Normal"/>
    <w:uiPriority w:val="34"/>
    <w:qFormat/>
    <w:rsid w:val="00AA1509"/>
    <w:pPr>
      <w:ind w:left="720"/>
      <w:contextualSpacing/>
    </w:pPr>
  </w:style>
  <w:style w:type="character" w:styleId="IntenseEmphasis">
    <w:name w:val="Intense Emphasis"/>
    <w:basedOn w:val="DefaultParagraphFont"/>
    <w:uiPriority w:val="21"/>
    <w:qFormat/>
    <w:rsid w:val="00AA1509"/>
    <w:rPr>
      <w:i/>
      <w:iCs/>
      <w:color w:val="2F5496" w:themeColor="accent1" w:themeShade="BF"/>
    </w:rPr>
  </w:style>
  <w:style w:type="paragraph" w:styleId="IntenseQuote">
    <w:name w:val="Intense Quote"/>
    <w:basedOn w:val="Normal"/>
    <w:next w:val="Normal"/>
    <w:link w:val="IntenseQuoteChar"/>
    <w:uiPriority w:val="30"/>
    <w:qFormat/>
    <w:rsid w:val="00AA15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509"/>
    <w:rPr>
      <w:i/>
      <w:iCs/>
      <w:color w:val="2F5496" w:themeColor="accent1" w:themeShade="BF"/>
      <w:lang w:val="en-US"/>
    </w:rPr>
  </w:style>
  <w:style w:type="character" w:styleId="IntenseReference">
    <w:name w:val="Intense Reference"/>
    <w:basedOn w:val="DefaultParagraphFont"/>
    <w:uiPriority w:val="32"/>
    <w:qFormat/>
    <w:rsid w:val="00AA15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703</Words>
  <Characters>4010</Characters>
  <Application>Microsoft Office Word</Application>
  <DocSecurity>0</DocSecurity>
  <Lines>33</Lines>
  <Paragraphs>9</Paragraphs>
  <ScaleCrop>false</ScaleCrop>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Scheifele</dc:creator>
  <cp:keywords/>
  <dc:description/>
  <cp:lastModifiedBy>Fabian Scheifele</cp:lastModifiedBy>
  <cp:revision>3</cp:revision>
  <dcterms:created xsi:type="dcterms:W3CDTF">2026-02-22T17:50:00Z</dcterms:created>
  <dcterms:modified xsi:type="dcterms:W3CDTF">2026-02-22T18:00:00Z</dcterms:modified>
</cp:coreProperties>
</file>