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065AF" w14:textId="6A879CB6" w:rsidR="00AA4CA4" w:rsidRPr="00AA4CA4" w:rsidRDefault="00AA4CA4" w:rsidP="00AA4CA4">
      <w:pPr>
        <w:pStyle w:val="Heading1"/>
        <w:jc w:val="center"/>
        <w:rPr>
          <w:rFonts w:asciiTheme="minorHAnsi" w:hAnsiTheme="minorHAnsi" w:cs="Times New Roman"/>
          <w:color w:val="156082" w:themeColor="accent1"/>
          <w:spacing w:val="-10"/>
          <w:kern w:val="28"/>
        </w:rPr>
      </w:pPr>
      <w:r w:rsidRPr="00AA4CA4">
        <w:rPr>
          <w:rFonts w:asciiTheme="minorHAnsi" w:hAnsiTheme="minorHAnsi" w:cs="Times New Roman"/>
          <w:color w:val="156082" w:themeColor="accent1"/>
          <w:spacing w:val="-10"/>
          <w:kern w:val="28"/>
        </w:rPr>
        <w:t>Supplementary material to</w:t>
      </w:r>
    </w:p>
    <w:p w14:paraId="0B609926" w14:textId="5198B5E9" w:rsidR="005A3A29" w:rsidRPr="00AA4CA4" w:rsidRDefault="005A3A29" w:rsidP="00AA4CA4">
      <w:pPr>
        <w:pStyle w:val="Heading1"/>
        <w:jc w:val="center"/>
        <w:rPr>
          <w:rFonts w:asciiTheme="minorHAnsi" w:hAnsiTheme="minorHAnsi" w:cs="Times New Roman"/>
          <w:i/>
          <w:iCs/>
          <w:color w:val="auto"/>
          <w:spacing w:val="-10"/>
          <w:kern w:val="28"/>
          <w:sz w:val="32"/>
          <w:szCs w:val="32"/>
        </w:rPr>
      </w:pPr>
      <w:r w:rsidRPr="00AA4CA4">
        <w:rPr>
          <w:rFonts w:asciiTheme="minorHAnsi" w:hAnsiTheme="minorHAnsi" w:cs="Times New Roman"/>
          <w:color w:val="156082" w:themeColor="accent1"/>
          <w:spacing w:val="-10"/>
          <w:kern w:val="28"/>
        </w:rPr>
        <w:t xml:space="preserve">Adapting </w:t>
      </w:r>
      <w:proofErr w:type="spellStart"/>
      <w:r w:rsidRPr="00AA4CA4">
        <w:rPr>
          <w:rFonts w:asciiTheme="minorHAnsi" w:hAnsiTheme="minorHAnsi" w:cs="Times New Roman"/>
          <w:color w:val="156082" w:themeColor="accent1"/>
          <w:spacing w:val="-10"/>
          <w:kern w:val="28"/>
        </w:rPr>
        <w:t>HPVsim</w:t>
      </w:r>
      <w:proofErr w:type="spellEnd"/>
      <w:r w:rsidRPr="00AA4CA4">
        <w:rPr>
          <w:rFonts w:asciiTheme="minorHAnsi" w:hAnsiTheme="minorHAnsi" w:cs="Times New Roman"/>
          <w:color w:val="156082" w:themeColor="accent1"/>
          <w:spacing w:val="-10"/>
          <w:kern w:val="28"/>
        </w:rPr>
        <w:t xml:space="preserve"> to model HPV transmission, cervical cancer diagnoses and different public health interventions in high-income countries: modelling study for England</w:t>
      </w:r>
    </w:p>
    <w:p w14:paraId="7EB75166" w14:textId="77777777" w:rsidR="00AA4CA4" w:rsidRDefault="00AA4CA4" w:rsidP="00AA4CA4"/>
    <w:p w14:paraId="29F39178" w14:textId="645A7E97" w:rsidR="00AA4CA4" w:rsidRPr="00AA4CA4" w:rsidRDefault="00AA4CA4" w:rsidP="00AA4CA4">
      <w:r w:rsidRPr="00AA4CA4">
        <w:t>Fabian Sturman</w:t>
      </w:r>
      <w:r w:rsidRPr="00AA4CA4">
        <w:rPr>
          <w:vertAlign w:val="superscript"/>
        </w:rPr>
        <w:t>1,2*</w:t>
      </w:r>
      <w:r w:rsidRPr="00AA4CA4">
        <w:t>, Sophie Keenan</w:t>
      </w:r>
      <w:r w:rsidRPr="00AA4CA4">
        <w:rPr>
          <w:vertAlign w:val="superscript"/>
        </w:rPr>
        <w:t>3</w:t>
      </w:r>
      <w:r w:rsidRPr="00AA4CA4">
        <w:t>, Kate Soldan</w:t>
      </w:r>
      <w:r w:rsidRPr="00AA4CA4">
        <w:rPr>
          <w:vertAlign w:val="superscript"/>
        </w:rPr>
        <w:t>4</w:t>
      </w:r>
      <w:r w:rsidRPr="00AA4CA4">
        <w:t>, Robyn Stuart</w:t>
      </w:r>
      <w:r w:rsidRPr="00AA4CA4">
        <w:rPr>
          <w:vertAlign w:val="superscript"/>
        </w:rPr>
        <w:t>5</w:t>
      </w:r>
      <w:r w:rsidRPr="00AA4CA4">
        <w:t>, Katrina Lythgoe</w:t>
      </w:r>
      <w:r w:rsidRPr="00AA4CA4">
        <w:rPr>
          <w:vertAlign w:val="superscript"/>
        </w:rPr>
        <w:t>1,2,6</w:t>
      </w:r>
      <w:r w:rsidRPr="00AA4CA4">
        <w:t xml:space="preserve">, </w:t>
      </w:r>
    </w:p>
    <w:p w14:paraId="2E8741BD" w14:textId="2BDF6B5A" w:rsidR="00AA4CA4" w:rsidRPr="00AA4CA4" w:rsidRDefault="00AA4CA4" w:rsidP="00AA4CA4">
      <w:r w:rsidRPr="00AA4CA4">
        <w:t>Jasmina Panovska-Griffiths</w:t>
      </w:r>
      <w:r w:rsidRPr="00AA4CA4">
        <w:rPr>
          <w:vertAlign w:val="superscript"/>
        </w:rPr>
        <w:t>1,2,4,7*</w:t>
      </w:r>
    </w:p>
    <w:p w14:paraId="615050C7" w14:textId="77777777" w:rsidR="00AA4CA4" w:rsidRPr="00AA4CA4" w:rsidRDefault="00AA4CA4" w:rsidP="00AA4CA4"/>
    <w:p w14:paraId="15F1B3FF" w14:textId="5AD0F357" w:rsidR="00AA4CA4" w:rsidRPr="00AA4CA4" w:rsidRDefault="00AA4CA4" w:rsidP="00AA4CA4">
      <w:r w:rsidRPr="00AA4CA4">
        <w:t>[1] The Pandemic Sciences Institute, University of Oxford, Oxford, UK</w:t>
      </w:r>
    </w:p>
    <w:p w14:paraId="74930A49" w14:textId="061E7DE8" w:rsidR="00AA4CA4" w:rsidRPr="00AA4CA4" w:rsidRDefault="00AA4CA4" w:rsidP="00AA4CA4">
      <w:r w:rsidRPr="00AA4CA4">
        <w:t>[2] Big Data Institute, University of Oxford, Oxford, UK</w:t>
      </w:r>
    </w:p>
    <w:p w14:paraId="47FE8BC1" w14:textId="7AE6DFA4" w:rsidR="00AA4CA4" w:rsidRPr="00AA4CA4" w:rsidRDefault="00AA4CA4" w:rsidP="00AA4CA4">
      <w:r w:rsidRPr="00AA4CA4">
        <w:t>[3] Mathematical Institute, University of Oxford, Oxford, UK</w:t>
      </w:r>
    </w:p>
    <w:p w14:paraId="0B44410F" w14:textId="6EDBA21B" w:rsidR="00AA4CA4" w:rsidRPr="00AA4CA4" w:rsidRDefault="00AA4CA4" w:rsidP="00AA4CA4">
      <w:r w:rsidRPr="00AA4CA4">
        <w:t>[4] UK Health Security Agency, London UK</w:t>
      </w:r>
    </w:p>
    <w:p w14:paraId="54809D09" w14:textId="1D142414" w:rsidR="00AA4CA4" w:rsidRPr="00AA4CA4" w:rsidRDefault="00AA4CA4" w:rsidP="00AA4CA4">
      <w:r w:rsidRPr="00AA4CA4">
        <w:t xml:space="preserve">[5] Institute for Disease </w:t>
      </w:r>
      <w:proofErr w:type="spellStart"/>
      <w:r w:rsidRPr="00AA4CA4">
        <w:t>Modeling</w:t>
      </w:r>
      <w:proofErr w:type="spellEnd"/>
      <w:r w:rsidRPr="00AA4CA4">
        <w:t>, Gates Foundation, USA</w:t>
      </w:r>
    </w:p>
    <w:p w14:paraId="65155223" w14:textId="28B8D415" w:rsidR="00AA4CA4" w:rsidRPr="00AA4CA4" w:rsidRDefault="00AA4CA4" w:rsidP="00AA4CA4">
      <w:r w:rsidRPr="00AA4CA4">
        <w:t>[6] Department of Biology, University of Oxford, Oxford, UK</w:t>
      </w:r>
    </w:p>
    <w:p w14:paraId="7DFCE9D2" w14:textId="55ACE1AD" w:rsidR="00AA4CA4" w:rsidRPr="00AA4CA4" w:rsidRDefault="00AA4CA4" w:rsidP="00AA4CA4">
      <w:r w:rsidRPr="00AA4CA4">
        <w:t>[7] The Queen's College, University of Oxford, Oxford, UK</w:t>
      </w:r>
    </w:p>
    <w:p w14:paraId="42C075D1" w14:textId="0D4D1C9A" w:rsidR="00AA4CA4" w:rsidRDefault="00AA4CA4" w:rsidP="00AA4CA4">
      <w:r w:rsidRPr="00AA4CA4">
        <w:t xml:space="preserve">*Corresponding authors: fabian.sturman@oriel.ox.ac.uk,  </w:t>
      </w:r>
      <w:hyperlink r:id="rId5" w:history="1">
        <w:r w:rsidR="002319B1" w:rsidRPr="006E54E8">
          <w:rPr>
            <w:rStyle w:val="Hyperlink"/>
          </w:rPr>
          <w:t>jasmina.panovska-griffiths@queens.ox.ac.uk</w:t>
        </w:r>
      </w:hyperlink>
    </w:p>
    <w:p w14:paraId="17D94568" w14:textId="77777777" w:rsidR="002319B1" w:rsidRDefault="002319B1" w:rsidP="00AA4CA4"/>
    <w:p w14:paraId="64FBCEAF" w14:textId="77777777" w:rsidR="002319B1" w:rsidRDefault="002319B1" w:rsidP="002319B1">
      <w:pPr>
        <w:pStyle w:val="Heading1"/>
        <w:rPr>
          <w:rFonts w:ascii="Aptos" w:hAnsi="Aptos"/>
        </w:rPr>
      </w:pPr>
      <w:r>
        <w:rPr>
          <w:rFonts w:ascii="Aptos" w:hAnsi="Aptos"/>
        </w:rPr>
        <w:t>S0: Introduction</w:t>
      </w:r>
    </w:p>
    <w:p w14:paraId="2B350A15" w14:textId="288A8EEB" w:rsidR="002319B1" w:rsidRDefault="002319B1" w:rsidP="008E7796">
      <w:pPr>
        <w:rPr>
          <w:rFonts w:ascii="Aptos" w:hAnsi="Aptos"/>
        </w:rPr>
      </w:pPr>
      <w:r w:rsidRPr="00CD4405">
        <w:rPr>
          <w:rFonts w:ascii="Aptos" w:hAnsi="Aptos"/>
        </w:rPr>
        <w:t xml:space="preserve">This document </w:t>
      </w:r>
      <w:r>
        <w:rPr>
          <w:rFonts w:ascii="Aptos" w:hAnsi="Aptos"/>
        </w:rPr>
        <w:t>is supplementary to our paper “</w:t>
      </w:r>
      <w:r w:rsidRPr="002319B1">
        <w:rPr>
          <w:rFonts w:ascii="Aptos" w:hAnsi="Aptos"/>
          <w:i/>
          <w:iCs/>
        </w:rPr>
        <w:t xml:space="preserve">Adapting </w:t>
      </w:r>
      <w:proofErr w:type="spellStart"/>
      <w:r w:rsidRPr="002319B1">
        <w:rPr>
          <w:rFonts w:ascii="Aptos" w:hAnsi="Aptos"/>
          <w:i/>
          <w:iCs/>
        </w:rPr>
        <w:t>HPVsim</w:t>
      </w:r>
      <w:proofErr w:type="spellEnd"/>
      <w:r w:rsidRPr="002319B1">
        <w:rPr>
          <w:rFonts w:ascii="Aptos" w:hAnsi="Aptos"/>
          <w:i/>
          <w:iCs/>
        </w:rPr>
        <w:t xml:space="preserve"> to model HPV transmission, cervical cancer diagnoses and different public health interventions in high-income countries: modelling study for England</w:t>
      </w:r>
      <w:r>
        <w:rPr>
          <w:rFonts w:ascii="Aptos" w:hAnsi="Aptos"/>
        </w:rPr>
        <w:t>”</w:t>
      </w:r>
      <w:sdt>
        <w:sdtPr>
          <w:rPr>
            <w:rFonts w:ascii="Aptos" w:hAnsi="Aptos"/>
          </w:rPr>
          <w:id w:val="-1674791418"/>
          <w:citation/>
        </w:sdtPr>
        <w:sdtContent>
          <w:r w:rsidR="008E7796">
            <w:rPr>
              <w:rFonts w:ascii="Aptos" w:hAnsi="Aptos"/>
            </w:rPr>
            <w:fldChar w:fldCharType="begin"/>
          </w:r>
          <w:r w:rsidR="008E7796">
            <w:rPr>
              <w:rFonts w:ascii="Aptos" w:hAnsi="Aptos"/>
            </w:rPr>
            <w:instrText xml:space="preserve"> CITATION Stu26 \l 2057 </w:instrText>
          </w:r>
          <w:r w:rsidR="008E7796">
            <w:rPr>
              <w:rFonts w:ascii="Aptos" w:hAnsi="Aptos"/>
            </w:rPr>
            <w:fldChar w:fldCharType="separate"/>
          </w:r>
          <w:r w:rsidR="009053F2">
            <w:rPr>
              <w:rFonts w:ascii="Aptos" w:hAnsi="Aptos"/>
              <w:noProof/>
            </w:rPr>
            <w:t xml:space="preserve"> </w:t>
          </w:r>
          <w:r w:rsidR="009053F2" w:rsidRPr="009053F2">
            <w:rPr>
              <w:rFonts w:ascii="Aptos" w:hAnsi="Aptos"/>
              <w:noProof/>
            </w:rPr>
            <w:t>[1]</w:t>
          </w:r>
          <w:r w:rsidR="008E7796">
            <w:rPr>
              <w:rFonts w:ascii="Aptos" w:hAnsi="Aptos"/>
            </w:rPr>
            <w:fldChar w:fldCharType="end"/>
          </w:r>
        </w:sdtContent>
      </w:sdt>
      <w:r>
        <w:rPr>
          <w:rFonts w:ascii="Aptos" w:hAnsi="Aptos"/>
        </w:rPr>
        <w:t xml:space="preserve">, which should be read in advance of the following text. In the paper’s main body, we apply </w:t>
      </w:r>
      <w:proofErr w:type="spellStart"/>
      <w:r>
        <w:rPr>
          <w:rFonts w:ascii="Aptos" w:hAnsi="Aptos"/>
        </w:rPr>
        <w:t>HPVsim</w:t>
      </w:r>
      <w:proofErr w:type="spellEnd"/>
      <w:r>
        <w:rPr>
          <w:rFonts w:ascii="Aptos" w:hAnsi="Aptos"/>
        </w:rPr>
        <w:t xml:space="preserve">, an Agent Based Model (ABM) of Human Papillomavirus (HPV) and cervical cancer transmission and dynamics, </w:t>
      </w:r>
      <w:r w:rsidR="008E7796">
        <w:rPr>
          <w:rFonts w:ascii="Aptos" w:hAnsi="Aptos"/>
        </w:rPr>
        <w:t>to the English setting for the first time, and apply the model to an analysis of the likelihood of achieving cervical cancer elimination by 2040 in England.</w:t>
      </w:r>
      <w:r>
        <w:rPr>
          <w:rFonts w:ascii="Aptos" w:hAnsi="Aptos"/>
        </w:rPr>
        <w:t xml:space="preserve"> </w:t>
      </w:r>
    </w:p>
    <w:p w14:paraId="2CD0A0CC" w14:textId="77777777" w:rsidR="002319B1" w:rsidRDefault="002319B1" w:rsidP="002319B1">
      <w:pPr>
        <w:rPr>
          <w:rFonts w:ascii="Aptos" w:hAnsi="Aptos"/>
        </w:rPr>
      </w:pPr>
    </w:p>
    <w:p w14:paraId="5AB56B6E" w14:textId="77921168" w:rsidR="002319B1" w:rsidRDefault="002319B1" w:rsidP="002319B1">
      <w:pPr>
        <w:rPr>
          <w:rFonts w:ascii="Aptos" w:hAnsi="Aptos"/>
        </w:rPr>
      </w:pPr>
      <w:r>
        <w:rPr>
          <w:rFonts w:ascii="Aptos" w:hAnsi="Aptos"/>
        </w:rPr>
        <w:t xml:space="preserve">In this document, we provide (1) </w:t>
      </w:r>
      <w:r w:rsidR="008E7796">
        <w:rPr>
          <w:rFonts w:ascii="Aptos" w:hAnsi="Aptos"/>
        </w:rPr>
        <w:t xml:space="preserve">an enumeration of model parameters of HPV prevalence and intervention characteristics changed from the default </w:t>
      </w:r>
      <w:proofErr w:type="spellStart"/>
      <w:r w:rsidR="008E7796">
        <w:rPr>
          <w:rFonts w:ascii="Aptos" w:hAnsi="Aptos"/>
        </w:rPr>
        <w:t>HPVsim</w:t>
      </w:r>
      <w:proofErr w:type="spellEnd"/>
      <w:r w:rsidR="008E7796">
        <w:rPr>
          <w:rFonts w:ascii="Aptos" w:hAnsi="Aptos"/>
        </w:rPr>
        <w:t xml:space="preserve"> model</w:t>
      </w:r>
      <w:r w:rsidR="007D7794">
        <w:rPr>
          <w:rFonts w:ascii="Aptos" w:hAnsi="Aptos"/>
        </w:rPr>
        <w:t xml:space="preserve"> </w:t>
      </w:r>
      <w:sdt>
        <w:sdtPr>
          <w:rPr>
            <w:rFonts w:ascii="Aptos" w:hAnsi="Aptos"/>
          </w:rPr>
          <w:id w:val="1774583231"/>
          <w:citation/>
        </w:sdtPr>
        <w:sdtContent>
          <w:r w:rsidR="007D7794">
            <w:rPr>
              <w:rFonts w:ascii="Aptos" w:hAnsi="Aptos"/>
            </w:rPr>
            <w:fldChar w:fldCharType="begin"/>
          </w:r>
          <w:r w:rsidR="007D7794">
            <w:rPr>
              <w:rFonts w:ascii="Aptos" w:hAnsi="Aptos"/>
            </w:rPr>
            <w:instrText xml:space="preserve"> CITATION Stu24 \l 2057 </w:instrText>
          </w:r>
          <w:r w:rsidR="007D7794">
            <w:rPr>
              <w:rFonts w:ascii="Aptos" w:hAnsi="Aptos"/>
            </w:rPr>
            <w:fldChar w:fldCharType="separate"/>
          </w:r>
          <w:r w:rsidR="009053F2" w:rsidRPr="009053F2">
            <w:rPr>
              <w:rFonts w:ascii="Aptos" w:hAnsi="Aptos"/>
              <w:noProof/>
            </w:rPr>
            <w:t>[2]</w:t>
          </w:r>
          <w:r w:rsidR="007D7794">
            <w:rPr>
              <w:rFonts w:ascii="Aptos" w:hAnsi="Aptos"/>
            </w:rPr>
            <w:fldChar w:fldCharType="end"/>
          </w:r>
        </w:sdtContent>
      </w:sdt>
      <w:r w:rsidR="00CF4283">
        <w:rPr>
          <w:rFonts w:ascii="Aptos" w:hAnsi="Aptos"/>
        </w:rPr>
        <w:t>, (2) our results from calibration to (and validation against) English cervical cancer data, (3) validation against English HPV prevalence data for teens and young adults.</w:t>
      </w:r>
    </w:p>
    <w:p w14:paraId="7CE73313" w14:textId="77777777" w:rsidR="002319B1" w:rsidRDefault="002319B1" w:rsidP="002319B1">
      <w:pPr>
        <w:rPr>
          <w:rFonts w:ascii="Aptos" w:hAnsi="Aptos"/>
        </w:rPr>
      </w:pPr>
    </w:p>
    <w:p w14:paraId="4C9F511E" w14:textId="6BE0C12F" w:rsidR="002319B1" w:rsidRDefault="002319B1" w:rsidP="002319B1">
      <w:pPr>
        <w:rPr>
          <w:rFonts w:ascii="Aptos" w:hAnsi="Aptos"/>
        </w:rPr>
      </w:pPr>
      <w:r>
        <w:rPr>
          <w:rFonts w:ascii="Aptos" w:hAnsi="Aptos"/>
        </w:rPr>
        <w:t>All code is open source and available at our project GitHub,</w:t>
      </w:r>
      <w:sdt>
        <w:sdtPr>
          <w:rPr>
            <w:rFonts w:ascii="Aptos" w:hAnsi="Aptos"/>
          </w:rPr>
          <w:id w:val="-1828592645"/>
          <w:citation/>
        </w:sdtPr>
        <w:sdtContent>
          <w:r w:rsidR="008E7796">
            <w:rPr>
              <w:rFonts w:ascii="Aptos" w:hAnsi="Aptos"/>
            </w:rPr>
            <w:fldChar w:fldCharType="begin"/>
          </w:r>
          <w:r w:rsidR="008E7796">
            <w:rPr>
              <w:rFonts w:ascii="Aptos" w:hAnsi="Aptos"/>
            </w:rPr>
            <w:instrText xml:space="preserve"> CITATION Stu \l 2057 </w:instrText>
          </w:r>
          <w:r w:rsidR="008E7796">
            <w:rPr>
              <w:rFonts w:ascii="Aptos" w:hAnsi="Aptos"/>
            </w:rPr>
            <w:fldChar w:fldCharType="separate"/>
          </w:r>
          <w:r w:rsidR="009053F2">
            <w:rPr>
              <w:rFonts w:ascii="Aptos" w:hAnsi="Aptos"/>
              <w:noProof/>
            </w:rPr>
            <w:t xml:space="preserve"> </w:t>
          </w:r>
          <w:r w:rsidR="009053F2" w:rsidRPr="009053F2">
            <w:rPr>
              <w:rFonts w:ascii="Aptos" w:hAnsi="Aptos"/>
              <w:noProof/>
            </w:rPr>
            <w:t>[3]</w:t>
          </w:r>
          <w:r w:rsidR="008E7796">
            <w:rPr>
              <w:rFonts w:ascii="Aptos" w:hAnsi="Aptos"/>
            </w:rPr>
            <w:fldChar w:fldCharType="end"/>
          </w:r>
        </w:sdtContent>
      </w:sdt>
      <w:r>
        <w:rPr>
          <w:rFonts w:ascii="Aptos" w:hAnsi="Aptos"/>
        </w:rPr>
        <w:t xml:space="preserve">. </w:t>
      </w:r>
    </w:p>
    <w:p w14:paraId="5071C786" w14:textId="77777777" w:rsidR="002319B1" w:rsidRPr="00AA4CA4" w:rsidRDefault="002319B1" w:rsidP="00AA4CA4"/>
    <w:p w14:paraId="4355715A" w14:textId="77777777" w:rsidR="00CF4283" w:rsidRDefault="00CF4283">
      <w:pPr>
        <w:rPr>
          <w:rFonts w:asciiTheme="majorHAnsi" w:eastAsiaTheme="majorEastAsia" w:hAnsiTheme="majorHAnsi" w:cstheme="majorBidi"/>
          <w:color w:val="0F4761" w:themeColor="accent1" w:themeShade="BF"/>
          <w:sz w:val="40"/>
          <w:szCs w:val="40"/>
        </w:rPr>
      </w:pPr>
      <w:r>
        <w:br w:type="page"/>
      </w:r>
    </w:p>
    <w:p w14:paraId="628E893E" w14:textId="4D52B606" w:rsidR="00807A93" w:rsidRPr="00790518" w:rsidRDefault="005A3A29" w:rsidP="00790518">
      <w:pPr>
        <w:pStyle w:val="Heading1"/>
        <w:rPr>
          <w:color w:val="auto"/>
          <w:spacing w:val="-10"/>
          <w:kern w:val="28"/>
          <w:sz w:val="56"/>
          <w:szCs w:val="56"/>
        </w:rPr>
      </w:pPr>
      <w:r>
        <w:lastRenderedPageBreak/>
        <w:t xml:space="preserve">S1: </w:t>
      </w:r>
      <w:r w:rsidR="00807A93">
        <w:t>Non-Calibrated M</w:t>
      </w:r>
      <w:r w:rsidR="00FA211E">
        <w:t>o</w:t>
      </w:r>
      <w:r w:rsidR="00807A93">
        <w:t>del Parameters</w:t>
      </w:r>
    </w:p>
    <w:p w14:paraId="66DCCDDB" w14:textId="33F17AD7" w:rsidR="00807A93" w:rsidRDefault="000F1A8D" w:rsidP="00D92303">
      <w:r>
        <w:fldChar w:fldCharType="begin"/>
      </w:r>
      <w:r>
        <w:instrText xml:space="preserve"> REF _Ref241332216 \h </w:instrText>
      </w:r>
      <w:r>
        <w:fldChar w:fldCharType="separate"/>
      </w:r>
      <w:r w:rsidR="004455E4">
        <w:t xml:space="preserve">Table </w:t>
      </w:r>
      <w:r w:rsidR="004455E4">
        <w:rPr>
          <w:noProof/>
        </w:rPr>
        <w:t>1</w:t>
      </w:r>
      <w:r>
        <w:fldChar w:fldCharType="end"/>
      </w:r>
      <w:r>
        <w:t xml:space="preserve"> presents initial (seeded) </w:t>
      </w:r>
      <w:r w:rsidR="00807A93">
        <w:t>HPV prevalence</w:t>
      </w:r>
      <w:r>
        <w:t xml:space="preserve"> in our model by age bracket. Data for women is </w:t>
      </w:r>
      <w:r w:rsidR="00807A93">
        <w:t>informed by WHO data for England (</w:t>
      </w:r>
      <w:sdt>
        <w:sdtPr>
          <w:id w:val="563144841"/>
          <w:citation/>
        </w:sdtPr>
        <w:sdtContent>
          <w:r w:rsidR="003867AB">
            <w:fldChar w:fldCharType="begin"/>
          </w:r>
          <w:r w:rsidR="003867AB">
            <w:instrText xml:space="preserve"> CITATION HPV23 \l 2057 </w:instrText>
          </w:r>
          <w:r w:rsidR="003867AB">
            <w:fldChar w:fldCharType="separate"/>
          </w:r>
          <w:r w:rsidR="009053F2">
            <w:rPr>
              <w:noProof/>
            </w:rPr>
            <w:t xml:space="preserve"> </w:t>
          </w:r>
          <w:r w:rsidR="009053F2" w:rsidRPr="009053F2">
            <w:rPr>
              <w:noProof/>
            </w:rPr>
            <w:t>[4]</w:t>
          </w:r>
          <w:r w:rsidR="003867AB">
            <w:fldChar w:fldCharType="end"/>
          </w:r>
        </w:sdtContent>
      </w:sdt>
      <w:r w:rsidR="00807A93">
        <w:t xml:space="preserve">, </w:t>
      </w:r>
      <w:r w:rsidR="005A3A29">
        <w:t>F</w:t>
      </w:r>
      <w:r w:rsidR="00807A93">
        <w:t xml:space="preserve">igure 54). Data for men is informed by USA estimates </w:t>
      </w:r>
      <w:r w:rsidR="003867AB">
        <w:t>(</w:t>
      </w:r>
      <w:sdt>
        <w:sdtPr>
          <w:id w:val="1163203759"/>
          <w:citation/>
        </w:sdtPr>
        <w:sdtContent>
          <w:r w:rsidR="003867AB">
            <w:fldChar w:fldCharType="begin"/>
          </w:r>
          <w:r w:rsidR="003867AB">
            <w:instrText xml:space="preserve"> CITATION Gar17 \l 2057 </w:instrText>
          </w:r>
          <w:r w:rsidR="003867AB">
            <w:fldChar w:fldCharType="separate"/>
          </w:r>
          <w:r w:rsidR="009053F2">
            <w:rPr>
              <w:noProof/>
            </w:rPr>
            <w:t xml:space="preserve"> </w:t>
          </w:r>
          <w:r w:rsidR="009053F2" w:rsidRPr="009053F2">
            <w:rPr>
              <w:noProof/>
            </w:rPr>
            <w:t>[5]</w:t>
          </w:r>
          <w:r w:rsidR="003867AB">
            <w:fldChar w:fldCharType="end"/>
          </w:r>
        </w:sdtContent>
      </w:sdt>
      <w:r w:rsidR="00807A93">
        <w:t>, Figure 2).</w:t>
      </w:r>
      <w:r>
        <w:t xml:space="preserve"> At the beginning of each simulation (year 1980), agents are randomly assigned HPV prevalence according to Bernoulli variables parameterised as in </w:t>
      </w:r>
      <w:r>
        <w:fldChar w:fldCharType="begin"/>
      </w:r>
      <w:r>
        <w:instrText xml:space="preserve"> REF _Ref241332216 \h </w:instrText>
      </w:r>
      <w:r>
        <w:fldChar w:fldCharType="separate"/>
      </w:r>
      <w:r w:rsidR="004455E4">
        <w:t xml:space="preserve">Table </w:t>
      </w:r>
      <w:r w:rsidR="004455E4">
        <w:rPr>
          <w:noProof/>
        </w:rPr>
        <w:t>1</w:t>
      </w:r>
      <w:r>
        <w:fldChar w:fldCharType="end"/>
      </w:r>
      <w:r>
        <w:t xml:space="preserve"> according to their sex and age, with their HPV genotype randomly selected as in </w:t>
      </w:r>
      <w:sdt>
        <w:sdtPr>
          <w:id w:val="-965358569"/>
          <w:citation/>
        </w:sdtPr>
        <w:sdtContent>
          <w:r>
            <w:fldChar w:fldCharType="begin"/>
          </w:r>
          <w:r>
            <w:instrText xml:space="preserve"> CITATION HPV23 \l 2057 </w:instrText>
          </w:r>
          <w:r>
            <w:fldChar w:fldCharType="separate"/>
          </w:r>
          <w:r w:rsidR="009053F2" w:rsidRPr="009053F2">
            <w:rPr>
              <w:noProof/>
            </w:rPr>
            <w:t>[4]</w:t>
          </w:r>
          <w:r>
            <w:fldChar w:fldCharType="end"/>
          </w:r>
        </w:sdtContent>
      </w:sdt>
      <w:r>
        <w:t xml:space="preserve">. A 20-year </w:t>
      </w:r>
      <w:proofErr w:type="spellStart"/>
      <w:r>
        <w:t>burnin</w:t>
      </w:r>
      <w:proofErr w:type="spellEnd"/>
      <w:r>
        <w:t xml:space="preserve"> (with simulation generation time 3 months) allows for infection to spread over the population in a naturalistic way, which we validate later through downstream cancers (S2) and directly in terms of HPV infection prevalence (S3).</w:t>
      </w:r>
    </w:p>
    <w:p w14:paraId="60BFEFFB" w14:textId="77777777" w:rsidR="00807A93" w:rsidRDefault="00807A93" w:rsidP="00D92303"/>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97"/>
        <w:gridCol w:w="819"/>
        <w:gridCol w:w="949"/>
        <w:gridCol w:w="949"/>
        <w:gridCol w:w="949"/>
        <w:gridCol w:w="949"/>
        <w:gridCol w:w="949"/>
        <w:gridCol w:w="865"/>
      </w:tblGrid>
      <w:tr w:rsidR="00807A93" w:rsidRPr="00807A93" w14:paraId="2F756E70" w14:textId="77777777">
        <w:tc>
          <w:tcPr>
            <w:tcW w:w="0" w:type="auto"/>
            <w:gridSpan w:val="8"/>
            <w:tcBorders>
              <w:top w:val="nil"/>
              <w:left w:val="nil"/>
              <w:bottom w:val="nil"/>
              <w:right w:val="nil"/>
            </w:tcBorders>
            <w:tcMar>
              <w:top w:w="60" w:type="dxa"/>
              <w:left w:w="240" w:type="dxa"/>
              <w:bottom w:w="60" w:type="dxa"/>
              <w:right w:w="240" w:type="dxa"/>
            </w:tcMar>
            <w:vAlign w:val="center"/>
            <w:hideMark/>
          </w:tcPr>
          <w:p w14:paraId="110CB481" w14:textId="77777777" w:rsidR="00807A93" w:rsidRPr="00807A93" w:rsidRDefault="00807A93" w:rsidP="00807A93">
            <w:pPr>
              <w:jc w:val="center"/>
              <w:rPr>
                <w:rFonts w:ascii="Times New Roman" w:eastAsia="Times New Roman" w:hAnsi="Times New Roman" w:cs="Times New Roman"/>
                <w:b/>
                <w:bCs/>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Initial HPV Prevalence by Sex and Age Group, over all Genotypes</w:t>
            </w:r>
          </w:p>
        </w:tc>
      </w:tr>
      <w:tr w:rsidR="00807A93" w:rsidRPr="00807A93" w14:paraId="46CF4078" w14:textId="77777777">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71A93A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Age (years)</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619F6D1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0-16</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3C2A16F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17-24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35C0510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25-34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2DF276E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35-44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9C95111"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45-54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B37D36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55-64</w:t>
            </w:r>
          </w:p>
        </w:tc>
        <w:tc>
          <w:tcPr>
            <w:tcW w:w="0" w:type="auto"/>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37B5717B"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65+</w:t>
            </w:r>
          </w:p>
        </w:tc>
      </w:tr>
      <w:tr w:rsidR="00807A93" w:rsidRPr="00807A93" w14:paraId="27213584" w14:textId="77777777">
        <w:tc>
          <w:tcPr>
            <w:tcW w:w="0" w:type="auto"/>
            <w:shd w:val="clear" w:color="auto" w:fill="FFFFFF"/>
            <w:tcMar>
              <w:top w:w="60" w:type="dxa"/>
              <w:left w:w="240" w:type="dxa"/>
              <w:bottom w:w="60" w:type="dxa"/>
              <w:right w:w="240" w:type="dxa"/>
            </w:tcMar>
            <w:vAlign w:val="center"/>
            <w:hideMark/>
          </w:tcPr>
          <w:p w14:paraId="17E90BB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Initial Female HPV Prevalence</w:t>
            </w:r>
          </w:p>
        </w:tc>
        <w:tc>
          <w:tcPr>
            <w:tcW w:w="0" w:type="auto"/>
            <w:shd w:val="clear" w:color="auto" w:fill="FFFFFF"/>
            <w:tcMar>
              <w:top w:w="60" w:type="dxa"/>
              <w:left w:w="240" w:type="dxa"/>
              <w:bottom w:w="60" w:type="dxa"/>
              <w:right w:w="240" w:type="dxa"/>
            </w:tcMar>
            <w:vAlign w:val="center"/>
            <w:hideMark/>
          </w:tcPr>
          <w:p w14:paraId="627265C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60" w:type="dxa"/>
              <w:right w:w="240" w:type="dxa"/>
            </w:tcMar>
            <w:vAlign w:val="center"/>
            <w:hideMark/>
          </w:tcPr>
          <w:p w14:paraId="59B88E3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c>
          <w:tcPr>
            <w:tcW w:w="0" w:type="auto"/>
            <w:shd w:val="clear" w:color="auto" w:fill="FFFFFF"/>
            <w:tcMar>
              <w:top w:w="60" w:type="dxa"/>
              <w:left w:w="240" w:type="dxa"/>
              <w:bottom w:w="60" w:type="dxa"/>
              <w:right w:w="240" w:type="dxa"/>
            </w:tcMar>
            <w:vAlign w:val="center"/>
            <w:hideMark/>
          </w:tcPr>
          <w:p w14:paraId="1835A46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0.14</w:t>
            </w:r>
          </w:p>
        </w:tc>
        <w:tc>
          <w:tcPr>
            <w:tcW w:w="0" w:type="auto"/>
            <w:shd w:val="clear" w:color="auto" w:fill="FFFFFF"/>
            <w:tcMar>
              <w:top w:w="60" w:type="dxa"/>
              <w:left w:w="240" w:type="dxa"/>
              <w:bottom w:w="60" w:type="dxa"/>
              <w:right w:w="240" w:type="dxa"/>
            </w:tcMar>
            <w:vAlign w:val="center"/>
            <w:hideMark/>
          </w:tcPr>
          <w:p w14:paraId="5CF1195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0.08</w:t>
            </w:r>
          </w:p>
        </w:tc>
        <w:tc>
          <w:tcPr>
            <w:tcW w:w="0" w:type="auto"/>
            <w:shd w:val="clear" w:color="auto" w:fill="FFFFFF"/>
            <w:tcMar>
              <w:top w:w="60" w:type="dxa"/>
              <w:left w:w="240" w:type="dxa"/>
              <w:bottom w:w="60" w:type="dxa"/>
              <w:right w:w="240" w:type="dxa"/>
            </w:tcMar>
            <w:vAlign w:val="center"/>
            <w:hideMark/>
          </w:tcPr>
          <w:p w14:paraId="286656E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0.06</w:t>
            </w:r>
          </w:p>
        </w:tc>
        <w:tc>
          <w:tcPr>
            <w:tcW w:w="0" w:type="auto"/>
            <w:shd w:val="clear" w:color="auto" w:fill="FFFFFF"/>
            <w:tcMar>
              <w:top w:w="60" w:type="dxa"/>
              <w:left w:w="240" w:type="dxa"/>
              <w:bottom w:w="60" w:type="dxa"/>
              <w:right w:w="240" w:type="dxa"/>
            </w:tcMar>
            <w:vAlign w:val="center"/>
            <w:hideMark/>
          </w:tcPr>
          <w:p w14:paraId="7921BC01"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0.06</w:t>
            </w:r>
          </w:p>
        </w:tc>
        <w:tc>
          <w:tcPr>
            <w:tcW w:w="0" w:type="auto"/>
            <w:shd w:val="clear" w:color="auto" w:fill="FFFFFF"/>
            <w:tcMar>
              <w:top w:w="60" w:type="dxa"/>
              <w:left w:w="240" w:type="dxa"/>
              <w:bottom w:w="60" w:type="dxa"/>
              <w:right w:w="240" w:type="dxa"/>
            </w:tcMar>
            <w:vAlign w:val="center"/>
            <w:hideMark/>
          </w:tcPr>
          <w:p w14:paraId="1E366083"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0.03</w:t>
            </w:r>
          </w:p>
        </w:tc>
      </w:tr>
      <w:tr w:rsidR="00807A93" w:rsidRPr="00807A93" w14:paraId="357920D4" w14:textId="77777777">
        <w:tc>
          <w:tcPr>
            <w:tcW w:w="0" w:type="auto"/>
            <w:shd w:val="clear" w:color="auto" w:fill="FFFFFF"/>
            <w:tcMar>
              <w:top w:w="60" w:type="dxa"/>
              <w:left w:w="240" w:type="dxa"/>
              <w:bottom w:w="60" w:type="dxa"/>
              <w:right w:w="240" w:type="dxa"/>
            </w:tcMar>
            <w:vAlign w:val="center"/>
            <w:hideMark/>
          </w:tcPr>
          <w:p w14:paraId="400EDE1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Initial Male HPV Prevalence</w:t>
            </w:r>
          </w:p>
        </w:tc>
        <w:tc>
          <w:tcPr>
            <w:tcW w:w="0" w:type="auto"/>
            <w:shd w:val="clear" w:color="auto" w:fill="FFFFFF"/>
            <w:tcMar>
              <w:top w:w="60" w:type="dxa"/>
              <w:left w:w="240" w:type="dxa"/>
              <w:bottom w:w="60" w:type="dxa"/>
              <w:right w:w="240" w:type="dxa"/>
            </w:tcMar>
            <w:vAlign w:val="center"/>
            <w:hideMark/>
          </w:tcPr>
          <w:p w14:paraId="156A3F9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60" w:type="dxa"/>
              <w:right w:w="240" w:type="dxa"/>
            </w:tcMar>
            <w:vAlign w:val="center"/>
            <w:hideMark/>
          </w:tcPr>
          <w:p w14:paraId="28156E2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0.20</w:t>
            </w:r>
          </w:p>
        </w:tc>
        <w:tc>
          <w:tcPr>
            <w:tcW w:w="0" w:type="auto"/>
            <w:shd w:val="clear" w:color="auto" w:fill="FFFFFF"/>
            <w:tcMar>
              <w:top w:w="60" w:type="dxa"/>
              <w:left w:w="240" w:type="dxa"/>
              <w:bottom w:w="60" w:type="dxa"/>
              <w:right w:w="240" w:type="dxa"/>
            </w:tcMar>
            <w:vAlign w:val="center"/>
            <w:hideMark/>
          </w:tcPr>
          <w:p w14:paraId="592F84C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0.23</w:t>
            </w:r>
          </w:p>
        </w:tc>
        <w:tc>
          <w:tcPr>
            <w:tcW w:w="0" w:type="auto"/>
            <w:shd w:val="clear" w:color="auto" w:fill="FFFFFF"/>
            <w:tcMar>
              <w:top w:w="60" w:type="dxa"/>
              <w:left w:w="240" w:type="dxa"/>
              <w:bottom w:w="60" w:type="dxa"/>
              <w:right w:w="240" w:type="dxa"/>
            </w:tcMar>
            <w:vAlign w:val="center"/>
            <w:hideMark/>
          </w:tcPr>
          <w:p w14:paraId="0F06232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0.20</w:t>
            </w:r>
          </w:p>
        </w:tc>
        <w:tc>
          <w:tcPr>
            <w:tcW w:w="0" w:type="auto"/>
            <w:shd w:val="clear" w:color="auto" w:fill="FFFFFF"/>
            <w:tcMar>
              <w:top w:w="60" w:type="dxa"/>
              <w:left w:w="240" w:type="dxa"/>
              <w:bottom w:w="60" w:type="dxa"/>
              <w:right w:w="240" w:type="dxa"/>
            </w:tcMar>
            <w:vAlign w:val="center"/>
            <w:hideMark/>
          </w:tcPr>
          <w:p w14:paraId="798087D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0.18</w:t>
            </w:r>
          </w:p>
        </w:tc>
        <w:tc>
          <w:tcPr>
            <w:tcW w:w="0" w:type="auto"/>
            <w:shd w:val="clear" w:color="auto" w:fill="FFFFFF"/>
            <w:tcMar>
              <w:top w:w="60" w:type="dxa"/>
              <w:left w:w="240" w:type="dxa"/>
              <w:bottom w:w="60" w:type="dxa"/>
              <w:right w:w="240" w:type="dxa"/>
            </w:tcMar>
            <w:vAlign w:val="center"/>
            <w:hideMark/>
          </w:tcPr>
          <w:p w14:paraId="52E7D45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c>
          <w:tcPr>
            <w:tcW w:w="0" w:type="auto"/>
            <w:shd w:val="clear" w:color="auto" w:fill="FFFFFF"/>
            <w:tcMar>
              <w:top w:w="60" w:type="dxa"/>
              <w:left w:w="240" w:type="dxa"/>
              <w:bottom w:w="60" w:type="dxa"/>
              <w:right w:w="240" w:type="dxa"/>
            </w:tcMar>
            <w:vAlign w:val="center"/>
            <w:hideMark/>
          </w:tcPr>
          <w:p w14:paraId="22C9DEE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0.25</w:t>
            </w:r>
          </w:p>
        </w:tc>
      </w:tr>
    </w:tbl>
    <w:p w14:paraId="759A1531" w14:textId="1971E7FC" w:rsidR="00807A93" w:rsidRDefault="003A7F01" w:rsidP="003A7F01">
      <w:pPr>
        <w:pStyle w:val="Caption"/>
        <w:jc w:val="center"/>
      </w:pPr>
      <w:bookmarkStart w:id="0" w:name="_Ref241332216"/>
      <w:r>
        <w:t xml:space="preserve">Table </w:t>
      </w:r>
      <w:fldSimple w:instr=" SEQ Table \* ARABIC ">
        <w:r w:rsidR="004455E4">
          <w:rPr>
            <w:noProof/>
          </w:rPr>
          <w:t>1</w:t>
        </w:r>
      </w:fldSimple>
      <w:bookmarkEnd w:id="0"/>
      <w:r>
        <w:t xml:space="preserve">: Assumed Initial HPV Prevalence by Sex and Age Group, over any genotype. This defines how HPV is seeded over out model, before a 20-year </w:t>
      </w:r>
      <w:proofErr w:type="spellStart"/>
      <w:r>
        <w:t>burnin</w:t>
      </w:r>
      <w:proofErr w:type="spellEnd"/>
      <w:r>
        <w:t xml:space="preserve"> period to smooth towards realistic dynamics.</w:t>
      </w:r>
    </w:p>
    <w:p w14:paraId="72CDB022" w14:textId="77777777" w:rsidR="003A7F01" w:rsidRDefault="003A7F01" w:rsidP="00D92303"/>
    <w:p w14:paraId="0FE27935" w14:textId="77777777" w:rsidR="00807A93" w:rsidRDefault="00807A93" w:rsidP="00807A93"/>
    <w:p w14:paraId="5F64081B" w14:textId="26FC205F" w:rsidR="00807A93" w:rsidRDefault="00790518" w:rsidP="00807A93">
      <w:r>
        <w:t xml:space="preserve">We inform test and intervention characteristics by meta-analyses within England, or comparable high-income settings when data specifically from England is unavailable. </w:t>
      </w:r>
      <w:r w:rsidR="00807A93">
        <w:t xml:space="preserve">HPV DNA test characteristics </w:t>
      </w:r>
      <w:r>
        <w:t>(</w:t>
      </w:r>
      <w:r>
        <w:fldChar w:fldCharType="begin"/>
      </w:r>
      <w:r>
        <w:instrText xml:space="preserve"> REF _Ref241332595 \h </w:instrText>
      </w:r>
      <w:r>
        <w:fldChar w:fldCharType="separate"/>
      </w:r>
      <w:r>
        <w:t xml:space="preserve">Table </w:t>
      </w:r>
      <w:r>
        <w:rPr>
          <w:noProof/>
        </w:rPr>
        <w:t>2</w:t>
      </w:r>
      <w:r>
        <w:fldChar w:fldCharType="end"/>
      </w:r>
      <w:r>
        <w:t xml:space="preserve">) </w:t>
      </w:r>
      <w:r w:rsidR="00807A93">
        <w:t xml:space="preserve">are informed by the </w:t>
      </w:r>
      <w:proofErr w:type="gramStart"/>
      <w:r w:rsidR="00807A93">
        <w:t>meta analyses</w:t>
      </w:r>
      <w:proofErr w:type="gramEnd"/>
      <w:r w:rsidR="00807A93">
        <w:t xml:space="preserve"> of </w:t>
      </w:r>
      <w:r w:rsidR="005A3A29">
        <w:t xml:space="preserve">Mustafa et al </w:t>
      </w:r>
      <w:sdt>
        <w:sdtPr>
          <w:id w:val="-1144112536"/>
          <w:citation/>
        </w:sdtPr>
        <w:sdtContent>
          <w:r w:rsidR="003867AB">
            <w:fldChar w:fldCharType="begin"/>
          </w:r>
          <w:r w:rsidR="003867AB">
            <w:instrText xml:space="preserve"> CITATION Mus15 \l 2057 </w:instrText>
          </w:r>
          <w:r w:rsidR="003867AB">
            <w:fldChar w:fldCharType="separate"/>
          </w:r>
          <w:r w:rsidR="009053F2" w:rsidRPr="009053F2">
            <w:rPr>
              <w:noProof/>
            </w:rPr>
            <w:t>[6]</w:t>
          </w:r>
          <w:r w:rsidR="003867AB">
            <w:fldChar w:fldCharType="end"/>
          </w:r>
        </w:sdtContent>
      </w:sdt>
      <w:r>
        <w:t>, Cytology characteristics (</w:t>
      </w:r>
      <w:r>
        <w:fldChar w:fldCharType="begin"/>
      </w:r>
      <w:r>
        <w:instrText xml:space="preserve"> REF _Ref241332626 \h </w:instrText>
      </w:r>
      <w:r>
        <w:fldChar w:fldCharType="separate"/>
      </w:r>
      <w:r>
        <w:t xml:space="preserve">Table </w:t>
      </w:r>
      <w:r>
        <w:rPr>
          <w:noProof/>
        </w:rPr>
        <w:t>3</w:t>
      </w:r>
      <w:r>
        <w:fldChar w:fldCharType="end"/>
      </w:r>
      <w:r>
        <w:t xml:space="preserve">) by that of Koliopoulos et al. </w:t>
      </w:r>
      <w:sdt>
        <w:sdtPr>
          <w:id w:val="-748967284"/>
          <w:citation/>
        </w:sdtPr>
        <w:sdtContent>
          <w:r>
            <w:fldChar w:fldCharType="begin"/>
          </w:r>
          <w:r>
            <w:instrText xml:space="preserve"> CITATION Kol17 \l 2057 </w:instrText>
          </w:r>
          <w:r>
            <w:fldChar w:fldCharType="separate"/>
          </w:r>
          <w:r w:rsidR="009053F2" w:rsidRPr="009053F2">
            <w:rPr>
              <w:noProof/>
            </w:rPr>
            <w:t>[7]</w:t>
          </w:r>
          <w:r>
            <w:fldChar w:fldCharType="end"/>
          </w:r>
        </w:sdtContent>
      </w:sdt>
      <w:r>
        <w:rPr>
          <w:rFonts w:ascii="Aptos Narrow" w:eastAsia="Times New Roman" w:hAnsi="Aptos Narrow" w:cs="Times New Roman"/>
          <w:color w:val="000000"/>
          <w:kern w:val="0"/>
          <w:lang w:eastAsia="en-GB"/>
          <w14:ligatures w14:val="none"/>
        </w:rPr>
        <w:t>.</w:t>
      </w:r>
    </w:p>
    <w:p w14:paraId="2DE67ADE" w14:textId="77777777" w:rsidR="00807A93" w:rsidRDefault="00807A93" w:rsidP="00807A93"/>
    <w:tbl>
      <w:tblPr>
        <w:tblW w:w="4716" w:type="dxa"/>
        <w:shd w:val="clear" w:color="auto" w:fill="FFFFFF"/>
        <w:tblCellMar>
          <w:top w:w="15" w:type="dxa"/>
          <w:left w:w="15" w:type="dxa"/>
          <w:bottom w:w="15" w:type="dxa"/>
          <w:right w:w="15" w:type="dxa"/>
        </w:tblCellMar>
        <w:tblLook w:val="04A0" w:firstRow="1" w:lastRow="0" w:firstColumn="1" w:lastColumn="0" w:noHBand="0" w:noVBand="1"/>
      </w:tblPr>
      <w:tblGrid>
        <w:gridCol w:w="7308"/>
      </w:tblGrid>
      <w:tr w:rsidR="00790518" w:rsidRPr="00807A93" w14:paraId="04479283" w14:textId="77777777" w:rsidTr="00790518">
        <w:tc>
          <w:tcPr>
            <w:tcW w:w="0" w:type="auto"/>
            <w:shd w:val="clear" w:color="auto" w:fill="FFFFFF"/>
            <w:tcMar>
              <w:top w:w="60" w:type="dxa"/>
              <w:left w:w="240" w:type="dxa"/>
              <w:bottom w:w="30" w:type="dxa"/>
              <w:right w:w="240" w:type="dxa"/>
            </w:tcMar>
            <w:vAlign w:val="center"/>
          </w:tcPr>
          <w:tbl>
            <w:tblPr>
              <w:tblW w:w="4236" w:type="dxa"/>
              <w:tblInd w:w="2592" w:type="dxa"/>
              <w:shd w:val="clear" w:color="auto" w:fill="FFFFFF"/>
              <w:tblCellMar>
                <w:top w:w="15" w:type="dxa"/>
                <w:left w:w="15" w:type="dxa"/>
                <w:bottom w:w="15" w:type="dxa"/>
                <w:right w:w="15" w:type="dxa"/>
              </w:tblCellMar>
              <w:tblLook w:val="04A0" w:firstRow="1" w:lastRow="0" w:firstColumn="1" w:lastColumn="0" w:noHBand="0" w:noVBand="1"/>
            </w:tblPr>
            <w:tblGrid>
              <w:gridCol w:w="1609"/>
              <w:gridCol w:w="1270"/>
              <w:gridCol w:w="1357"/>
            </w:tblGrid>
            <w:tr w:rsidR="00790518" w:rsidRPr="00807A93" w14:paraId="49EB06EC" w14:textId="77777777" w:rsidTr="00790518">
              <w:trPr>
                <w:trHeight w:val="293"/>
              </w:trPr>
              <w:tc>
                <w:tcPr>
                  <w:tcW w:w="0" w:type="auto"/>
                  <w:gridSpan w:val="3"/>
                  <w:vMerge w:val="restart"/>
                  <w:tcBorders>
                    <w:top w:val="nil"/>
                    <w:left w:val="nil"/>
                    <w:bottom w:val="nil"/>
                    <w:right w:val="nil"/>
                  </w:tcBorders>
                  <w:tcMar>
                    <w:top w:w="60" w:type="dxa"/>
                    <w:left w:w="240" w:type="dxa"/>
                    <w:bottom w:w="60" w:type="dxa"/>
                    <w:right w:w="240" w:type="dxa"/>
                  </w:tcMar>
                  <w:vAlign w:val="center"/>
                  <w:hideMark/>
                </w:tcPr>
                <w:p w14:paraId="74039EAB" w14:textId="77777777" w:rsidR="00790518" w:rsidRPr="00807A93" w:rsidRDefault="00790518" w:rsidP="00790518">
                  <w:pPr>
                    <w:jc w:val="center"/>
                    <w:rPr>
                      <w:b/>
                      <w:bCs/>
                      <w:color w:val="1F2328"/>
                      <w:sz w:val="22"/>
                      <w:szCs w:val="22"/>
                    </w:rPr>
                  </w:pPr>
                  <w:r w:rsidRPr="00807A93">
                    <w:rPr>
                      <w:b/>
                      <w:bCs/>
                      <w:color w:val="1F2328"/>
                      <w:sz w:val="22"/>
                      <w:szCs w:val="22"/>
                    </w:rPr>
                    <w:t>Model of HPV DNA test characteristics.</w:t>
                  </w:r>
                </w:p>
              </w:tc>
            </w:tr>
            <w:tr w:rsidR="00790518" w:rsidRPr="00807A93" w14:paraId="07C71EBD" w14:textId="77777777" w:rsidTr="00790518">
              <w:tc>
                <w:tcPr>
                  <w:tcW w:w="0" w:type="auto"/>
                  <w:vMerge w:val="restart"/>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58756EDD" w14:textId="77777777" w:rsidR="00790518" w:rsidRPr="00807A93" w:rsidRDefault="00790518" w:rsidP="00790518">
                  <w:pPr>
                    <w:jc w:val="center"/>
                    <w:rPr>
                      <w:color w:val="1F2328"/>
                      <w:sz w:val="22"/>
                      <w:szCs w:val="22"/>
                    </w:rPr>
                  </w:pPr>
                  <w:r w:rsidRPr="00807A93">
                    <w:rPr>
                      <w:b/>
                      <w:bCs/>
                      <w:color w:val="1F2328"/>
                      <w:sz w:val="22"/>
                      <w:szCs w:val="22"/>
                    </w:rPr>
                    <w:t>Agent State</w:t>
                  </w:r>
                </w:p>
              </w:tc>
              <w:tc>
                <w:tcPr>
                  <w:tcW w:w="0" w:type="auto"/>
                  <w:gridSpan w:val="2"/>
                  <w:tcBorders>
                    <w:top w:val="single" w:sz="8" w:space="0" w:color="000000"/>
                  </w:tcBorders>
                  <w:shd w:val="clear" w:color="auto" w:fill="FFFFFF"/>
                  <w:tcMar>
                    <w:top w:w="60" w:type="dxa"/>
                    <w:left w:w="240" w:type="dxa"/>
                    <w:bottom w:w="60" w:type="dxa"/>
                    <w:right w:w="240" w:type="dxa"/>
                  </w:tcMar>
                  <w:vAlign w:val="center"/>
                  <w:hideMark/>
                </w:tcPr>
                <w:p w14:paraId="2C2AFA0A" w14:textId="77777777" w:rsidR="00790518" w:rsidRPr="00807A93" w:rsidRDefault="00790518" w:rsidP="00790518">
                  <w:pPr>
                    <w:jc w:val="center"/>
                    <w:rPr>
                      <w:color w:val="1F2328"/>
                      <w:sz w:val="22"/>
                      <w:szCs w:val="22"/>
                    </w:rPr>
                  </w:pPr>
                  <w:r w:rsidRPr="00807A93">
                    <w:rPr>
                      <w:b/>
                      <w:bCs/>
                      <w:color w:val="1F2328"/>
                      <w:sz w:val="22"/>
                      <w:szCs w:val="22"/>
                    </w:rPr>
                    <w:t>Outcome Distribution</w:t>
                  </w:r>
                </w:p>
              </w:tc>
            </w:tr>
            <w:tr w:rsidR="00790518" w:rsidRPr="00807A93" w14:paraId="394056A0" w14:textId="77777777" w:rsidTr="00790518">
              <w:tc>
                <w:tcPr>
                  <w:tcW w:w="0" w:type="auto"/>
                  <w:vMerge/>
                  <w:tcBorders>
                    <w:top w:val="single" w:sz="8" w:space="0" w:color="000000"/>
                    <w:bottom w:val="single" w:sz="4" w:space="0" w:color="000000"/>
                  </w:tcBorders>
                  <w:shd w:val="clear" w:color="auto" w:fill="FFFFFF"/>
                  <w:vAlign w:val="center"/>
                  <w:hideMark/>
                </w:tcPr>
                <w:p w14:paraId="7CF2E89C" w14:textId="77777777" w:rsidR="00790518" w:rsidRPr="00807A93" w:rsidRDefault="00790518" w:rsidP="00790518">
                  <w:pPr>
                    <w:jc w:val="center"/>
                    <w:rPr>
                      <w:color w:val="1F2328"/>
                      <w:sz w:val="22"/>
                      <w:szCs w:val="22"/>
                    </w:rPr>
                  </w:pP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0DD2B278" w14:textId="77777777" w:rsidR="00790518" w:rsidRPr="00807A93" w:rsidRDefault="00790518" w:rsidP="00790518">
                  <w:pPr>
                    <w:jc w:val="center"/>
                    <w:rPr>
                      <w:color w:val="1F2328"/>
                      <w:sz w:val="22"/>
                      <w:szCs w:val="22"/>
                    </w:rPr>
                  </w:pPr>
                  <w:r w:rsidRPr="00807A93">
                    <w:rPr>
                      <w:rStyle w:val="cmr"/>
                      <w:b/>
                      <w:bCs/>
                      <w:color w:val="1F2328"/>
                      <w:sz w:val="22"/>
                      <w:szCs w:val="22"/>
                    </w:rPr>
                    <w:t>Positive</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67155A91" w14:textId="77777777" w:rsidR="00790518" w:rsidRPr="00807A93" w:rsidRDefault="00790518" w:rsidP="00790518">
                  <w:pPr>
                    <w:jc w:val="center"/>
                    <w:rPr>
                      <w:color w:val="1F2328"/>
                      <w:sz w:val="22"/>
                      <w:szCs w:val="22"/>
                    </w:rPr>
                  </w:pPr>
                  <w:r w:rsidRPr="00807A93">
                    <w:rPr>
                      <w:rStyle w:val="cmr"/>
                      <w:b/>
                      <w:bCs/>
                      <w:color w:val="1F2328"/>
                      <w:sz w:val="22"/>
                      <w:szCs w:val="22"/>
                    </w:rPr>
                    <w:t>Negative</w:t>
                  </w:r>
                </w:p>
              </w:tc>
            </w:tr>
            <w:tr w:rsidR="00790518" w:rsidRPr="00807A93" w14:paraId="3DC1DCCC" w14:textId="77777777" w:rsidTr="00790518">
              <w:tc>
                <w:tcPr>
                  <w:tcW w:w="0" w:type="auto"/>
                  <w:shd w:val="clear" w:color="auto" w:fill="FFFFFF"/>
                  <w:tcMar>
                    <w:top w:w="60" w:type="dxa"/>
                    <w:left w:w="240" w:type="dxa"/>
                    <w:bottom w:w="60" w:type="dxa"/>
                    <w:right w:w="240" w:type="dxa"/>
                  </w:tcMar>
                  <w:vAlign w:val="center"/>
                  <w:hideMark/>
                </w:tcPr>
                <w:p w14:paraId="74480BD1" w14:textId="77777777" w:rsidR="00790518" w:rsidRPr="00807A93" w:rsidRDefault="00790518" w:rsidP="00790518">
                  <w:pPr>
                    <w:jc w:val="center"/>
                    <w:rPr>
                      <w:color w:val="1F2328"/>
                      <w:sz w:val="22"/>
                      <w:szCs w:val="22"/>
                    </w:rPr>
                  </w:pPr>
                  <w:r w:rsidRPr="00807A93">
                    <w:rPr>
                      <w:color w:val="1F2328"/>
                      <w:sz w:val="22"/>
                      <w:szCs w:val="22"/>
                    </w:rPr>
                    <w:t>Susceptible</w:t>
                  </w:r>
                </w:p>
              </w:tc>
              <w:tc>
                <w:tcPr>
                  <w:tcW w:w="0" w:type="auto"/>
                  <w:shd w:val="clear" w:color="auto" w:fill="FFFFFF"/>
                  <w:tcMar>
                    <w:top w:w="60" w:type="dxa"/>
                    <w:left w:w="240" w:type="dxa"/>
                    <w:bottom w:w="60" w:type="dxa"/>
                    <w:right w:w="240" w:type="dxa"/>
                  </w:tcMar>
                  <w:vAlign w:val="center"/>
                  <w:hideMark/>
                </w:tcPr>
                <w:p w14:paraId="0AFA4D03" w14:textId="77777777" w:rsidR="00790518" w:rsidRPr="00807A93" w:rsidRDefault="00790518" w:rsidP="00790518">
                  <w:pPr>
                    <w:jc w:val="center"/>
                    <w:rPr>
                      <w:color w:val="1F2328"/>
                      <w:sz w:val="22"/>
                      <w:szCs w:val="22"/>
                    </w:rPr>
                  </w:pPr>
                  <w:r w:rsidRPr="00807A93">
                    <w:rPr>
                      <w:color w:val="1F2328"/>
                      <w:sz w:val="22"/>
                      <w:szCs w:val="22"/>
                    </w:rPr>
                    <w:t>0.12</w:t>
                  </w:r>
                </w:p>
              </w:tc>
              <w:tc>
                <w:tcPr>
                  <w:tcW w:w="0" w:type="auto"/>
                  <w:shd w:val="clear" w:color="auto" w:fill="FFFFFF"/>
                  <w:tcMar>
                    <w:top w:w="60" w:type="dxa"/>
                    <w:left w:w="240" w:type="dxa"/>
                    <w:bottom w:w="60" w:type="dxa"/>
                    <w:right w:w="240" w:type="dxa"/>
                  </w:tcMar>
                  <w:vAlign w:val="center"/>
                  <w:hideMark/>
                </w:tcPr>
                <w:p w14:paraId="3F6917C6" w14:textId="77777777" w:rsidR="00790518" w:rsidRPr="00807A93" w:rsidRDefault="00790518" w:rsidP="00790518">
                  <w:pPr>
                    <w:jc w:val="center"/>
                    <w:rPr>
                      <w:color w:val="1F2328"/>
                      <w:sz w:val="22"/>
                      <w:szCs w:val="22"/>
                    </w:rPr>
                  </w:pPr>
                  <w:r w:rsidRPr="00807A93">
                    <w:rPr>
                      <w:color w:val="1F2328"/>
                      <w:sz w:val="22"/>
                      <w:szCs w:val="22"/>
                    </w:rPr>
                    <w:t>0.88</w:t>
                  </w:r>
                </w:p>
              </w:tc>
            </w:tr>
            <w:tr w:rsidR="00790518" w:rsidRPr="00807A93" w14:paraId="20DF7BFA" w14:textId="77777777" w:rsidTr="00790518">
              <w:tc>
                <w:tcPr>
                  <w:tcW w:w="0" w:type="auto"/>
                  <w:shd w:val="clear" w:color="auto" w:fill="FFFFFF"/>
                  <w:tcMar>
                    <w:top w:w="60" w:type="dxa"/>
                    <w:left w:w="240" w:type="dxa"/>
                    <w:bottom w:w="60" w:type="dxa"/>
                    <w:right w:w="240" w:type="dxa"/>
                  </w:tcMar>
                  <w:vAlign w:val="center"/>
                  <w:hideMark/>
                </w:tcPr>
                <w:p w14:paraId="51405E17" w14:textId="77777777" w:rsidR="00790518" w:rsidRPr="00807A93" w:rsidRDefault="00790518" w:rsidP="00790518">
                  <w:pPr>
                    <w:jc w:val="center"/>
                    <w:rPr>
                      <w:color w:val="1F2328"/>
                      <w:sz w:val="22"/>
                      <w:szCs w:val="22"/>
                    </w:rPr>
                  </w:pPr>
                  <w:r w:rsidRPr="00807A93">
                    <w:rPr>
                      <w:color w:val="1F2328"/>
                      <w:sz w:val="22"/>
                      <w:szCs w:val="22"/>
                    </w:rPr>
                    <w:t>Latent</w:t>
                  </w:r>
                </w:p>
              </w:tc>
              <w:tc>
                <w:tcPr>
                  <w:tcW w:w="0" w:type="auto"/>
                  <w:shd w:val="clear" w:color="auto" w:fill="FFFFFF"/>
                  <w:tcMar>
                    <w:top w:w="60" w:type="dxa"/>
                    <w:left w:w="240" w:type="dxa"/>
                    <w:bottom w:w="60" w:type="dxa"/>
                    <w:right w:w="240" w:type="dxa"/>
                  </w:tcMar>
                  <w:vAlign w:val="center"/>
                  <w:hideMark/>
                </w:tcPr>
                <w:p w14:paraId="2D668C59" w14:textId="77777777" w:rsidR="00790518" w:rsidRPr="00807A93" w:rsidRDefault="00790518" w:rsidP="00790518">
                  <w:pPr>
                    <w:jc w:val="center"/>
                    <w:rPr>
                      <w:color w:val="1F2328"/>
                      <w:sz w:val="22"/>
                      <w:szCs w:val="22"/>
                    </w:rPr>
                  </w:pPr>
                  <w:r w:rsidRPr="00807A93">
                    <w:rPr>
                      <w:color w:val="1F2328"/>
                      <w:sz w:val="22"/>
                      <w:szCs w:val="22"/>
                    </w:rPr>
                    <w:t>0.12</w:t>
                  </w:r>
                </w:p>
              </w:tc>
              <w:tc>
                <w:tcPr>
                  <w:tcW w:w="0" w:type="auto"/>
                  <w:shd w:val="clear" w:color="auto" w:fill="FFFFFF"/>
                  <w:tcMar>
                    <w:top w:w="60" w:type="dxa"/>
                    <w:left w:w="240" w:type="dxa"/>
                    <w:bottom w:w="60" w:type="dxa"/>
                    <w:right w:w="240" w:type="dxa"/>
                  </w:tcMar>
                  <w:vAlign w:val="center"/>
                  <w:hideMark/>
                </w:tcPr>
                <w:p w14:paraId="5222ECB3" w14:textId="77777777" w:rsidR="00790518" w:rsidRPr="00807A93" w:rsidRDefault="00790518" w:rsidP="00790518">
                  <w:pPr>
                    <w:jc w:val="center"/>
                    <w:rPr>
                      <w:color w:val="1F2328"/>
                      <w:sz w:val="22"/>
                      <w:szCs w:val="22"/>
                    </w:rPr>
                  </w:pPr>
                  <w:r w:rsidRPr="00807A93">
                    <w:rPr>
                      <w:color w:val="1F2328"/>
                      <w:sz w:val="22"/>
                      <w:szCs w:val="22"/>
                    </w:rPr>
                    <w:t>0.88</w:t>
                  </w:r>
                </w:p>
              </w:tc>
            </w:tr>
            <w:tr w:rsidR="00790518" w:rsidRPr="00807A93" w14:paraId="4EE0C509" w14:textId="77777777" w:rsidTr="00790518">
              <w:tc>
                <w:tcPr>
                  <w:tcW w:w="0" w:type="auto"/>
                  <w:shd w:val="clear" w:color="auto" w:fill="FFFFFF"/>
                  <w:tcMar>
                    <w:top w:w="60" w:type="dxa"/>
                    <w:left w:w="240" w:type="dxa"/>
                    <w:bottom w:w="60" w:type="dxa"/>
                    <w:right w:w="240" w:type="dxa"/>
                  </w:tcMar>
                  <w:vAlign w:val="center"/>
                  <w:hideMark/>
                </w:tcPr>
                <w:p w14:paraId="38A3DD58" w14:textId="77777777" w:rsidR="00790518" w:rsidRPr="00807A93" w:rsidRDefault="00790518" w:rsidP="00790518">
                  <w:pPr>
                    <w:jc w:val="center"/>
                    <w:rPr>
                      <w:color w:val="1F2328"/>
                      <w:sz w:val="22"/>
                      <w:szCs w:val="22"/>
                    </w:rPr>
                  </w:pPr>
                  <w:proofErr w:type="spellStart"/>
                  <w:r w:rsidRPr="00807A93">
                    <w:rPr>
                      <w:color w:val="1F2328"/>
                      <w:sz w:val="22"/>
                      <w:szCs w:val="22"/>
                    </w:rPr>
                    <w:t>Precin</w:t>
                  </w:r>
                  <w:proofErr w:type="spellEnd"/>
                </w:p>
              </w:tc>
              <w:tc>
                <w:tcPr>
                  <w:tcW w:w="0" w:type="auto"/>
                  <w:shd w:val="clear" w:color="auto" w:fill="FFFFFF"/>
                  <w:tcMar>
                    <w:top w:w="60" w:type="dxa"/>
                    <w:left w:w="240" w:type="dxa"/>
                    <w:bottom w:w="60" w:type="dxa"/>
                    <w:right w:w="240" w:type="dxa"/>
                  </w:tcMar>
                  <w:vAlign w:val="center"/>
                  <w:hideMark/>
                </w:tcPr>
                <w:p w14:paraId="016F434D" w14:textId="77777777" w:rsidR="00790518" w:rsidRPr="00807A93" w:rsidRDefault="00790518" w:rsidP="00790518">
                  <w:pPr>
                    <w:jc w:val="center"/>
                    <w:rPr>
                      <w:color w:val="1F2328"/>
                      <w:sz w:val="22"/>
                      <w:szCs w:val="22"/>
                    </w:rPr>
                  </w:pPr>
                  <w:r w:rsidRPr="00807A93">
                    <w:rPr>
                      <w:color w:val="1F2328"/>
                      <w:sz w:val="22"/>
                      <w:szCs w:val="22"/>
                    </w:rPr>
                    <w:t>0.94</w:t>
                  </w:r>
                </w:p>
              </w:tc>
              <w:tc>
                <w:tcPr>
                  <w:tcW w:w="0" w:type="auto"/>
                  <w:shd w:val="clear" w:color="auto" w:fill="FFFFFF"/>
                  <w:tcMar>
                    <w:top w:w="60" w:type="dxa"/>
                    <w:left w:w="240" w:type="dxa"/>
                    <w:bottom w:w="60" w:type="dxa"/>
                    <w:right w:w="240" w:type="dxa"/>
                  </w:tcMar>
                  <w:vAlign w:val="center"/>
                  <w:hideMark/>
                </w:tcPr>
                <w:p w14:paraId="24759BA5" w14:textId="77777777" w:rsidR="00790518" w:rsidRPr="00807A93" w:rsidRDefault="00790518" w:rsidP="00790518">
                  <w:pPr>
                    <w:jc w:val="center"/>
                    <w:rPr>
                      <w:color w:val="1F2328"/>
                      <w:sz w:val="22"/>
                      <w:szCs w:val="22"/>
                    </w:rPr>
                  </w:pPr>
                  <w:r w:rsidRPr="00807A93">
                    <w:rPr>
                      <w:color w:val="1F2328"/>
                      <w:sz w:val="22"/>
                      <w:szCs w:val="22"/>
                    </w:rPr>
                    <w:t>0.06</w:t>
                  </w:r>
                </w:p>
              </w:tc>
            </w:tr>
            <w:tr w:rsidR="00790518" w:rsidRPr="00807A93" w14:paraId="28233A8F" w14:textId="77777777" w:rsidTr="00790518">
              <w:tc>
                <w:tcPr>
                  <w:tcW w:w="0" w:type="auto"/>
                  <w:shd w:val="clear" w:color="auto" w:fill="FFFFFF"/>
                  <w:tcMar>
                    <w:top w:w="60" w:type="dxa"/>
                    <w:left w:w="240" w:type="dxa"/>
                    <w:bottom w:w="60" w:type="dxa"/>
                    <w:right w:w="240" w:type="dxa"/>
                  </w:tcMar>
                  <w:vAlign w:val="center"/>
                  <w:hideMark/>
                </w:tcPr>
                <w:p w14:paraId="1FF3C32D" w14:textId="77777777" w:rsidR="00790518" w:rsidRPr="00807A93" w:rsidRDefault="00790518" w:rsidP="00790518">
                  <w:pPr>
                    <w:jc w:val="center"/>
                    <w:rPr>
                      <w:color w:val="1F2328"/>
                      <w:sz w:val="22"/>
                      <w:szCs w:val="22"/>
                    </w:rPr>
                  </w:pPr>
                  <w:r w:rsidRPr="00807A93">
                    <w:rPr>
                      <w:color w:val="1F2328"/>
                      <w:sz w:val="22"/>
                      <w:szCs w:val="22"/>
                    </w:rPr>
                    <w:t>CIN</w:t>
                  </w:r>
                </w:p>
              </w:tc>
              <w:tc>
                <w:tcPr>
                  <w:tcW w:w="0" w:type="auto"/>
                  <w:shd w:val="clear" w:color="auto" w:fill="FFFFFF"/>
                  <w:tcMar>
                    <w:top w:w="60" w:type="dxa"/>
                    <w:left w:w="240" w:type="dxa"/>
                    <w:bottom w:w="60" w:type="dxa"/>
                    <w:right w:w="240" w:type="dxa"/>
                  </w:tcMar>
                  <w:vAlign w:val="center"/>
                  <w:hideMark/>
                </w:tcPr>
                <w:p w14:paraId="6593497F" w14:textId="77777777" w:rsidR="00790518" w:rsidRPr="00807A93" w:rsidRDefault="00790518" w:rsidP="00790518">
                  <w:pPr>
                    <w:jc w:val="center"/>
                    <w:rPr>
                      <w:color w:val="1F2328"/>
                      <w:sz w:val="22"/>
                      <w:szCs w:val="22"/>
                    </w:rPr>
                  </w:pPr>
                  <w:r w:rsidRPr="00807A93">
                    <w:rPr>
                      <w:color w:val="1F2328"/>
                      <w:sz w:val="22"/>
                      <w:szCs w:val="22"/>
                    </w:rPr>
                    <w:t>0.94</w:t>
                  </w:r>
                </w:p>
              </w:tc>
              <w:tc>
                <w:tcPr>
                  <w:tcW w:w="0" w:type="auto"/>
                  <w:shd w:val="clear" w:color="auto" w:fill="FFFFFF"/>
                  <w:tcMar>
                    <w:top w:w="60" w:type="dxa"/>
                    <w:left w:w="240" w:type="dxa"/>
                    <w:bottom w:w="60" w:type="dxa"/>
                    <w:right w:w="240" w:type="dxa"/>
                  </w:tcMar>
                  <w:vAlign w:val="center"/>
                  <w:hideMark/>
                </w:tcPr>
                <w:p w14:paraId="5E777729" w14:textId="77777777" w:rsidR="00790518" w:rsidRPr="00807A93" w:rsidRDefault="00790518" w:rsidP="00790518">
                  <w:pPr>
                    <w:jc w:val="center"/>
                    <w:rPr>
                      <w:color w:val="1F2328"/>
                      <w:sz w:val="22"/>
                      <w:szCs w:val="22"/>
                    </w:rPr>
                  </w:pPr>
                  <w:r w:rsidRPr="00807A93">
                    <w:rPr>
                      <w:color w:val="1F2328"/>
                      <w:sz w:val="22"/>
                      <w:szCs w:val="22"/>
                    </w:rPr>
                    <w:t>0.06</w:t>
                  </w:r>
                </w:p>
              </w:tc>
            </w:tr>
            <w:tr w:rsidR="00790518" w:rsidRPr="00807A93" w14:paraId="0FBA563F" w14:textId="77777777" w:rsidTr="00790518">
              <w:tc>
                <w:tcPr>
                  <w:tcW w:w="0" w:type="auto"/>
                  <w:shd w:val="clear" w:color="auto" w:fill="FFFFFF"/>
                  <w:tcMar>
                    <w:top w:w="60" w:type="dxa"/>
                    <w:left w:w="240" w:type="dxa"/>
                    <w:bottom w:w="30" w:type="dxa"/>
                    <w:right w:w="240" w:type="dxa"/>
                  </w:tcMar>
                  <w:vAlign w:val="center"/>
                  <w:hideMark/>
                </w:tcPr>
                <w:p w14:paraId="6A8A518B" w14:textId="77777777" w:rsidR="00790518" w:rsidRPr="00807A93" w:rsidRDefault="00790518" w:rsidP="00790518">
                  <w:pPr>
                    <w:jc w:val="center"/>
                    <w:rPr>
                      <w:color w:val="1F2328"/>
                      <w:sz w:val="22"/>
                      <w:szCs w:val="22"/>
                    </w:rPr>
                  </w:pPr>
                  <w:r w:rsidRPr="00807A93">
                    <w:rPr>
                      <w:color w:val="1F2328"/>
                      <w:sz w:val="22"/>
                      <w:szCs w:val="22"/>
                    </w:rPr>
                    <w:t>Cancerous</w:t>
                  </w:r>
                </w:p>
              </w:tc>
              <w:tc>
                <w:tcPr>
                  <w:tcW w:w="0" w:type="auto"/>
                  <w:shd w:val="clear" w:color="auto" w:fill="FFFFFF"/>
                  <w:tcMar>
                    <w:top w:w="60" w:type="dxa"/>
                    <w:left w:w="240" w:type="dxa"/>
                    <w:bottom w:w="30" w:type="dxa"/>
                    <w:right w:w="240" w:type="dxa"/>
                  </w:tcMar>
                  <w:vAlign w:val="center"/>
                  <w:hideMark/>
                </w:tcPr>
                <w:p w14:paraId="57673A48" w14:textId="77777777" w:rsidR="00790518" w:rsidRPr="00807A93" w:rsidRDefault="00790518" w:rsidP="00790518">
                  <w:pPr>
                    <w:jc w:val="center"/>
                    <w:rPr>
                      <w:color w:val="1F2328"/>
                      <w:sz w:val="22"/>
                      <w:szCs w:val="22"/>
                    </w:rPr>
                  </w:pPr>
                  <w:r w:rsidRPr="00807A93">
                    <w:rPr>
                      <w:color w:val="1F2328"/>
                      <w:sz w:val="22"/>
                      <w:szCs w:val="22"/>
                    </w:rPr>
                    <w:t>0.94</w:t>
                  </w:r>
                </w:p>
              </w:tc>
              <w:tc>
                <w:tcPr>
                  <w:tcW w:w="0" w:type="auto"/>
                  <w:shd w:val="clear" w:color="auto" w:fill="FFFFFF"/>
                  <w:tcMar>
                    <w:top w:w="60" w:type="dxa"/>
                    <w:left w:w="240" w:type="dxa"/>
                    <w:bottom w:w="30" w:type="dxa"/>
                    <w:right w:w="240" w:type="dxa"/>
                  </w:tcMar>
                  <w:vAlign w:val="center"/>
                  <w:hideMark/>
                </w:tcPr>
                <w:p w14:paraId="2E33AE81" w14:textId="77777777" w:rsidR="00790518" w:rsidRPr="00807A93" w:rsidRDefault="00790518" w:rsidP="00790518">
                  <w:pPr>
                    <w:jc w:val="center"/>
                    <w:rPr>
                      <w:color w:val="1F2328"/>
                      <w:sz w:val="22"/>
                      <w:szCs w:val="22"/>
                    </w:rPr>
                  </w:pPr>
                  <w:r w:rsidRPr="00807A93">
                    <w:rPr>
                      <w:color w:val="1F2328"/>
                      <w:sz w:val="22"/>
                      <w:szCs w:val="22"/>
                    </w:rPr>
                    <w:t>0.06</w:t>
                  </w:r>
                </w:p>
              </w:tc>
            </w:tr>
          </w:tbl>
          <w:p w14:paraId="5E6DF19E" w14:textId="200FA94C" w:rsidR="00790518" w:rsidRPr="00807A93" w:rsidRDefault="00790518" w:rsidP="00790518">
            <w:pPr>
              <w:jc w:val="center"/>
              <w:rPr>
                <w:rFonts w:ascii="Times New Roman" w:eastAsia="Times New Roman" w:hAnsi="Times New Roman" w:cs="Times New Roman"/>
                <w:color w:val="1F2328"/>
                <w:kern w:val="0"/>
                <w:sz w:val="22"/>
                <w:szCs w:val="22"/>
                <w:lang w:eastAsia="en-GB"/>
                <w14:ligatures w14:val="none"/>
              </w:rPr>
            </w:pPr>
          </w:p>
        </w:tc>
      </w:tr>
    </w:tbl>
    <w:p w14:paraId="0B847B46" w14:textId="1328400C" w:rsidR="00807A93" w:rsidRDefault="003A7F01" w:rsidP="003A7F01">
      <w:pPr>
        <w:pStyle w:val="Caption"/>
        <w:jc w:val="center"/>
      </w:pPr>
      <w:bookmarkStart w:id="1" w:name="_Ref241332595"/>
      <w:r>
        <w:t xml:space="preserve">Table </w:t>
      </w:r>
      <w:fldSimple w:instr=" SEQ Table \* ARABIC ">
        <w:r w:rsidR="004455E4">
          <w:rPr>
            <w:noProof/>
          </w:rPr>
          <w:t>2</w:t>
        </w:r>
      </w:fldSimple>
      <w:bookmarkEnd w:id="1"/>
      <w:r>
        <w:t>: Modelled HPV DNA test characte</w:t>
      </w:r>
      <w:r>
        <w:rPr>
          <w:noProof/>
        </w:rPr>
        <w:t>ristics defined in terms of probability of testing positive/negative for HPV as a Bernoulli variable when conditioned on agent infection state.</w:t>
      </w:r>
    </w:p>
    <w:p w14:paraId="221A8457" w14:textId="77777777" w:rsidR="003A7F01" w:rsidRDefault="003A7F01" w:rsidP="00807A93"/>
    <w:p w14:paraId="796271CC" w14:textId="4151A599" w:rsidR="00807A93" w:rsidRDefault="00807A93" w:rsidP="00807A93"/>
    <w:tbl>
      <w:tblPr>
        <w:tblpPr w:leftFromText="180" w:rightFromText="180" w:vertAnchor="text" w:tblpXSpec="center" w:tblpY="129"/>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4"/>
        <w:gridCol w:w="1201"/>
        <w:gridCol w:w="1446"/>
      </w:tblGrid>
      <w:tr w:rsidR="003A7F01" w:rsidRPr="00807A93" w14:paraId="128D38A5" w14:textId="77777777" w:rsidTr="00790518">
        <w:trPr>
          <w:trHeight w:val="293"/>
        </w:trPr>
        <w:tc>
          <w:tcPr>
            <w:tcW w:w="0" w:type="auto"/>
            <w:gridSpan w:val="3"/>
            <w:vMerge w:val="restart"/>
            <w:tcBorders>
              <w:top w:val="nil"/>
              <w:left w:val="nil"/>
              <w:bottom w:val="nil"/>
              <w:right w:val="nil"/>
            </w:tcBorders>
            <w:tcMar>
              <w:top w:w="60" w:type="dxa"/>
              <w:left w:w="240" w:type="dxa"/>
              <w:bottom w:w="60" w:type="dxa"/>
              <w:right w:w="240" w:type="dxa"/>
            </w:tcMar>
            <w:vAlign w:val="center"/>
            <w:hideMark/>
          </w:tcPr>
          <w:p w14:paraId="0951649B" w14:textId="77777777" w:rsidR="003A7F01" w:rsidRPr="00807A93" w:rsidRDefault="003A7F01" w:rsidP="003A7F01">
            <w:pPr>
              <w:jc w:val="center"/>
              <w:rPr>
                <w:rFonts w:ascii="Times New Roman" w:eastAsia="Times New Roman" w:hAnsi="Times New Roman" w:cs="Times New Roman"/>
                <w:b/>
                <w:bCs/>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lastRenderedPageBreak/>
              <w:t>Model of Cytology characteristics.</w:t>
            </w:r>
          </w:p>
        </w:tc>
      </w:tr>
      <w:tr w:rsidR="003A7F01" w:rsidRPr="00807A93" w14:paraId="20A153CA" w14:textId="77777777" w:rsidTr="00790518">
        <w:tc>
          <w:tcPr>
            <w:tcW w:w="0" w:type="auto"/>
            <w:vMerge w:val="restart"/>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4EC2DD78"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Agent State</w:t>
            </w:r>
          </w:p>
        </w:tc>
        <w:tc>
          <w:tcPr>
            <w:tcW w:w="0" w:type="auto"/>
            <w:gridSpan w:val="2"/>
            <w:tcBorders>
              <w:top w:val="single" w:sz="8" w:space="0" w:color="000000"/>
            </w:tcBorders>
            <w:shd w:val="clear" w:color="auto" w:fill="FFFFFF"/>
            <w:tcMar>
              <w:top w:w="60" w:type="dxa"/>
              <w:left w:w="240" w:type="dxa"/>
              <w:bottom w:w="60" w:type="dxa"/>
              <w:right w:w="240" w:type="dxa"/>
            </w:tcMar>
            <w:vAlign w:val="center"/>
            <w:hideMark/>
          </w:tcPr>
          <w:p w14:paraId="24B72208"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Outcome Distribution</w:t>
            </w:r>
          </w:p>
        </w:tc>
      </w:tr>
      <w:tr w:rsidR="003A7F01" w:rsidRPr="00807A93" w14:paraId="46DB3147" w14:textId="77777777" w:rsidTr="00790518">
        <w:tc>
          <w:tcPr>
            <w:tcW w:w="0" w:type="auto"/>
            <w:vMerge/>
            <w:tcBorders>
              <w:top w:val="single" w:sz="8" w:space="0" w:color="000000"/>
              <w:bottom w:val="single" w:sz="4" w:space="0" w:color="000000"/>
            </w:tcBorders>
            <w:shd w:val="clear" w:color="auto" w:fill="FFFFFF"/>
            <w:vAlign w:val="center"/>
            <w:hideMark/>
          </w:tcPr>
          <w:p w14:paraId="68183FC7"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05539581"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Normal</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729B3207"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Abnormal</w:t>
            </w:r>
          </w:p>
        </w:tc>
      </w:tr>
      <w:tr w:rsidR="003A7F01" w:rsidRPr="00807A93" w14:paraId="67D56FC4" w14:textId="77777777" w:rsidTr="00790518">
        <w:tc>
          <w:tcPr>
            <w:tcW w:w="0" w:type="auto"/>
            <w:shd w:val="clear" w:color="auto" w:fill="FFFFFF"/>
            <w:tcMar>
              <w:top w:w="60" w:type="dxa"/>
              <w:left w:w="240" w:type="dxa"/>
              <w:bottom w:w="60" w:type="dxa"/>
              <w:right w:w="240" w:type="dxa"/>
            </w:tcMar>
            <w:vAlign w:val="center"/>
            <w:hideMark/>
          </w:tcPr>
          <w:p w14:paraId="61FE387F"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Susceptible</w:t>
            </w:r>
          </w:p>
        </w:tc>
        <w:tc>
          <w:tcPr>
            <w:tcW w:w="0" w:type="auto"/>
            <w:shd w:val="clear" w:color="auto" w:fill="FFFFFF"/>
            <w:tcMar>
              <w:top w:w="60" w:type="dxa"/>
              <w:left w:w="240" w:type="dxa"/>
              <w:bottom w:w="60" w:type="dxa"/>
              <w:right w:w="240" w:type="dxa"/>
            </w:tcMar>
            <w:vAlign w:val="center"/>
            <w:hideMark/>
          </w:tcPr>
          <w:p w14:paraId="70CA59D1"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0.96 </w:t>
            </w:r>
          </w:p>
        </w:tc>
        <w:tc>
          <w:tcPr>
            <w:tcW w:w="0" w:type="auto"/>
            <w:shd w:val="clear" w:color="auto" w:fill="FFFFFF"/>
            <w:tcMar>
              <w:top w:w="60" w:type="dxa"/>
              <w:left w:w="240" w:type="dxa"/>
              <w:bottom w:w="60" w:type="dxa"/>
              <w:right w:w="240" w:type="dxa"/>
            </w:tcMar>
            <w:vAlign w:val="center"/>
            <w:hideMark/>
          </w:tcPr>
          <w:p w14:paraId="1DE4A688"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0.04 </w:t>
            </w:r>
          </w:p>
        </w:tc>
      </w:tr>
      <w:tr w:rsidR="003A7F01" w:rsidRPr="00807A93" w14:paraId="31A3C1AD" w14:textId="77777777" w:rsidTr="00790518">
        <w:tc>
          <w:tcPr>
            <w:tcW w:w="0" w:type="auto"/>
            <w:shd w:val="clear" w:color="auto" w:fill="FFFFFF"/>
            <w:tcMar>
              <w:top w:w="60" w:type="dxa"/>
              <w:left w:w="240" w:type="dxa"/>
              <w:bottom w:w="60" w:type="dxa"/>
              <w:right w:w="240" w:type="dxa"/>
            </w:tcMar>
            <w:vAlign w:val="center"/>
            <w:hideMark/>
          </w:tcPr>
          <w:p w14:paraId="022DB389"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Latent</w:t>
            </w:r>
          </w:p>
        </w:tc>
        <w:tc>
          <w:tcPr>
            <w:tcW w:w="0" w:type="auto"/>
            <w:shd w:val="clear" w:color="auto" w:fill="FFFFFF"/>
            <w:tcMar>
              <w:top w:w="60" w:type="dxa"/>
              <w:left w:w="240" w:type="dxa"/>
              <w:bottom w:w="60" w:type="dxa"/>
              <w:right w:w="240" w:type="dxa"/>
            </w:tcMar>
            <w:vAlign w:val="center"/>
            <w:hideMark/>
          </w:tcPr>
          <w:p w14:paraId="2E4D2F84"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0.96 </w:t>
            </w:r>
          </w:p>
        </w:tc>
        <w:tc>
          <w:tcPr>
            <w:tcW w:w="0" w:type="auto"/>
            <w:shd w:val="clear" w:color="auto" w:fill="FFFFFF"/>
            <w:tcMar>
              <w:top w:w="60" w:type="dxa"/>
              <w:left w:w="240" w:type="dxa"/>
              <w:bottom w:w="60" w:type="dxa"/>
              <w:right w:w="240" w:type="dxa"/>
            </w:tcMar>
            <w:vAlign w:val="center"/>
            <w:hideMark/>
          </w:tcPr>
          <w:p w14:paraId="62249CE4"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0.04 </w:t>
            </w:r>
          </w:p>
        </w:tc>
      </w:tr>
      <w:tr w:rsidR="003A7F01" w:rsidRPr="00807A93" w14:paraId="568B5010" w14:textId="77777777" w:rsidTr="00790518">
        <w:tc>
          <w:tcPr>
            <w:tcW w:w="0" w:type="auto"/>
            <w:shd w:val="clear" w:color="auto" w:fill="FFFFFF"/>
            <w:tcMar>
              <w:top w:w="60" w:type="dxa"/>
              <w:left w:w="240" w:type="dxa"/>
              <w:bottom w:w="60" w:type="dxa"/>
              <w:right w:w="240" w:type="dxa"/>
            </w:tcMar>
            <w:vAlign w:val="center"/>
            <w:hideMark/>
          </w:tcPr>
          <w:p w14:paraId="7249E46F"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proofErr w:type="spellStart"/>
            <w:r w:rsidRPr="00807A93">
              <w:rPr>
                <w:rFonts w:ascii="Times New Roman" w:eastAsia="Times New Roman" w:hAnsi="Times New Roman" w:cs="Times New Roman"/>
                <w:color w:val="1F2328"/>
                <w:kern w:val="0"/>
                <w:sz w:val="22"/>
                <w:szCs w:val="22"/>
                <w:lang w:eastAsia="en-GB"/>
                <w14:ligatures w14:val="none"/>
              </w:rPr>
              <w:t>Precin</w:t>
            </w:r>
            <w:proofErr w:type="spellEnd"/>
          </w:p>
        </w:tc>
        <w:tc>
          <w:tcPr>
            <w:tcW w:w="0" w:type="auto"/>
            <w:shd w:val="clear" w:color="auto" w:fill="FFFFFF"/>
            <w:tcMar>
              <w:top w:w="60" w:type="dxa"/>
              <w:left w:w="240" w:type="dxa"/>
              <w:bottom w:w="60" w:type="dxa"/>
              <w:right w:w="240" w:type="dxa"/>
            </w:tcMar>
            <w:vAlign w:val="center"/>
            <w:hideMark/>
          </w:tcPr>
          <w:p w14:paraId="17CD6752"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0.96 </w:t>
            </w:r>
          </w:p>
        </w:tc>
        <w:tc>
          <w:tcPr>
            <w:tcW w:w="0" w:type="auto"/>
            <w:shd w:val="clear" w:color="auto" w:fill="FFFFFF"/>
            <w:tcMar>
              <w:top w:w="60" w:type="dxa"/>
              <w:left w:w="240" w:type="dxa"/>
              <w:bottom w:w="60" w:type="dxa"/>
              <w:right w:w="240" w:type="dxa"/>
            </w:tcMar>
            <w:vAlign w:val="center"/>
            <w:hideMark/>
          </w:tcPr>
          <w:p w14:paraId="3E0164F8"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0.04 </w:t>
            </w:r>
          </w:p>
        </w:tc>
      </w:tr>
      <w:tr w:rsidR="003A7F01" w:rsidRPr="00807A93" w14:paraId="7DDFEC12" w14:textId="77777777" w:rsidTr="00790518">
        <w:tc>
          <w:tcPr>
            <w:tcW w:w="0" w:type="auto"/>
            <w:shd w:val="clear" w:color="auto" w:fill="FFFFFF"/>
            <w:tcMar>
              <w:top w:w="60" w:type="dxa"/>
              <w:left w:w="240" w:type="dxa"/>
              <w:bottom w:w="60" w:type="dxa"/>
              <w:right w:w="240" w:type="dxa"/>
            </w:tcMar>
            <w:vAlign w:val="center"/>
            <w:hideMark/>
          </w:tcPr>
          <w:p w14:paraId="398B6B13"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CIN</w:t>
            </w:r>
          </w:p>
        </w:tc>
        <w:tc>
          <w:tcPr>
            <w:tcW w:w="0" w:type="auto"/>
            <w:shd w:val="clear" w:color="auto" w:fill="FFFFFF"/>
            <w:tcMar>
              <w:top w:w="60" w:type="dxa"/>
              <w:left w:w="240" w:type="dxa"/>
              <w:bottom w:w="60" w:type="dxa"/>
              <w:right w:w="240" w:type="dxa"/>
            </w:tcMar>
            <w:vAlign w:val="center"/>
            <w:hideMark/>
          </w:tcPr>
          <w:p w14:paraId="34979C02"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0.3 </w:t>
            </w:r>
          </w:p>
        </w:tc>
        <w:tc>
          <w:tcPr>
            <w:tcW w:w="0" w:type="auto"/>
            <w:shd w:val="clear" w:color="auto" w:fill="FFFFFF"/>
            <w:tcMar>
              <w:top w:w="60" w:type="dxa"/>
              <w:left w:w="240" w:type="dxa"/>
              <w:bottom w:w="60" w:type="dxa"/>
              <w:right w:w="240" w:type="dxa"/>
            </w:tcMar>
            <w:vAlign w:val="center"/>
            <w:hideMark/>
          </w:tcPr>
          <w:p w14:paraId="3748C5FA"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 xml:space="preserve">0.7 </w:t>
            </w:r>
          </w:p>
        </w:tc>
      </w:tr>
      <w:tr w:rsidR="003A7F01" w:rsidRPr="00807A93" w14:paraId="6121E2DA" w14:textId="77777777" w:rsidTr="00790518">
        <w:tc>
          <w:tcPr>
            <w:tcW w:w="0" w:type="auto"/>
            <w:shd w:val="clear" w:color="auto" w:fill="FFFFFF"/>
            <w:tcMar>
              <w:top w:w="60" w:type="dxa"/>
              <w:left w:w="240" w:type="dxa"/>
              <w:bottom w:w="30" w:type="dxa"/>
              <w:right w:w="240" w:type="dxa"/>
            </w:tcMar>
            <w:vAlign w:val="center"/>
            <w:hideMark/>
          </w:tcPr>
          <w:p w14:paraId="12707018"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Cancerous</w:t>
            </w:r>
          </w:p>
        </w:tc>
        <w:tc>
          <w:tcPr>
            <w:tcW w:w="0" w:type="auto"/>
            <w:shd w:val="clear" w:color="auto" w:fill="FFFFFF"/>
            <w:tcMar>
              <w:top w:w="60" w:type="dxa"/>
              <w:left w:w="240" w:type="dxa"/>
              <w:bottom w:w="30" w:type="dxa"/>
              <w:right w:w="240" w:type="dxa"/>
            </w:tcMar>
            <w:vAlign w:val="center"/>
            <w:hideMark/>
          </w:tcPr>
          <w:p w14:paraId="7E88FE70"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30" w:type="dxa"/>
              <w:right w:w="240" w:type="dxa"/>
            </w:tcMar>
            <w:vAlign w:val="center"/>
            <w:hideMark/>
          </w:tcPr>
          <w:p w14:paraId="689617F4" w14:textId="77777777" w:rsidR="003A7F01" w:rsidRPr="00807A93" w:rsidRDefault="003A7F01" w:rsidP="003A7F01">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1</w:t>
            </w:r>
          </w:p>
        </w:tc>
      </w:tr>
    </w:tbl>
    <w:p w14:paraId="0BD6394C" w14:textId="77777777" w:rsidR="003A7F01" w:rsidRDefault="003A7F01" w:rsidP="003A7F01">
      <w:pPr>
        <w:pStyle w:val="Caption"/>
        <w:keepNext/>
      </w:pPr>
    </w:p>
    <w:p w14:paraId="72DB5E9F" w14:textId="77777777" w:rsidR="00790518" w:rsidRDefault="00790518" w:rsidP="003A7F01">
      <w:pPr>
        <w:pStyle w:val="Caption"/>
        <w:keepNext/>
      </w:pPr>
      <w:bookmarkStart w:id="2" w:name="_Ref241332626"/>
    </w:p>
    <w:p w14:paraId="19B6AC21" w14:textId="77777777" w:rsidR="00790518" w:rsidRPr="00790518" w:rsidRDefault="00790518" w:rsidP="00790518"/>
    <w:p w14:paraId="3472FFE0" w14:textId="77777777" w:rsidR="00790518" w:rsidRDefault="00790518" w:rsidP="00790518">
      <w:pPr>
        <w:pStyle w:val="Caption"/>
        <w:keepNext/>
        <w:jc w:val="center"/>
      </w:pPr>
    </w:p>
    <w:p w14:paraId="30B52FF1" w14:textId="77777777" w:rsidR="00790518" w:rsidRDefault="00790518" w:rsidP="003A7F01">
      <w:pPr>
        <w:pStyle w:val="Caption"/>
        <w:keepNext/>
      </w:pPr>
    </w:p>
    <w:p w14:paraId="542E085E" w14:textId="77777777" w:rsidR="00790518" w:rsidRDefault="00790518" w:rsidP="003A7F01">
      <w:pPr>
        <w:pStyle w:val="Caption"/>
        <w:keepNext/>
      </w:pPr>
    </w:p>
    <w:p w14:paraId="033F0B85" w14:textId="77777777" w:rsidR="00790518" w:rsidRDefault="00790518" w:rsidP="003A7F01">
      <w:pPr>
        <w:pStyle w:val="Caption"/>
        <w:keepNext/>
      </w:pPr>
    </w:p>
    <w:p w14:paraId="0AA06DFE" w14:textId="77777777" w:rsidR="00790518" w:rsidRDefault="00790518" w:rsidP="00790518">
      <w:pPr>
        <w:pStyle w:val="Caption"/>
        <w:keepNext/>
        <w:jc w:val="center"/>
      </w:pPr>
    </w:p>
    <w:p w14:paraId="5F35386F" w14:textId="59C8E25A" w:rsidR="003867AB" w:rsidRDefault="003A7F01" w:rsidP="00790518">
      <w:pPr>
        <w:pStyle w:val="Caption"/>
        <w:keepNext/>
        <w:jc w:val="center"/>
      </w:pPr>
      <w:r>
        <w:t xml:space="preserve">Table </w:t>
      </w:r>
      <w:fldSimple w:instr=" SEQ Table \* ARABIC ">
        <w:r w:rsidR="004455E4">
          <w:rPr>
            <w:noProof/>
          </w:rPr>
          <w:t>3</w:t>
        </w:r>
      </w:fldSimple>
      <w:bookmarkEnd w:id="2"/>
      <w:r>
        <w:t xml:space="preserve">: Modelled Liquid-Based Cytology (LBC) characteristics, as a </w:t>
      </w:r>
      <w:proofErr w:type="spellStart"/>
      <w:r>
        <w:t>Benoulli</w:t>
      </w:r>
      <w:proofErr w:type="spellEnd"/>
      <w:r>
        <w:t xml:space="preserve"> variable conditioned on agent cellular state.</w:t>
      </w:r>
    </w:p>
    <w:p w14:paraId="29F8ADEC" w14:textId="77777777" w:rsidR="003867AB" w:rsidRDefault="003867AB" w:rsidP="00807A93"/>
    <w:p w14:paraId="7CE8A517" w14:textId="2D7F953D" w:rsidR="00807A93" w:rsidRDefault="00150291" w:rsidP="00807A93">
      <w:r>
        <w:t xml:space="preserve">Mustafa et al. find </w:t>
      </w:r>
      <w:r w:rsidR="005A3A29">
        <w:t xml:space="preserve">colposcopy sensitivity </w:t>
      </w:r>
      <w:r w:rsidR="00807A93" w:rsidRPr="00807A93">
        <w:t xml:space="preserve">at 0.95 and specificity at 0.42 </w:t>
      </w:r>
      <w:sdt>
        <w:sdtPr>
          <w:id w:val="-173350383"/>
          <w:citation/>
        </w:sdtPr>
        <w:sdtContent>
          <w:r w:rsidR="003867AB">
            <w:fldChar w:fldCharType="begin"/>
          </w:r>
          <w:r w:rsidR="003867AB">
            <w:instrText xml:space="preserve"> CITATION Mus15 \l 2057 </w:instrText>
          </w:r>
          <w:r w:rsidR="003867AB">
            <w:fldChar w:fldCharType="separate"/>
          </w:r>
          <w:r w:rsidR="009053F2" w:rsidRPr="009053F2">
            <w:rPr>
              <w:noProof/>
            </w:rPr>
            <w:t>[6]</w:t>
          </w:r>
          <w:r w:rsidR="003867AB">
            <w:fldChar w:fldCharType="end"/>
          </w:r>
        </w:sdtContent>
      </w:sdt>
      <w:r w:rsidR="005A3A29">
        <w:t>.</w:t>
      </w:r>
      <w:r w:rsidR="00807A93" w:rsidRPr="00807A93">
        <w:t xml:space="preserve"> Our modelling only acts on </w:t>
      </w:r>
      <w:r w:rsidR="005A3A29">
        <w:t>three</w:t>
      </w:r>
      <w:r w:rsidR="00807A93" w:rsidRPr="00807A93">
        <w:t xml:space="preserve"> outcomes from colposcopies - '</w:t>
      </w:r>
      <w:proofErr w:type="spellStart"/>
      <w:r w:rsidR="00807A93" w:rsidRPr="00807A93">
        <w:t>hsil</w:t>
      </w:r>
      <w:proofErr w:type="spellEnd"/>
      <w:r w:rsidR="00807A93" w:rsidRPr="00807A93">
        <w:t>' (prompting ablation) or 'cancer' (prompting general cancer treatment)</w:t>
      </w:r>
      <w:r w:rsidR="005A3A29">
        <w:t xml:space="preserve">, </w:t>
      </w:r>
      <w:r w:rsidR="00807A93" w:rsidRPr="00807A93">
        <w:t>or 'normal'</w:t>
      </w:r>
      <w:r w:rsidR="005A3A29">
        <w:t xml:space="preserve"> (prompting no treatment</w:t>
      </w:r>
      <w:r w:rsidR="00807A93" w:rsidRPr="00807A93">
        <w:t>)</w:t>
      </w:r>
      <w:r w:rsidR="005A3A29">
        <w:t>.</w:t>
      </w:r>
      <w:r w:rsidR="00807A93" w:rsidRPr="00807A93">
        <w:t xml:space="preserve"> </w:t>
      </w:r>
      <w:r w:rsidR="005A3A29">
        <w:t xml:space="preserve">Our </w:t>
      </w:r>
      <w:r w:rsidR="00790518">
        <w:t>modelled colposcopy characteristics (</w:t>
      </w:r>
      <w:r w:rsidR="00790518">
        <w:fldChar w:fldCharType="begin"/>
      </w:r>
      <w:r w:rsidR="00790518">
        <w:instrText xml:space="preserve"> REF _Ref241332785 \h </w:instrText>
      </w:r>
      <w:r w:rsidR="00790518">
        <w:fldChar w:fldCharType="separate"/>
      </w:r>
      <w:r w:rsidR="00790518">
        <w:t xml:space="preserve">Table </w:t>
      </w:r>
      <w:r w:rsidR="00790518">
        <w:rPr>
          <w:noProof/>
        </w:rPr>
        <w:t>4</w:t>
      </w:r>
      <w:r w:rsidR="00790518">
        <w:fldChar w:fldCharType="end"/>
      </w:r>
      <w:r w:rsidR="00790518">
        <w:t>) are</w:t>
      </w:r>
      <w:r w:rsidR="005A3A29">
        <w:t xml:space="preserve"> informed by these reported sensitivities and </w:t>
      </w:r>
      <w:proofErr w:type="gramStart"/>
      <w:r w:rsidR="005A3A29">
        <w:t>specificities, and</w:t>
      </w:r>
      <w:proofErr w:type="gramEnd"/>
      <w:r w:rsidR="005A3A29">
        <w:t xml:space="preserve"> additionally agree with the work </w:t>
      </w:r>
      <w:proofErr w:type="gramStart"/>
      <w:r w:rsidR="005A3A29">
        <w:t xml:space="preserve">of </w:t>
      </w:r>
      <w:r w:rsidR="00807A93">
        <w:t xml:space="preserve"> </w:t>
      </w:r>
      <w:r w:rsidR="005A3A29">
        <w:t>Brown</w:t>
      </w:r>
      <w:proofErr w:type="gramEnd"/>
      <w:r w:rsidR="005A3A29">
        <w:t xml:space="preserve"> and Tidy (</w:t>
      </w:r>
      <w:sdt>
        <w:sdtPr>
          <w:id w:val="1683855860"/>
          <w:citation/>
        </w:sdtPr>
        <w:sdtContent>
          <w:r w:rsidR="003867AB">
            <w:fldChar w:fldCharType="begin"/>
          </w:r>
          <w:r w:rsidR="003867AB">
            <w:instrText xml:space="preserve"> CITATION Bro19 \l 2057 </w:instrText>
          </w:r>
          <w:r w:rsidR="003867AB">
            <w:fldChar w:fldCharType="separate"/>
          </w:r>
          <w:r w:rsidR="009053F2">
            <w:rPr>
              <w:noProof/>
            </w:rPr>
            <w:t xml:space="preserve"> </w:t>
          </w:r>
          <w:r w:rsidR="009053F2" w:rsidRPr="009053F2">
            <w:rPr>
              <w:noProof/>
            </w:rPr>
            <w:t>[8]</w:t>
          </w:r>
          <w:r w:rsidR="003867AB">
            <w:fldChar w:fldCharType="end"/>
          </w:r>
        </w:sdtContent>
      </w:sdt>
      <w:r w:rsidR="005A3A29">
        <w:t>; using their second definition of colposcopy outcomes</w:t>
      </w:r>
      <w:r w:rsidR="00807A93">
        <w:t>).</w:t>
      </w:r>
    </w:p>
    <w:p w14:paraId="51CFA7B2" w14:textId="77777777" w:rsidR="00807A93" w:rsidRDefault="00807A93" w:rsidP="00807A93"/>
    <w:p w14:paraId="7808A6CD" w14:textId="77777777" w:rsidR="00807A93" w:rsidRDefault="00807A93" w:rsidP="00807A93"/>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1574"/>
        <w:gridCol w:w="1201"/>
        <w:gridCol w:w="2100"/>
        <w:gridCol w:w="2259"/>
      </w:tblGrid>
      <w:tr w:rsidR="00807A93" w:rsidRPr="00807A93" w14:paraId="66C2A339" w14:textId="77777777" w:rsidTr="00790518">
        <w:trPr>
          <w:trHeight w:val="293"/>
          <w:jc w:val="center"/>
        </w:trPr>
        <w:tc>
          <w:tcPr>
            <w:tcW w:w="0" w:type="auto"/>
            <w:gridSpan w:val="4"/>
            <w:vMerge w:val="restart"/>
            <w:tcBorders>
              <w:top w:val="nil"/>
              <w:left w:val="nil"/>
              <w:bottom w:val="nil"/>
              <w:right w:val="nil"/>
            </w:tcBorders>
            <w:tcMar>
              <w:top w:w="60" w:type="dxa"/>
              <w:left w:w="240" w:type="dxa"/>
              <w:bottom w:w="60" w:type="dxa"/>
              <w:right w:w="240" w:type="dxa"/>
            </w:tcMar>
            <w:vAlign w:val="center"/>
            <w:hideMark/>
          </w:tcPr>
          <w:p w14:paraId="695115EA" w14:textId="77777777" w:rsidR="00807A93" w:rsidRPr="00807A93" w:rsidRDefault="00807A93" w:rsidP="00807A93">
            <w:pPr>
              <w:jc w:val="center"/>
              <w:rPr>
                <w:rFonts w:ascii="Times New Roman" w:eastAsia="Times New Roman" w:hAnsi="Times New Roman" w:cs="Times New Roman"/>
                <w:b/>
                <w:bCs/>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Model of Colposcopy characteristics.</w:t>
            </w:r>
          </w:p>
        </w:tc>
      </w:tr>
      <w:tr w:rsidR="00807A93" w:rsidRPr="00807A93" w14:paraId="4A183E1A" w14:textId="77777777" w:rsidTr="00790518">
        <w:trPr>
          <w:jc w:val="center"/>
        </w:trPr>
        <w:tc>
          <w:tcPr>
            <w:tcW w:w="0" w:type="auto"/>
            <w:vMerge w:val="restart"/>
            <w:tcBorders>
              <w:top w:val="single" w:sz="8" w:space="0" w:color="000000"/>
              <w:bottom w:val="single" w:sz="4" w:space="0" w:color="000000"/>
            </w:tcBorders>
            <w:shd w:val="clear" w:color="auto" w:fill="FFFFFF"/>
            <w:tcMar>
              <w:top w:w="60" w:type="dxa"/>
              <w:left w:w="240" w:type="dxa"/>
              <w:bottom w:w="60" w:type="dxa"/>
              <w:right w:w="240" w:type="dxa"/>
            </w:tcMar>
            <w:vAlign w:val="center"/>
            <w:hideMark/>
          </w:tcPr>
          <w:p w14:paraId="53FCAD2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Agent State</w:t>
            </w:r>
          </w:p>
        </w:tc>
        <w:tc>
          <w:tcPr>
            <w:tcW w:w="0" w:type="auto"/>
            <w:gridSpan w:val="3"/>
            <w:tcBorders>
              <w:top w:val="single" w:sz="8" w:space="0" w:color="000000"/>
            </w:tcBorders>
            <w:shd w:val="clear" w:color="auto" w:fill="FFFFFF"/>
            <w:tcMar>
              <w:top w:w="60" w:type="dxa"/>
              <w:left w:w="240" w:type="dxa"/>
              <w:bottom w:w="60" w:type="dxa"/>
              <w:right w:w="240" w:type="dxa"/>
            </w:tcMar>
            <w:vAlign w:val="center"/>
            <w:hideMark/>
          </w:tcPr>
          <w:p w14:paraId="1F8B9D2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Outcome Distribution</w:t>
            </w:r>
          </w:p>
        </w:tc>
      </w:tr>
      <w:tr w:rsidR="00807A93" w:rsidRPr="00807A93" w14:paraId="4B0CE0D2" w14:textId="77777777" w:rsidTr="00790518">
        <w:trPr>
          <w:jc w:val="center"/>
        </w:trPr>
        <w:tc>
          <w:tcPr>
            <w:tcW w:w="0" w:type="auto"/>
            <w:vMerge/>
            <w:tcBorders>
              <w:top w:val="single" w:sz="8" w:space="0" w:color="000000"/>
              <w:bottom w:val="single" w:sz="4" w:space="0" w:color="000000"/>
            </w:tcBorders>
            <w:shd w:val="clear" w:color="auto" w:fill="FFFFFF"/>
            <w:vAlign w:val="center"/>
            <w:hideMark/>
          </w:tcPr>
          <w:p w14:paraId="1F1344F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414A53B5"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Normal</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5B7A30A0"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Abnormal: HSIL</w:t>
            </w:r>
          </w:p>
        </w:tc>
        <w:tc>
          <w:tcPr>
            <w:tcW w:w="0" w:type="auto"/>
            <w:tcBorders>
              <w:bottom w:val="single" w:sz="4" w:space="0" w:color="000000"/>
            </w:tcBorders>
            <w:shd w:val="clear" w:color="auto" w:fill="FFFFFF"/>
            <w:tcMar>
              <w:top w:w="60" w:type="dxa"/>
              <w:left w:w="240" w:type="dxa"/>
              <w:bottom w:w="60" w:type="dxa"/>
              <w:right w:w="240" w:type="dxa"/>
            </w:tcMar>
            <w:vAlign w:val="center"/>
            <w:hideMark/>
          </w:tcPr>
          <w:p w14:paraId="79A85D36"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b/>
                <w:bCs/>
                <w:color w:val="1F2328"/>
                <w:kern w:val="0"/>
                <w:sz w:val="22"/>
                <w:szCs w:val="22"/>
                <w:lang w:eastAsia="en-GB"/>
                <w14:ligatures w14:val="none"/>
              </w:rPr>
              <w:t>Abnormal: Cancer</w:t>
            </w:r>
          </w:p>
        </w:tc>
      </w:tr>
      <w:tr w:rsidR="00807A93" w:rsidRPr="00807A93" w14:paraId="74BF26C9" w14:textId="77777777" w:rsidTr="00790518">
        <w:trPr>
          <w:jc w:val="center"/>
        </w:trPr>
        <w:tc>
          <w:tcPr>
            <w:tcW w:w="0" w:type="auto"/>
            <w:shd w:val="clear" w:color="auto" w:fill="FFFFFF"/>
            <w:tcMar>
              <w:top w:w="60" w:type="dxa"/>
              <w:left w:w="240" w:type="dxa"/>
              <w:bottom w:w="60" w:type="dxa"/>
              <w:right w:w="240" w:type="dxa"/>
            </w:tcMar>
            <w:vAlign w:val="center"/>
            <w:hideMark/>
          </w:tcPr>
          <w:p w14:paraId="4819AA09"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Susceptible</w:t>
            </w:r>
          </w:p>
        </w:tc>
        <w:tc>
          <w:tcPr>
            <w:tcW w:w="0" w:type="auto"/>
            <w:shd w:val="clear" w:color="auto" w:fill="FFFFFF"/>
            <w:tcMar>
              <w:top w:w="60" w:type="dxa"/>
              <w:left w:w="240" w:type="dxa"/>
              <w:bottom w:w="60" w:type="dxa"/>
              <w:right w:w="240" w:type="dxa"/>
            </w:tcMar>
            <w:vAlign w:val="center"/>
            <w:hideMark/>
          </w:tcPr>
          <w:p w14:paraId="1B9CFBA1"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0.7</w:t>
            </w:r>
          </w:p>
        </w:tc>
        <w:tc>
          <w:tcPr>
            <w:tcW w:w="0" w:type="auto"/>
            <w:shd w:val="clear" w:color="auto" w:fill="FFFFFF"/>
            <w:tcMar>
              <w:top w:w="60" w:type="dxa"/>
              <w:left w:w="240" w:type="dxa"/>
              <w:bottom w:w="60" w:type="dxa"/>
              <w:right w:w="240" w:type="dxa"/>
            </w:tcMar>
            <w:vAlign w:val="center"/>
            <w:hideMark/>
          </w:tcPr>
          <w:p w14:paraId="706E1997"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0.3</w:t>
            </w:r>
          </w:p>
        </w:tc>
        <w:tc>
          <w:tcPr>
            <w:tcW w:w="0" w:type="auto"/>
            <w:shd w:val="clear" w:color="auto" w:fill="FFFFFF"/>
            <w:tcMar>
              <w:top w:w="60" w:type="dxa"/>
              <w:left w:w="240" w:type="dxa"/>
              <w:bottom w:w="60" w:type="dxa"/>
              <w:right w:w="240" w:type="dxa"/>
            </w:tcMar>
            <w:vAlign w:val="center"/>
            <w:hideMark/>
          </w:tcPr>
          <w:p w14:paraId="4AD8A85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1CDEAEE9" w14:textId="77777777" w:rsidTr="00790518">
        <w:trPr>
          <w:jc w:val="center"/>
        </w:trPr>
        <w:tc>
          <w:tcPr>
            <w:tcW w:w="0" w:type="auto"/>
            <w:shd w:val="clear" w:color="auto" w:fill="FFFFFF"/>
            <w:tcMar>
              <w:top w:w="60" w:type="dxa"/>
              <w:left w:w="240" w:type="dxa"/>
              <w:bottom w:w="60" w:type="dxa"/>
              <w:right w:w="240" w:type="dxa"/>
            </w:tcMar>
            <w:vAlign w:val="center"/>
            <w:hideMark/>
          </w:tcPr>
          <w:p w14:paraId="643FDFA8"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Latent</w:t>
            </w:r>
          </w:p>
        </w:tc>
        <w:tc>
          <w:tcPr>
            <w:tcW w:w="0" w:type="auto"/>
            <w:shd w:val="clear" w:color="auto" w:fill="FFFFFF"/>
            <w:tcMar>
              <w:top w:w="60" w:type="dxa"/>
              <w:left w:w="240" w:type="dxa"/>
              <w:bottom w:w="60" w:type="dxa"/>
              <w:right w:w="240" w:type="dxa"/>
            </w:tcMar>
            <w:vAlign w:val="center"/>
            <w:hideMark/>
          </w:tcPr>
          <w:p w14:paraId="01742CCA"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0.6</w:t>
            </w:r>
          </w:p>
        </w:tc>
        <w:tc>
          <w:tcPr>
            <w:tcW w:w="0" w:type="auto"/>
            <w:shd w:val="clear" w:color="auto" w:fill="FFFFFF"/>
            <w:tcMar>
              <w:top w:w="60" w:type="dxa"/>
              <w:left w:w="240" w:type="dxa"/>
              <w:bottom w:w="60" w:type="dxa"/>
              <w:right w:w="240" w:type="dxa"/>
            </w:tcMar>
            <w:vAlign w:val="center"/>
            <w:hideMark/>
          </w:tcPr>
          <w:p w14:paraId="60E7056B"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0.4</w:t>
            </w:r>
          </w:p>
        </w:tc>
        <w:tc>
          <w:tcPr>
            <w:tcW w:w="0" w:type="auto"/>
            <w:shd w:val="clear" w:color="auto" w:fill="FFFFFF"/>
            <w:tcMar>
              <w:top w:w="60" w:type="dxa"/>
              <w:left w:w="240" w:type="dxa"/>
              <w:bottom w:w="60" w:type="dxa"/>
              <w:right w:w="240" w:type="dxa"/>
            </w:tcMar>
            <w:vAlign w:val="center"/>
            <w:hideMark/>
          </w:tcPr>
          <w:p w14:paraId="19C7B10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4E186C38" w14:textId="77777777" w:rsidTr="00790518">
        <w:trPr>
          <w:jc w:val="center"/>
        </w:trPr>
        <w:tc>
          <w:tcPr>
            <w:tcW w:w="0" w:type="auto"/>
            <w:shd w:val="clear" w:color="auto" w:fill="FFFFFF"/>
            <w:tcMar>
              <w:top w:w="60" w:type="dxa"/>
              <w:left w:w="240" w:type="dxa"/>
              <w:bottom w:w="60" w:type="dxa"/>
              <w:right w:w="240" w:type="dxa"/>
            </w:tcMar>
            <w:vAlign w:val="center"/>
            <w:hideMark/>
          </w:tcPr>
          <w:p w14:paraId="25E8ECEC"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proofErr w:type="spellStart"/>
            <w:r w:rsidRPr="00807A93">
              <w:rPr>
                <w:rFonts w:ascii="Times New Roman" w:eastAsia="Times New Roman" w:hAnsi="Times New Roman" w:cs="Times New Roman"/>
                <w:color w:val="1F2328"/>
                <w:kern w:val="0"/>
                <w:sz w:val="22"/>
                <w:szCs w:val="22"/>
                <w:lang w:eastAsia="en-GB"/>
                <w14:ligatures w14:val="none"/>
              </w:rPr>
              <w:t>Precin</w:t>
            </w:r>
            <w:proofErr w:type="spellEnd"/>
          </w:p>
        </w:tc>
        <w:tc>
          <w:tcPr>
            <w:tcW w:w="0" w:type="auto"/>
            <w:shd w:val="clear" w:color="auto" w:fill="FFFFFF"/>
            <w:tcMar>
              <w:top w:w="60" w:type="dxa"/>
              <w:left w:w="240" w:type="dxa"/>
              <w:bottom w:w="60" w:type="dxa"/>
              <w:right w:w="240" w:type="dxa"/>
            </w:tcMar>
            <w:vAlign w:val="center"/>
            <w:hideMark/>
          </w:tcPr>
          <w:p w14:paraId="73D5F020"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0.42</w:t>
            </w:r>
          </w:p>
        </w:tc>
        <w:tc>
          <w:tcPr>
            <w:tcW w:w="0" w:type="auto"/>
            <w:shd w:val="clear" w:color="auto" w:fill="FFFFFF"/>
            <w:tcMar>
              <w:top w:w="60" w:type="dxa"/>
              <w:left w:w="240" w:type="dxa"/>
              <w:bottom w:w="60" w:type="dxa"/>
              <w:right w:w="240" w:type="dxa"/>
            </w:tcMar>
            <w:vAlign w:val="center"/>
            <w:hideMark/>
          </w:tcPr>
          <w:p w14:paraId="7169E605"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0.58</w:t>
            </w:r>
          </w:p>
        </w:tc>
        <w:tc>
          <w:tcPr>
            <w:tcW w:w="0" w:type="auto"/>
            <w:shd w:val="clear" w:color="auto" w:fill="FFFFFF"/>
            <w:tcMar>
              <w:top w:w="60" w:type="dxa"/>
              <w:left w:w="240" w:type="dxa"/>
              <w:bottom w:w="60" w:type="dxa"/>
              <w:right w:w="240" w:type="dxa"/>
            </w:tcMar>
            <w:vAlign w:val="center"/>
            <w:hideMark/>
          </w:tcPr>
          <w:p w14:paraId="06AA4B53"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2FECF415" w14:textId="77777777" w:rsidTr="00790518">
        <w:trPr>
          <w:jc w:val="center"/>
        </w:trPr>
        <w:tc>
          <w:tcPr>
            <w:tcW w:w="0" w:type="auto"/>
            <w:shd w:val="clear" w:color="auto" w:fill="FFFFFF"/>
            <w:tcMar>
              <w:top w:w="60" w:type="dxa"/>
              <w:left w:w="240" w:type="dxa"/>
              <w:bottom w:w="60" w:type="dxa"/>
              <w:right w:w="240" w:type="dxa"/>
            </w:tcMar>
            <w:vAlign w:val="center"/>
            <w:hideMark/>
          </w:tcPr>
          <w:p w14:paraId="19FC7B9C"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CIN</w:t>
            </w:r>
          </w:p>
        </w:tc>
        <w:tc>
          <w:tcPr>
            <w:tcW w:w="0" w:type="auto"/>
            <w:shd w:val="clear" w:color="auto" w:fill="FFFFFF"/>
            <w:tcMar>
              <w:top w:w="60" w:type="dxa"/>
              <w:left w:w="240" w:type="dxa"/>
              <w:bottom w:w="60" w:type="dxa"/>
              <w:right w:w="240" w:type="dxa"/>
            </w:tcMar>
            <w:vAlign w:val="center"/>
            <w:hideMark/>
          </w:tcPr>
          <w:p w14:paraId="061ECC4B"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0.05</w:t>
            </w:r>
          </w:p>
        </w:tc>
        <w:tc>
          <w:tcPr>
            <w:tcW w:w="0" w:type="auto"/>
            <w:shd w:val="clear" w:color="auto" w:fill="FFFFFF"/>
            <w:tcMar>
              <w:top w:w="60" w:type="dxa"/>
              <w:left w:w="240" w:type="dxa"/>
              <w:bottom w:w="60" w:type="dxa"/>
              <w:right w:w="240" w:type="dxa"/>
            </w:tcMar>
            <w:vAlign w:val="center"/>
            <w:hideMark/>
          </w:tcPr>
          <w:p w14:paraId="66900AB2"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0.95</w:t>
            </w:r>
          </w:p>
        </w:tc>
        <w:tc>
          <w:tcPr>
            <w:tcW w:w="0" w:type="auto"/>
            <w:shd w:val="clear" w:color="auto" w:fill="FFFFFF"/>
            <w:tcMar>
              <w:top w:w="60" w:type="dxa"/>
              <w:left w:w="240" w:type="dxa"/>
              <w:bottom w:w="60" w:type="dxa"/>
              <w:right w:w="240" w:type="dxa"/>
            </w:tcMar>
            <w:vAlign w:val="center"/>
            <w:hideMark/>
          </w:tcPr>
          <w:p w14:paraId="3EF74A5F"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r>
      <w:tr w:rsidR="00807A93" w:rsidRPr="00807A93" w14:paraId="4A8712A8" w14:textId="77777777" w:rsidTr="00790518">
        <w:trPr>
          <w:jc w:val="center"/>
        </w:trPr>
        <w:tc>
          <w:tcPr>
            <w:tcW w:w="0" w:type="auto"/>
            <w:shd w:val="clear" w:color="auto" w:fill="FFFFFF"/>
            <w:tcMar>
              <w:top w:w="60" w:type="dxa"/>
              <w:left w:w="240" w:type="dxa"/>
              <w:bottom w:w="30" w:type="dxa"/>
              <w:right w:w="240" w:type="dxa"/>
            </w:tcMar>
            <w:vAlign w:val="center"/>
            <w:hideMark/>
          </w:tcPr>
          <w:p w14:paraId="305C8DBD"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Cancerous</w:t>
            </w:r>
          </w:p>
        </w:tc>
        <w:tc>
          <w:tcPr>
            <w:tcW w:w="0" w:type="auto"/>
            <w:shd w:val="clear" w:color="auto" w:fill="FFFFFF"/>
            <w:tcMar>
              <w:top w:w="60" w:type="dxa"/>
              <w:left w:w="240" w:type="dxa"/>
              <w:bottom w:w="30" w:type="dxa"/>
              <w:right w:w="240" w:type="dxa"/>
            </w:tcMar>
            <w:vAlign w:val="center"/>
            <w:hideMark/>
          </w:tcPr>
          <w:p w14:paraId="69B669C5"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w:t>
            </w:r>
          </w:p>
        </w:tc>
        <w:tc>
          <w:tcPr>
            <w:tcW w:w="0" w:type="auto"/>
            <w:shd w:val="clear" w:color="auto" w:fill="FFFFFF"/>
            <w:tcMar>
              <w:top w:w="60" w:type="dxa"/>
              <w:left w:w="240" w:type="dxa"/>
              <w:bottom w:w="30" w:type="dxa"/>
              <w:right w:w="240" w:type="dxa"/>
            </w:tcMar>
            <w:vAlign w:val="center"/>
            <w:hideMark/>
          </w:tcPr>
          <w:p w14:paraId="160489CE"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0.05</w:t>
            </w:r>
          </w:p>
        </w:tc>
        <w:tc>
          <w:tcPr>
            <w:tcW w:w="0" w:type="auto"/>
            <w:shd w:val="clear" w:color="auto" w:fill="FFFFFF"/>
            <w:tcMar>
              <w:top w:w="60" w:type="dxa"/>
              <w:left w:w="240" w:type="dxa"/>
              <w:bottom w:w="30" w:type="dxa"/>
              <w:right w:w="240" w:type="dxa"/>
            </w:tcMar>
            <w:vAlign w:val="center"/>
            <w:hideMark/>
          </w:tcPr>
          <w:p w14:paraId="47275224" w14:textId="77777777" w:rsidR="00807A93" w:rsidRPr="00807A93" w:rsidRDefault="00807A93" w:rsidP="00807A93">
            <w:pPr>
              <w:rPr>
                <w:rFonts w:ascii="Times New Roman" w:eastAsia="Times New Roman" w:hAnsi="Times New Roman" w:cs="Times New Roman"/>
                <w:color w:val="1F2328"/>
                <w:kern w:val="0"/>
                <w:sz w:val="22"/>
                <w:szCs w:val="22"/>
                <w:lang w:eastAsia="en-GB"/>
                <w14:ligatures w14:val="none"/>
              </w:rPr>
            </w:pPr>
            <w:r w:rsidRPr="00807A93">
              <w:rPr>
                <w:rFonts w:ascii="Times New Roman" w:eastAsia="Times New Roman" w:hAnsi="Times New Roman" w:cs="Times New Roman"/>
                <w:color w:val="1F2328"/>
                <w:kern w:val="0"/>
                <w:sz w:val="22"/>
                <w:szCs w:val="22"/>
                <w:lang w:eastAsia="en-GB"/>
                <w14:ligatures w14:val="none"/>
              </w:rPr>
              <w:t>0.95</w:t>
            </w:r>
          </w:p>
        </w:tc>
      </w:tr>
    </w:tbl>
    <w:p w14:paraId="36C411DF" w14:textId="1D5302CF" w:rsidR="00807A93" w:rsidRDefault="003A7F01" w:rsidP="00790518">
      <w:pPr>
        <w:pStyle w:val="Caption"/>
        <w:jc w:val="center"/>
      </w:pPr>
      <w:bookmarkStart w:id="3" w:name="_Ref241332785"/>
      <w:r>
        <w:t xml:space="preserve">Table </w:t>
      </w:r>
      <w:fldSimple w:instr=" SEQ Table \* ARABIC ">
        <w:r w:rsidR="004455E4">
          <w:rPr>
            <w:noProof/>
          </w:rPr>
          <w:t>4</w:t>
        </w:r>
      </w:fldSimple>
      <w:bookmarkEnd w:id="3"/>
      <w:r>
        <w:t>: Modelled Colposcopy characteristics, as a Bernoulli variable conditioned on agent cellular state. Two abnormal outcomes are modelled to distinctly represent diagnosis of pre-cancer and of cancer.</w:t>
      </w:r>
    </w:p>
    <w:p w14:paraId="02CA14C3" w14:textId="77777777" w:rsidR="00790518" w:rsidRDefault="00790518">
      <w:pPr>
        <w:rPr>
          <w:rFonts w:asciiTheme="majorHAnsi" w:eastAsiaTheme="majorEastAsia" w:hAnsiTheme="majorHAnsi" w:cstheme="majorBidi"/>
          <w:color w:val="0F4761" w:themeColor="accent1" w:themeShade="BF"/>
          <w:sz w:val="40"/>
          <w:szCs w:val="40"/>
        </w:rPr>
      </w:pPr>
      <w:r>
        <w:br w:type="page"/>
      </w:r>
    </w:p>
    <w:p w14:paraId="5905CB74" w14:textId="6929C727" w:rsidR="00807A93" w:rsidRDefault="005A3A29" w:rsidP="00FA211E">
      <w:pPr>
        <w:pStyle w:val="Heading1"/>
      </w:pPr>
      <w:r>
        <w:lastRenderedPageBreak/>
        <w:t xml:space="preserve">S2: </w:t>
      </w:r>
      <w:r w:rsidR="00FA211E">
        <w:t>Calibration Results</w:t>
      </w:r>
    </w:p>
    <w:p w14:paraId="23E86D0E" w14:textId="6CE7507B" w:rsidR="00E5573D" w:rsidRDefault="00E5573D" w:rsidP="00E5573D">
      <w:r>
        <w:t xml:space="preserve">The parameter samples and associated </w:t>
      </w:r>
      <w:r w:rsidR="00CC2BCE">
        <w:t>Goodness of Fit (GOF)</w:t>
      </w:r>
      <w:r>
        <w:t xml:space="preserve"> values arising from calibration are available on the </w:t>
      </w:r>
      <w:r w:rsidR="00CF4283">
        <w:t xml:space="preserve">project </w:t>
      </w:r>
      <w:r>
        <w:t>GitHub</w:t>
      </w:r>
      <w:r w:rsidR="00CF4283">
        <w:t xml:space="preserve"> </w:t>
      </w:r>
      <w:sdt>
        <w:sdtPr>
          <w:id w:val="-99190343"/>
          <w:citation/>
        </w:sdtPr>
        <w:sdtContent>
          <w:r w:rsidR="00CF4283">
            <w:fldChar w:fldCharType="begin"/>
          </w:r>
          <w:r w:rsidR="00CF4283">
            <w:instrText xml:space="preserve"> CITATION Stu \l 2057 </w:instrText>
          </w:r>
          <w:r w:rsidR="00CF4283">
            <w:fldChar w:fldCharType="separate"/>
          </w:r>
          <w:r w:rsidR="009053F2" w:rsidRPr="009053F2">
            <w:rPr>
              <w:noProof/>
            </w:rPr>
            <w:t>[3]</w:t>
          </w:r>
          <w:r w:rsidR="00CF4283">
            <w:fldChar w:fldCharType="end"/>
          </w:r>
        </w:sdtContent>
      </w:sdt>
      <w:r w:rsidR="00CF4283">
        <w:t>.</w:t>
      </w:r>
    </w:p>
    <w:p w14:paraId="411F9BB2" w14:textId="77777777" w:rsidR="00E5573D" w:rsidRDefault="00E5573D" w:rsidP="00E5573D"/>
    <w:p w14:paraId="790E9071" w14:textId="144EA63B" w:rsidR="00CC2BCE" w:rsidRDefault="005A3A29" w:rsidP="00E5573D">
      <w:r>
        <w:t xml:space="preserve">Below, we report goodness of fit to seen and unseen cervical cancer incidence data, and to </w:t>
      </w:r>
      <w:proofErr w:type="spellStart"/>
      <w:r>
        <w:t>seen</w:t>
      </w:r>
      <w:proofErr w:type="spellEnd"/>
      <w:r>
        <w:t xml:space="preserve"> cervical cancer genotype distribution data. </w:t>
      </w:r>
      <w:r w:rsidR="00CC2BCE">
        <w:t xml:space="preserve">This is following 13-parameter calibration over three repeat trials, extraction of the 45 parameter samples with the best GOF, and elimination of parameter samples which are too close in parameter-space to leave 44 calibrated parameter-sets (as in Methods, </w:t>
      </w:r>
      <w:sdt>
        <w:sdtPr>
          <w:id w:val="1961838822"/>
          <w:citation/>
        </w:sdtPr>
        <w:sdtContent>
          <w:r w:rsidR="00CC2BCE">
            <w:fldChar w:fldCharType="begin"/>
          </w:r>
          <w:r w:rsidR="00CC2BCE">
            <w:instrText xml:space="preserve"> CITATION Stu26 \l 2057 </w:instrText>
          </w:r>
          <w:r w:rsidR="00CC2BCE">
            <w:fldChar w:fldCharType="separate"/>
          </w:r>
          <w:r w:rsidR="009053F2" w:rsidRPr="009053F2">
            <w:rPr>
              <w:noProof/>
            </w:rPr>
            <w:t>[1]</w:t>
          </w:r>
          <w:r w:rsidR="00CC2BCE">
            <w:fldChar w:fldCharType="end"/>
          </w:r>
        </w:sdtContent>
      </w:sdt>
      <w:r w:rsidR="00CC2BCE">
        <w:t>).</w:t>
      </w:r>
    </w:p>
    <w:p w14:paraId="29DEC606" w14:textId="77777777" w:rsidR="00CF4283" w:rsidRDefault="00CF4283" w:rsidP="00E5573D"/>
    <w:p w14:paraId="2917429C" w14:textId="3ED2DCC9" w:rsidR="005A3A29" w:rsidRDefault="00DC0CA1" w:rsidP="00E5573D">
      <w:r>
        <w:t xml:space="preserve">Observed cervical cancer incidence data is from NHS registration statistics </w:t>
      </w:r>
      <w:sdt>
        <w:sdtPr>
          <w:id w:val="-1023321351"/>
          <w:citation/>
        </w:sdtPr>
        <w:sdtContent>
          <w:r>
            <w:fldChar w:fldCharType="begin"/>
          </w:r>
          <w:r>
            <w:instrText xml:space="preserve"> CITATION NHS26 \l 2057 </w:instrText>
          </w:r>
          <w:r>
            <w:fldChar w:fldCharType="separate"/>
          </w:r>
          <w:r w:rsidR="009053F2" w:rsidRPr="009053F2">
            <w:rPr>
              <w:noProof/>
            </w:rPr>
            <w:t>[9]</w:t>
          </w:r>
          <w:r>
            <w:fldChar w:fldCharType="end"/>
          </w:r>
        </w:sdtContent>
      </w:sdt>
      <w:r>
        <w:t xml:space="preserve"> for years 2012-2018, with data from 2018-2022 from the analysis of Gilham and Peto </w:t>
      </w:r>
      <w:sdt>
        <w:sdtPr>
          <w:id w:val="-34658982"/>
          <w:citation/>
        </w:sdtPr>
        <w:sdtContent>
          <w:r>
            <w:fldChar w:fldCharType="begin"/>
          </w:r>
          <w:r>
            <w:instrText xml:space="preserve"> CITATION Gil25 \l 2057 </w:instrText>
          </w:r>
          <w:r>
            <w:fldChar w:fldCharType="separate"/>
          </w:r>
          <w:r w:rsidR="009053F2" w:rsidRPr="009053F2">
            <w:rPr>
              <w:noProof/>
            </w:rPr>
            <w:t>[10]</w:t>
          </w:r>
          <w:r>
            <w:fldChar w:fldCharType="end"/>
          </w:r>
        </w:sdtContent>
      </w:sdt>
      <w:r>
        <w:t xml:space="preserve">. HPV genotype distribution of individuals with cervical cancer is taken from the analysis of Mesher et al. </w:t>
      </w:r>
      <w:sdt>
        <w:sdtPr>
          <w:id w:val="12348056"/>
          <w:citation/>
        </w:sdtPr>
        <w:sdtContent>
          <w:r>
            <w:fldChar w:fldCharType="begin"/>
          </w:r>
          <w:r>
            <w:instrText xml:space="preserve"> CITATION Mes14 \l 2057 </w:instrText>
          </w:r>
          <w:r>
            <w:fldChar w:fldCharType="separate"/>
          </w:r>
          <w:r w:rsidR="009053F2" w:rsidRPr="009053F2">
            <w:rPr>
              <w:noProof/>
            </w:rPr>
            <w:t>[11]</w:t>
          </w:r>
          <w:r>
            <w:fldChar w:fldCharType="end"/>
          </w:r>
        </w:sdtContent>
      </w:sdt>
      <w:r>
        <w:t xml:space="preserve">. </w:t>
      </w:r>
    </w:p>
    <w:p w14:paraId="150EF5D0" w14:textId="77777777" w:rsidR="00CC2BCE" w:rsidRDefault="00CC2BCE" w:rsidP="00E5573D"/>
    <w:p w14:paraId="5ADD3B22" w14:textId="53705255" w:rsidR="00CC2BCE" w:rsidRDefault="00CC2BCE" w:rsidP="00E5573D">
      <w:r>
        <w:t>We observe visually close fits to both seen (</w:t>
      </w:r>
      <w:r>
        <w:fldChar w:fldCharType="begin"/>
      </w:r>
      <w:r>
        <w:instrText xml:space="preserve"> REF _Ref241333013 \h </w:instrText>
      </w:r>
      <w:r>
        <w:fldChar w:fldCharType="separate"/>
      </w:r>
      <w:r>
        <w:t xml:space="preserve">Figure </w:t>
      </w:r>
      <w:r>
        <w:rPr>
          <w:noProof/>
        </w:rPr>
        <w:t>1</w:t>
      </w:r>
      <w:r>
        <w:fldChar w:fldCharType="end"/>
      </w:r>
      <w:r>
        <w:t>) and unseen (</w:t>
      </w:r>
      <w:r>
        <w:fldChar w:fldCharType="begin"/>
      </w:r>
      <w:r>
        <w:instrText xml:space="preserve"> REF _Ref241333021 \h </w:instrText>
      </w:r>
      <w:r>
        <w:fldChar w:fldCharType="separate"/>
      </w:r>
      <w:r>
        <w:t xml:space="preserve">Figure </w:t>
      </w:r>
      <w:r>
        <w:rPr>
          <w:noProof/>
        </w:rPr>
        <w:t>3</w:t>
      </w:r>
      <w:r>
        <w:fldChar w:fldCharType="end"/>
      </w:r>
      <w:r>
        <w:t>) data, with both median and upper-quartile GOF under 0.2 for seen (</w:t>
      </w:r>
      <w:r>
        <w:fldChar w:fldCharType="begin"/>
      </w:r>
      <w:r>
        <w:instrText xml:space="preserve"> REF _Ref241333063 \h </w:instrText>
      </w:r>
      <w:r>
        <w:fldChar w:fldCharType="separate"/>
      </w:r>
      <w:r>
        <w:t xml:space="preserve">Figure </w:t>
      </w:r>
      <w:r>
        <w:rPr>
          <w:noProof/>
        </w:rPr>
        <w:t>2</w:t>
      </w:r>
      <w:r>
        <w:fldChar w:fldCharType="end"/>
      </w:r>
      <w:r>
        <w:t>) and unseen (</w:t>
      </w:r>
      <w:r>
        <w:fldChar w:fldCharType="begin"/>
      </w:r>
      <w:r>
        <w:instrText xml:space="preserve"> REF _Ref241333069 \h </w:instrText>
      </w:r>
      <w:r>
        <w:fldChar w:fldCharType="separate"/>
      </w:r>
      <w:r>
        <w:t xml:space="preserve">Figure </w:t>
      </w:r>
      <w:r>
        <w:rPr>
          <w:noProof/>
        </w:rPr>
        <w:t>4</w:t>
      </w:r>
      <w:r>
        <w:fldChar w:fldCharType="end"/>
      </w:r>
      <w:r>
        <w:t xml:space="preserve">) data. This indicates a close fit which does not deteriorate under short-term extrapolation of data, validating our model in terms of cervical cancer output. We observe that cervical cancers are overestimated amongst individuals aged under 25 across all years 2012-2022; </w:t>
      </w:r>
      <w:proofErr w:type="gramStart"/>
      <w:r>
        <w:t>however</w:t>
      </w:r>
      <w:proofErr w:type="gramEnd"/>
      <w:r>
        <w:t xml:space="preserve"> this overestimation does not translate to error at older age brackets as the population ages. It therefore is likely attributable to HPV prevalence assumptions at lower ages (</w:t>
      </w:r>
      <w:proofErr w:type="gramStart"/>
      <w:r>
        <w:t>in particular the</w:t>
      </w:r>
      <w:proofErr w:type="gramEnd"/>
      <w:r>
        <w:t xml:space="preserve"> omission of catchup vaccination within the model) and HPV infection – cervical cancer dwell time assumptions; this is discussed in more detail in the main body of this work </w:t>
      </w:r>
      <w:sdt>
        <w:sdtPr>
          <w:id w:val="-1379314722"/>
          <w:citation/>
        </w:sdtPr>
        <w:sdtContent>
          <w:r>
            <w:fldChar w:fldCharType="begin"/>
          </w:r>
          <w:r>
            <w:instrText xml:space="preserve"> CITATION Stu26 \l 2057 </w:instrText>
          </w:r>
          <w:r>
            <w:fldChar w:fldCharType="separate"/>
          </w:r>
          <w:r w:rsidR="009053F2" w:rsidRPr="009053F2">
            <w:rPr>
              <w:noProof/>
            </w:rPr>
            <w:t>[1]</w:t>
          </w:r>
          <w:r>
            <w:fldChar w:fldCharType="end"/>
          </w:r>
        </w:sdtContent>
      </w:sdt>
      <w:r>
        <w:t>.</w:t>
      </w:r>
    </w:p>
    <w:p w14:paraId="3E248B7C" w14:textId="77777777" w:rsidR="00CC2BCE" w:rsidRPr="006E217F" w:rsidRDefault="00CC2BCE" w:rsidP="00E5573D"/>
    <w:p w14:paraId="53FAA808" w14:textId="6BC16E77" w:rsidR="00FA211E" w:rsidRDefault="00FA211E" w:rsidP="003A7F01">
      <w:pPr>
        <w:jc w:val="center"/>
      </w:pPr>
      <w:r w:rsidRPr="003C1C72">
        <w:rPr>
          <w:noProof/>
        </w:rPr>
        <w:lastRenderedPageBreak/>
        <w:drawing>
          <wp:inline distT="0" distB="0" distL="0" distR="0" wp14:anchorId="5EA42DB7" wp14:editId="040F44AC">
            <wp:extent cx="1883174" cy="1440000"/>
            <wp:effectExtent l="0" t="0" r="0" b="0"/>
            <wp:docPr id="156281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15245" name=""/>
                    <pic:cNvPicPr/>
                  </pic:nvPicPr>
                  <pic:blipFill>
                    <a:blip r:embed="rId6"/>
                    <a:stretch>
                      <a:fillRect/>
                    </a:stretch>
                  </pic:blipFill>
                  <pic:spPr>
                    <a:xfrm>
                      <a:off x="0" y="0"/>
                      <a:ext cx="1883174" cy="1440000"/>
                    </a:xfrm>
                    <a:prstGeom prst="rect">
                      <a:avLst/>
                    </a:prstGeom>
                  </pic:spPr>
                </pic:pic>
              </a:graphicData>
            </a:graphic>
          </wp:inline>
        </w:drawing>
      </w:r>
      <w:r w:rsidRPr="003C1C72">
        <w:rPr>
          <w:noProof/>
        </w:rPr>
        <w:drawing>
          <wp:inline distT="0" distB="0" distL="0" distR="0" wp14:anchorId="0E88ED10" wp14:editId="676D151B">
            <wp:extent cx="1883174" cy="1440000"/>
            <wp:effectExtent l="0" t="0" r="0" b="0"/>
            <wp:docPr id="12126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8430" name=""/>
                    <pic:cNvPicPr/>
                  </pic:nvPicPr>
                  <pic:blipFill>
                    <a:blip r:embed="rId7"/>
                    <a:stretch>
                      <a:fillRect/>
                    </a:stretch>
                  </pic:blipFill>
                  <pic:spPr>
                    <a:xfrm>
                      <a:off x="0" y="0"/>
                      <a:ext cx="1883174" cy="1440000"/>
                    </a:xfrm>
                    <a:prstGeom prst="rect">
                      <a:avLst/>
                    </a:prstGeom>
                  </pic:spPr>
                </pic:pic>
              </a:graphicData>
            </a:graphic>
          </wp:inline>
        </w:drawing>
      </w:r>
      <w:r w:rsidRPr="003C1C72">
        <w:rPr>
          <w:noProof/>
        </w:rPr>
        <w:drawing>
          <wp:inline distT="0" distB="0" distL="0" distR="0" wp14:anchorId="008015AA" wp14:editId="763590A3">
            <wp:extent cx="1883174" cy="1440000"/>
            <wp:effectExtent l="0" t="0" r="0" b="0"/>
            <wp:docPr id="5237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5289" name=""/>
                    <pic:cNvPicPr/>
                  </pic:nvPicPr>
                  <pic:blipFill>
                    <a:blip r:embed="rId8"/>
                    <a:stretch>
                      <a:fillRect/>
                    </a:stretch>
                  </pic:blipFill>
                  <pic:spPr>
                    <a:xfrm>
                      <a:off x="0" y="0"/>
                      <a:ext cx="1883174" cy="1440000"/>
                    </a:xfrm>
                    <a:prstGeom prst="rect">
                      <a:avLst/>
                    </a:prstGeom>
                  </pic:spPr>
                </pic:pic>
              </a:graphicData>
            </a:graphic>
          </wp:inline>
        </w:drawing>
      </w:r>
      <w:r w:rsidRPr="003C1C72">
        <w:rPr>
          <w:noProof/>
        </w:rPr>
        <w:drawing>
          <wp:inline distT="0" distB="0" distL="0" distR="0" wp14:anchorId="3F35822E" wp14:editId="390EDADF">
            <wp:extent cx="1883174" cy="1440000"/>
            <wp:effectExtent l="0" t="0" r="0" b="0"/>
            <wp:docPr id="80541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8635" name=""/>
                    <pic:cNvPicPr/>
                  </pic:nvPicPr>
                  <pic:blipFill>
                    <a:blip r:embed="rId9"/>
                    <a:stretch>
                      <a:fillRect/>
                    </a:stretch>
                  </pic:blipFill>
                  <pic:spPr>
                    <a:xfrm>
                      <a:off x="0" y="0"/>
                      <a:ext cx="1883174" cy="1440000"/>
                    </a:xfrm>
                    <a:prstGeom prst="rect">
                      <a:avLst/>
                    </a:prstGeom>
                  </pic:spPr>
                </pic:pic>
              </a:graphicData>
            </a:graphic>
          </wp:inline>
        </w:drawing>
      </w:r>
      <w:r w:rsidRPr="003C1C72">
        <w:rPr>
          <w:noProof/>
        </w:rPr>
        <w:drawing>
          <wp:inline distT="0" distB="0" distL="0" distR="0" wp14:anchorId="004561FA" wp14:editId="789CB3AE">
            <wp:extent cx="1883174" cy="1440000"/>
            <wp:effectExtent l="0" t="0" r="0" b="0"/>
            <wp:docPr id="1282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010" name=""/>
                    <pic:cNvPicPr/>
                  </pic:nvPicPr>
                  <pic:blipFill>
                    <a:blip r:embed="rId10"/>
                    <a:stretch>
                      <a:fillRect/>
                    </a:stretch>
                  </pic:blipFill>
                  <pic:spPr>
                    <a:xfrm>
                      <a:off x="0" y="0"/>
                      <a:ext cx="1883174" cy="1440000"/>
                    </a:xfrm>
                    <a:prstGeom prst="rect">
                      <a:avLst/>
                    </a:prstGeom>
                  </pic:spPr>
                </pic:pic>
              </a:graphicData>
            </a:graphic>
          </wp:inline>
        </w:drawing>
      </w:r>
      <w:r w:rsidRPr="003C1C72">
        <w:rPr>
          <w:noProof/>
        </w:rPr>
        <w:drawing>
          <wp:inline distT="0" distB="0" distL="0" distR="0" wp14:anchorId="3A33F358" wp14:editId="7036624A">
            <wp:extent cx="1883174" cy="1440000"/>
            <wp:effectExtent l="0" t="0" r="0" b="0"/>
            <wp:docPr id="131780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09570" name=""/>
                    <pic:cNvPicPr/>
                  </pic:nvPicPr>
                  <pic:blipFill>
                    <a:blip r:embed="rId11"/>
                    <a:stretch>
                      <a:fillRect/>
                    </a:stretch>
                  </pic:blipFill>
                  <pic:spPr>
                    <a:xfrm>
                      <a:off x="0" y="0"/>
                      <a:ext cx="1883174" cy="1440000"/>
                    </a:xfrm>
                    <a:prstGeom prst="rect">
                      <a:avLst/>
                    </a:prstGeom>
                  </pic:spPr>
                </pic:pic>
              </a:graphicData>
            </a:graphic>
          </wp:inline>
        </w:drawing>
      </w:r>
      <w:r w:rsidRPr="003C1C72">
        <w:rPr>
          <w:noProof/>
        </w:rPr>
        <w:drawing>
          <wp:inline distT="0" distB="0" distL="0" distR="0" wp14:anchorId="2914750A" wp14:editId="345C0236">
            <wp:extent cx="1883174" cy="1440000"/>
            <wp:effectExtent l="0" t="0" r="0" b="0"/>
            <wp:docPr id="50388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88896" name=""/>
                    <pic:cNvPicPr/>
                  </pic:nvPicPr>
                  <pic:blipFill>
                    <a:blip r:embed="rId12"/>
                    <a:stretch>
                      <a:fillRect/>
                    </a:stretch>
                  </pic:blipFill>
                  <pic:spPr>
                    <a:xfrm>
                      <a:off x="0" y="0"/>
                      <a:ext cx="1883174" cy="1440000"/>
                    </a:xfrm>
                    <a:prstGeom prst="rect">
                      <a:avLst/>
                    </a:prstGeom>
                  </pic:spPr>
                </pic:pic>
              </a:graphicData>
            </a:graphic>
          </wp:inline>
        </w:drawing>
      </w:r>
      <w:r w:rsidRPr="003C1C72">
        <w:rPr>
          <w:noProof/>
        </w:rPr>
        <w:drawing>
          <wp:inline distT="0" distB="0" distL="0" distR="0" wp14:anchorId="3694AA49" wp14:editId="0FFCC1AD">
            <wp:extent cx="1883174" cy="1440000"/>
            <wp:effectExtent l="0" t="0" r="0" b="0"/>
            <wp:docPr id="4896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52849" name=""/>
                    <pic:cNvPicPr/>
                  </pic:nvPicPr>
                  <pic:blipFill>
                    <a:blip r:embed="rId13"/>
                    <a:stretch>
                      <a:fillRect/>
                    </a:stretch>
                  </pic:blipFill>
                  <pic:spPr>
                    <a:xfrm>
                      <a:off x="0" y="0"/>
                      <a:ext cx="1883174" cy="1440000"/>
                    </a:xfrm>
                    <a:prstGeom prst="rect">
                      <a:avLst/>
                    </a:prstGeom>
                  </pic:spPr>
                </pic:pic>
              </a:graphicData>
            </a:graphic>
          </wp:inline>
        </w:drawing>
      </w:r>
    </w:p>
    <w:p w14:paraId="43C34E8F" w14:textId="674F7486" w:rsidR="003A7F01" w:rsidRDefault="003A7F01" w:rsidP="003A7F01">
      <w:pPr>
        <w:pStyle w:val="Caption"/>
        <w:jc w:val="center"/>
      </w:pPr>
      <w:bookmarkStart w:id="4" w:name="_Ref241333013"/>
      <w:r>
        <w:t xml:space="preserve">Figure </w:t>
      </w:r>
      <w:fldSimple w:instr=" SEQ Figure \* ARABIC ">
        <w:r w:rsidR="004455E4">
          <w:rPr>
            <w:noProof/>
          </w:rPr>
          <w:t>1</w:t>
        </w:r>
      </w:fldSimple>
      <w:bookmarkEnd w:id="4"/>
      <w:r>
        <w:t xml:space="preserve">: Fit of calibrated model against observed data (HPV genotype distribution amongst individuals with cervical cancer in 2011, and cervical cancer incidence in England by age for years 2012-2018). Stochastic model output over all 44 ensemble parameterisations </w:t>
      </w:r>
      <w:proofErr w:type="gramStart"/>
      <w:r>
        <w:t>are</w:t>
      </w:r>
      <w:proofErr w:type="gramEnd"/>
      <w:r>
        <w:t xml:space="preserve"> presented by box plots, with observed data by red lines. Genotypes are HPV 16, HPV 18, hi5 (</w:t>
      </w:r>
      <w:r w:rsidRPr="003A7F01">
        <w:t>HPV 31,33,45,52,58</w:t>
      </w:r>
      <w:r>
        <w:t xml:space="preserve">), and </w:t>
      </w:r>
      <w:proofErr w:type="spellStart"/>
      <w:r>
        <w:t>ohr</w:t>
      </w:r>
      <w:proofErr w:type="spellEnd"/>
      <w:r>
        <w:t xml:space="preserve"> (</w:t>
      </w:r>
      <w:r w:rsidRPr="003A7F01">
        <w:t>HPV 35,39,51,56,59</w:t>
      </w:r>
      <w:r>
        <w:t xml:space="preserve">), and incidence is reported in age brackets with width 5 years starting at age 15 (0-15, 16-20,21-25,26-30, … ,81-85,86+). </w:t>
      </w:r>
    </w:p>
    <w:p w14:paraId="17D06075" w14:textId="132B5FBB" w:rsidR="005A3A29" w:rsidRDefault="003A7F01" w:rsidP="003A7F01">
      <w:pPr>
        <w:jc w:val="center"/>
      </w:pPr>
      <w:r w:rsidRPr="003C1C72">
        <w:rPr>
          <w:noProof/>
        </w:rPr>
        <w:drawing>
          <wp:inline distT="0" distB="0" distL="0" distR="0" wp14:anchorId="02044927" wp14:editId="1CD9035A">
            <wp:extent cx="3295555" cy="2520000"/>
            <wp:effectExtent l="0" t="0" r="0" b="0"/>
            <wp:docPr id="10650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8143" name=""/>
                    <pic:cNvPicPr/>
                  </pic:nvPicPr>
                  <pic:blipFill>
                    <a:blip r:embed="rId14"/>
                    <a:stretch>
                      <a:fillRect/>
                    </a:stretch>
                  </pic:blipFill>
                  <pic:spPr>
                    <a:xfrm>
                      <a:off x="0" y="0"/>
                      <a:ext cx="3295555" cy="2520000"/>
                    </a:xfrm>
                    <a:prstGeom prst="rect">
                      <a:avLst/>
                    </a:prstGeom>
                  </pic:spPr>
                </pic:pic>
              </a:graphicData>
            </a:graphic>
          </wp:inline>
        </w:drawing>
      </w:r>
    </w:p>
    <w:p w14:paraId="75DA8068" w14:textId="0181F2D2" w:rsidR="003A7F01" w:rsidRDefault="003A7F01" w:rsidP="003A7F01">
      <w:pPr>
        <w:pStyle w:val="Caption"/>
        <w:jc w:val="center"/>
      </w:pPr>
      <w:bookmarkStart w:id="5" w:name="_Ref241333063"/>
      <w:r>
        <w:t xml:space="preserve">Figure </w:t>
      </w:r>
      <w:fldSimple w:instr=" SEQ Figure \* ARABIC ">
        <w:r w:rsidR="004455E4">
          <w:rPr>
            <w:noProof/>
          </w:rPr>
          <w:t>2</w:t>
        </w:r>
      </w:fldSimple>
      <w:bookmarkEnd w:id="5"/>
      <w:r>
        <w:t>: Model Goodness of Fit (GOF) against seen data, reported separately for fit to HPV genotype distribution of individuals with cancer, and to age-stratified cancer incidence.</w:t>
      </w:r>
    </w:p>
    <w:p w14:paraId="1AF306FE" w14:textId="77777777" w:rsidR="00CC2BCE" w:rsidRDefault="00CC2BCE" w:rsidP="00584A53">
      <w:pPr>
        <w:jc w:val="center"/>
      </w:pPr>
    </w:p>
    <w:p w14:paraId="548D2A29" w14:textId="1B07F29C" w:rsidR="00584A53" w:rsidRDefault="00FA211E" w:rsidP="00584A53">
      <w:pPr>
        <w:jc w:val="center"/>
      </w:pPr>
      <w:r w:rsidRPr="007E76C3">
        <w:rPr>
          <w:noProof/>
        </w:rPr>
        <w:lastRenderedPageBreak/>
        <w:drawing>
          <wp:inline distT="0" distB="0" distL="0" distR="0" wp14:anchorId="3945B8B4" wp14:editId="70DEE55D">
            <wp:extent cx="1883174" cy="1440000"/>
            <wp:effectExtent l="0" t="0" r="0" b="0"/>
            <wp:docPr id="39391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6413" name=""/>
                    <pic:cNvPicPr/>
                  </pic:nvPicPr>
                  <pic:blipFill>
                    <a:blip r:embed="rId15"/>
                    <a:stretch>
                      <a:fillRect/>
                    </a:stretch>
                  </pic:blipFill>
                  <pic:spPr>
                    <a:xfrm>
                      <a:off x="0" y="0"/>
                      <a:ext cx="1883174" cy="1440000"/>
                    </a:xfrm>
                    <a:prstGeom prst="rect">
                      <a:avLst/>
                    </a:prstGeom>
                  </pic:spPr>
                </pic:pic>
              </a:graphicData>
            </a:graphic>
          </wp:inline>
        </w:drawing>
      </w:r>
      <w:r w:rsidRPr="007E76C3">
        <w:rPr>
          <w:noProof/>
        </w:rPr>
        <w:drawing>
          <wp:inline distT="0" distB="0" distL="0" distR="0" wp14:anchorId="1B242038" wp14:editId="26124FCF">
            <wp:extent cx="1883174" cy="1440000"/>
            <wp:effectExtent l="0" t="0" r="0" b="0"/>
            <wp:docPr id="179085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54604" name=""/>
                    <pic:cNvPicPr/>
                  </pic:nvPicPr>
                  <pic:blipFill>
                    <a:blip r:embed="rId16"/>
                    <a:stretch>
                      <a:fillRect/>
                    </a:stretch>
                  </pic:blipFill>
                  <pic:spPr>
                    <a:xfrm>
                      <a:off x="0" y="0"/>
                      <a:ext cx="1883174" cy="1440000"/>
                    </a:xfrm>
                    <a:prstGeom prst="rect">
                      <a:avLst/>
                    </a:prstGeom>
                  </pic:spPr>
                </pic:pic>
              </a:graphicData>
            </a:graphic>
          </wp:inline>
        </w:drawing>
      </w:r>
    </w:p>
    <w:p w14:paraId="12EC3564" w14:textId="37AF20E1" w:rsidR="00584A53" w:rsidRDefault="00FA211E" w:rsidP="00584A53">
      <w:pPr>
        <w:jc w:val="center"/>
      </w:pPr>
      <w:r w:rsidRPr="007E76C3">
        <w:rPr>
          <w:noProof/>
        </w:rPr>
        <w:drawing>
          <wp:inline distT="0" distB="0" distL="0" distR="0" wp14:anchorId="70BDC81E" wp14:editId="27732BAC">
            <wp:extent cx="1883174" cy="1440000"/>
            <wp:effectExtent l="0" t="0" r="0" b="0"/>
            <wp:docPr id="9283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78069" name=""/>
                    <pic:cNvPicPr/>
                  </pic:nvPicPr>
                  <pic:blipFill>
                    <a:blip r:embed="rId17"/>
                    <a:stretch>
                      <a:fillRect/>
                    </a:stretch>
                  </pic:blipFill>
                  <pic:spPr>
                    <a:xfrm>
                      <a:off x="0" y="0"/>
                      <a:ext cx="1883174" cy="1440000"/>
                    </a:xfrm>
                    <a:prstGeom prst="rect">
                      <a:avLst/>
                    </a:prstGeom>
                  </pic:spPr>
                </pic:pic>
              </a:graphicData>
            </a:graphic>
          </wp:inline>
        </w:drawing>
      </w:r>
      <w:r w:rsidRPr="007E76C3">
        <w:rPr>
          <w:noProof/>
        </w:rPr>
        <w:drawing>
          <wp:inline distT="0" distB="0" distL="0" distR="0" wp14:anchorId="6320BFEB" wp14:editId="50A35108">
            <wp:extent cx="1883174" cy="1440000"/>
            <wp:effectExtent l="0" t="0" r="0" b="0"/>
            <wp:docPr id="12395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73605" name=""/>
                    <pic:cNvPicPr/>
                  </pic:nvPicPr>
                  <pic:blipFill>
                    <a:blip r:embed="rId18"/>
                    <a:stretch>
                      <a:fillRect/>
                    </a:stretch>
                  </pic:blipFill>
                  <pic:spPr>
                    <a:xfrm>
                      <a:off x="0" y="0"/>
                      <a:ext cx="1883174" cy="1440000"/>
                    </a:xfrm>
                    <a:prstGeom prst="rect">
                      <a:avLst/>
                    </a:prstGeom>
                  </pic:spPr>
                </pic:pic>
              </a:graphicData>
            </a:graphic>
          </wp:inline>
        </w:drawing>
      </w:r>
    </w:p>
    <w:p w14:paraId="42D90AFF" w14:textId="3889A1DC" w:rsidR="00584A53" w:rsidRDefault="00584A53" w:rsidP="00D0574C">
      <w:pPr>
        <w:pStyle w:val="Caption"/>
        <w:jc w:val="center"/>
      </w:pPr>
      <w:bookmarkStart w:id="6" w:name="_Ref241333021"/>
      <w:r>
        <w:t xml:space="preserve">Figure </w:t>
      </w:r>
      <w:fldSimple w:instr=" SEQ Figure \* ARABIC ">
        <w:r w:rsidR="004455E4">
          <w:rPr>
            <w:noProof/>
          </w:rPr>
          <w:t>3</w:t>
        </w:r>
      </w:fldSimple>
      <w:bookmarkEnd w:id="6"/>
      <w:r>
        <w:t>: Fit</w:t>
      </w:r>
      <w:r w:rsidR="00D0574C" w:rsidRPr="00D0574C">
        <w:t xml:space="preserve"> </w:t>
      </w:r>
      <w:r w:rsidR="00D0574C">
        <w:t xml:space="preserve">of calibrated model against unobserved data (cervical cancer incidence in England by age for years 2019-2022). Stochastic model output over all 44 ensemble parameterisations </w:t>
      </w:r>
      <w:proofErr w:type="gramStart"/>
      <w:r w:rsidR="00D0574C">
        <w:t>are</w:t>
      </w:r>
      <w:proofErr w:type="gramEnd"/>
      <w:r w:rsidR="00D0574C">
        <w:t xml:space="preserve"> presented by box plots, with observed data by red lines. Genotypes are HPV 16, HPV 18, hi5 (</w:t>
      </w:r>
      <w:r w:rsidR="00D0574C" w:rsidRPr="003A7F01">
        <w:t>HPV 31,33,45,52,58</w:t>
      </w:r>
      <w:r w:rsidR="00D0574C">
        <w:t xml:space="preserve">), and </w:t>
      </w:r>
      <w:proofErr w:type="spellStart"/>
      <w:r w:rsidR="00D0574C">
        <w:t>ohr</w:t>
      </w:r>
      <w:proofErr w:type="spellEnd"/>
      <w:r w:rsidR="00D0574C">
        <w:t xml:space="preserve"> (</w:t>
      </w:r>
      <w:r w:rsidR="00D0574C" w:rsidRPr="003A7F01">
        <w:t>HPV 35,39,51,56,59</w:t>
      </w:r>
      <w:r w:rsidR="00D0574C">
        <w:t>), and incidence is reported in age brackets with width 5 years starting at age 15 (0-15, 16-20,21-25,26-30, … ,81-85,86+).</w:t>
      </w:r>
    </w:p>
    <w:p w14:paraId="0C0F07E9" w14:textId="77777777" w:rsidR="00584A53" w:rsidRDefault="00584A53" w:rsidP="00FA211E"/>
    <w:p w14:paraId="223F249F" w14:textId="11660C22" w:rsidR="00FA211E" w:rsidRDefault="00FA211E" w:rsidP="00D0574C">
      <w:pPr>
        <w:jc w:val="center"/>
      </w:pPr>
      <w:r w:rsidRPr="007E76C3">
        <w:rPr>
          <w:noProof/>
        </w:rPr>
        <w:drawing>
          <wp:inline distT="0" distB="0" distL="0" distR="0" wp14:anchorId="21B8A28F" wp14:editId="0B5F6491">
            <wp:extent cx="3295555" cy="2520000"/>
            <wp:effectExtent l="0" t="0" r="0" b="0"/>
            <wp:docPr id="137051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18460" name=""/>
                    <pic:cNvPicPr/>
                  </pic:nvPicPr>
                  <pic:blipFill>
                    <a:blip r:embed="rId19"/>
                    <a:stretch>
                      <a:fillRect/>
                    </a:stretch>
                  </pic:blipFill>
                  <pic:spPr>
                    <a:xfrm>
                      <a:off x="0" y="0"/>
                      <a:ext cx="3295555" cy="2520000"/>
                    </a:xfrm>
                    <a:prstGeom prst="rect">
                      <a:avLst/>
                    </a:prstGeom>
                  </pic:spPr>
                </pic:pic>
              </a:graphicData>
            </a:graphic>
          </wp:inline>
        </w:drawing>
      </w:r>
    </w:p>
    <w:p w14:paraId="6E1E47E1" w14:textId="48DC8D26" w:rsidR="00D0574C" w:rsidRDefault="00D0574C" w:rsidP="00D0574C">
      <w:pPr>
        <w:pStyle w:val="Caption"/>
        <w:jc w:val="center"/>
      </w:pPr>
      <w:bookmarkStart w:id="7" w:name="_Ref241333069"/>
      <w:r>
        <w:t xml:space="preserve">Figure </w:t>
      </w:r>
      <w:fldSimple w:instr=" SEQ Figure \* ARABIC ">
        <w:r w:rsidR="004455E4">
          <w:rPr>
            <w:noProof/>
          </w:rPr>
          <w:t>4</w:t>
        </w:r>
      </w:fldSimple>
      <w:bookmarkEnd w:id="7"/>
      <w:r>
        <w:t>: Model</w:t>
      </w:r>
      <w:r w:rsidRPr="00D0574C">
        <w:t xml:space="preserve"> </w:t>
      </w:r>
      <w:r>
        <w:t>Goodness of Fit (GOF) against unseen data, reported separately for fit to HPV genotype distribution of individuals with cancer, and to age-stratified cancer incidence.</w:t>
      </w:r>
    </w:p>
    <w:p w14:paraId="29F3BC79" w14:textId="77777777" w:rsidR="00BD6F75" w:rsidRDefault="00BD6F75">
      <w:pPr>
        <w:rPr>
          <w:rFonts w:asciiTheme="majorHAnsi" w:eastAsiaTheme="majorEastAsia" w:hAnsiTheme="majorHAnsi" w:cstheme="majorBidi"/>
          <w:color w:val="0F4761" w:themeColor="accent1" w:themeShade="BF"/>
          <w:sz w:val="40"/>
          <w:szCs w:val="40"/>
        </w:rPr>
      </w:pPr>
      <w:r>
        <w:br w:type="page"/>
      </w:r>
    </w:p>
    <w:p w14:paraId="048E03C7" w14:textId="2EF9385B" w:rsidR="001C0EB5" w:rsidRDefault="005A3A29" w:rsidP="001C0EB5">
      <w:pPr>
        <w:pStyle w:val="Heading1"/>
      </w:pPr>
      <w:r>
        <w:lastRenderedPageBreak/>
        <w:t xml:space="preserve">S3: </w:t>
      </w:r>
      <w:r w:rsidR="001C0EB5">
        <w:t>HPV Prevalence</w:t>
      </w:r>
    </w:p>
    <w:p w14:paraId="7355260D" w14:textId="304E8839" w:rsidR="005A3A29" w:rsidRDefault="005A3A29" w:rsidP="005A3A29">
      <w:r>
        <w:t xml:space="preserve">We </w:t>
      </w:r>
      <w:r w:rsidR="00CC2BCE">
        <w:t>validate</w:t>
      </w:r>
      <w:r>
        <w:t xml:space="preserve"> our model in terms of HPV 16/18 prevalence amongst </w:t>
      </w:r>
      <w:proofErr w:type="gramStart"/>
      <w:r>
        <w:t>16-18, 19-21, and 22-24 year-olds</w:t>
      </w:r>
      <w:proofErr w:type="gramEnd"/>
      <w:r>
        <w:t xml:space="preserve"> against surveillance data published by the UKHSA</w:t>
      </w:r>
      <w:r w:rsidR="00DC0CA1">
        <w:t xml:space="preserve"> </w:t>
      </w:r>
      <w:sdt>
        <w:sdtPr>
          <w:id w:val="-2039963329"/>
          <w:citation/>
        </w:sdtPr>
        <w:sdtContent>
          <w:r w:rsidR="00DC0CA1">
            <w:fldChar w:fldCharType="begin"/>
          </w:r>
          <w:r w:rsidR="00DC0CA1">
            <w:instrText xml:space="preserve"> CITATION Che23 \l 2057 </w:instrText>
          </w:r>
          <w:r w:rsidR="00DC0CA1">
            <w:fldChar w:fldCharType="separate"/>
          </w:r>
          <w:r w:rsidR="009053F2" w:rsidRPr="009053F2">
            <w:rPr>
              <w:noProof/>
            </w:rPr>
            <w:t>[12]</w:t>
          </w:r>
          <w:r w:rsidR="00DC0CA1">
            <w:fldChar w:fldCharType="end"/>
          </w:r>
        </w:sdtContent>
      </w:sdt>
      <w:r>
        <w:t>, for years 2011-2020.</w:t>
      </w:r>
    </w:p>
    <w:p w14:paraId="0C756E88" w14:textId="77777777" w:rsidR="005A3A29" w:rsidRDefault="005A3A29" w:rsidP="005A3A29"/>
    <w:p w14:paraId="4A61F3C7" w14:textId="729A8B5D" w:rsidR="001C0EB5" w:rsidRDefault="005A3A29" w:rsidP="005A3A29">
      <w:r>
        <w:t xml:space="preserve">We observe a </w:t>
      </w:r>
      <w:r w:rsidR="001C0EB5">
        <w:t xml:space="preserve">good fit for </w:t>
      </w:r>
      <w:proofErr w:type="gramStart"/>
      <w:r w:rsidR="001C0EB5">
        <w:t>16-18 year olds</w:t>
      </w:r>
      <w:proofErr w:type="gramEnd"/>
      <w:r w:rsidR="001C0EB5">
        <w:t xml:space="preserve"> throughout, with a poorer fit for older age groups due to no modelling of catch-up vaccination in our model causing overestimated prevalence in these groups</w:t>
      </w:r>
      <w:r w:rsidR="00CC2BCE">
        <w:t xml:space="preserve"> (</w:t>
      </w:r>
      <w:r w:rsidR="00CC2BCE">
        <w:fldChar w:fldCharType="begin"/>
      </w:r>
      <w:r w:rsidR="00CC2BCE">
        <w:instrText xml:space="preserve"> REF _Ref241333353 \h </w:instrText>
      </w:r>
      <w:r w:rsidR="00CC2BCE">
        <w:fldChar w:fldCharType="separate"/>
      </w:r>
      <w:r w:rsidR="00CC2BCE">
        <w:t xml:space="preserve">Figure </w:t>
      </w:r>
      <w:r w:rsidR="00CC2BCE">
        <w:rPr>
          <w:noProof/>
        </w:rPr>
        <w:t>5</w:t>
      </w:r>
      <w:r w:rsidR="00CC2BCE">
        <w:fldChar w:fldCharType="end"/>
      </w:r>
      <w:r w:rsidR="00CC2BCE">
        <w:t>)</w:t>
      </w:r>
      <w:r w:rsidR="001C0EB5">
        <w:t xml:space="preserve">. However, beyond 2020 our model is re-aligned with HPV cases in these age groups, as at this time individuals born in 1995 who underwent routine HPV vaccination at ages 12-13 will be 25 years old. </w:t>
      </w:r>
      <w:r>
        <w:t>Therefore, for</w:t>
      </w:r>
      <w:r w:rsidR="001C0EB5">
        <w:t xml:space="preserve"> analyses </w:t>
      </w:r>
      <w:r>
        <w:t>focussed on predicting cancers amongst the population not offered vaccination at age 12-13 but offered catch-up vaccination as older teens/young adults, our model will overestimate cancers. However, we notice that the model aligns with observed surveillance data by the year 2020 and for the population offered vaccination at ages 12-13. For</w:t>
      </w:r>
      <w:r w:rsidR="001C0EB5">
        <w:t xml:space="preserve"> longer term projections, due to the temporary nature of this transitionary period, </w:t>
      </w:r>
      <w:r w:rsidR="00A543D6">
        <w:t xml:space="preserve">and the convergence of our model to the correct HPV prevalences by the early 2020s, </w:t>
      </w:r>
      <w:r w:rsidR="001C0EB5">
        <w:t>the omission of catch-up screening may</w:t>
      </w:r>
      <w:r>
        <w:t xml:space="preserve"> therefore</w:t>
      </w:r>
      <w:r w:rsidR="001C0EB5">
        <w:t xml:space="preserve"> be negligible.</w:t>
      </w:r>
      <w:r w:rsidR="00CC2BCE">
        <w:t xml:space="preserve"> This aligns with our underestimation of cancers amongst young age-groups observed when evaluating our calibration (</w:t>
      </w:r>
      <w:r w:rsidR="00CC2BCE">
        <w:fldChar w:fldCharType="begin"/>
      </w:r>
      <w:r w:rsidR="00CC2BCE">
        <w:instrText xml:space="preserve"> REF _Ref241333013 \h </w:instrText>
      </w:r>
      <w:r w:rsidR="00CC2BCE">
        <w:fldChar w:fldCharType="separate"/>
      </w:r>
      <w:r w:rsidR="00CC2BCE">
        <w:t xml:space="preserve">Figure </w:t>
      </w:r>
      <w:r w:rsidR="00CC2BCE">
        <w:rPr>
          <w:noProof/>
        </w:rPr>
        <w:t>1</w:t>
      </w:r>
      <w:r w:rsidR="00CC2BCE">
        <w:fldChar w:fldCharType="end"/>
      </w:r>
      <w:r w:rsidR="00CC2BCE">
        <w:t xml:space="preserve">, </w:t>
      </w:r>
      <w:r w:rsidR="00CC2BCE">
        <w:fldChar w:fldCharType="begin"/>
      </w:r>
      <w:r w:rsidR="00CC2BCE">
        <w:instrText xml:space="preserve"> REF _Ref241333021 \h </w:instrText>
      </w:r>
      <w:r w:rsidR="00CC2BCE">
        <w:fldChar w:fldCharType="separate"/>
      </w:r>
      <w:r w:rsidR="00CC2BCE">
        <w:t xml:space="preserve">Figure </w:t>
      </w:r>
      <w:r w:rsidR="00CC2BCE">
        <w:rPr>
          <w:noProof/>
        </w:rPr>
        <w:t>3</w:t>
      </w:r>
      <w:r w:rsidR="00CC2BCE">
        <w:fldChar w:fldCharType="end"/>
      </w:r>
      <w:r w:rsidR="00CC2BCE">
        <w:t xml:space="preserve">), with the magnitude of this overestimation decreasing for later years (particularly in </w:t>
      </w:r>
      <w:r w:rsidR="00CC2BCE">
        <w:fldChar w:fldCharType="begin"/>
      </w:r>
      <w:r w:rsidR="00CC2BCE">
        <w:instrText xml:space="preserve"> REF _Ref241333021 \h </w:instrText>
      </w:r>
      <w:r w:rsidR="00CC2BCE">
        <w:fldChar w:fldCharType="separate"/>
      </w:r>
      <w:r w:rsidR="00CC2BCE">
        <w:t xml:space="preserve">Figure </w:t>
      </w:r>
      <w:r w:rsidR="00CC2BCE">
        <w:rPr>
          <w:noProof/>
        </w:rPr>
        <w:t>3</w:t>
      </w:r>
      <w:r w:rsidR="00CC2BCE">
        <w:fldChar w:fldCharType="end"/>
      </w:r>
      <w:r w:rsidR="00CC2BCE">
        <w:t xml:space="preserve"> compared to </w:t>
      </w:r>
      <w:r w:rsidR="00CC2BCE">
        <w:fldChar w:fldCharType="begin"/>
      </w:r>
      <w:r w:rsidR="00CC2BCE">
        <w:instrText xml:space="preserve"> REF _Ref241333013 \h </w:instrText>
      </w:r>
      <w:r w:rsidR="00CC2BCE">
        <w:fldChar w:fldCharType="separate"/>
      </w:r>
      <w:r w:rsidR="00CC2BCE">
        <w:t xml:space="preserve">Figure </w:t>
      </w:r>
      <w:r w:rsidR="00CC2BCE">
        <w:rPr>
          <w:noProof/>
        </w:rPr>
        <w:t>1</w:t>
      </w:r>
      <w:r w:rsidR="00CC2BCE">
        <w:fldChar w:fldCharType="end"/>
      </w:r>
      <w:r w:rsidR="00CC2BCE">
        <w:t>).</w:t>
      </w:r>
    </w:p>
    <w:p w14:paraId="4451AF77" w14:textId="77777777" w:rsidR="00152084" w:rsidRDefault="001C0EB5" w:rsidP="00152084">
      <w:pPr>
        <w:keepNext/>
        <w:jc w:val="center"/>
      </w:pPr>
      <w:r w:rsidRPr="001C0EB5">
        <w:rPr>
          <w:noProof/>
        </w:rPr>
        <w:drawing>
          <wp:inline distT="0" distB="0" distL="0" distR="0" wp14:anchorId="09F107C1" wp14:editId="1C5AE125">
            <wp:extent cx="5731510" cy="1410970"/>
            <wp:effectExtent l="0" t="0" r="0" b="0"/>
            <wp:docPr id="10612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63180" name=""/>
                    <pic:cNvPicPr/>
                  </pic:nvPicPr>
                  <pic:blipFill>
                    <a:blip r:embed="rId20"/>
                    <a:stretch>
                      <a:fillRect/>
                    </a:stretch>
                  </pic:blipFill>
                  <pic:spPr>
                    <a:xfrm>
                      <a:off x="0" y="0"/>
                      <a:ext cx="5731510" cy="1410970"/>
                    </a:xfrm>
                    <a:prstGeom prst="rect">
                      <a:avLst/>
                    </a:prstGeom>
                  </pic:spPr>
                </pic:pic>
              </a:graphicData>
            </a:graphic>
          </wp:inline>
        </w:drawing>
      </w:r>
    </w:p>
    <w:p w14:paraId="41CC3322" w14:textId="29A347C3" w:rsidR="001C0EB5" w:rsidRDefault="00152084" w:rsidP="00152084">
      <w:pPr>
        <w:pStyle w:val="Caption"/>
        <w:jc w:val="center"/>
      </w:pPr>
      <w:bookmarkStart w:id="8" w:name="_Ref241333353"/>
      <w:r>
        <w:t xml:space="preserve">Figure </w:t>
      </w:r>
      <w:fldSimple w:instr=" SEQ Figure \* ARABIC ">
        <w:r w:rsidR="004455E4">
          <w:rPr>
            <w:noProof/>
          </w:rPr>
          <w:t>5</w:t>
        </w:r>
      </w:fldSimple>
      <w:bookmarkEnd w:id="8"/>
      <w:r>
        <w:t xml:space="preserve">: Modelled prevalence of HPV 16/18 between years 2010-2020 for women age 16-18, 19-21, and 22-24, defined as the fraction of women infected with either HPV 16 or HPV 18. Median (solid black curve) reported alongside lower/upper bound over simulations (dashed black curves). UKHSA reported prevalence data presented in blue with 95% uncertainty bounds.  </w:t>
      </w:r>
    </w:p>
    <w:p w14:paraId="1203086A" w14:textId="6F812A7F" w:rsidR="000D38A7" w:rsidRDefault="000D38A7" w:rsidP="001C0EB5"/>
    <w:p w14:paraId="246AD539" w14:textId="7A72CED4" w:rsidR="00CC2BCE" w:rsidRDefault="00CC2BCE" w:rsidP="00CC2BCE">
      <w:r>
        <w:t xml:space="preserve">To evaluate the effect of vaccination on HPV </w:t>
      </w:r>
      <w:proofErr w:type="gramStart"/>
      <w:r>
        <w:t>prevalence,  we</w:t>
      </w:r>
      <w:proofErr w:type="gramEnd"/>
      <w:r>
        <w:t xml:space="preserve"> consider </w:t>
      </w:r>
      <w:r w:rsidR="000D38A7">
        <w:t xml:space="preserve">simulated infection prevalence by age for three annual snapshots </w:t>
      </w:r>
      <w:r w:rsidR="005A3A29">
        <w:t xml:space="preserve">(2010, 2030, and 2050, noting 2010 is pre-vaccination). We observe </w:t>
      </w:r>
      <w:r w:rsidR="000D38A7">
        <w:t xml:space="preserve">the </w:t>
      </w:r>
      <w:r w:rsidR="005A3A29">
        <w:t xml:space="preserve">simulated </w:t>
      </w:r>
      <w:r w:rsidR="000D38A7">
        <w:t xml:space="preserve">effect </w:t>
      </w:r>
      <w:r w:rsidR="005A3A29">
        <w:t xml:space="preserve">on HPV 16/18 prevalence </w:t>
      </w:r>
      <w:r w:rsidR="000D38A7">
        <w:t>of vaccine-rollout, with reduced cases over the full population in younger ages and over time</w:t>
      </w:r>
      <w:r>
        <w:t xml:space="preserve"> (</w:t>
      </w:r>
      <w:r>
        <w:fldChar w:fldCharType="begin"/>
      </w:r>
      <w:r>
        <w:instrText xml:space="preserve"> REF _Ref241333488 \h </w:instrText>
      </w:r>
      <w:r>
        <w:fldChar w:fldCharType="separate"/>
      </w:r>
      <w:r>
        <w:t xml:space="preserve">Figure </w:t>
      </w:r>
      <w:r>
        <w:rPr>
          <w:noProof/>
        </w:rPr>
        <w:t>6</w:t>
      </w:r>
      <w:r>
        <w:fldChar w:fldCharType="end"/>
      </w:r>
      <w:r>
        <w:t>)</w:t>
      </w:r>
      <w:r w:rsidR="00A96604">
        <w:t>.</w:t>
      </w:r>
      <w:r w:rsidR="005A3A29">
        <w:t xml:space="preserve"> </w:t>
      </w:r>
      <w:r>
        <w:t>Modelling</w:t>
      </w:r>
      <w:r>
        <w:t xml:space="preserve"> the prevalence of infection with hi5 HPV genotypes over the full population, we observe a similar dampening effect</w:t>
      </w:r>
      <w:r>
        <w:t xml:space="preserve"> (</w:t>
      </w:r>
      <w:r>
        <w:fldChar w:fldCharType="begin"/>
      </w:r>
      <w:r>
        <w:instrText xml:space="preserve"> REF _Ref241333546 \h </w:instrText>
      </w:r>
      <w:r>
        <w:fldChar w:fldCharType="separate"/>
      </w:r>
      <w:r>
        <w:t xml:space="preserve">Figure </w:t>
      </w:r>
      <w:r>
        <w:rPr>
          <w:noProof/>
        </w:rPr>
        <w:t>7</w:t>
      </w:r>
      <w:r>
        <w:fldChar w:fldCharType="end"/>
      </w:r>
      <w:r>
        <w:t>)</w:t>
      </w:r>
      <w:r>
        <w:t>.</w:t>
      </w:r>
      <w:r>
        <w:t xml:space="preserve"> Restricting our focus to unvaccinated individuals only, we observe a notable herd effect amongst younger, vaccine-eligible, individuals, </w:t>
      </w:r>
      <w:r>
        <w:t>evident from a dampening of infections amongst this cohort</w:t>
      </w:r>
      <w:r>
        <w:t xml:space="preserve"> (</w:t>
      </w:r>
      <w:r>
        <w:fldChar w:fldCharType="begin"/>
      </w:r>
      <w:r>
        <w:instrText xml:space="preserve"> REF _Ref241333637 \h </w:instrText>
      </w:r>
      <w:r>
        <w:fldChar w:fldCharType="separate"/>
      </w:r>
      <w:r>
        <w:t xml:space="preserve">Figure </w:t>
      </w:r>
      <w:r>
        <w:rPr>
          <w:noProof/>
        </w:rPr>
        <w:t>8</w:t>
      </w:r>
      <w:r>
        <w:fldChar w:fldCharType="end"/>
      </w:r>
      <w:r>
        <w:t>)</w:t>
      </w:r>
      <w:r>
        <w:t>.</w:t>
      </w:r>
      <w:r w:rsidR="009053F2">
        <w:t xml:space="preserve"> This demonstrates the desired model effect of vaccine rollout on HPV prevalence over time.</w:t>
      </w:r>
    </w:p>
    <w:p w14:paraId="24DB2747" w14:textId="3182B942" w:rsidR="00CC2BCE" w:rsidRDefault="00CC2BCE" w:rsidP="00CC2BCE"/>
    <w:p w14:paraId="748CA675" w14:textId="067E9980" w:rsidR="000D38A7" w:rsidRDefault="000D38A7" w:rsidP="001C0EB5"/>
    <w:p w14:paraId="64226E03" w14:textId="77777777" w:rsidR="001C0EB5" w:rsidRDefault="001C0EB5" w:rsidP="001C0EB5"/>
    <w:p w14:paraId="5A7E1379" w14:textId="77777777" w:rsidR="00CC5100" w:rsidRDefault="001C0EB5" w:rsidP="00CC5100">
      <w:pPr>
        <w:keepNext/>
      </w:pPr>
      <w:r w:rsidRPr="001C0EB5">
        <w:rPr>
          <w:noProof/>
        </w:rPr>
        <w:lastRenderedPageBreak/>
        <w:drawing>
          <wp:inline distT="0" distB="0" distL="0" distR="0" wp14:anchorId="20597897" wp14:editId="2A787B91">
            <wp:extent cx="5731510" cy="2842260"/>
            <wp:effectExtent l="0" t="0" r="0" b="2540"/>
            <wp:docPr id="170945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56273" name=""/>
                    <pic:cNvPicPr/>
                  </pic:nvPicPr>
                  <pic:blipFill>
                    <a:blip r:embed="rId21"/>
                    <a:stretch>
                      <a:fillRect/>
                    </a:stretch>
                  </pic:blipFill>
                  <pic:spPr>
                    <a:xfrm>
                      <a:off x="0" y="0"/>
                      <a:ext cx="5731510" cy="2842260"/>
                    </a:xfrm>
                    <a:prstGeom prst="rect">
                      <a:avLst/>
                    </a:prstGeom>
                  </pic:spPr>
                </pic:pic>
              </a:graphicData>
            </a:graphic>
          </wp:inline>
        </w:drawing>
      </w:r>
    </w:p>
    <w:p w14:paraId="04FB9118" w14:textId="008943F2" w:rsidR="001C0EB5" w:rsidRDefault="00CC5100" w:rsidP="00CC5100">
      <w:pPr>
        <w:pStyle w:val="Caption"/>
        <w:jc w:val="center"/>
      </w:pPr>
      <w:bookmarkStart w:id="9" w:name="_Ref241333488"/>
      <w:r>
        <w:t xml:space="preserve">Figure </w:t>
      </w:r>
      <w:fldSimple w:instr=" SEQ Figure \* ARABIC ">
        <w:r w:rsidR="004455E4">
          <w:rPr>
            <w:noProof/>
          </w:rPr>
          <w:t>6</w:t>
        </w:r>
      </w:fldSimple>
      <w:bookmarkEnd w:id="9"/>
      <w:r>
        <w:t xml:space="preserve">: Modelled prevalence of infection with HPV 16/18 amongst all women, stratified by age, for </w:t>
      </w:r>
      <w:proofErr w:type="gramStart"/>
      <w:r>
        <w:t>three time</w:t>
      </w:r>
      <w:proofErr w:type="gramEnd"/>
      <w:r>
        <w:t xml:space="preserve"> snapshots: 2010 (pre-vaccination), 2030 (post-vaccination), and 2050 (post-vaccination). For years 2030 and 2050, dotted lines indicate the age at which the population transitions from vaccine-eligible to vaccine-ineligible.</w:t>
      </w:r>
    </w:p>
    <w:p w14:paraId="00239692" w14:textId="77777777" w:rsidR="005A3A29" w:rsidRDefault="005A3A29" w:rsidP="005A3A29"/>
    <w:p w14:paraId="1A9F42B6" w14:textId="77777777" w:rsidR="00CC5100" w:rsidRDefault="005A3A29" w:rsidP="00CC5100">
      <w:pPr>
        <w:keepNext/>
      </w:pPr>
      <w:r w:rsidRPr="00A96604">
        <w:rPr>
          <w:noProof/>
        </w:rPr>
        <w:drawing>
          <wp:inline distT="0" distB="0" distL="0" distR="0" wp14:anchorId="0023B72F" wp14:editId="75372C49">
            <wp:extent cx="5731510" cy="2842260"/>
            <wp:effectExtent l="0" t="0" r="0" b="2540"/>
            <wp:docPr id="19957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01631" name=""/>
                    <pic:cNvPicPr/>
                  </pic:nvPicPr>
                  <pic:blipFill>
                    <a:blip r:embed="rId22"/>
                    <a:stretch>
                      <a:fillRect/>
                    </a:stretch>
                  </pic:blipFill>
                  <pic:spPr>
                    <a:xfrm>
                      <a:off x="0" y="0"/>
                      <a:ext cx="5731510" cy="2842260"/>
                    </a:xfrm>
                    <a:prstGeom prst="rect">
                      <a:avLst/>
                    </a:prstGeom>
                  </pic:spPr>
                </pic:pic>
              </a:graphicData>
            </a:graphic>
          </wp:inline>
        </w:drawing>
      </w:r>
    </w:p>
    <w:p w14:paraId="03FCF831" w14:textId="4BAB9FBD" w:rsidR="00CC5100" w:rsidRDefault="00CC5100" w:rsidP="00CC5100">
      <w:pPr>
        <w:pStyle w:val="Caption"/>
        <w:jc w:val="center"/>
      </w:pPr>
      <w:bookmarkStart w:id="10" w:name="_Ref241333546"/>
      <w:r>
        <w:t xml:space="preserve">Figure </w:t>
      </w:r>
      <w:fldSimple w:instr=" SEQ Figure \* ARABIC ">
        <w:r w:rsidR="004455E4">
          <w:rPr>
            <w:noProof/>
          </w:rPr>
          <w:t>7</w:t>
        </w:r>
      </w:fldSimple>
      <w:bookmarkEnd w:id="10"/>
      <w:r>
        <w:t xml:space="preserve">: Modelled prevalence of infection with </w:t>
      </w:r>
      <w:r w:rsidRPr="003A7F01">
        <w:t>HPV 31</w:t>
      </w:r>
      <w:r>
        <w:t>/</w:t>
      </w:r>
      <w:r w:rsidRPr="003A7F01">
        <w:t>33</w:t>
      </w:r>
      <w:r>
        <w:t>/</w:t>
      </w:r>
      <w:r w:rsidRPr="003A7F01">
        <w:t>45</w:t>
      </w:r>
      <w:r>
        <w:t>/</w:t>
      </w:r>
      <w:r w:rsidRPr="003A7F01">
        <w:t>52</w:t>
      </w:r>
      <w:r>
        <w:t>/</w:t>
      </w:r>
      <w:r w:rsidRPr="003A7F01">
        <w:t>58</w:t>
      </w:r>
      <w:r>
        <w:t xml:space="preserve"> (hi5) amongst all women, stratified by age, for </w:t>
      </w:r>
      <w:proofErr w:type="gramStart"/>
      <w:r>
        <w:t>three time</w:t>
      </w:r>
      <w:proofErr w:type="gramEnd"/>
      <w:r>
        <w:t xml:space="preserve"> snapshots: 2010 (pre-vaccination), 2030 (post-vaccination), and 2050 (post-vaccination). For years 2030 and 2050, dotted lines indicate the age at which the population transitions from vaccine-eligible to vaccine-ineligible.</w:t>
      </w:r>
    </w:p>
    <w:p w14:paraId="4FC4E179" w14:textId="1ACA3257" w:rsidR="005A3A29" w:rsidRDefault="005A3A29" w:rsidP="00CC5100">
      <w:pPr>
        <w:pStyle w:val="Caption"/>
        <w:jc w:val="center"/>
      </w:pPr>
    </w:p>
    <w:p w14:paraId="2DBBD2C0" w14:textId="77777777" w:rsidR="0060105E" w:rsidRDefault="00666C19" w:rsidP="0060105E">
      <w:pPr>
        <w:keepNext/>
      </w:pPr>
      <w:r w:rsidRPr="00666C19">
        <w:rPr>
          <w:noProof/>
        </w:rPr>
        <w:lastRenderedPageBreak/>
        <w:drawing>
          <wp:inline distT="0" distB="0" distL="0" distR="0" wp14:anchorId="4A3FFAC8" wp14:editId="7C87105C">
            <wp:extent cx="5731510" cy="2830830"/>
            <wp:effectExtent l="0" t="0" r="0" b="1270"/>
            <wp:docPr id="79859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2305" name=""/>
                    <pic:cNvPicPr/>
                  </pic:nvPicPr>
                  <pic:blipFill>
                    <a:blip r:embed="rId23"/>
                    <a:stretch>
                      <a:fillRect/>
                    </a:stretch>
                  </pic:blipFill>
                  <pic:spPr>
                    <a:xfrm>
                      <a:off x="0" y="0"/>
                      <a:ext cx="5731510" cy="2830830"/>
                    </a:xfrm>
                    <a:prstGeom prst="rect">
                      <a:avLst/>
                    </a:prstGeom>
                  </pic:spPr>
                </pic:pic>
              </a:graphicData>
            </a:graphic>
          </wp:inline>
        </w:drawing>
      </w:r>
    </w:p>
    <w:p w14:paraId="579755B0" w14:textId="506766B9" w:rsidR="0060105E" w:rsidRDefault="0060105E" w:rsidP="0060105E">
      <w:pPr>
        <w:pStyle w:val="Caption"/>
        <w:jc w:val="center"/>
      </w:pPr>
      <w:bookmarkStart w:id="11" w:name="_Ref241333637"/>
      <w:r>
        <w:t xml:space="preserve">Figure </w:t>
      </w:r>
      <w:fldSimple w:instr=" SEQ Figure \* ARABIC ">
        <w:r w:rsidR="004455E4">
          <w:rPr>
            <w:noProof/>
          </w:rPr>
          <w:t>8</w:t>
        </w:r>
      </w:fldSimple>
      <w:bookmarkEnd w:id="11"/>
      <w:r>
        <w:t>:</w:t>
      </w:r>
      <w:r w:rsidRPr="0060105E">
        <w:t xml:space="preserve"> </w:t>
      </w:r>
      <w:r>
        <w:t xml:space="preserve">Modelled prevalence of infection with </w:t>
      </w:r>
      <w:r w:rsidRPr="003A7F01">
        <w:t>HPV 31</w:t>
      </w:r>
      <w:r>
        <w:t>/</w:t>
      </w:r>
      <w:r w:rsidRPr="003A7F01">
        <w:t>33</w:t>
      </w:r>
      <w:r>
        <w:t>/</w:t>
      </w:r>
      <w:r w:rsidRPr="003A7F01">
        <w:t>45</w:t>
      </w:r>
      <w:r>
        <w:t>/</w:t>
      </w:r>
      <w:r w:rsidRPr="003A7F01">
        <w:t>52</w:t>
      </w:r>
      <w:r>
        <w:t>/</w:t>
      </w:r>
      <w:r w:rsidRPr="003A7F01">
        <w:t>58</w:t>
      </w:r>
      <w:r>
        <w:t xml:space="preserve"> (hi5) amongst </w:t>
      </w:r>
      <w:r>
        <w:rPr>
          <w:b/>
          <w:bCs/>
        </w:rPr>
        <w:t>unvaccinated</w:t>
      </w:r>
      <w:r>
        <w:t xml:space="preserve"> women, stratified by age, for </w:t>
      </w:r>
      <w:proofErr w:type="gramStart"/>
      <w:r>
        <w:t>three time</w:t>
      </w:r>
      <w:proofErr w:type="gramEnd"/>
      <w:r>
        <w:t xml:space="preserve"> snapshots: 2010 (pre-vaccination), 2030 (post-vaccination), and 2050 (post-vaccination). For years 2030 and 2050, dotted lines indicate the age at which the population transitions from vaccine-eligible to vaccine-ineligible.</w:t>
      </w:r>
    </w:p>
    <w:p w14:paraId="0382A41E" w14:textId="63BF18D4" w:rsidR="00666C19" w:rsidRDefault="00666C19" w:rsidP="0060105E">
      <w:pPr>
        <w:pStyle w:val="Caption"/>
        <w:jc w:val="center"/>
      </w:pPr>
    </w:p>
    <w:sdt>
      <w:sdtPr>
        <w:rPr>
          <w:rFonts w:asciiTheme="minorHAnsi" w:eastAsiaTheme="minorHAnsi" w:hAnsiTheme="minorHAnsi" w:cstheme="minorBidi"/>
          <w:color w:val="auto"/>
          <w:sz w:val="24"/>
          <w:szCs w:val="24"/>
        </w:rPr>
        <w:id w:val="94827142"/>
        <w:docPartObj>
          <w:docPartGallery w:val="Bibliographies"/>
          <w:docPartUnique/>
        </w:docPartObj>
      </w:sdtPr>
      <w:sdtEndPr>
        <w:rPr>
          <w:b/>
          <w:bCs/>
        </w:rPr>
      </w:sdtEndPr>
      <w:sdtContent>
        <w:p w14:paraId="3263AB1B" w14:textId="77777777" w:rsidR="00BD6F75" w:rsidRDefault="00BD6F75">
          <w:pPr>
            <w:pStyle w:val="Heading1"/>
          </w:pPr>
        </w:p>
        <w:p w14:paraId="29FB662E" w14:textId="77777777" w:rsidR="00BD6F75" w:rsidRDefault="00BD6F75">
          <w:pPr>
            <w:rPr>
              <w:rFonts w:asciiTheme="majorHAnsi" w:eastAsiaTheme="majorEastAsia" w:hAnsiTheme="majorHAnsi" w:cstheme="majorBidi"/>
              <w:color w:val="0F4761" w:themeColor="accent1" w:themeShade="BF"/>
              <w:sz w:val="40"/>
              <w:szCs w:val="40"/>
            </w:rPr>
          </w:pPr>
          <w:r>
            <w:br w:type="page"/>
          </w:r>
        </w:p>
        <w:p w14:paraId="391B5885" w14:textId="34A7F1FE" w:rsidR="003867AB" w:rsidRDefault="003867AB">
          <w:pPr>
            <w:pStyle w:val="Heading1"/>
          </w:pPr>
          <w:r>
            <w:lastRenderedPageBreak/>
            <w:t>Works Cited</w:t>
          </w:r>
        </w:p>
        <w:p w14:paraId="7B3D8E3F" w14:textId="77777777" w:rsidR="009053F2" w:rsidRDefault="003867AB">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9053F2" w14:paraId="7251825F" w14:textId="77777777">
            <w:trPr>
              <w:divId w:val="1383139139"/>
              <w:tblCellSpacing w:w="15" w:type="dxa"/>
            </w:trPr>
            <w:tc>
              <w:tcPr>
                <w:tcW w:w="50" w:type="pct"/>
                <w:hideMark/>
              </w:tcPr>
              <w:p w14:paraId="2EF0F146" w14:textId="27A18A26" w:rsidR="009053F2" w:rsidRDefault="009053F2">
                <w:pPr>
                  <w:pStyle w:val="Bibliography"/>
                  <w:rPr>
                    <w:noProof/>
                    <w:kern w:val="0"/>
                    <w14:ligatures w14:val="none"/>
                  </w:rPr>
                </w:pPr>
                <w:r>
                  <w:rPr>
                    <w:noProof/>
                  </w:rPr>
                  <w:t xml:space="preserve">[1] </w:t>
                </w:r>
              </w:p>
            </w:tc>
            <w:tc>
              <w:tcPr>
                <w:tcW w:w="0" w:type="auto"/>
                <w:hideMark/>
              </w:tcPr>
              <w:p w14:paraId="6C64CE76" w14:textId="77777777" w:rsidR="009053F2" w:rsidRDefault="009053F2">
                <w:pPr>
                  <w:pStyle w:val="Bibliography"/>
                  <w:rPr>
                    <w:noProof/>
                  </w:rPr>
                </w:pPr>
                <w:r>
                  <w:rPr>
                    <w:noProof/>
                  </w:rPr>
                  <w:t xml:space="preserve">F. Sturman, S. Keenan, K. Soldan, R. Stuart, K. Lythgoe and J. Panovska-Griffiths, “Adapting HPVsim to model HPV transmission, cervical cancer diagnoses and different public health interventions in high-income countries: modelling study for England,” </w:t>
                </w:r>
                <w:r>
                  <w:rPr>
                    <w:i/>
                    <w:iCs/>
                    <w:noProof/>
                  </w:rPr>
                  <w:t xml:space="preserve">PLoS Computational Biology, IN REVIEW, </w:t>
                </w:r>
                <w:r>
                  <w:rPr>
                    <w:noProof/>
                  </w:rPr>
                  <w:t xml:space="preserve">2026. </w:t>
                </w:r>
              </w:p>
            </w:tc>
          </w:tr>
          <w:tr w:rsidR="009053F2" w14:paraId="3F1EE76A" w14:textId="77777777">
            <w:trPr>
              <w:divId w:val="1383139139"/>
              <w:tblCellSpacing w:w="15" w:type="dxa"/>
            </w:trPr>
            <w:tc>
              <w:tcPr>
                <w:tcW w:w="50" w:type="pct"/>
                <w:hideMark/>
              </w:tcPr>
              <w:p w14:paraId="3C0359F1" w14:textId="77777777" w:rsidR="009053F2" w:rsidRDefault="009053F2">
                <w:pPr>
                  <w:pStyle w:val="Bibliography"/>
                  <w:rPr>
                    <w:noProof/>
                  </w:rPr>
                </w:pPr>
                <w:r>
                  <w:rPr>
                    <w:noProof/>
                  </w:rPr>
                  <w:t xml:space="preserve">[2] </w:t>
                </w:r>
              </w:p>
            </w:tc>
            <w:tc>
              <w:tcPr>
                <w:tcW w:w="0" w:type="auto"/>
                <w:hideMark/>
              </w:tcPr>
              <w:p w14:paraId="679E4DE3" w14:textId="77777777" w:rsidR="009053F2" w:rsidRDefault="009053F2">
                <w:pPr>
                  <w:pStyle w:val="Bibliography"/>
                  <w:rPr>
                    <w:noProof/>
                  </w:rPr>
                </w:pPr>
                <w:r>
                  <w:rPr>
                    <w:noProof/>
                  </w:rPr>
                  <w:t xml:space="preserve">R. Stuart, J. Cohen, C. Kerr, P. Mathur, National Disease Modelling Consortium of India, R. Abeysuriya, M. Zimmermann, D. Rao, M. Boudreau, S. Lee, L. Yang and D. Klein, “HPVsim: An agent-based model of HPV transmission and cervical disease,” </w:t>
                </w:r>
                <w:r>
                  <w:rPr>
                    <w:i/>
                    <w:iCs/>
                    <w:noProof/>
                  </w:rPr>
                  <w:t xml:space="preserve">PLoS Computational Biology, </w:t>
                </w:r>
                <w:r>
                  <w:rPr>
                    <w:noProof/>
                  </w:rPr>
                  <w:t xml:space="preserve">vol. 20, no. 7, 2024. </w:t>
                </w:r>
              </w:p>
            </w:tc>
          </w:tr>
          <w:tr w:rsidR="009053F2" w14:paraId="0C5DBBB9" w14:textId="77777777">
            <w:trPr>
              <w:divId w:val="1383139139"/>
              <w:tblCellSpacing w:w="15" w:type="dxa"/>
            </w:trPr>
            <w:tc>
              <w:tcPr>
                <w:tcW w:w="50" w:type="pct"/>
                <w:hideMark/>
              </w:tcPr>
              <w:p w14:paraId="1FA0A134" w14:textId="77777777" w:rsidR="009053F2" w:rsidRDefault="009053F2">
                <w:pPr>
                  <w:pStyle w:val="Bibliography"/>
                  <w:rPr>
                    <w:noProof/>
                  </w:rPr>
                </w:pPr>
                <w:r>
                  <w:rPr>
                    <w:noProof/>
                  </w:rPr>
                  <w:t xml:space="preserve">[3] </w:t>
                </w:r>
              </w:p>
            </w:tc>
            <w:tc>
              <w:tcPr>
                <w:tcW w:w="0" w:type="auto"/>
                <w:hideMark/>
              </w:tcPr>
              <w:p w14:paraId="70551D9B" w14:textId="77777777" w:rsidR="009053F2" w:rsidRDefault="009053F2">
                <w:pPr>
                  <w:pStyle w:val="Bibliography"/>
                  <w:rPr>
                    <w:noProof/>
                  </w:rPr>
                </w:pPr>
                <w:r>
                  <w:rPr>
                    <w:noProof/>
                  </w:rPr>
                  <w:t>F. Sturman, S. Keenan, K. Soldan, R. Stuart, K. Lythgoe and J. Panovska-Griffiths, “Project Code Repository,” [Online]. Available: https://github.com/fabiansturman/HPVScreeningProject/.</w:t>
                </w:r>
              </w:p>
            </w:tc>
          </w:tr>
          <w:tr w:rsidR="009053F2" w14:paraId="34FF39F7" w14:textId="77777777">
            <w:trPr>
              <w:divId w:val="1383139139"/>
              <w:tblCellSpacing w:w="15" w:type="dxa"/>
            </w:trPr>
            <w:tc>
              <w:tcPr>
                <w:tcW w:w="50" w:type="pct"/>
                <w:hideMark/>
              </w:tcPr>
              <w:p w14:paraId="02F757CA" w14:textId="77777777" w:rsidR="009053F2" w:rsidRDefault="009053F2">
                <w:pPr>
                  <w:pStyle w:val="Bibliography"/>
                  <w:rPr>
                    <w:noProof/>
                  </w:rPr>
                </w:pPr>
                <w:r>
                  <w:rPr>
                    <w:noProof/>
                  </w:rPr>
                  <w:t xml:space="preserve">[4] </w:t>
                </w:r>
              </w:p>
            </w:tc>
            <w:tc>
              <w:tcPr>
                <w:tcW w:w="0" w:type="auto"/>
                <w:hideMark/>
              </w:tcPr>
              <w:p w14:paraId="65EFA0F8" w14:textId="77777777" w:rsidR="009053F2" w:rsidRDefault="009053F2">
                <w:pPr>
                  <w:pStyle w:val="Bibliography"/>
                  <w:rPr>
                    <w:noProof/>
                  </w:rPr>
                </w:pPr>
                <w:r>
                  <w:rPr>
                    <w:noProof/>
                  </w:rPr>
                  <w:t>H. Centre, “Human Papillomavirus and Related Diseases Report,” 10 March 2023. [Online]. Available: https://hpvcentre.net/statistics/reports/GBR.pdf?t=1667160001618.</w:t>
                </w:r>
              </w:p>
            </w:tc>
          </w:tr>
          <w:tr w:rsidR="009053F2" w14:paraId="0D4DBF52" w14:textId="77777777">
            <w:trPr>
              <w:divId w:val="1383139139"/>
              <w:tblCellSpacing w:w="15" w:type="dxa"/>
            </w:trPr>
            <w:tc>
              <w:tcPr>
                <w:tcW w:w="50" w:type="pct"/>
                <w:hideMark/>
              </w:tcPr>
              <w:p w14:paraId="3E5F8A7A" w14:textId="77777777" w:rsidR="009053F2" w:rsidRDefault="009053F2">
                <w:pPr>
                  <w:pStyle w:val="Bibliography"/>
                  <w:rPr>
                    <w:noProof/>
                  </w:rPr>
                </w:pPr>
                <w:r>
                  <w:rPr>
                    <w:noProof/>
                  </w:rPr>
                  <w:t xml:space="preserve">[5] </w:t>
                </w:r>
              </w:p>
            </w:tc>
            <w:tc>
              <w:tcPr>
                <w:tcW w:w="0" w:type="auto"/>
                <w:hideMark/>
              </w:tcPr>
              <w:p w14:paraId="72504AAD" w14:textId="77777777" w:rsidR="009053F2" w:rsidRDefault="009053F2">
                <w:pPr>
                  <w:pStyle w:val="Bibliography"/>
                  <w:rPr>
                    <w:noProof/>
                  </w:rPr>
                </w:pPr>
                <w:r>
                  <w:rPr>
                    <w:noProof/>
                  </w:rPr>
                  <w:t xml:space="preserve">J. Gargano, E. Unger, G. Liu, M. Steinau, E. Meites, E. Dunne and L. Markowitz, “Prevalence of Genital Human Papillomavirus in Males, United States, 2013-2014,” </w:t>
                </w:r>
                <w:r>
                  <w:rPr>
                    <w:i/>
                    <w:iCs/>
                    <w:noProof/>
                  </w:rPr>
                  <w:t xml:space="preserve">The Journal of Infectious Diseases, </w:t>
                </w:r>
                <w:r>
                  <w:rPr>
                    <w:noProof/>
                  </w:rPr>
                  <w:t xml:space="preserve">vol. 215, no. 7, pp. 1070-1079, 2017. </w:t>
                </w:r>
              </w:p>
            </w:tc>
          </w:tr>
          <w:tr w:rsidR="009053F2" w14:paraId="5FD80E2A" w14:textId="77777777">
            <w:trPr>
              <w:divId w:val="1383139139"/>
              <w:tblCellSpacing w:w="15" w:type="dxa"/>
            </w:trPr>
            <w:tc>
              <w:tcPr>
                <w:tcW w:w="50" w:type="pct"/>
                <w:hideMark/>
              </w:tcPr>
              <w:p w14:paraId="7AB152A0" w14:textId="77777777" w:rsidR="009053F2" w:rsidRDefault="009053F2">
                <w:pPr>
                  <w:pStyle w:val="Bibliography"/>
                  <w:rPr>
                    <w:noProof/>
                  </w:rPr>
                </w:pPr>
                <w:r>
                  <w:rPr>
                    <w:noProof/>
                  </w:rPr>
                  <w:t xml:space="preserve">[6] </w:t>
                </w:r>
              </w:p>
            </w:tc>
            <w:tc>
              <w:tcPr>
                <w:tcW w:w="0" w:type="auto"/>
                <w:hideMark/>
              </w:tcPr>
              <w:p w14:paraId="7FBBB9E9" w14:textId="77777777" w:rsidR="009053F2" w:rsidRDefault="009053F2">
                <w:pPr>
                  <w:pStyle w:val="Bibliography"/>
                  <w:rPr>
                    <w:noProof/>
                  </w:rPr>
                </w:pPr>
                <w:r>
                  <w:rPr>
                    <w:noProof/>
                  </w:rPr>
                  <w:t xml:space="preserve">R. Mustafa, N. Santesso, R. Khatib, A. Mustafa, W. Wiercioch, R. Kehar, S. Gandhi, Y. Chen, A. Cheung, J. Hopkins, B. Ma, N. Lloyd, D. Wu, N. Broutet and H. Schuenemann, “Systematic reviews and meta-analyses of the accuracy of HPV tests, visual inspection with acetic acid, cytology, and colposcopy,” </w:t>
                </w:r>
                <w:r>
                  <w:rPr>
                    <w:i/>
                    <w:iCs/>
                    <w:noProof/>
                  </w:rPr>
                  <w:t xml:space="preserve">Int J Gynaecol Obstet., </w:t>
                </w:r>
                <w:r>
                  <w:rPr>
                    <w:noProof/>
                  </w:rPr>
                  <w:t xml:space="preserve">vol. 132, no. 3, pp. 259-265, 2015. </w:t>
                </w:r>
              </w:p>
            </w:tc>
          </w:tr>
          <w:tr w:rsidR="009053F2" w14:paraId="5E0EDCE0" w14:textId="77777777">
            <w:trPr>
              <w:divId w:val="1383139139"/>
              <w:tblCellSpacing w:w="15" w:type="dxa"/>
            </w:trPr>
            <w:tc>
              <w:tcPr>
                <w:tcW w:w="50" w:type="pct"/>
                <w:hideMark/>
              </w:tcPr>
              <w:p w14:paraId="7EA43819" w14:textId="77777777" w:rsidR="009053F2" w:rsidRDefault="009053F2">
                <w:pPr>
                  <w:pStyle w:val="Bibliography"/>
                  <w:rPr>
                    <w:noProof/>
                  </w:rPr>
                </w:pPr>
                <w:r>
                  <w:rPr>
                    <w:noProof/>
                  </w:rPr>
                  <w:t xml:space="preserve">[7] </w:t>
                </w:r>
              </w:p>
            </w:tc>
            <w:tc>
              <w:tcPr>
                <w:tcW w:w="0" w:type="auto"/>
                <w:hideMark/>
              </w:tcPr>
              <w:p w14:paraId="7D0904EC" w14:textId="77777777" w:rsidR="009053F2" w:rsidRDefault="009053F2">
                <w:pPr>
                  <w:pStyle w:val="Bibliography"/>
                  <w:rPr>
                    <w:noProof/>
                  </w:rPr>
                </w:pPr>
                <w:r>
                  <w:rPr>
                    <w:noProof/>
                  </w:rPr>
                  <w:t xml:space="preserve">G. Koliopoulos, V. Nyaga, N. Santesso, A. Bryant, P. Martin-Hirsch, R. Mustafa, H. Schuenemann, E. Paraskevaidis and M. Arbyn, “Cytology versus HPV testing for cervical cancer screening in the general population,” </w:t>
                </w:r>
                <w:r>
                  <w:rPr>
                    <w:i/>
                    <w:iCs/>
                    <w:noProof/>
                  </w:rPr>
                  <w:t xml:space="preserve">Cochrane Database Syst Rev., </w:t>
                </w:r>
                <w:r>
                  <w:rPr>
                    <w:noProof/>
                  </w:rPr>
                  <w:t xml:space="preserve">no. 8, 2017. </w:t>
                </w:r>
              </w:p>
            </w:tc>
          </w:tr>
          <w:tr w:rsidR="009053F2" w14:paraId="5916FCC8" w14:textId="77777777">
            <w:trPr>
              <w:divId w:val="1383139139"/>
              <w:tblCellSpacing w:w="15" w:type="dxa"/>
            </w:trPr>
            <w:tc>
              <w:tcPr>
                <w:tcW w:w="50" w:type="pct"/>
                <w:hideMark/>
              </w:tcPr>
              <w:p w14:paraId="7B3C630D" w14:textId="77777777" w:rsidR="009053F2" w:rsidRDefault="009053F2">
                <w:pPr>
                  <w:pStyle w:val="Bibliography"/>
                  <w:rPr>
                    <w:noProof/>
                  </w:rPr>
                </w:pPr>
                <w:r>
                  <w:rPr>
                    <w:noProof/>
                  </w:rPr>
                  <w:t xml:space="preserve">[8] </w:t>
                </w:r>
              </w:p>
            </w:tc>
            <w:tc>
              <w:tcPr>
                <w:tcW w:w="0" w:type="auto"/>
                <w:hideMark/>
              </w:tcPr>
              <w:p w14:paraId="56B0D638" w14:textId="77777777" w:rsidR="009053F2" w:rsidRDefault="009053F2">
                <w:pPr>
                  <w:pStyle w:val="Bibliography"/>
                  <w:rPr>
                    <w:noProof/>
                  </w:rPr>
                </w:pPr>
                <w:r>
                  <w:rPr>
                    <w:noProof/>
                  </w:rPr>
                  <w:t xml:space="preserve">B. Brown and J. Tidy, “The diagnostic accuracy of colposcopy – A review of research methodology and impact on the outcomes of quality assurance,” </w:t>
                </w:r>
                <w:r>
                  <w:rPr>
                    <w:i/>
                    <w:iCs/>
                    <w:noProof/>
                  </w:rPr>
                  <w:t xml:space="preserve">European Journal of Obstetrics &amp; Gynecology and Reproductive Biology, </w:t>
                </w:r>
                <w:r>
                  <w:rPr>
                    <w:noProof/>
                  </w:rPr>
                  <w:t xml:space="preserve">vol. 240, pp. 182-186, 2019. </w:t>
                </w:r>
              </w:p>
            </w:tc>
          </w:tr>
          <w:tr w:rsidR="009053F2" w14:paraId="31C46224" w14:textId="77777777">
            <w:trPr>
              <w:divId w:val="1383139139"/>
              <w:tblCellSpacing w:w="15" w:type="dxa"/>
            </w:trPr>
            <w:tc>
              <w:tcPr>
                <w:tcW w:w="50" w:type="pct"/>
                <w:hideMark/>
              </w:tcPr>
              <w:p w14:paraId="61EC67B6" w14:textId="77777777" w:rsidR="009053F2" w:rsidRDefault="009053F2">
                <w:pPr>
                  <w:pStyle w:val="Bibliography"/>
                  <w:rPr>
                    <w:noProof/>
                  </w:rPr>
                </w:pPr>
                <w:r>
                  <w:rPr>
                    <w:noProof/>
                  </w:rPr>
                  <w:t xml:space="preserve">[9] </w:t>
                </w:r>
              </w:p>
            </w:tc>
            <w:tc>
              <w:tcPr>
                <w:tcW w:w="0" w:type="auto"/>
                <w:hideMark/>
              </w:tcPr>
              <w:p w14:paraId="45538FE7" w14:textId="77777777" w:rsidR="009053F2" w:rsidRDefault="009053F2">
                <w:pPr>
                  <w:pStyle w:val="Bibliography"/>
                  <w:rPr>
                    <w:noProof/>
                  </w:rPr>
                </w:pPr>
                <w:r>
                  <w:rPr>
                    <w:noProof/>
                  </w:rPr>
                  <w:t>NHS England, “Cancer Registrations Statistics, England,” [Online]. Available: https://digital.nhs.uk/data-and-information/publications/statistical/cancer-registration-statistics. [Accessed 04 04 2026].</w:t>
                </w:r>
              </w:p>
            </w:tc>
          </w:tr>
          <w:tr w:rsidR="009053F2" w14:paraId="5D08DA12" w14:textId="77777777">
            <w:trPr>
              <w:divId w:val="1383139139"/>
              <w:tblCellSpacing w:w="15" w:type="dxa"/>
            </w:trPr>
            <w:tc>
              <w:tcPr>
                <w:tcW w:w="50" w:type="pct"/>
                <w:hideMark/>
              </w:tcPr>
              <w:p w14:paraId="55F5D505" w14:textId="77777777" w:rsidR="009053F2" w:rsidRDefault="009053F2">
                <w:pPr>
                  <w:pStyle w:val="Bibliography"/>
                  <w:rPr>
                    <w:noProof/>
                  </w:rPr>
                </w:pPr>
                <w:r>
                  <w:rPr>
                    <w:noProof/>
                  </w:rPr>
                  <w:t xml:space="preserve">[10] </w:t>
                </w:r>
              </w:p>
            </w:tc>
            <w:tc>
              <w:tcPr>
                <w:tcW w:w="0" w:type="auto"/>
                <w:hideMark/>
              </w:tcPr>
              <w:p w14:paraId="52FA07C4" w14:textId="77777777" w:rsidR="009053F2" w:rsidRDefault="009053F2">
                <w:pPr>
                  <w:pStyle w:val="Bibliography"/>
                  <w:rPr>
                    <w:noProof/>
                  </w:rPr>
                </w:pPr>
                <w:r>
                  <w:rPr>
                    <w:noProof/>
                  </w:rPr>
                  <w:t xml:space="preserve">C. Gilham and J. Peto, “Is elimination of cervical cancer in sight in England?,” </w:t>
                </w:r>
                <w:r>
                  <w:rPr>
                    <w:i/>
                    <w:iCs/>
                    <w:noProof/>
                  </w:rPr>
                  <w:t xml:space="preserve">Preventive Medicine, </w:t>
                </w:r>
                <w:r>
                  <w:rPr>
                    <w:noProof/>
                  </w:rPr>
                  <w:t xml:space="preserve">vol. 191, 2025. </w:t>
                </w:r>
              </w:p>
            </w:tc>
          </w:tr>
          <w:tr w:rsidR="009053F2" w14:paraId="6336C36D" w14:textId="77777777">
            <w:trPr>
              <w:divId w:val="1383139139"/>
              <w:tblCellSpacing w:w="15" w:type="dxa"/>
            </w:trPr>
            <w:tc>
              <w:tcPr>
                <w:tcW w:w="50" w:type="pct"/>
                <w:hideMark/>
              </w:tcPr>
              <w:p w14:paraId="37A2C5A6" w14:textId="77777777" w:rsidR="009053F2" w:rsidRDefault="009053F2">
                <w:pPr>
                  <w:pStyle w:val="Bibliography"/>
                  <w:rPr>
                    <w:noProof/>
                  </w:rPr>
                </w:pPr>
                <w:r>
                  <w:rPr>
                    <w:noProof/>
                  </w:rPr>
                  <w:t xml:space="preserve">[11] </w:t>
                </w:r>
              </w:p>
            </w:tc>
            <w:tc>
              <w:tcPr>
                <w:tcW w:w="0" w:type="auto"/>
                <w:hideMark/>
              </w:tcPr>
              <w:p w14:paraId="7A85345D" w14:textId="77777777" w:rsidR="009053F2" w:rsidRDefault="009053F2">
                <w:pPr>
                  <w:pStyle w:val="Bibliography"/>
                  <w:rPr>
                    <w:noProof/>
                  </w:rPr>
                </w:pPr>
                <w:r>
                  <w:rPr>
                    <w:noProof/>
                  </w:rPr>
                  <w:t xml:space="preserve">D. Mesher, K. Cuschieri, S. Hubbitts, J. Jamison, A. Sargent, K. Pollock, N. Powell, R. Wilson, F. McCall, A. Fiander and K. Soldan, “Type-specific HPV prevalence in invasive cervical cancer in the UK prior to national HPV immunisation programme: baseline for monitoring the effects of immunisation,” </w:t>
                </w:r>
                <w:r>
                  <w:rPr>
                    <w:i/>
                    <w:iCs/>
                    <w:noProof/>
                  </w:rPr>
                  <w:t xml:space="preserve">Journal of Clinical Pathology, </w:t>
                </w:r>
                <w:r>
                  <w:rPr>
                    <w:noProof/>
                  </w:rPr>
                  <w:t xml:space="preserve">vol. 68, no. 2, 2014. </w:t>
                </w:r>
              </w:p>
            </w:tc>
          </w:tr>
          <w:tr w:rsidR="009053F2" w14:paraId="5882CABB" w14:textId="77777777">
            <w:trPr>
              <w:divId w:val="1383139139"/>
              <w:tblCellSpacing w:w="15" w:type="dxa"/>
            </w:trPr>
            <w:tc>
              <w:tcPr>
                <w:tcW w:w="50" w:type="pct"/>
                <w:hideMark/>
              </w:tcPr>
              <w:p w14:paraId="46F41F2A" w14:textId="77777777" w:rsidR="009053F2" w:rsidRDefault="009053F2">
                <w:pPr>
                  <w:pStyle w:val="Bibliography"/>
                  <w:rPr>
                    <w:noProof/>
                  </w:rPr>
                </w:pPr>
                <w:r>
                  <w:rPr>
                    <w:noProof/>
                  </w:rPr>
                  <w:lastRenderedPageBreak/>
                  <w:t xml:space="preserve">[12] </w:t>
                </w:r>
              </w:p>
            </w:tc>
            <w:tc>
              <w:tcPr>
                <w:tcW w:w="0" w:type="auto"/>
                <w:hideMark/>
              </w:tcPr>
              <w:p w14:paraId="1E5C5DAF" w14:textId="77777777" w:rsidR="009053F2" w:rsidRDefault="009053F2">
                <w:pPr>
                  <w:pStyle w:val="Bibliography"/>
                  <w:rPr>
                    <w:noProof/>
                  </w:rPr>
                </w:pPr>
                <w:r>
                  <w:rPr>
                    <w:noProof/>
                  </w:rPr>
                  <w:t xml:space="preserve">M. Checchi, D. Mesher, K. Panwar, A. Anderson, S. Beddows and K. Soldan, “The impact of over ten years of HPV vaccination in England: Surveillance of type-specific HPV in young sexually active females,” </w:t>
                </w:r>
                <w:r>
                  <w:rPr>
                    <w:i/>
                    <w:iCs/>
                    <w:noProof/>
                  </w:rPr>
                  <w:t xml:space="preserve">Vaccine, </w:t>
                </w:r>
                <w:r>
                  <w:rPr>
                    <w:noProof/>
                  </w:rPr>
                  <w:t xml:space="preserve">vol. 41, no. 45, 2023. </w:t>
                </w:r>
              </w:p>
            </w:tc>
          </w:tr>
          <w:tr w:rsidR="009053F2" w14:paraId="65F269D1" w14:textId="77777777">
            <w:trPr>
              <w:divId w:val="1383139139"/>
              <w:tblCellSpacing w:w="15" w:type="dxa"/>
            </w:trPr>
            <w:tc>
              <w:tcPr>
                <w:tcW w:w="50" w:type="pct"/>
                <w:hideMark/>
              </w:tcPr>
              <w:p w14:paraId="2CA83EB4" w14:textId="77777777" w:rsidR="009053F2" w:rsidRDefault="009053F2">
                <w:pPr>
                  <w:pStyle w:val="Bibliography"/>
                  <w:rPr>
                    <w:noProof/>
                  </w:rPr>
                </w:pPr>
                <w:r>
                  <w:rPr>
                    <w:noProof/>
                  </w:rPr>
                  <w:t xml:space="preserve">[13] </w:t>
                </w:r>
              </w:p>
            </w:tc>
            <w:tc>
              <w:tcPr>
                <w:tcW w:w="0" w:type="auto"/>
                <w:hideMark/>
              </w:tcPr>
              <w:p w14:paraId="4D7A3FE7" w14:textId="77777777" w:rsidR="009053F2" w:rsidRDefault="009053F2">
                <w:pPr>
                  <w:pStyle w:val="Bibliography"/>
                  <w:rPr>
                    <w:noProof/>
                  </w:rPr>
                </w:pPr>
                <w:r>
                  <w:rPr>
                    <w:noProof/>
                  </w:rPr>
                  <w:t xml:space="preserve">F. Sturman, S. Keenan, K. Soldan, R. Stuart, K. Lythgoe and J. Panovska-Griffiths, “Adapting the frequency of cervical screening to individual HPV vaccination status: an agent-based modelling study for England,” </w:t>
                </w:r>
                <w:r>
                  <w:rPr>
                    <w:i/>
                    <w:iCs/>
                    <w:noProof/>
                  </w:rPr>
                  <w:t xml:space="preserve">Nature Medicine, IN REVIEW, </w:t>
                </w:r>
                <w:r>
                  <w:rPr>
                    <w:noProof/>
                  </w:rPr>
                  <w:t xml:space="preserve">2026. </w:t>
                </w:r>
              </w:p>
            </w:tc>
          </w:tr>
        </w:tbl>
        <w:p w14:paraId="1FD25C28" w14:textId="77777777" w:rsidR="009053F2" w:rsidRDefault="009053F2">
          <w:pPr>
            <w:divId w:val="1383139139"/>
            <w:rPr>
              <w:rFonts w:eastAsia="Times New Roman"/>
              <w:noProof/>
            </w:rPr>
          </w:pPr>
        </w:p>
        <w:p w14:paraId="691FAF38" w14:textId="1F6B317E" w:rsidR="003867AB" w:rsidRDefault="003867AB">
          <w:r>
            <w:rPr>
              <w:b/>
              <w:bCs/>
            </w:rPr>
            <w:fldChar w:fldCharType="end"/>
          </w:r>
        </w:p>
      </w:sdtContent>
    </w:sdt>
    <w:p w14:paraId="0CE0B28B" w14:textId="77777777" w:rsidR="003867AB" w:rsidRPr="003867AB" w:rsidRDefault="003867AB" w:rsidP="003867AB"/>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6"/>
        <w:gridCol w:w="486"/>
        <w:gridCol w:w="36"/>
      </w:tblGrid>
      <w:tr w:rsidR="00807A93" w:rsidRPr="00807A93" w14:paraId="66BC0EFC" w14:textId="77777777" w:rsidTr="00807A93">
        <w:tc>
          <w:tcPr>
            <w:tcW w:w="0" w:type="auto"/>
            <w:shd w:val="clear" w:color="auto" w:fill="FFFFFF"/>
            <w:tcMar>
              <w:top w:w="60" w:type="dxa"/>
              <w:left w:w="240" w:type="dxa"/>
              <w:bottom w:w="60" w:type="dxa"/>
              <w:right w:w="240" w:type="dxa"/>
            </w:tcMar>
            <w:vAlign w:val="center"/>
          </w:tcPr>
          <w:p w14:paraId="5350DB5F" w14:textId="121ACE30" w:rsidR="00807A93" w:rsidRPr="00807A93" w:rsidRDefault="00807A93" w:rsidP="005A3A29">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5FFCB83B" w14:textId="6857F9E6"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7D349EC6"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1D53C53D" w14:textId="77777777" w:rsidTr="00807A93">
        <w:tc>
          <w:tcPr>
            <w:tcW w:w="0" w:type="auto"/>
            <w:shd w:val="clear" w:color="auto" w:fill="FFFFFF"/>
            <w:tcMar>
              <w:top w:w="60" w:type="dxa"/>
              <w:left w:w="240" w:type="dxa"/>
              <w:bottom w:w="60" w:type="dxa"/>
              <w:right w:w="240" w:type="dxa"/>
            </w:tcMar>
            <w:vAlign w:val="center"/>
          </w:tcPr>
          <w:p w14:paraId="5797B987" w14:textId="1C48E7CE"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72B56407" w14:textId="2964D4EA"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33CB67A4"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77E3AC96" w14:textId="77777777" w:rsidTr="00807A93">
        <w:tc>
          <w:tcPr>
            <w:tcW w:w="0" w:type="auto"/>
            <w:shd w:val="clear" w:color="auto" w:fill="FFFFFF"/>
            <w:tcMar>
              <w:top w:w="60" w:type="dxa"/>
              <w:left w:w="240" w:type="dxa"/>
              <w:bottom w:w="60" w:type="dxa"/>
              <w:right w:w="240" w:type="dxa"/>
            </w:tcMar>
            <w:vAlign w:val="center"/>
          </w:tcPr>
          <w:p w14:paraId="31C273A7" w14:textId="567A6888"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0BDB93E1" w14:textId="33F198A9"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01C4D9C9"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43DACDE3" w14:textId="77777777" w:rsidTr="00807A93">
        <w:tc>
          <w:tcPr>
            <w:tcW w:w="0" w:type="auto"/>
            <w:shd w:val="clear" w:color="auto" w:fill="FFFFFF"/>
            <w:tcMar>
              <w:top w:w="60" w:type="dxa"/>
              <w:left w:w="240" w:type="dxa"/>
              <w:bottom w:w="60" w:type="dxa"/>
              <w:right w:w="240" w:type="dxa"/>
            </w:tcMar>
            <w:vAlign w:val="center"/>
          </w:tcPr>
          <w:p w14:paraId="7460FC04" w14:textId="4089882C"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47B10A15" w14:textId="3108FAC8"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6DDC9F5E"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65923FB7" w14:textId="77777777" w:rsidTr="00807A93">
        <w:tc>
          <w:tcPr>
            <w:tcW w:w="0" w:type="auto"/>
            <w:shd w:val="clear" w:color="auto" w:fill="FFFFFF"/>
            <w:tcMar>
              <w:top w:w="60" w:type="dxa"/>
              <w:left w:w="240" w:type="dxa"/>
              <w:bottom w:w="60" w:type="dxa"/>
              <w:right w:w="240" w:type="dxa"/>
            </w:tcMar>
            <w:vAlign w:val="center"/>
          </w:tcPr>
          <w:p w14:paraId="3C195728" w14:textId="02211CEC"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60" w:type="dxa"/>
              <w:right w:w="240" w:type="dxa"/>
            </w:tcMar>
            <w:vAlign w:val="center"/>
          </w:tcPr>
          <w:p w14:paraId="33315D44" w14:textId="7739DEB1"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07D3DB57"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r w:rsidR="00807A93" w:rsidRPr="00807A93" w14:paraId="28D60EF6" w14:textId="77777777" w:rsidTr="00807A93">
        <w:tc>
          <w:tcPr>
            <w:tcW w:w="0" w:type="auto"/>
            <w:shd w:val="clear" w:color="auto" w:fill="FFFFFF"/>
            <w:tcMar>
              <w:top w:w="60" w:type="dxa"/>
              <w:left w:w="240" w:type="dxa"/>
              <w:bottom w:w="30" w:type="dxa"/>
              <w:right w:w="240" w:type="dxa"/>
            </w:tcMar>
            <w:vAlign w:val="center"/>
          </w:tcPr>
          <w:p w14:paraId="36A348A4" w14:textId="1FC791C7"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tcMar>
              <w:top w:w="60" w:type="dxa"/>
              <w:left w:w="240" w:type="dxa"/>
              <w:bottom w:w="30" w:type="dxa"/>
              <w:right w:w="240" w:type="dxa"/>
            </w:tcMar>
            <w:vAlign w:val="center"/>
          </w:tcPr>
          <w:p w14:paraId="31268A67" w14:textId="4B5F3D82" w:rsidR="00807A93" w:rsidRPr="00807A93" w:rsidRDefault="00807A93" w:rsidP="00807A93">
            <w:pPr>
              <w:rPr>
                <w:rFonts w:ascii="Times New Roman" w:eastAsia="Times New Roman" w:hAnsi="Times New Roman" w:cs="Times New Roman"/>
                <w:color w:val="1F2328"/>
                <w:kern w:val="0"/>
                <w:sz w:val="27"/>
                <w:szCs w:val="27"/>
                <w:lang w:eastAsia="en-GB"/>
                <w14:ligatures w14:val="none"/>
              </w:rPr>
            </w:pPr>
          </w:p>
        </w:tc>
        <w:tc>
          <w:tcPr>
            <w:tcW w:w="0" w:type="auto"/>
            <w:shd w:val="clear" w:color="auto" w:fill="FFFFFF"/>
            <w:vAlign w:val="center"/>
          </w:tcPr>
          <w:p w14:paraId="2E986E8E" w14:textId="77777777" w:rsidR="00807A93" w:rsidRPr="00807A93" w:rsidRDefault="00807A93" w:rsidP="00807A93">
            <w:pPr>
              <w:rPr>
                <w:rFonts w:ascii="Times New Roman" w:eastAsia="Times New Roman" w:hAnsi="Times New Roman" w:cs="Times New Roman"/>
                <w:kern w:val="0"/>
                <w:sz w:val="20"/>
                <w:szCs w:val="20"/>
                <w:lang w:eastAsia="en-GB"/>
                <w14:ligatures w14:val="none"/>
              </w:rPr>
            </w:pPr>
          </w:p>
        </w:tc>
      </w:tr>
    </w:tbl>
    <w:p w14:paraId="52F87CE0" w14:textId="77777777" w:rsidR="00FA211E" w:rsidRPr="00807A93" w:rsidRDefault="00FA211E" w:rsidP="00807A93"/>
    <w:sectPr w:rsidR="00FA211E" w:rsidRPr="00807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03"/>
    <w:rsid w:val="0000553D"/>
    <w:rsid w:val="000D38A7"/>
    <w:rsid w:val="000F1A8D"/>
    <w:rsid w:val="00150291"/>
    <w:rsid w:val="00152084"/>
    <w:rsid w:val="001C0EB5"/>
    <w:rsid w:val="002319B1"/>
    <w:rsid w:val="003867AB"/>
    <w:rsid w:val="003A7F01"/>
    <w:rsid w:val="004455E4"/>
    <w:rsid w:val="004F37A3"/>
    <w:rsid w:val="00584A53"/>
    <w:rsid w:val="005A3A29"/>
    <w:rsid w:val="0060105E"/>
    <w:rsid w:val="00666C19"/>
    <w:rsid w:val="006C72DE"/>
    <w:rsid w:val="00790518"/>
    <w:rsid w:val="007A4268"/>
    <w:rsid w:val="007D7794"/>
    <w:rsid w:val="00807A93"/>
    <w:rsid w:val="00815E1D"/>
    <w:rsid w:val="00850F47"/>
    <w:rsid w:val="008C2063"/>
    <w:rsid w:val="008E7796"/>
    <w:rsid w:val="009053F2"/>
    <w:rsid w:val="00A543D6"/>
    <w:rsid w:val="00A96604"/>
    <w:rsid w:val="00AA4CA4"/>
    <w:rsid w:val="00AF2B9D"/>
    <w:rsid w:val="00BD6F75"/>
    <w:rsid w:val="00C408D9"/>
    <w:rsid w:val="00CC2BCE"/>
    <w:rsid w:val="00CC5100"/>
    <w:rsid w:val="00CF4283"/>
    <w:rsid w:val="00D0574C"/>
    <w:rsid w:val="00D805E3"/>
    <w:rsid w:val="00D92303"/>
    <w:rsid w:val="00DC0CA1"/>
    <w:rsid w:val="00E5573D"/>
    <w:rsid w:val="00EB19CA"/>
    <w:rsid w:val="00F00A0F"/>
    <w:rsid w:val="00F72A74"/>
    <w:rsid w:val="00FA21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6A9B"/>
  <w15:chartTrackingRefBased/>
  <w15:docId w15:val="{3689E829-53EA-464B-A4C3-ADE0B5523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3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03"/>
    <w:rPr>
      <w:rFonts w:eastAsiaTheme="majorEastAsia" w:cstheme="majorBidi"/>
      <w:color w:val="272727" w:themeColor="text1" w:themeTint="D8"/>
    </w:rPr>
  </w:style>
  <w:style w:type="paragraph" w:styleId="Title">
    <w:name w:val="Title"/>
    <w:basedOn w:val="Normal"/>
    <w:next w:val="Normal"/>
    <w:link w:val="TitleChar"/>
    <w:uiPriority w:val="10"/>
    <w:qFormat/>
    <w:rsid w:val="00D923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303"/>
    <w:rPr>
      <w:i/>
      <w:iCs/>
      <w:color w:val="404040" w:themeColor="text1" w:themeTint="BF"/>
    </w:rPr>
  </w:style>
  <w:style w:type="paragraph" w:styleId="ListParagraph">
    <w:name w:val="List Paragraph"/>
    <w:basedOn w:val="Normal"/>
    <w:uiPriority w:val="34"/>
    <w:qFormat/>
    <w:rsid w:val="00D92303"/>
    <w:pPr>
      <w:ind w:left="720"/>
      <w:contextualSpacing/>
    </w:pPr>
  </w:style>
  <w:style w:type="character" w:styleId="IntenseEmphasis">
    <w:name w:val="Intense Emphasis"/>
    <w:basedOn w:val="DefaultParagraphFont"/>
    <w:uiPriority w:val="21"/>
    <w:qFormat/>
    <w:rsid w:val="00D92303"/>
    <w:rPr>
      <w:i/>
      <w:iCs/>
      <w:color w:val="0F4761" w:themeColor="accent1" w:themeShade="BF"/>
    </w:rPr>
  </w:style>
  <w:style w:type="paragraph" w:styleId="IntenseQuote">
    <w:name w:val="Intense Quote"/>
    <w:basedOn w:val="Normal"/>
    <w:next w:val="Normal"/>
    <w:link w:val="IntenseQuoteChar"/>
    <w:uiPriority w:val="30"/>
    <w:qFormat/>
    <w:rsid w:val="00D92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303"/>
    <w:rPr>
      <w:i/>
      <w:iCs/>
      <w:color w:val="0F4761" w:themeColor="accent1" w:themeShade="BF"/>
    </w:rPr>
  </w:style>
  <w:style w:type="character" w:styleId="IntenseReference">
    <w:name w:val="Intense Reference"/>
    <w:basedOn w:val="DefaultParagraphFont"/>
    <w:uiPriority w:val="32"/>
    <w:qFormat/>
    <w:rsid w:val="00D92303"/>
    <w:rPr>
      <w:b/>
      <w:bCs/>
      <w:smallCaps/>
      <w:color w:val="0F4761" w:themeColor="accent1" w:themeShade="BF"/>
      <w:spacing w:val="5"/>
    </w:rPr>
  </w:style>
  <w:style w:type="character" w:customStyle="1" w:styleId="cmr">
    <w:name w:val="cmr"/>
    <w:basedOn w:val="DefaultParagraphFont"/>
    <w:rsid w:val="00807A93"/>
  </w:style>
  <w:style w:type="character" w:styleId="Hyperlink">
    <w:name w:val="Hyperlink"/>
    <w:basedOn w:val="DefaultParagraphFont"/>
    <w:uiPriority w:val="99"/>
    <w:unhideWhenUsed/>
    <w:rsid w:val="00807A93"/>
    <w:rPr>
      <w:color w:val="467886" w:themeColor="hyperlink"/>
      <w:u w:val="single"/>
    </w:rPr>
  </w:style>
  <w:style w:type="character" w:styleId="UnresolvedMention">
    <w:name w:val="Unresolved Mention"/>
    <w:basedOn w:val="DefaultParagraphFont"/>
    <w:uiPriority w:val="99"/>
    <w:semiHidden/>
    <w:unhideWhenUsed/>
    <w:rsid w:val="00807A93"/>
    <w:rPr>
      <w:color w:val="605E5C"/>
      <w:shd w:val="clear" w:color="auto" w:fill="E1DFDD"/>
    </w:rPr>
  </w:style>
  <w:style w:type="character" w:styleId="FollowedHyperlink">
    <w:name w:val="FollowedHyperlink"/>
    <w:basedOn w:val="DefaultParagraphFont"/>
    <w:uiPriority w:val="99"/>
    <w:semiHidden/>
    <w:unhideWhenUsed/>
    <w:rsid w:val="00807A93"/>
    <w:rPr>
      <w:color w:val="96607D" w:themeColor="followedHyperlink"/>
      <w:u w:val="single"/>
    </w:rPr>
  </w:style>
  <w:style w:type="paragraph" w:styleId="Caption">
    <w:name w:val="caption"/>
    <w:basedOn w:val="Normal"/>
    <w:next w:val="Normal"/>
    <w:uiPriority w:val="35"/>
    <w:unhideWhenUsed/>
    <w:qFormat/>
    <w:rsid w:val="003A7F01"/>
    <w:pPr>
      <w:spacing w:after="200"/>
    </w:pPr>
    <w:rPr>
      <w:i/>
      <w:iCs/>
      <w:color w:val="0E2841" w:themeColor="text2"/>
      <w:sz w:val="18"/>
      <w:szCs w:val="18"/>
    </w:rPr>
  </w:style>
  <w:style w:type="paragraph" w:styleId="Bibliography">
    <w:name w:val="Bibliography"/>
    <w:basedOn w:val="Normal"/>
    <w:next w:val="Normal"/>
    <w:uiPriority w:val="37"/>
    <w:unhideWhenUsed/>
    <w:rsid w:val="00386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14705">
      <w:bodyDiv w:val="1"/>
      <w:marLeft w:val="0"/>
      <w:marRight w:val="0"/>
      <w:marTop w:val="0"/>
      <w:marBottom w:val="0"/>
      <w:divBdr>
        <w:top w:val="none" w:sz="0" w:space="0" w:color="auto"/>
        <w:left w:val="none" w:sz="0" w:space="0" w:color="auto"/>
        <w:bottom w:val="none" w:sz="0" w:space="0" w:color="auto"/>
        <w:right w:val="none" w:sz="0" w:space="0" w:color="auto"/>
      </w:divBdr>
    </w:div>
    <w:div w:id="16978117">
      <w:bodyDiv w:val="1"/>
      <w:marLeft w:val="0"/>
      <w:marRight w:val="0"/>
      <w:marTop w:val="0"/>
      <w:marBottom w:val="0"/>
      <w:divBdr>
        <w:top w:val="none" w:sz="0" w:space="0" w:color="auto"/>
        <w:left w:val="none" w:sz="0" w:space="0" w:color="auto"/>
        <w:bottom w:val="none" w:sz="0" w:space="0" w:color="auto"/>
        <w:right w:val="none" w:sz="0" w:space="0" w:color="auto"/>
      </w:divBdr>
    </w:div>
    <w:div w:id="19597164">
      <w:bodyDiv w:val="1"/>
      <w:marLeft w:val="0"/>
      <w:marRight w:val="0"/>
      <w:marTop w:val="0"/>
      <w:marBottom w:val="0"/>
      <w:divBdr>
        <w:top w:val="none" w:sz="0" w:space="0" w:color="auto"/>
        <w:left w:val="none" w:sz="0" w:space="0" w:color="auto"/>
        <w:bottom w:val="none" w:sz="0" w:space="0" w:color="auto"/>
        <w:right w:val="none" w:sz="0" w:space="0" w:color="auto"/>
      </w:divBdr>
    </w:div>
    <w:div w:id="35858671">
      <w:bodyDiv w:val="1"/>
      <w:marLeft w:val="0"/>
      <w:marRight w:val="0"/>
      <w:marTop w:val="0"/>
      <w:marBottom w:val="0"/>
      <w:divBdr>
        <w:top w:val="none" w:sz="0" w:space="0" w:color="auto"/>
        <w:left w:val="none" w:sz="0" w:space="0" w:color="auto"/>
        <w:bottom w:val="none" w:sz="0" w:space="0" w:color="auto"/>
        <w:right w:val="none" w:sz="0" w:space="0" w:color="auto"/>
      </w:divBdr>
    </w:div>
    <w:div w:id="102725435">
      <w:bodyDiv w:val="1"/>
      <w:marLeft w:val="0"/>
      <w:marRight w:val="0"/>
      <w:marTop w:val="0"/>
      <w:marBottom w:val="0"/>
      <w:divBdr>
        <w:top w:val="none" w:sz="0" w:space="0" w:color="auto"/>
        <w:left w:val="none" w:sz="0" w:space="0" w:color="auto"/>
        <w:bottom w:val="none" w:sz="0" w:space="0" w:color="auto"/>
        <w:right w:val="none" w:sz="0" w:space="0" w:color="auto"/>
      </w:divBdr>
    </w:div>
    <w:div w:id="112789498">
      <w:bodyDiv w:val="1"/>
      <w:marLeft w:val="0"/>
      <w:marRight w:val="0"/>
      <w:marTop w:val="0"/>
      <w:marBottom w:val="0"/>
      <w:divBdr>
        <w:top w:val="none" w:sz="0" w:space="0" w:color="auto"/>
        <w:left w:val="none" w:sz="0" w:space="0" w:color="auto"/>
        <w:bottom w:val="none" w:sz="0" w:space="0" w:color="auto"/>
        <w:right w:val="none" w:sz="0" w:space="0" w:color="auto"/>
      </w:divBdr>
    </w:div>
    <w:div w:id="142357335">
      <w:bodyDiv w:val="1"/>
      <w:marLeft w:val="0"/>
      <w:marRight w:val="0"/>
      <w:marTop w:val="0"/>
      <w:marBottom w:val="0"/>
      <w:divBdr>
        <w:top w:val="none" w:sz="0" w:space="0" w:color="auto"/>
        <w:left w:val="none" w:sz="0" w:space="0" w:color="auto"/>
        <w:bottom w:val="none" w:sz="0" w:space="0" w:color="auto"/>
        <w:right w:val="none" w:sz="0" w:space="0" w:color="auto"/>
      </w:divBdr>
    </w:div>
    <w:div w:id="172915509">
      <w:bodyDiv w:val="1"/>
      <w:marLeft w:val="0"/>
      <w:marRight w:val="0"/>
      <w:marTop w:val="0"/>
      <w:marBottom w:val="0"/>
      <w:divBdr>
        <w:top w:val="none" w:sz="0" w:space="0" w:color="auto"/>
        <w:left w:val="none" w:sz="0" w:space="0" w:color="auto"/>
        <w:bottom w:val="none" w:sz="0" w:space="0" w:color="auto"/>
        <w:right w:val="none" w:sz="0" w:space="0" w:color="auto"/>
      </w:divBdr>
    </w:div>
    <w:div w:id="178740586">
      <w:bodyDiv w:val="1"/>
      <w:marLeft w:val="0"/>
      <w:marRight w:val="0"/>
      <w:marTop w:val="0"/>
      <w:marBottom w:val="0"/>
      <w:divBdr>
        <w:top w:val="none" w:sz="0" w:space="0" w:color="auto"/>
        <w:left w:val="none" w:sz="0" w:space="0" w:color="auto"/>
        <w:bottom w:val="none" w:sz="0" w:space="0" w:color="auto"/>
        <w:right w:val="none" w:sz="0" w:space="0" w:color="auto"/>
      </w:divBdr>
    </w:div>
    <w:div w:id="224217096">
      <w:bodyDiv w:val="1"/>
      <w:marLeft w:val="0"/>
      <w:marRight w:val="0"/>
      <w:marTop w:val="0"/>
      <w:marBottom w:val="0"/>
      <w:divBdr>
        <w:top w:val="none" w:sz="0" w:space="0" w:color="auto"/>
        <w:left w:val="none" w:sz="0" w:space="0" w:color="auto"/>
        <w:bottom w:val="none" w:sz="0" w:space="0" w:color="auto"/>
        <w:right w:val="none" w:sz="0" w:space="0" w:color="auto"/>
      </w:divBdr>
    </w:div>
    <w:div w:id="255021277">
      <w:bodyDiv w:val="1"/>
      <w:marLeft w:val="0"/>
      <w:marRight w:val="0"/>
      <w:marTop w:val="0"/>
      <w:marBottom w:val="0"/>
      <w:divBdr>
        <w:top w:val="none" w:sz="0" w:space="0" w:color="auto"/>
        <w:left w:val="none" w:sz="0" w:space="0" w:color="auto"/>
        <w:bottom w:val="none" w:sz="0" w:space="0" w:color="auto"/>
        <w:right w:val="none" w:sz="0" w:space="0" w:color="auto"/>
      </w:divBdr>
    </w:div>
    <w:div w:id="269708511">
      <w:bodyDiv w:val="1"/>
      <w:marLeft w:val="0"/>
      <w:marRight w:val="0"/>
      <w:marTop w:val="0"/>
      <w:marBottom w:val="0"/>
      <w:divBdr>
        <w:top w:val="none" w:sz="0" w:space="0" w:color="auto"/>
        <w:left w:val="none" w:sz="0" w:space="0" w:color="auto"/>
        <w:bottom w:val="none" w:sz="0" w:space="0" w:color="auto"/>
        <w:right w:val="none" w:sz="0" w:space="0" w:color="auto"/>
      </w:divBdr>
    </w:div>
    <w:div w:id="286935125">
      <w:bodyDiv w:val="1"/>
      <w:marLeft w:val="0"/>
      <w:marRight w:val="0"/>
      <w:marTop w:val="0"/>
      <w:marBottom w:val="0"/>
      <w:divBdr>
        <w:top w:val="none" w:sz="0" w:space="0" w:color="auto"/>
        <w:left w:val="none" w:sz="0" w:space="0" w:color="auto"/>
        <w:bottom w:val="none" w:sz="0" w:space="0" w:color="auto"/>
        <w:right w:val="none" w:sz="0" w:space="0" w:color="auto"/>
      </w:divBdr>
    </w:div>
    <w:div w:id="303396334">
      <w:bodyDiv w:val="1"/>
      <w:marLeft w:val="0"/>
      <w:marRight w:val="0"/>
      <w:marTop w:val="0"/>
      <w:marBottom w:val="0"/>
      <w:divBdr>
        <w:top w:val="none" w:sz="0" w:space="0" w:color="auto"/>
        <w:left w:val="none" w:sz="0" w:space="0" w:color="auto"/>
        <w:bottom w:val="none" w:sz="0" w:space="0" w:color="auto"/>
        <w:right w:val="none" w:sz="0" w:space="0" w:color="auto"/>
      </w:divBdr>
    </w:div>
    <w:div w:id="312417283">
      <w:bodyDiv w:val="1"/>
      <w:marLeft w:val="0"/>
      <w:marRight w:val="0"/>
      <w:marTop w:val="0"/>
      <w:marBottom w:val="0"/>
      <w:divBdr>
        <w:top w:val="none" w:sz="0" w:space="0" w:color="auto"/>
        <w:left w:val="none" w:sz="0" w:space="0" w:color="auto"/>
        <w:bottom w:val="none" w:sz="0" w:space="0" w:color="auto"/>
        <w:right w:val="none" w:sz="0" w:space="0" w:color="auto"/>
      </w:divBdr>
    </w:div>
    <w:div w:id="316962626">
      <w:bodyDiv w:val="1"/>
      <w:marLeft w:val="0"/>
      <w:marRight w:val="0"/>
      <w:marTop w:val="0"/>
      <w:marBottom w:val="0"/>
      <w:divBdr>
        <w:top w:val="none" w:sz="0" w:space="0" w:color="auto"/>
        <w:left w:val="none" w:sz="0" w:space="0" w:color="auto"/>
        <w:bottom w:val="none" w:sz="0" w:space="0" w:color="auto"/>
        <w:right w:val="none" w:sz="0" w:space="0" w:color="auto"/>
      </w:divBdr>
    </w:div>
    <w:div w:id="329525897">
      <w:bodyDiv w:val="1"/>
      <w:marLeft w:val="0"/>
      <w:marRight w:val="0"/>
      <w:marTop w:val="0"/>
      <w:marBottom w:val="0"/>
      <w:divBdr>
        <w:top w:val="none" w:sz="0" w:space="0" w:color="auto"/>
        <w:left w:val="none" w:sz="0" w:space="0" w:color="auto"/>
        <w:bottom w:val="none" w:sz="0" w:space="0" w:color="auto"/>
        <w:right w:val="none" w:sz="0" w:space="0" w:color="auto"/>
      </w:divBdr>
    </w:div>
    <w:div w:id="346906444">
      <w:bodyDiv w:val="1"/>
      <w:marLeft w:val="0"/>
      <w:marRight w:val="0"/>
      <w:marTop w:val="0"/>
      <w:marBottom w:val="0"/>
      <w:divBdr>
        <w:top w:val="none" w:sz="0" w:space="0" w:color="auto"/>
        <w:left w:val="none" w:sz="0" w:space="0" w:color="auto"/>
        <w:bottom w:val="none" w:sz="0" w:space="0" w:color="auto"/>
        <w:right w:val="none" w:sz="0" w:space="0" w:color="auto"/>
      </w:divBdr>
    </w:div>
    <w:div w:id="355009593">
      <w:bodyDiv w:val="1"/>
      <w:marLeft w:val="0"/>
      <w:marRight w:val="0"/>
      <w:marTop w:val="0"/>
      <w:marBottom w:val="0"/>
      <w:divBdr>
        <w:top w:val="none" w:sz="0" w:space="0" w:color="auto"/>
        <w:left w:val="none" w:sz="0" w:space="0" w:color="auto"/>
        <w:bottom w:val="none" w:sz="0" w:space="0" w:color="auto"/>
        <w:right w:val="none" w:sz="0" w:space="0" w:color="auto"/>
      </w:divBdr>
    </w:div>
    <w:div w:id="357197706">
      <w:bodyDiv w:val="1"/>
      <w:marLeft w:val="0"/>
      <w:marRight w:val="0"/>
      <w:marTop w:val="0"/>
      <w:marBottom w:val="0"/>
      <w:divBdr>
        <w:top w:val="none" w:sz="0" w:space="0" w:color="auto"/>
        <w:left w:val="none" w:sz="0" w:space="0" w:color="auto"/>
        <w:bottom w:val="none" w:sz="0" w:space="0" w:color="auto"/>
        <w:right w:val="none" w:sz="0" w:space="0" w:color="auto"/>
      </w:divBdr>
    </w:div>
    <w:div w:id="383332152">
      <w:bodyDiv w:val="1"/>
      <w:marLeft w:val="0"/>
      <w:marRight w:val="0"/>
      <w:marTop w:val="0"/>
      <w:marBottom w:val="0"/>
      <w:divBdr>
        <w:top w:val="none" w:sz="0" w:space="0" w:color="auto"/>
        <w:left w:val="none" w:sz="0" w:space="0" w:color="auto"/>
        <w:bottom w:val="none" w:sz="0" w:space="0" w:color="auto"/>
        <w:right w:val="none" w:sz="0" w:space="0" w:color="auto"/>
      </w:divBdr>
    </w:div>
    <w:div w:id="389378464">
      <w:bodyDiv w:val="1"/>
      <w:marLeft w:val="0"/>
      <w:marRight w:val="0"/>
      <w:marTop w:val="0"/>
      <w:marBottom w:val="0"/>
      <w:divBdr>
        <w:top w:val="none" w:sz="0" w:space="0" w:color="auto"/>
        <w:left w:val="none" w:sz="0" w:space="0" w:color="auto"/>
        <w:bottom w:val="none" w:sz="0" w:space="0" w:color="auto"/>
        <w:right w:val="none" w:sz="0" w:space="0" w:color="auto"/>
      </w:divBdr>
    </w:div>
    <w:div w:id="417479179">
      <w:bodyDiv w:val="1"/>
      <w:marLeft w:val="0"/>
      <w:marRight w:val="0"/>
      <w:marTop w:val="0"/>
      <w:marBottom w:val="0"/>
      <w:divBdr>
        <w:top w:val="none" w:sz="0" w:space="0" w:color="auto"/>
        <w:left w:val="none" w:sz="0" w:space="0" w:color="auto"/>
        <w:bottom w:val="none" w:sz="0" w:space="0" w:color="auto"/>
        <w:right w:val="none" w:sz="0" w:space="0" w:color="auto"/>
      </w:divBdr>
    </w:div>
    <w:div w:id="454373487">
      <w:bodyDiv w:val="1"/>
      <w:marLeft w:val="0"/>
      <w:marRight w:val="0"/>
      <w:marTop w:val="0"/>
      <w:marBottom w:val="0"/>
      <w:divBdr>
        <w:top w:val="none" w:sz="0" w:space="0" w:color="auto"/>
        <w:left w:val="none" w:sz="0" w:space="0" w:color="auto"/>
        <w:bottom w:val="none" w:sz="0" w:space="0" w:color="auto"/>
        <w:right w:val="none" w:sz="0" w:space="0" w:color="auto"/>
      </w:divBdr>
    </w:div>
    <w:div w:id="495264185">
      <w:bodyDiv w:val="1"/>
      <w:marLeft w:val="0"/>
      <w:marRight w:val="0"/>
      <w:marTop w:val="0"/>
      <w:marBottom w:val="0"/>
      <w:divBdr>
        <w:top w:val="none" w:sz="0" w:space="0" w:color="auto"/>
        <w:left w:val="none" w:sz="0" w:space="0" w:color="auto"/>
        <w:bottom w:val="none" w:sz="0" w:space="0" w:color="auto"/>
        <w:right w:val="none" w:sz="0" w:space="0" w:color="auto"/>
      </w:divBdr>
    </w:div>
    <w:div w:id="499470856">
      <w:bodyDiv w:val="1"/>
      <w:marLeft w:val="0"/>
      <w:marRight w:val="0"/>
      <w:marTop w:val="0"/>
      <w:marBottom w:val="0"/>
      <w:divBdr>
        <w:top w:val="none" w:sz="0" w:space="0" w:color="auto"/>
        <w:left w:val="none" w:sz="0" w:space="0" w:color="auto"/>
        <w:bottom w:val="none" w:sz="0" w:space="0" w:color="auto"/>
        <w:right w:val="none" w:sz="0" w:space="0" w:color="auto"/>
      </w:divBdr>
    </w:div>
    <w:div w:id="524103384">
      <w:bodyDiv w:val="1"/>
      <w:marLeft w:val="0"/>
      <w:marRight w:val="0"/>
      <w:marTop w:val="0"/>
      <w:marBottom w:val="0"/>
      <w:divBdr>
        <w:top w:val="none" w:sz="0" w:space="0" w:color="auto"/>
        <w:left w:val="none" w:sz="0" w:space="0" w:color="auto"/>
        <w:bottom w:val="none" w:sz="0" w:space="0" w:color="auto"/>
        <w:right w:val="none" w:sz="0" w:space="0" w:color="auto"/>
      </w:divBdr>
    </w:div>
    <w:div w:id="528374893">
      <w:bodyDiv w:val="1"/>
      <w:marLeft w:val="0"/>
      <w:marRight w:val="0"/>
      <w:marTop w:val="0"/>
      <w:marBottom w:val="0"/>
      <w:divBdr>
        <w:top w:val="none" w:sz="0" w:space="0" w:color="auto"/>
        <w:left w:val="none" w:sz="0" w:space="0" w:color="auto"/>
        <w:bottom w:val="none" w:sz="0" w:space="0" w:color="auto"/>
        <w:right w:val="none" w:sz="0" w:space="0" w:color="auto"/>
      </w:divBdr>
    </w:div>
    <w:div w:id="560600004">
      <w:bodyDiv w:val="1"/>
      <w:marLeft w:val="0"/>
      <w:marRight w:val="0"/>
      <w:marTop w:val="0"/>
      <w:marBottom w:val="0"/>
      <w:divBdr>
        <w:top w:val="none" w:sz="0" w:space="0" w:color="auto"/>
        <w:left w:val="none" w:sz="0" w:space="0" w:color="auto"/>
        <w:bottom w:val="none" w:sz="0" w:space="0" w:color="auto"/>
        <w:right w:val="none" w:sz="0" w:space="0" w:color="auto"/>
      </w:divBdr>
    </w:div>
    <w:div w:id="565456959">
      <w:bodyDiv w:val="1"/>
      <w:marLeft w:val="0"/>
      <w:marRight w:val="0"/>
      <w:marTop w:val="0"/>
      <w:marBottom w:val="0"/>
      <w:divBdr>
        <w:top w:val="none" w:sz="0" w:space="0" w:color="auto"/>
        <w:left w:val="none" w:sz="0" w:space="0" w:color="auto"/>
        <w:bottom w:val="none" w:sz="0" w:space="0" w:color="auto"/>
        <w:right w:val="none" w:sz="0" w:space="0" w:color="auto"/>
      </w:divBdr>
    </w:div>
    <w:div w:id="573930372">
      <w:bodyDiv w:val="1"/>
      <w:marLeft w:val="0"/>
      <w:marRight w:val="0"/>
      <w:marTop w:val="0"/>
      <w:marBottom w:val="0"/>
      <w:divBdr>
        <w:top w:val="none" w:sz="0" w:space="0" w:color="auto"/>
        <w:left w:val="none" w:sz="0" w:space="0" w:color="auto"/>
        <w:bottom w:val="none" w:sz="0" w:space="0" w:color="auto"/>
        <w:right w:val="none" w:sz="0" w:space="0" w:color="auto"/>
      </w:divBdr>
    </w:div>
    <w:div w:id="583032649">
      <w:bodyDiv w:val="1"/>
      <w:marLeft w:val="0"/>
      <w:marRight w:val="0"/>
      <w:marTop w:val="0"/>
      <w:marBottom w:val="0"/>
      <w:divBdr>
        <w:top w:val="none" w:sz="0" w:space="0" w:color="auto"/>
        <w:left w:val="none" w:sz="0" w:space="0" w:color="auto"/>
        <w:bottom w:val="none" w:sz="0" w:space="0" w:color="auto"/>
        <w:right w:val="none" w:sz="0" w:space="0" w:color="auto"/>
      </w:divBdr>
    </w:div>
    <w:div w:id="586959283">
      <w:bodyDiv w:val="1"/>
      <w:marLeft w:val="0"/>
      <w:marRight w:val="0"/>
      <w:marTop w:val="0"/>
      <w:marBottom w:val="0"/>
      <w:divBdr>
        <w:top w:val="none" w:sz="0" w:space="0" w:color="auto"/>
        <w:left w:val="none" w:sz="0" w:space="0" w:color="auto"/>
        <w:bottom w:val="none" w:sz="0" w:space="0" w:color="auto"/>
        <w:right w:val="none" w:sz="0" w:space="0" w:color="auto"/>
      </w:divBdr>
    </w:div>
    <w:div w:id="603415775">
      <w:bodyDiv w:val="1"/>
      <w:marLeft w:val="0"/>
      <w:marRight w:val="0"/>
      <w:marTop w:val="0"/>
      <w:marBottom w:val="0"/>
      <w:divBdr>
        <w:top w:val="none" w:sz="0" w:space="0" w:color="auto"/>
        <w:left w:val="none" w:sz="0" w:space="0" w:color="auto"/>
        <w:bottom w:val="none" w:sz="0" w:space="0" w:color="auto"/>
        <w:right w:val="none" w:sz="0" w:space="0" w:color="auto"/>
      </w:divBdr>
    </w:div>
    <w:div w:id="621576188">
      <w:bodyDiv w:val="1"/>
      <w:marLeft w:val="0"/>
      <w:marRight w:val="0"/>
      <w:marTop w:val="0"/>
      <w:marBottom w:val="0"/>
      <w:divBdr>
        <w:top w:val="none" w:sz="0" w:space="0" w:color="auto"/>
        <w:left w:val="none" w:sz="0" w:space="0" w:color="auto"/>
        <w:bottom w:val="none" w:sz="0" w:space="0" w:color="auto"/>
        <w:right w:val="none" w:sz="0" w:space="0" w:color="auto"/>
      </w:divBdr>
    </w:div>
    <w:div w:id="626929065">
      <w:bodyDiv w:val="1"/>
      <w:marLeft w:val="0"/>
      <w:marRight w:val="0"/>
      <w:marTop w:val="0"/>
      <w:marBottom w:val="0"/>
      <w:divBdr>
        <w:top w:val="none" w:sz="0" w:space="0" w:color="auto"/>
        <w:left w:val="none" w:sz="0" w:space="0" w:color="auto"/>
        <w:bottom w:val="none" w:sz="0" w:space="0" w:color="auto"/>
        <w:right w:val="none" w:sz="0" w:space="0" w:color="auto"/>
      </w:divBdr>
    </w:div>
    <w:div w:id="642469789">
      <w:bodyDiv w:val="1"/>
      <w:marLeft w:val="0"/>
      <w:marRight w:val="0"/>
      <w:marTop w:val="0"/>
      <w:marBottom w:val="0"/>
      <w:divBdr>
        <w:top w:val="none" w:sz="0" w:space="0" w:color="auto"/>
        <w:left w:val="none" w:sz="0" w:space="0" w:color="auto"/>
        <w:bottom w:val="none" w:sz="0" w:space="0" w:color="auto"/>
        <w:right w:val="none" w:sz="0" w:space="0" w:color="auto"/>
      </w:divBdr>
    </w:div>
    <w:div w:id="643661446">
      <w:bodyDiv w:val="1"/>
      <w:marLeft w:val="0"/>
      <w:marRight w:val="0"/>
      <w:marTop w:val="0"/>
      <w:marBottom w:val="0"/>
      <w:divBdr>
        <w:top w:val="none" w:sz="0" w:space="0" w:color="auto"/>
        <w:left w:val="none" w:sz="0" w:space="0" w:color="auto"/>
        <w:bottom w:val="none" w:sz="0" w:space="0" w:color="auto"/>
        <w:right w:val="none" w:sz="0" w:space="0" w:color="auto"/>
      </w:divBdr>
    </w:div>
    <w:div w:id="688331261">
      <w:bodyDiv w:val="1"/>
      <w:marLeft w:val="0"/>
      <w:marRight w:val="0"/>
      <w:marTop w:val="0"/>
      <w:marBottom w:val="0"/>
      <w:divBdr>
        <w:top w:val="none" w:sz="0" w:space="0" w:color="auto"/>
        <w:left w:val="none" w:sz="0" w:space="0" w:color="auto"/>
        <w:bottom w:val="none" w:sz="0" w:space="0" w:color="auto"/>
        <w:right w:val="none" w:sz="0" w:space="0" w:color="auto"/>
      </w:divBdr>
    </w:div>
    <w:div w:id="693654938">
      <w:bodyDiv w:val="1"/>
      <w:marLeft w:val="0"/>
      <w:marRight w:val="0"/>
      <w:marTop w:val="0"/>
      <w:marBottom w:val="0"/>
      <w:divBdr>
        <w:top w:val="none" w:sz="0" w:space="0" w:color="auto"/>
        <w:left w:val="none" w:sz="0" w:space="0" w:color="auto"/>
        <w:bottom w:val="none" w:sz="0" w:space="0" w:color="auto"/>
        <w:right w:val="none" w:sz="0" w:space="0" w:color="auto"/>
      </w:divBdr>
    </w:div>
    <w:div w:id="718671722">
      <w:bodyDiv w:val="1"/>
      <w:marLeft w:val="0"/>
      <w:marRight w:val="0"/>
      <w:marTop w:val="0"/>
      <w:marBottom w:val="0"/>
      <w:divBdr>
        <w:top w:val="none" w:sz="0" w:space="0" w:color="auto"/>
        <w:left w:val="none" w:sz="0" w:space="0" w:color="auto"/>
        <w:bottom w:val="none" w:sz="0" w:space="0" w:color="auto"/>
        <w:right w:val="none" w:sz="0" w:space="0" w:color="auto"/>
      </w:divBdr>
    </w:div>
    <w:div w:id="728067890">
      <w:bodyDiv w:val="1"/>
      <w:marLeft w:val="0"/>
      <w:marRight w:val="0"/>
      <w:marTop w:val="0"/>
      <w:marBottom w:val="0"/>
      <w:divBdr>
        <w:top w:val="none" w:sz="0" w:space="0" w:color="auto"/>
        <w:left w:val="none" w:sz="0" w:space="0" w:color="auto"/>
        <w:bottom w:val="none" w:sz="0" w:space="0" w:color="auto"/>
        <w:right w:val="none" w:sz="0" w:space="0" w:color="auto"/>
      </w:divBdr>
    </w:div>
    <w:div w:id="730887043">
      <w:bodyDiv w:val="1"/>
      <w:marLeft w:val="0"/>
      <w:marRight w:val="0"/>
      <w:marTop w:val="0"/>
      <w:marBottom w:val="0"/>
      <w:divBdr>
        <w:top w:val="none" w:sz="0" w:space="0" w:color="auto"/>
        <w:left w:val="none" w:sz="0" w:space="0" w:color="auto"/>
        <w:bottom w:val="none" w:sz="0" w:space="0" w:color="auto"/>
        <w:right w:val="none" w:sz="0" w:space="0" w:color="auto"/>
      </w:divBdr>
    </w:div>
    <w:div w:id="736781264">
      <w:bodyDiv w:val="1"/>
      <w:marLeft w:val="0"/>
      <w:marRight w:val="0"/>
      <w:marTop w:val="0"/>
      <w:marBottom w:val="0"/>
      <w:divBdr>
        <w:top w:val="none" w:sz="0" w:space="0" w:color="auto"/>
        <w:left w:val="none" w:sz="0" w:space="0" w:color="auto"/>
        <w:bottom w:val="none" w:sz="0" w:space="0" w:color="auto"/>
        <w:right w:val="none" w:sz="0" w:space="0" w:color="auto"/>
      </w:divBdr>
    </w:div>
    <w:div w:id="777721602">
      <w:bodyDiv w:val="1"/>
      <w:marLeft w:val="0"/>
      <w:marRight w:val="0"/>
      <w:marTop w:val="0"/>
      <w:marBottom w:val="0"/>
      <w:divBdr>
        <w:top w:val="none" w:sz="0" w:space="0" w:color="auto"/>
        <w:left w:val="none" w:sz="0" w:space="0" w:color="auto"/>
        <w:bottom w:val="none" w:sz="0" w:space="0" w:color="auto"/>
        <w:right w:val="none" w:sz="0" w:space="0" w:color="auto"/>
      </w:divBdr>
    </w:div>
    <w:div w:id="841047773">
      <w:bodyDiv w:val="1"/>
      <w:marLeft w:val="0"/>
      <w:marRight w:val="0"/>
      <w:marTop w:val="0"/>
      <w:marBottom w:val="0"/>
      <w:divBdr>
        <w:top w:val="none" w:sz="0" w:space="0" w:color="auto"/>
        <w:left w:val="none" w:sz="0" w:space="0" w:color="auto"/>
        <w:bottom w:val="none" w:sz="0" w:space="0" w:color="auto"/>
        <w:right w:val="none" w:sz="0" w:space="0" w:color="auto"/>
      </w:divBdr>
    </w:div>
    <w:div w:id="845438803">
      <w:bodyDiv w:val="1"/>
      <w:marLeft w:val="0"/>
      <w:marRight w:val="0"/>
      <w:marTop w:val="0"/>
      <w:marBottom w:val="0"/>
      <w:divBdr>
        <w:top w:val="none" w:sz="0" w:space="0" w:color="auto"/>
        <w:left w:val="none" w:sz="0" w:space="0" w:color="auto"/>
        <w:bottom w:val="none" w:sz="0" w:space="0" w:color="auto"/>
        <w:right w:val="none" w:sz="0" w:space="0" w:color="auto"/>
      </w:divBdr>
    </w:div>
    <w:div w:id="846941817">
      <w:bodyDiv w:val="1"/>
      <w:marLeft w:val="0"/>
      <w:marRight w:val="0"/>
      <w:marTop w:val="0"/>
      <w:marBottom w:val="0"/>
      <w:divBdr>
        <w:top w:val="none" w:sz="0" w:space="0" w:color="auto"/>
        <w:left w:val="none" w:sz="0" w:space="0" w:color="auto"/>
        <w:bottom w:val="none" w:sz="0" w:space="0" w:color="auto"/>
        <w:right w:val="none" w:sz="0" w:space="0" w:color="auto"/>
      </w:divBdr>
    </w:div>
    <w:div w:id="868838661">
      <w:bodyDiv w:val="1"/>
      <w:marLeft w:val="0"/>
      <w:marRight w:val="0"/>
      <w:marTop w:val="0"/>
      <w:marBottom w:val="0"/>
      <w:divBdr>
        <w:top w:val="none" w:sz="0" w:space="0" w:color="auto"/>
        <w:left w:val="none" w:sz="0" w:space="0" w:color="auto"/>
        <w:bottom w:val="none" w:sz="0" w:space="0" w:color="auto"/>
        <w:right w:val="none" w:sz="0" w:space="0" w:color="auto"/>
      </w:divBdr>
    </w:div>
    <w:div w:id="903756175">
      <w:bodyDiv w:val="1"/>
      <w:marLeft w:val="0"/>
      <w:marRight w:val="0"/>
      <w:marTop w:val="0"/>
      <w:marBottom w:val="0"/>
      <w:divBdr>
        <w:top w:val="none" w:sz="0" w:space="0" w:color="auto"/>
        <w:left w:val="none" w:sz="0" w:space="0" w:color="auto"/>
        <w:bottom w:val="none" w:sz="0" w:space="0" w:color="auto"/>
        <w:right w:val="none" w:sz="0" w:space="0" w:color="auto"/>
      </w:divBdr>
    </w:div>
    <w:div w:id="912473916">
      <w:bodyDiv w:val="1"/>
      <w:marLeft w:val="0"/>
      <w:marRight w:val="0"/>
      <w:marTop w:val="0"/>
      <w:marBottom w:val="0"/>
      <w:divBdr>
        <w:top w:val="none" w:sz="0" w:space="0" w:color="auto"/>
        <w:left w:val="none" w:sz="0" w:space="0" w:color="auto"/>
        <w:bottom w:val="none" w:sz="0" w:space="0" w:color="auto"/>
        <w:right w:val="none" w:sz="0" w:space="0" w:color="auto"/>
      </w:divBdr>
    </w:div>
    <w:div w:id="931549911">
      <w:bodyDiv w:val="1"/>
      <w:marLeft w:val="0"/>
      <w:marRight w:val="0"/>
      <w:marTop w:val="0"/>
      <w:marBottom w:val="0"/>
      <w:divBdr>
        <w:top w:val="none" w:sz="0" w:space="0" w:color="auto"/>
        <w:left w:val="none" w:sz="0" w:space="0" w:color="auto"/>
        <w:bottom w:val="none" w:sz="0" w:space="0" w:color="auto"/>
        <w:right w:val="none" w:sz="0" w:space="0" w:color="auto"/>
      </w:divBdr>
    </w:div>
    <w:div w:id="956832426">
      <w:bodyDiv w:val="1"/>
      <w:marLeft w:val="0"/>
      <w:marRight w:val="0"/>
      <w:marTop w:val="0"/>
      <w:marBottom w:val="0"/>
      <w:divBdr>
        <w:top w:val="none" w:sz="0" w:space="0" w:color="auto"/>
        <w:left w:val="none" w:sz="0" w:space="0" w:color="auto"/>
        <w:bottom w:val="none" w:sz="0" w:space="0" w:color="auto"/>
        <w:right w:val="none" w:sz="0" w:space="0" w:color="auto"/>
      </w:divBdr>
    </w:div>
    <w:div w:id="981085398">
      <w:bodyDiv w:val="1"/>
      <w:marLeft w:val="0"/>
      <w:marRight w:val="0"/>
      <w:marTop w:val="0"/>
      <w:marBottom w:val="0"/>
      <w:divBdr>
        <w:top w:val="none" w:sz="0" w:space="0" w:color="auto"/>
        <w:left w:val="none" w:sz="0" w:space="0" w:color="auto"/>
        <w:bottom w:val="none" w:sz="0" w:space="0" w:color="auto"/>
        <w:right w:val="none" w:sz="0" w:space="0" w:color="auto"/>
      </w:divBdr>
    </w:div>
    <w:div w:id="1035620321">
      <w:bodyDiv w:val="1"/>
      <w:marLeft w:val="0"/>
      <w:marRight w:val="0"/>
      <w:marTop w:val="0"/>
      <w:marBottom w:val="0"/>
      <w:divBdr>
        <w:top w:val="none" w:sz="0" w:space="0" w:color="auto"/>
        <w:left w:val="none" w:sz="0" w:space="0" w:color="auto"/>
        <w:bottom w:val="none" w:sz="0" w:space="0" w:color="auto"/>
        <w:right w:val="none" w:sz="0" w:space="0" w:color="auto"/>
      </w:divBdr>
    </w:div>
    <w:div w:id="1063022835">
      <w:bodyDiv w:val="1"/>
      <w:marLeft w:val="0"/>
      <w:marRight w:val="0"/>
      <w:marTop w:val="0"/>
      <w:marBottom w:val="0"/>
      <w:divBdr>
        <w:top w:val="none" w:sz="0" w:space="0" w:color="auto"/>
        <w:left w:val="none" w:sz="0" w:space="0" w:color="auto"/>
        <w:bottom w:val="none" w:sz="0" w:space="0" w:color="auto"/>
        <w:right w:val="none" w:sz="0" w:space="0" w:color="auto"/>
      </w:divBdr>
    </w:div>
    <w:div w:id="1101340655">
      <w:bodyDiv w:val="1"/>
      <w:marLeft w:val="0"/>
      <w:marRight w:val="0"/>
      <w:marTop w:val="0"/>
      <w:marBottom w:val="0"/>
      <w:divBdr>
        <w:top w:val="none" w:sz="0" w:space="0" w:color="auto"/>
        <w:left w:val="none" w:sz="0" w:space="0" w:color="auto"/>
        <w:bottom w:val="none" w:sz="0" w:space="0" w:color="auto"/>
        <w:right w:val="none" w:sz="0" w:space="0" w:color="auto"/>
      </w:divBdr>
    </w:div>
    <w:div w:id="1101531196">
      <w:bodyDiv w:val="1"/>
      <w:marLeft w:val="0"/>
      <w:marRight w:val="0"/>
      <w:marTop w:val="0"/>
      <w:marBottom w:val="0"/>
      <w:divBdr>
        <w:top w:val="none" w:sz="0" w:space="0" w:color="auto"/>
        <w:left w:val="none" w:sz="0" w:space="0" w:color="auto"/>
        <w:bottom w:val="none" w:sz="0" w:space="0" w:color="auto"/>
        <w:right w:val="none" w:sz="0" w:space="0" w:color="auto"/>
      </w:divBdr>
    </w:div>
    <w:div w:id="1160386932">
      <w:bodyDiv w:val="1"/>
      <w:marLeft w:val="0"/>
      <w:marRight w:val="0"/>
      <w:marTop w:val="0"/>
      <w:marBottom w:val="0"/>
      <w:divBdr>
        <w:top w:val="none" w:sz="0" w:space="0" w:color="auto"/>
        <w:left w:val="none" w:sz="0" w:space="0" w:color="auto"/>
        <w:bottom w:val="none" w:sz="0" w:space="0" w:color="auto"/>
        <w:right w:val="none" w:sz="0" w:space="0" w:color="auto"/>
      </w:divBdr>
    </w:div>
    <w:div w:id="1174340442">
      <w:bodyDiv w:val="1"/>
      <w:marLeft w:val="0"/>
      <w:marRight w:val="0"/>
      <w:marTop w:val="0"/>
      <w:marBottom w:val="0"/>
      <w:divBdr>
        <w:top w:val="none" w:sz="0" w:space="0" w:color="auto"/>
        <w:left w:val="none" w:sz="0" w:space="0" w:color="auto"/>
        <w:bottom w:val="none" w:sz="0" w:space="0" w:color="auto"/>
        <w:right w:val="none" w:sz="0" w:space="0" w:color="auto"/>
      </w:divBdr>
    </w:div>
    <w:div w:id="1176337808">
      <w:bodyDiv w:val="1"/>
      <w:marLeft w:val="0"/>
      <w:marRight w:val="0"/>
      <w:marTop w:val="0"/>
      <w:marBottom w:val="0"/>
      <w:divBdr>
        <w:top w:val="none" w:sz="0" w:space="0" w:color="auto"/>
        <w:left w:val="none" w:sz="0" w:space="0" w:color="auto"/>
        <w:bottom w:val="none" w:sz="0" w:space="0" w:color="auto"/>
        <w:right w:val="none" w:sz="0" w:space="0" w:color="auto"/>
      </w:divBdr>
    </w:div>
    <w:div w:id="1185094461">
      <w:bodyDiv w:val="1"/>
      <w:marLeft w:val="0"/>
      <w:marRight w:val="0"/>
      <w:marTop w:val="0"/>
      <w:marBottom w:val="0"/>
      <w:divBdr>
        <w:top w:val="none" w:sz="0" w:space="0" w:color="auto"/>
        <w:left w:val="none" w:sz="0" w:space="0" w:color="auto"/>
        <w:bottom w:val="none" w:sz="0" w:space="0" w:color="auto"/>
        <w:right w:val="none" w:sz="0" w:space="0" w:color="auto"/>
      </w:divBdr>
    </w:div>
    <w:div w:id="1187523686">
      <w:bodyDiv w:val="1"/>
      <w:marLeft w:val="0"/>
      <w:marRight w:val="0"/>
      <w:marTop w:val="0"/>
      <w:marBottom w:val="0"/>
      <w:divBdr>
        <w:top w:val="none" w:sz="0" w:space="0" w:color="auto"/>
        <w:left w:val="none" w:sz="0" w:space="0" w:color="auto"/>
        <w:bottom w:val="none" w:sz="0" w:space="0" w:color="auto"/>
        <w:right w:val="none" w:sz="0" w:space="0" w:color="auto"/>
      </w:divBdr>
    </w:div>
    <w:div w:id="1205797207">
      <w:bodyDiv w:val="1"/>
      <w:marLeft w:val="0"/>
      <w:marRight w:val="0"/>
      <w:marTop w:val="0"/>
      <w:marBottom w:val="0"/>
      <w:divBdr>
        <w:top w:val="none" w:sz="0" w:space="0" w:color="auto"/>
        <w:left w:val="none" w:sz="0" w:space="0" w:color="auto"/>
        <w:bottom w:val="none" w:sz="0" w:space="0" w:color="auto"/>
        <w:right w:val="none" w:sz="0" w:space="0" w:color="auto"/>
      </w:divBdr>
    </w:div>
    <w:div w:id="1213275387">
      <w:bodyDiv w:val="1"/>
      <w:marLeft w:val="0"/>
      <w:marRight w:val="0"/>
      <w:marTop w:val="0"/>
      <w:marBottom w:val="0"/>
      <w:divBdr>
        <w:top w:val="none" w:sz="0" w:space="0" w:color="auto"/>
        <w:left w:val="none" w:sz="0" w:space="0" w:color="auto"/>
        <w:bottom w:val="none" w:sz="0" w:space="0" w:color="auto"/>
        <w:right w:val="none" w:sz="0" w:space="0" w:color="auto"/>
      </w:divBdr>
    </w:div>
    <w:div w:id="1232234823">
      <w:bodyDiv w:val="1"/>
      <w:marLeft w:val="0"/>
      <w:marRight w:val="0"/>
      <w:marTop w:val="0"/>
      <w:marBottom w:val="0"/>
      <w:divBdr>
        <w:top w:val="none" w:sz="0" w:space="0" w:color="auto"/>
        <w:left w:val="none" w:sz="0" w:space="0" w:color="auto"/>
        <w:bottom w:val="none" w:sz="0" w:space="0" w:color="auto"/>
        <w:right w:val="none" w:sz="0" w:space="0" w:color="auto"/>
      </w:divBdr>
    </w:div>
    <w:div w:id="1252858066">
      <w:bodyDiv w:val="1"/>
      <w:marLeft w:val="0"/>
      <w:marRight w:val="0"/>
      <w:marTop w:val="0"/>
      <w:marBottom w:val="0"/>
      <w:divBdr>
        <w:top w:val="none" w:sz="0" w:space="0" w:color="auto"/>
        <w:left w:val="none" w:sz="0" w:space="0" w:color="auto"/>
        <w:bottom w:val="none" w:sz="0" w:space="0" w:color="auto"/>
        <w:right w:val="none" w:sz="0" w:space="0" w:color="auto"/>
      </w:divBdr>
    </w:div>
    <w:div w:id="1254896142">
      <w:bodyDiv w:val="1"/>
      <w:marLeft w:val="0"/>
      <w:marRight w:val="0"/>
      <w:marTop w:val="0"/>
      <w:marBottom w:val="0"/>
      <w:divBdr>
        <w:top w:val="none" w:sz="0" w:space="0" w:color="auto"/>
        <w:left w:val="none" w:sz="0" w:space="0" w:color="auto"/>
        <w:bottom w:val="none" w:sz="0" w:space="0" w:color="auto"/>
        <w:right w:val="none" w:sz="0" w:space="0" w:color="auto"/>
      </w:divBdr>
    </w:div>
    <w:div w:id="1271858338">
      <w:bodyDiv w:val="1"/>
      <w:marLeft w:val="0"/>
      <w:marRight w:val="0"/>
      <w:marTop w:val="0"/>
      <w:marBottom w:val="0"/>
      <w:divBdr>
        <w:top w:val="none" w:sz="0" w:space="0" w:color="auto"/>
        <w:left w:val="none" w:sz="0" w:space="0" w:color="auto"/>
        <w:bottom w:val="none" w:sz="0" w:space="0" w:color="auto"/>
        <w:right w:val="none" w:sz="0" w:space="0" w:color="auto"/>
      </w:divBdr>
    </w:div>
    <w:div w:id="1293823371">
      <w:bodyDiv w:val="1"/>
      <w:marLeft w:val="0"/>
      <w:marRight w:val="0"/>
      <w:marTop w:val="0"/>
      <w:marBottom w:val="0"/>
      <w:divBdr>
        <w:top w:val="none" w:sz="0" w:space="0" w:color="auto"/>
        <w:left w:val="none" w:sz="0" w:space="0" w:color="auto"/>
        <w:bottom w:val="none" w:sz="0" w:space="0" w:color="auto"/>
        <w:right w:val="none" w:sz="0" w:space="0" w:color="auto"/>
      </w:divBdr>
    </w:div>
    <w:div w:id="1308437099">
      <w:bodyDiv w:val="1"/>
      <w:marLeft w:val="0"/>
      <w:marRight w:val="0"/>
      <w:marTop w:val="0"/>
      <w:marBottom w:val="0"/>
      <w:divBdr>
        <w:top w:val="none" w:sz="0" w:space="0" w:color="auto"/>
        <w:left w:val="none" w:sz="0" w:space="0" w:color="auto"/>
        <w:bottom w:val="none" w:sz="0" w:space="0" w:color="auto"/>
        <w:right w:val="none" w:sz="0" w:space="0" w:color="auto"/>
      </w:divBdr>
    </w:div>
    <w:div w:id="1316301424">
      <w:bodyDiv w:val="1"/>
      <w:marLeft w:val="0"/>
      <w:marRight w:val="0"/>
      <w:marTop w:val="0"/>
      <w:marBottom w:val="0"/>
      <w:divBdr>
        <w:top w:val="none" w:sz="0" w:space="0" w:color="auto"/>
        <w:left w:val="none" w:sz="0" w:space="0" w:color="auto"/>
        <w:bottom w:val="none" w:sz="0" w:space="0" w:color="auto"/>
        <w:right w:val="none" w:sz="0" w:space="0" w:color="auto"/>
      </w:divBdr>
    </w:div>
    <w:div w:id="1334188726">
      <w:bodyDiv w:val="1"/>
      <w:marLeft w:val="0"/>
      <w:marRight w:val="0"/>
      <w:marTop w:val="0"/>
      <w:marBottom w:val="0"/>
      <w:divBdr>
        <w:top w:val="none" w:sz="0" w:space="0" w:color="auto"/>
        <w:left w:val="none" w:sz="0" w:space="0" w:color="auto"/>
        <w:bottom w:val="none" w:sz="0" w:space="0" w:color="auto"/>
        <w:right w:val="none" w:sz="0" w:space="0" w:color="auto"/>
      </w:divBdr>
    </w:div>
    <w:div w:id="1361974191">
      <w:bodyDiv w:val="1"/>
      <w:marLeft w:val="0"/>
      <w:marRight w:val="0"/>
      <w:marTop w:val="0"/>
      <w:marBottom w:val="0"/>
      <w:divBdr>
        <w:top w:val="none" w:sz="0" w:space="0" w:color="auto"/>
        <w:left w:val="none" w:sz="0" w:space="0" w:color="auto"/>
        <w:bottom w:val="none" w:sz="0" w:space="0" w:color="auto"/>
        <w:right w:val="none" w:sz="0" w:space="0" w:color="auto"/>
      </w:divBdr>
    </w:div>
    <w:div w:id="1383139139">
      <w:bodyDiv w:val="1"/>
      <w:marLeft w:val="0"/>
      <w:marRight w:val="0"/>
      <w:marTop w:val="0"/>
      <w:marBottom w:val="0"/>
      <w:divBdr>
        <w:top w:val="none" w:sz="0" w:space="0" w:color="auto"/>
        <w:left w:val="none" w:sz="0" w:space="0" w:color="auto"/>
        <w:bottom w:val="none" w:sz="0" w:space="0" w:color="auto"/>
        <w:right w:val="none" w:sz="0" w:space="0" w:color="auto"/>
      </w:divBdr>
    </w:div>
    <w:div w:id="1407268098">
      <w:bodyDiv w:val="1"/>
      <w:marLeft w:val="0"/>
      <w:marRight w:val="0"/>
      <w:marTop w:val="0"/>
      <w:marBottom w:val="0"/>
      <w:divBdr>
        <w:top w:val="none" w:sz="0" w:space="0" w:color="auto"/>
        <w:left w:val="none" w:sz="0" w:space="0" w:color="auto"/>
        <w:bottom w:val="none" w:sz="0" w:space="0" w:color="auto"/>
        <w:right w:val="none" w:sz="0" w:space="0" w:color="auto"/>
      </w:divBdr>
    </w:div>
    <w:div w:id="1532299481">
      <w:bodyDiv w:val="1"/>
      <w:marLeft w:val="0"/>
      <w:marRight w:val="0"/>
      <w:marTop w:val="0"/>
      <w:marBottom w:val="0"/>
      <w:divBdr>
        <w:top w:val="none" w:sz="0" w:space="0" w:color="auto"/>
        <w:left w:val="none" w:sz="0" w:space="0" w:color="auto"/>
        <w:bottom w:val="none" w:sz="0" w:space="0" w:color="auto"/>
        <w:right w:val="none" w:sz="0" w:space="0" w:color="auto"/>
      </w:divBdr>
    </w:div>
    <w:div w:id="1536383502">
      <w:bodyDiv w:val="1"/>
      <w:marLeft w:val="0"/>
      <w:marRight w:val="0"/>
      <w:marTop w:val="0"/>
      <w:marBottom w:val="0"/>
      <w:divBdr>
        <w:top w:val="none" w:sz="0" w:space="0" w:color="auto"/>
        <w:left w:val="none" w:sz="0" w:space="0" w:color="auto"/>
        <w:bottom w:val="none" w:sz="0" w:space="0" w:color="auto"/>
        <w:right w:val="none" w:sz="0" w:space="0" w:color="auto"/>
      </w:divBdr>
    </w:div>
    <w:div w:id="1590188688">
      <w:bodyDiv w:val="1"/>
      <w:marLeft w:val="0"/>
      <w:marRight w:val="0"/>
      <w:marTop w:val="0"/>
      <w:marBottom w:val="0"/>
      <w:divBdr>
        <w:top w:val="none" w:sz="0" w:space="0" w:color="auto"/>
        <w:left w:val="none" w:sz="0" w:space="0" w:color="auto"/>
        <w:bottom w:val="none" w:sz="0" w:space="0" w:color="auto"/>
        <w:right w:val="none" w:sz="0" w:space="0" w:color="auto"/>
      </w:divBdr>
    </w:div>
    <w:div w:id="1592622845">
      <w:bodyDiv w:val="1"/>
      <w:marLeft w:val="0"/>
      <w:marRight w:val="0"/>
      <w:marTop w:val="0"/>
      <w:marBottom w:val="0"/>
      <w:divBdr>
        <w:top w:val="none" w:sz="0" w:space="0" w:color="auto"/>
        <w:left w:val="none" w:sz="0" w:space="0" w:color="auto"/>
        <w:bottom w:val="none" w:sz="0" w:space="0" w:color="auto"/>
        <w:right w:val="none" w:sz="0" w:space="0" w:color="auto"/>
      </w:divBdr>
    </w:div>
    <w:div w:id="1661352467">
      <w:bodyDiv w:val="1"/>
      <w:marLeft w:val="0"/>
      <w:marRight w:val="0"/>
      <w:marTop w:val="0"/>
      <w:marBottom w:val="0"/>
      <w:divBdr>
        <w:top w:val="none" w:sz="0" w:space="0" w:color="auto"/>
        <w:left w:val="none" w:sz="0" w:space="0" w:color="auto"/>
        <w:bottom w:val="none" w:sz="0" w:space="0" w:color="auto"/>
        <w:right w:val="none" w:sz="0" w:space="0" w:color="auto"/>
      </w:divBdr>
    </w:div>
    <w:div w:id="1694376398">
      <w:bodyDiv w:val="1"/>
      <w:marLeft w:val="0"/>
      <w:marRight w:val="0"/>
      <w:marTop w:val="0"/>
      <w:marBottom w:val="0"/>
      <w:divBdr>
        <w:top w:val="none" w:sz="0" w:space="0" w:color="auto"/>
        <w:left w:val="none" w:sz="0" w:space="0" w:color="auto"/>
        <w:bottom w:val="none" w:sz="0" w:space="0" w:color="auto"/>
        <w:right w:val="none" w:sz="0" w:space="0" w:color="auto"/>
      </w:divBdr>
    </w:div>
    <w:div w:id="1738211373">
      <w:bodyDiv w:val="1"/>
      <w:marLeft w:val="0"/>
      <w:marRight w:val="0"/>
      <w:marTop w:val="0"/>
      <w:marBottom w:val="0"/>
      <w:divBdr>
        <w:top w:val="none" w:sz="0" w:space="0" w:color="auto"/>
        <w:left w:val="none" w:sz="0" w:space="0" w:color="auto"/>
        <w:bottom w:val="none" w:sz="0" w:space="0" w:color="auto"/>
        <w:right w:val="none" w:sz="0" w:space="0" w:color="auto"/>
      </w:divBdr>
    </w:div>
    <w:div w:id="1766850962">
      <w:bodyDiv w:val="1"/>
      <w:marLeft w:val="0"/>
      <w:marRight w:val="0"/>
      <w:marTop w:val="0"/>
      <w:marBottom w:val="0"/>
      <w:divBdr>
        <w:top w:val="none" w:sz="0" w:space="0" w:color="auto"/>
        <w:left w:val="none" w:sz="0" w:space="0" w:color="auto"/>
        <w:bottom w:val="none" w:sz="0" w:space="0" w:color="auto"/>
        <w:right w:val="none" w:sz="0" w:space="0" w:color="auto"/>
      </w:divBdr>
    </w:div>
    <w:div w:id="1767727329">
      <w:bodyDiv w:val="1"/>
      <w:marLeft w:val="0"/>
      <w:marRight w:val="0"/>
      <w:marTop w:val="0"/>
      <w:marBottom w:val="0"/>
      <w:divBdr>
        <w:top w:val="none" w:sz="0" w:space="0" w:color="auto"/>
        <w:left w:val="none" w:sz="0" w:space="0" w:color="auto"/>
        <w:bottom w:val="none" w:sz="0" w:space="0" w:color="auto"/>
        <w:right w:val="none" w:sz="0" w:space="0" w:color="auto"/>
      </w:divBdr>
    </w:div>
    <w:div w:id="1789814987">
      <w:bodyDiv w:val="1"/>
      <w:marLeft w:val="0"/>
      <w:marRight w:val="0"/>
      <w:marTop w:val="0"/>
      <w:marBottom w:val="0"/>
      <w:divBdr>
        <w:top w:val="none" w:sz="0" w:space="0" w:color="auto"/>
        <w:left w:val="none" w:sz="0" w:space="0" w:color="auto"/>
        <w:bottom w:val="none" w:sz="0" w:space="0" w:color="auto"/>
        <w:right w:val="none" w:sz="0" w:space="0" w:color="auto"/>
      </w:divBdr>
    </w:div>
    <w:div w:id="1793211522">
      <w:bodyDiv w:val="1"/>
      <w:marLeft w:val="0"/>
      <w:marRight w:val="0"/>
      <w:marTop w:val="0"/>
      <w:marBottom w:val="0"/>
      <w:divBdr>
        <w:top w:val="none" w:sz="0" w:space="0" w:color="auto"/>
        <w:left w:val="none" w:sz="0" w:space="0" w:color="auto"/>
        <w:bottom w:val="none" w:sz="0" w:space="0" w:color="auto"/>
        <w:right w:val="none" w:sz="0" w:space="0" w:color="auto"/>
      </w:divBdr>
    </w:div>
    <w:div w:id="1840657757">
      <w:bodyDiv w:val="1"/>
      <w:marLeft w:val="0"/>
      <w:marRight w:val="0"/>
      <w:marTop w:val="0"/>
      <w:marBottom w:val="0"/>
      <w:divBdr>
        <w:top w:val="none" w:sz="0" w:space="0" w:color="auto"/>
        <w:left w:val="none" w:sz="0" w:space="0" w:color="auto"/>
        <w:bottom w:val="none" w:sz="0" w:space="0" w:color="auto"/>
        <w:right w:val="none" w:sz="0" w:space="0" w:color="auto"/>
      </w:divBdr>
    </w:div>
    <w:div w:id="1856071435">
      <w:bodyDiv w:val="1"/>
      <w:marLeft w:val="0"/>
      <w:marRight w:val="0"/>
      <w:marTop w:val="0"/>
      <w:marBottom w:val="0"/>
      <w:divBdr>
        <w:top w:val="none" w:sz="0" w:space="0" w:color="auto"/>
        <w:left w:val="none" w:sz="0" w:space="0" w:color="auto"/>
        <w:bottom w:val="none" w:sz="0" w:space="0" w:color="auto"/>
        <w:right w:val="none" w:sz="0" w:space="0" w:color="auto"/>
      </w:divBdr>
    </w:div>
    <w:div w:id="1859077101">
      <w:bodyDiv w:val="1"/>
      <w:marLeft w:val="0"/>
      <w:marRight w:val="0"/>
      <w:marTop w:val="0"/>
      <w:marBottom w:val="0"/>
      <w:divBdr>
        <w:top w:val="none" w:sz="0" w:space="0" w:color="auto"/>
        <w:left w:val="none" w:sz="0" w:space="0" w:color="auto"/>
        <w:bottom w:val="none" w:sz="0" w:space="0" w:color="auto"/>
        <w:right w:val="none" w:sz="0" w:space="0" w:color="auto"/>
      </w:divBdr>
    </w:div>
    <w:div w:id="1868063047">
      <w:bodyDiv w:val="1"/>
      <w:marLeft w:val="0"/>
      <w:marRight w:val="0"/>
      <w:marTop w:val="0"/>
      <w:marBottom w:val="0"/>
      <w:divBdr>
        <w:top w:val="none" w:sz="0" w:space="0" w:color="auto"/>
        <w:left w:val="none" w:sz="0" w:space="0" w:color="auto"/>
        <w:bottom w:val="none" w:sz="0" w:space="0" w:color="auto"/>
        <w:right w:val="none" w:sz="0" w:space="0" w:color="auto"/>
      </w:divBdr>
    </w:div>
    <w:div w:id="1879201379">
      <w:bodyDiv w:val="1"/>
      <w:marLeft w:val="0"/>
      <w:marRight w:val="0"/>
      <w:marTop w:val="0"/>
      <w:marBottom w:val="0"/>
      <w:divBdr>
        <w:top w:val="none" w:sz="0" w:space="0" w:color="auto"/>
        <w:left w:val="none" w:sz="0" w:space="0" w:color="auto"/>
        <w:bottom w:val="none" w:sz="0" w:space="0" w:color="auto"/>
        <w:right w:val="none" w:sz="0" w:space="0" w:color="auto"/>
      </w:divBdr>
    </w:div>
    <w:div w:id="1896310906">
      <w:bodyDiv w:val="1"/>
      <w:marLeft w:val="0"/>
      <w:marRight w:val="0"/>
      <w:marTop w:val="0"/>
      <w:marBottom w:val="0"/>
      <w:divBdr>
        <w:top w:val="none" w:sz="0" w:space="0" w:color="auto"/>
        <w:left w:val="none" w:sz="0" w:space="0" w:color="auto"/>
        <w:bottom w:val="none" w:sz="0" w:space="0" w:color="auto"/>
        <w:right w:val="none" w:sz="0" w:space="0" w:color="auto"/>
      </w:divBdr>
    </w:div>
    <w:div w:id="1923489067">
      <w:bodyDiv w:val="1"/>
      <w:marLeft w:val="0"/>
      <w:marRight w:val="0"/>
      <w:marTop w:val="0"/>
      <w:marBottom w:val="0"/>
      <w:divBdr>
        <w:top w:val="none" w:sz="0" w:space="0" w:color="auto"/>
        <w:left w:val="none" w:sz="0" w:space="0" w:color="auto"/>
        <w:bottom w:val="none" w:sz="0" w:space="0" w:color="auto"/>
        <w:right w:val="none" w:sz="0" w:space="0" w:color="auto"/>
      </w:divBdr>
    </w:div>
    <w:div w:id="1955481408">
      <w:bodyDiv w:val="1"/>
      <w:marLeft w:val="0"/>
      <w:marRight w:val="0"/>
      <w:marTop w:val="0"/>
      <w:marBottom w:val="0"/>
      <w:divBdr>
        <w:top w:val="none" w:sz="0" w:space="0" w:color="auto"/>
        <w:left w:val="none" w:sz="0" w:space="0" w:color="auto"/>
        <w:bottom w:val="none" w:sz="0" w:space="0" w:color="auto"/>
        <w:right w:val="none" w:sz="0" w:space="0" w:color="auto"/>
      </w:divBdr>
    </w:div>
    <w:div w:id="1964578225">
      <w:bodyDiv w:val="1"/>
      <w:marLeft w:val="0"/>
      <w:marRight w:val="0"/>
      <w:marTop w:val="0"/>
      <w:marBottom w:val="0"/>
      <w:divBdr>
        <w:top w:val="none" w:sz="0" w:space="0" w:color="auto"/>
        <w:left w:val="none" w:sz="0" w:space="0" w:color="auto"/>
        <w:bottom w:val="none" w:sz="0" w:space="0" w:color="auto"/>
        <w:right w:val="none" w:sz="0" w:space="0" w:color="auto"/>
      </w:divBdr>
    </w:div>
    <w:div w:id="2006276317">
      <w:bodyDiv w:val="1"/>
      <w:marLeft w:val="0"/>
      <w:marRight w:val="0"/>
      <w:marTop w:val="0"/>
      <w:marBottom w:val="0"/>
      <w:divBdr>
        <w:top w:val="none" w:sz="0" w:space="0" w:color="auto"/>
        <w:left w:val="none" w:sz="0" w:space="0" w:color="auto"/>
        <w:bottom w:val="none" w:sz="0" w:space="0" w:color="auto"/>
        <w:right w:val="none" w:sz="0" w:space="0" w:color="auto"/>
      </w:divBdr>
    </w:div>
    <w:div w:id="2020741097">
      <w:bodyDiv w:val="1"/>
      <w:marLeft w:val="0"/>
      <w:marRight w:val="0"/>
      <w:marTop w:val="0"/>
      <w:marBottom w:val="0"/>
      <w:divBdr>
        <w:top w:val="none" w:sz="0" w:space="0" w:color="auto"/>
        <w:left w:val="none" w:sz="0" w:space="0" w:color="auto"/>
        <w:bottom w:val="none" w:sz="0" w:space="0" w:color="auto"/>
        <w:right w:val="none" w:sz="0" w:space="0" w:color="auto"/>
      </w:divBdr>
    </w:div>
    <w:div w:id="2081713008">
      <w:bodyDiv w:val="1"/>
      <w:marLeft w:val="0"/>
      <w:marRight w:val="0"/>
      <w:marTop w:val="0"/>
      <w:marBottom w:val="0"/>
      <w:divBdr>
        <w:top w:val="none" w:sz="0" w:space="0" w:color="auto"/>
        <w:left w:val="none" w:sz="0" w:space="0" w:color="auto"/>
        <w:bottom w:val="none" w:sz="0" w:space="0" w:color="auto"/>
        <w:right w:val="none" w:sz="0" w:space="0" w:color="auto"/>
      </w:divBdr>
    </w:div>
    <w:div w:id="2105300137">
      <w:bodyDiv w:val="1"/>
      <w:marLeft w:val="0"/>
      <w:marRight w:val="0"/>
      <w:marTop w:val="0"/>
      <w:marBottom w:val="0"/>
      <w:divBdr>
        <w:top w:val="none" w:sz="0" w:space="0" w:color="auto"/>
        <w:left w:val="none" w:sz="0" w:space="0" w:color="auto"/>
        <w:bottom w:val="none" w:sz="0" w:space="0" w:color="auto"/>
        <w:right w:val="none" w:sz="0" w:space="0" w:color="auto"/>
      </w:divBdr>
    </w:div>
    <w:div w:id="214060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mailto:jasmina.panovska-griffiths@queens.ox.ac.uk"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HPV23</b:Tag>
    <b:SourceType>DocumentFromInternetSite</b:SourceType>
    <b:Guid>{D1FD6EFF-2B61-7F47-85D2-26590024C148}</b:Guid>
    <b:Title>Human Papillomavirus and Related Diseases Report</b:Title>
    <b:Year>2023</b:Year>
    <b:Month>March</b:Month>
    <b:Day>10</b:Day>
    <b:Author>
      <b:Author>
        <b:NameList>
          <b:Person>
            <b:Last>Centre</b:Last>
            <b:First>HPV</b:First>
          </b:Person>
        </b:NameList>
      </b:Author>
    </b:Author>
    <b:InternetSiteTitle>HPV Centre</b:InternetSiteTitle>
    <b:URL>https://hpvcentre.net/statistics/reports/GBR.pdf?t=1667160001618</b:URL>
    <b:RefOrder>4</b:RefOrder>
  </b:Source>
  <b:Source>
    <b:Tag>Gar17</b:Tag>
    <b:SourceType>JournalArticle</b:SourceType>
    <b:Guid>{748FA895-F1D0-354F-BA5A-B569F57E8EAE}</b:Guid>
    <b:Title>Prevalence of Genital Human Papillomavirus in Males, United States, 2013-2014</b:Title>
    <b:Year>2017</b:Year>
    <b:Author>
      <b:Author>
        <b:NameList>
          <b:Person>
            <b:Last>Gargano</b:Last>
            <b:First>Julia</b:First>
          </b:Person>
          <b:Person>
            <b:Last>Unger</b:Last>
            <b:First>Elizabeth</b:First>
          </b:Person>
          <b:Person>
            <b:Last>Liu</b:Last>
            <b:First>Gui</b:First>
          </b:Person>
          <b:Person>
            <b:Last>Steinau</b:Last>
            <b:First>Martin</b:First>
          </b:Person>
          <b:Person>
            <b:Last>Meites</b:Last>
            <b:First>Elissa</b:First>
          </b:Person>
          <b:Person>
            <b:Last>Dunne</b:Last>
            <b:First>Eileen</b:First>
          </b:Person>
          <b:Person>
            <b:Last>Markowitz</b:Last>
            <b:First>Lauri</b:First>
          </b:Person>
        </b:NameList>
      </b:Author>
    </b:Author>
    <b:JournalName>The Journal of Infectious Diseases</b:JournalName>
    <b:Volume>215</b:Volume>
    <b:Issue>7</b:Issue>
    <b:Pages>1070-1079</b:Pages>
    <b:RefOrder>5</b:RefOrder>
  </b:Source>
  <b:Source>
    <b:Tag>Mus15</b:Tag>
    <b:SourceType>JournalArticle</b:SourceType>
    <b:Guid>{3BA1D50D-3159-2D41-8AA4-14D2248B8983}</b:Guid>
    <b:Title>Systematic reviews and meta-analyses of the accuracy of HPV tests, visual inspection with acetic acid, cytology, and colposcopy </b:Title>
    <b:JournalName>Int J Gynaecol Obstet.</b:JournalName>
    <b:Year>2015</b:Year>
    <b:Volume>132</b:Volume>
    <b:Issue>3</b:Issue>
    <b:Pages>259-265</b:Pages>
    <b:Author>
      <b:Author>
        <b:NameList>
          <b:Person>
            <b:Last>Mustafa</b:Last>
            <b:First>Reem</b:First>
          </b:Person>
          <b:Person>
            <b:Last>Santesso</b:Last>
            <b:First>Nancy</b:First>
          </b:Person>
          <b:Person>
            <b:Last>Khatib</b:Last>
            <b:First>Rasha</b:First>
          </b:Person>
          <b:Person>
            <b:Last>Mustafa</b:Last>
            <b:First>Ahmad</b:First>
          </b:Person>
          <b:Person>
            <b:Last>Wiercioch</b:Last>
            <b:First>Wojtek</b:First>
          </b:Person>
          <b:Person>
            <b:Last>Kehar</b:Last>
            <b:First>Rohan</b:First>
          </b:Person>
          <b:Person>
            <b:Last>Gandhi</b:Last>
            <b:First>Shreyas</b:First>
          </b:Person>
          <b:Person>
            <b:Last>Chen</b:Last>
            <b:First>Yaolong</b:First>
          </b:Person>
          <b:Person>
            <b:Last>Cheung</b:Last>
            <b:First>Adrienne</b:First>
          </b:Person>
          <b:Person>
            <b:Last>Hopkins</b:Last>
            <b:First>Jessica</b:First>
          </b:Person>
          <b:Person>
            <b:Last>Ma</b:Last>
            <b:First>Bin</b:First>
          </b:Person>
          <b:Person>
            <b:Last>Lloyd</b:Last>
            <b:First>Nancy</b:First>
          </b:Person>
          <b:Person>
            <b:Last>Wu</b:Last>
            <b:First>Darong</b:First>
          </b:Person>
          <b:Person>
            <b:Last>Broutet</b:Last>
            <b:First>Nathalie</b:First>
          </b:Person>
          <b:Person>
            <b:Last>Schuenemann</b:Last>
            <b:First>Holger</b:First>
          </b:Person>
        </b:NameList>
      </b:Author>
    </b:Author>
    <b:RefOrder>6</b:RefOrder>
  </b:Source>
  <b:Source>
    <b:Tag>Kol17</b:Tag>
    <b:SourceType>JournalArticle</b:SourceType>
    <b:Guid>{5745F625-4A60-1F4E-BA5A-23AE19E64495}</b:Guid>
    <b:Title>Cytology versus HPV testing for cervical cancer screening in the general population</b:Title>
    <b:JournalName>Cochrane Database Syst Rev.</b:JournalName>
    <b:Year>2017</b:Year>
    <b:Issue>8</b:Issue>
    <b:Author>
      <b:Author>
        <b:NameList>
          <b:Person>
            <b:Last>Koliopoulos</b:Last>
            <b:First>George</b:First>
          </b:Person>
          <b:Person>
            <b:Last>Nyaga</b:Last>
            <b:First>Victoria</b:First>
          </b:Person>
          <b:Person>
            <b:Last>Santesso</b:Last>
            <b:First>Nancy</b:First>
          </b:Person>
          <b:Person>
            <b:Last>Bryant</b:Last>
            <b:First>Andrew</b:First>
          </b:Person>
          <b:Person>
            <b:Last>Martin-Hirsch</b:Last>
            <b:First>Pierre</b:First>
          </b:Person>
          <b:Person>
            <b:Last>Mustafa</b:Last>
            <b:First>Reem</b:First>
          </b:Person>
          <b:Person>
            <b:Last>Schuenemann</b:Last>
            <b:First>Holger</b:First>
          </b:Person>
          <b:Person>
            <b:Last>Paraskevaidis</b:Last>
            <b:First>Evangelos</b:First>
          </b:Person>
          <b:Person>
            <b:Last>Arbyn</b:Last>
            <b:First>Marc</b:First>
          </b:Person>
        </b:NameList>
      </b:Author>
    </b:Author>
    <b:RefOrder>7</b:RefOrder>
  </b:Source>
  <b:Source>
    <b:Tag>Bro19</b:Tag>
    <b:SourceType>JournalArticle</b:SourceType>
    <b:Guid>{4843E387-94A1-604B-9246-043876871C2D}</b:Guid>
    <b:Title>The diagnostic accuracy of colposcopy – A review of research methodology and impact on the outcomes of quality assurance</b:Title>
    <b:JournalName>European Journal of Obstetrics &amp; Gynecology and Reproductive Biology</b:JournalName>
    <b:Year>2019</b:Year>
    <b:Volume>240</b:Volume>
    <b:Pages>182-186</b:Pages>
    <b:Author>
      <b:Author>
        <b:NameList>
          <b:Person>
            <b:Last>Brown</b:Last>
            <b:First>Brian</b:First>
          </b:Person>
          <b:Person>
            <b:Last>Tidy</b:Last>
            <b:First>John</b:First>
          </b:Person>
        </b:NameList>
      </b:Author>
    </b:Author>
    <b:RefOrder>8</b:RefOrder>
  </b:Source>
  <b:Source>
    <b:Tag>NHS26</b:Tag>
    <b:SourceType>InternetSite</b:SourceType>
    <b:Guid>{A1F83331-85EB-1246-965B-A21C6F7AD314}</b:Guid>
    <b:Title>Cancer Registrations Statistics, England</b:Title>
    <b:Author>
      <b:Author>
        <b:Corporate>NHS England</b:Corporate>
      </b:Author>
    </b:Author>
    <b:URL>https://digital.nhs.uk/data-and-information/publications/statistical/cancer-registration-statistics</b:URL>
    <b:YearAccessed>2026</b:YearAccessed>
    <b:MonthAccessed>04</b:MonthAccessed>
    <b:DayAccessed>04</b:DayAccessed>
    <b:RefOrder>9</b:RefOrder>
  </b:Source>
  <b:Source>
    <b:Tag>Gil25</b:Tag>
    <b:SourceType>JournalArticle</b:SourceType>
    <b:Guid>{18C98324-3C16-994D-A400-D769C9E72F37}</b:Guid>
    <b:Title>Is elimination of cervical cancer in sight in England?</b:Title>
    <b:Year>2025</b:Year>
    <b:JournalName>Preventive Medicine</b:JournalName>
    <b:Volume>191</b:Volume>
    <b:Author>
      <b:Author>
        <b:NameList>
          <b:Person>
            <b:Last>Gilham</b:Last>
            <b:First>Clare</b:First>
          </b:Person>
          <b:Person>
            <b:Last>Peto</b:Last>
            <b:First>Julian</b:First>
          </b:Person>
        </b:NameList>
      </b:Author>
    </b:Author>
    <b:RefOrder>10</b:RefOrder>
  </b:Source>
  <b:Source>
    <b:Tag>Mes14</b:Tag>
    <b:SourceType>JournalArticle</b:SourceType>
    <b:Guid>{F45126AF-0951-7948-AFEB-79E5A59F81D4}</b:Guid>
    <b:Title>Type-specific HPV prevalence in invasive cervical cancer in the UK prior to national HPV immunisation programme: baseline for monitoring the effects of immunisation</b:Title>
    <b:JournalName>Journal of Clinical Pathology</b:JournalName>
    <b:Year>2014</b:Year>
    <b:Volume>68</b:Volume>
    <b:Issue>2</b:Issue>
    <b:Author>
      <b:Author>
        <b:NameList>
          <b:Person>
            <b:Last>Mesher</b:Last>
            <b:First>David</b:First>
          </b:Person>
          <b:Person>
            <b:Last>Cuschieri</b:Last>
            <b:First>Kate</b:First>
          </b:Person>
          <b:Person>
            <b:Last>Hubbitts</b:Last>
            <b:First>Sam</b:First>
          </b:Person>
          <b:Person>
            <b:Last>Jamison</b:Last>
            <b:First>Jackie</b:First>
          </b:Person>
          <b:Person>
            <b:Last>Sargent</b:Last>
            <b:First>Alex</b:First>
          </b:Person>
          <b:Person>
            <b:Last>Pollock</b:Last>
            <b:First>Kevin</b:First>
          </b:Person>
          <b:Person>
            <b:Last>Powell</b:Last>
            <b:First>Ned</b:First>
          </b:Person>
          <b:Person>
            <b:Last>Wilson</b:Last>
            <b:First>Robbie</b:First>
          </b:Person>
          <b:Person>
            <b:Last>McCall</b:Last>
            <b:First>Fiona</b:First>
          </b:Person>
          <b:Person>
            <b:Last>Fiander</b:Last>
            <b:First>Alison</b:First>
          </b:Person>
          <b:Person>
            <b:Last>Soldan</b:Last>
            <b:First>Kate</b:First>
          </b:Person>
        </b:NameList>
      </b:Author>
    </b:Author>
    <b:RefOrder>11</b:RefOrder>
  </b:Source>
  <b:Source>
    <b:Tag>Che23</b:Tag>
    <b:SourceType>JournalArticle</b:SourceType>
    <b:Guid>{EFAECA46-E033-3040-909A-88CE2A59F540}</b:Guid>
    <b:Title>The impact of over ten years of HPV vaccination in England: Surveillance of type-specific HPV in young sexually active females</b:Title>
    <b:JournalName>Vaccine</b:JournalName>
    <b:Year>2023</b:Year>
    <b:Volume>41</b:Volume>
    <b:Issue>45</b:Issue>
    <b:Author>
      <b:Author>
        <b:NameList>
          <b:Person>
            <b:Last>Checchi</b:Last>
            <b:First>Marta</b:First>
          </b:Person>
          <b:Person>
            <b:Last>Mesher</b:Last>
            <b:First>David</b:First>
          </b:Person>
          <b:Person>
            <b:Last>Panwar</b:Last>
            <b:First>Kavita</b:First>
          </b:Person>
          <b:Person>
            <b:Last>Anderson</b:Last>
            <b:First>Anja</b:First>
          </b:Person>
          <b:Person>
            <b:Last>Beddows</b:Last>
            <b:First>Simon</b:First>
          </b:Person>
          <b:Person>
            <b:Last>Soldan</b:Last>
            <b:First>Kate</b:First>
          </b:Person>
        </b:NameList>
      </b:Author>
    </b:Author>
    <b:RefOrder>12</b:RefOrder>
  </b:Source>
  <b:Source>
    <b:Tag>Stu261</b:Tag>
    <b:SourceType>JournalArticle</b:SourceType>
    <b:Guid>{5DD25A00-DF44-1045-93A4-ABCF4539B7F8}</b:Guid>
    <b:Title>Adapting the frequency of cervical screening to individual HPV vaccination status: an agent-based modelling study for England</b:Title>
    <b:JournalName>Nature Medicine, IN REVIEW</b:JournalName>
    <b:Year>2026</b:Year>
    <b:Author>
      <b:Author>
        <b:NameList>
          <b:Person>
            <b:Last>Sturman</b:Last>
            <b:First>Fabian</b:First>
          </b:Person>
          <b:Person>
            <b:Last>Keenan</b:Last>
            <b:First>Sophie</b:First>
          </b:Person>
          <b:Person>
            <b:Last>Soldan</b:Last>
            <b:First>Kate</b:First>
          </b:Person>
          <b:Person>
            <b:Last>Stuart</b:Last>
            <b:First>Robyn</b:First>
          </b:Person>
          <b:Person>
            <b:Last>Lythgoe</b:Last>
            <b:First>Katrina</b:First>
          </b:Person>
          <b:Person>
            <b:Last>Panovska-Griffiths</b:Last>
            <b:First>Jasmina</b:First>
          </b:Person>
        </b:NameList>
      </b:Author>
    </b:Author>
    <b:RefOrder>13</b:RefOrder>
  </b:Source>
  <b:Source>
    <b:Tag>Stu26</b:Tag>
    <b:SourceType>JournalArticle</b:SourceType>
    <b:Guid>{A0B9CCCC-9C48-5446-B5FB-E9E05B6E15A9}</b:Guid>
    <b:Title>Adapting HPVsim to model HPV transmission, cervical cancer diagnoses and different public health interventions in high-income countries: modelling study for England</b:Title>
    <b:JournalName>PLoS Computational Biology, IN REVIEW</b:JournalName>
    <b:Year>2026</b:Year>
    <b:Author>
      <b:Author>
        <b:NameList>
          <b:Person>
            <b:Last>Sturman</b:Last>
            <b:First>Fabian</b:First>
          </b:Person>
          <b:Person>
            <b:Last>Keenan</b:Last>
            <b:First>Sophie</b:First>
          </b:Person>
          <b:Person>
            <b:Last>Soldan</b:Last>
            <b:First>Kate</b:First>
          </b:Person>
          <b:Person>
            <b:Last>Stuart</b:Last>
            <b:First>Robyn</b:First>
          </b:Person>
          <b:Person>
            <b:Last>Lythgoe</b:Last>
            <b:First>Katrina</b:First>
          </b:Person>
          <b:Person>
            <b:Last>Panovska-Griffiths</b:Last>
            <b:First>Jasmina</b:First>
          </b:Person>
        </b:NameList>
      </b:Author>
    </b:Author>
    <b:RefOrder>1</b:RefOrder>
  </b:Source>
  <b:Source>
    <b:Tag>Stu</b:Tag>
    <b:SourceType>InternetSite</b:SourceType>
    <b:Guid>{193CBFFF-2FE4-BC4F-80F5-46C1D05298DF}</b:Guid>
    <b:Title>Project Code Repository</b:Title>
    <b:URL>https://github.com/fabiansturman/HPVScreeningProject/</b:URL>
    <b:Author>
      <b:Author>
        <b:NameList>
          <b:Person>
            <b:Last>Sturman</b:Last>
            <b:First>Fabian</b:First>
          </b:Person>
          <b:Person>
            <b:Last>Keenan</b:Last>
            <b:First>Sophie</b:First>
          </b:Person>
          <b:Person>
            <b:Last>Soldan</b:Last>
            <b:First>Kate</b:First>
          </b:Person>
          <b:Person>
            <b:Last>Stuart</b:Last>
            <b:First>Robyn</b:First>
          </b:Person>
          <b:Person>
            <b:Last>Lythgoe</b:Last>
            <b:First>Katrina</b:First>
          </b:Person>
          <b:Person>
            <b:Last>Panovska-Griffiths</b:Last>
            <b:First>Jasmina</b:First>
          </b:Person>
        </b:NameList>
      </b:Author>
    </b:Author>
    <b:RefOrder>3</b:RefOrder>
  </b:Source>
  <b:Source>
    <b:Tag>Stu24</b:Tag>
    <b:SourceType>JournalArticle</b:SourceType>
    <b:Guid>{8AD9C1DE-F52A-D34C-B78A-C817D0046BEE}</b:Guid>
    <b:Title>HPVsim: An agent-based model of HPV transmission and cervical disease</b:Title>
    <b:Year>2024</b:Year>
    <b:JournalName>PLoS Computational Biology</b:JournalName>
    <b:Volume>20</b:Volume>
    <b:Issue>7</b:Issue>
    <b:Author>
      <b:Author>
        <b:NameList>
          <b:Person>
            <b:Last>Stuart</b:Last>
            <b:First>Robyn</b:First>
          </b:Person>
          <b:Person>
            <b:Last>Cohen</b:Last>
            <b:First>Jamie</b:First>
          </b:Person>
          <b:Person>
            <b:Last>Kerr</b:Last>
            <b:First>Cliff</b:First>
          </b:Person>
          <b:Person>
            <b:Last>Mathur</b:Last>
            <b:First>Prashant</b:First>
          </b:Person>
          <b:Person>
            <b:Last>National Disease Modelling Consortium of India</b:Last>
          </b:Person>
          <b:Person>
            <b:Last>Abeysuriya</b:Last>
            <b:First>Romesh</b:First>
          </b:Person>
          <b:Person>
            <b:Last>Zimmermann</b:Last>
            <b:First>Marita</b:First>
          </b:Person>
          <b:Person>
            <b:Last>Rao</b:Last>
            <b:First>Darcy</b:First>
          </b:Person>
          <b:Person>
            <b:Last>Boudreau</b:Last>
            <b:First>Mariah</b:First>
          </b:Person>
          <b:Person>
            <b:Last>Lee</b:Last>
            <b:First>Serin</b:First>
          </b:Person>
          <b:Person>
            <b:Last>Yang</b:Last>
            <b:First>Luojun</b:First>
          </b:Person>
          <b:Person>
            <b:Last>Klein</b:Last>
            <b:First>Daniel</b:First>
          </b:Person>
        </b:NameList>
      </b:Author>
    </b:Author>
    <b:RefOrder>2</b:RefOrder>
  </b:Source>
</b:Sources>
</file>

<file path=customXml/itemProps1.xml><?xml version="1.0" encoding="utf-8"?>
<ds:datastoreItem xmlns:ds="http://schemas.openxmlformats.org/officeDocument/2006/customXml" ds:itemID="{07162341-9150-FE4F-956A-8592E2804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11</Pages>
  <Words>2302</Words>
  <Characters>13976</Characters>
  <Application>Microsoft Office Word</Application>
  <DocSecurity>0</DocSecurity>
  <Lines>229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23</cp:revision>
  <dcterms:created xsi:type="dcterms:W3CDTF">2026-09-25T19:05:00Z</dcterms:created>
  <dcterms:modified xsi:type="dcterms:W3CDTF">2026-09-26T15:47:00Z</dcterms:modified>
</cp:coreProperties>
</file>