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C87578" w14:textId="6371C24D" w:rsidR="007A7BF4" w:rsidRPr="008C0A0E" w:rsidRDefault="007A7BF4" w:rsidP="008C0A0E">
      <w:pPr>
        <w:pStyle w:val="Title"/>
        <w:jc w:val="center"/>
        <w:rPr>
          <w:rFonts w:ascii="Aptos" w:hAnsi="Aptos"/>
          <w:color w:val="156082" w:themeColor="accent1"/>
          <w:sz w:val="40"/>
          <w:szCs w:val="40"/>
        </w:rPr>
      </w:pPr>
      <w:r w:rsidRPr="008C0A0E">
        <w:rPr>
          <w:rFonts w:ascii="Aptos" w:hAnsi="Aptos"/>
          <w:color w:val="156082" w:themeColor="accent1"/>
          <w:sz w:val="40"/>
          <w:szCs w:val="40"/>
        </w:rPr>
        <w:t>Supplementary Material</w:t>
      </w:r>
      <w:r w:rsidR="008C0A0E">
        <w:rPr>
          <w:rFonts w:ascii="Aptos" w:hAnsi="Aptos"/>
          <w:color w:val="156082" w:themeColor="accent1"/>
          <w:sz w:val="40"/>
          <w:szCs w:val="40"/>
        </w:rPr>
        <w:t xml:space="preserve"> to</w:t>
      </w:r>
    </w:p>
    <w:p w14:paraId="23214836" w14:textId="15D0B6A2" w:rsidR="00AD4C5D" w:rsidRPr="008C0A0E" w:rsidRDefault="00252AC5" w:rsidP="008C0A0E">
      <w:pPr>
        <w:pStyle w:val="Title"/>
        <w:jc w:val="center"/>
        <w:rPr>
          <w:rFonts w:ascii="Aptos" w:hAnsi="Aptos"/>
          <w:color w:val="156082" w:themeColor="accent1"/>
          <w:sz w:val="40"/>
          <w:szCs w:val="40"/>
        </w:rPr>
      </w:pPr>
      <w:r w:rsidRPr="008C0A0E">
        <w:rPr>
          <w:rFonts w:ascii="Aptos" w:hAnsi="Aptos"/>
          <w:color w:val="156082" w:themeColor="accent1"/>
          <w:sz w:val="40"/>
          <w:szCs w:val="40"/>
        </w:rPr>
        <w:t>Adapting the frequency of cervical screening to individual HPV vaccination status: an agent-based modelling study for England</w:t>
      </w:r>
    </w:p>
    <w:p w14:paraId="7816E3A0" w14:textId="77777777" w:rsidR="008C0A0E" w:rsidRPr="00AA4CA4" w:rsidRDefault="008C0A0E" w:rsidP="008C0A0E">
      <w:pPr>
        <w:rPr>
          <w:rFonts w:asciiTheme="minorHAnsi" w:hAnsiTheme="minorHAnsi"/>
        </w:rPr>
      </w:pPr>
      <w:r w:rsidRPr="00AA4CA4">
        <w:rPr>
          <w:rFonts w:asciiTheme="minorHAnsi" w:hAnsiTheme="minorHAnsi"/>
        </w:rPr>
        <w:t>Fabian Sturman</w:t>
      </w:r>
      <w:r w:rsidRPr="00AA4CA4">
        <w:rPr>
          <w:rFonts w:asciiTheme="minorHAnsi" w:hAnsiTheme="minorHAnsi"/>
          <w:vertAlign w:val="superscript"/>
        </w:rPr>
        <w:t>1,2*</w:t>
      </w:r>
      <w:r w:rsidRPr="00AA4CA4">
        <w:rPr>
          <w:rFonts w:asciiTheme="minorHAnsi" w:hAnsiTheme="minorHAnsi"/>
        </w:rPr>
        <w:t>, Sophie Keenan</w:t>
      </w:r>
      <w:r w:rsidRPr="00AA4CA4">
        <w:rPr>
          <w:rFonts w:asciiTheme="minorHAnsi" w:hAnsiTheme="minorHAnsi"/>
          <w:vertAlign w:val="superscript"/>
        </w:rPr>
        <w:t>3</w:t>
      </w:r>
      <w:r w:rsidRPr="00AA4CA4">
        <w:rPr>
          <w:rFonts w:asciiTheme="minorHAnsi" w:hAnsiTheme="minorHAnsi"/>
        </w:rPr>
        <w:t>, Kate Soldan</w:t>
      </w:r>
      <w:r w:rsidRPr="00AA4CA4">
        <w:rPr>
          <w:rFonts w:asciiTheme="minorHAnsi" w:hAnsiTheme="minorHAnsi"/>
          <w:vertAlign w:val="superscript"/>
        </w:rPr>
        <w:t>4</w:t>
      </w:r>
      <w:r w:rsidRPr="00AA4CA4">
        <w:rPr>
          <w:rFonts w:asciiTheme="minorHAnsi" w:hAnsiTheme="minorHAnsi"/>
        </w:rPr>
        <w:t>, Robyn Stuart</w:t>
      </w:r>
      <w:r w:rsidRPr="00AA4CA4">
        <w:rPr>
          <w:rFonts w:asciiTheme="minorHAnsi" w:hAnsiTheme="minorHAnsi"/>
          <w:vertAlign w:val="superscript"/>
        </w:rPr>
        <w:t>5</w:t>
      </w:r>
      <w:r w:rsidRPr="00AA4CA4">
        <w:rPr>
          <w:rFonts w:asciiTheme="minorHAnsi" w:hAnsiTheme="minorHAnsi"/>
        </w:rPr>
        <w:t>, Katrina Lythgoe</w:t>
      </w:r>
      <w:r w:rsidRPr="00AA4CA4">
        <w:rPr>
          <w:rFonts w:asciiTheme="minorHAnsi" w:hAnsiTheme="minorHAnsi"/>
          <w:vertAlign w:val="superscript"/>
        </w:rPr>
        <w:t>1,2,6</w:t>
      </w:r>
      <w:r w:rsidRPr="00AA4CA4">
        <w:rPr>
          <w:rFonts w:asciiTheme="minorHAnsi" w:hAnsiTheme="minorHAnsi"/>
        </w:rPr>
        <w:t xml:space="preserve">, </w:t>
      </w:r>
    </w:p>
    <w:p w14:paraId="21275981" w14:textId="77777777" w:rsidR="008C0A0E" w:rsidRPr="00AA4CA4" w:rsidRDefault="008C0A0E" w:rsidP="008C0A0E">
      <w:pPr>
        <w:rPr>
          <w:rFonts w:asciiTheme="minorHAnsi" w:hAnsiTheme="minorHAnsi"/>
        </w:rPr>
      </w:pPr>
      <w:r w:rsidRPr="00AA4CA4">
        <w:rPr>
          <w:rFonts w:asciiTheme="minorHAnsi" w:hAnsiTheme="minorHAnsi"/>
        </w:rPr>
        <w:t>Jasmina Panovska-Griffiths</w:t>
      </w:r>
      <w:r w:rsidRPr="00AA4CA4">
        <w:rPr>
          <w:rFonts w:asciiTheme="minorHAnsi" w:hAnsiTheme="minorHAnsi"/>
          <w:vertAlign w:val="superscript"/>
        </w:rPr>
        <w:t>1,2,4,7*</w:t>
      </w:r>
    </w:p>
    <w:p w14:paraId="7DA15E62" w14:textId="77777777" w:rsidR="008C0A0E" w:rsidRPr="00AA4CA4" w:rsidRDefault="008C0A0E" w:rsidP="008C0A0E">
      <w:pPr>
        <w:rPr>
          <w:rFonts w:asciiTheme="minorHAnsi" w:hAnsiTheme="minorHAnsi"/>
        </w:rPr>
      </w:pPr>
    </w:p>
    <w:p w14:paraId="32AEE278" w14:textId="77777777" w:rsidR="008C0A0E" w:rsidRPr="00AA4CA4" w:rsidRDefault="008C0A0E" w:rsidP="008C0A0E">
      <w:pPr>
        <w:rPr>
          <w:rFonts w:asciiTheme="minorHAnsi" w:hAnsiTheme="minorHAnsi"/>
        </w:rPr>
      </w:pPr>
      <w:r w:rsidRPr="00AA4CA4">
        <w:rPr>
          <w:rFonts w:asciiTheme="minorHAnsi" w:hAnsiTheme="minorHAnsi"/>
        </w:rPr>
        <w:t>[1] The Pandemic Sciences Institute, University of Oxford, Oxford, UK</w:t>
      </w:r>
    </w:p>
    <w:p w14:paraId="7A32DBA6" w14:textId="77777777" w:rsidR="008C0A0E" w:rsidRPr="00AA4CA4" w:rsidRDefault="008C0A0E" w:rsidP="008C0A0E">
      <w:pPr>
        <w:rPr>
          <w:rFonts w:asciiTheme="minorHAnsi" w:hAnsiTheme="minorHAnsi"/>
        </w:rPr>
      </w:pPr>
      <w:r w:rsidRPr="00AA4CA4">
        <w:rPr>
          <w:rFonts w:asciiTheme="minorHAnsi" w:hAnsiTheme="minorHAnsi"/>
        </w:rPr>
        <w:t>[2] Big Data Institute, University of Oxford, Oxford, UK</w:t>
      </w:r>
    </w:p>
    <w:p w14:paraId="0C216924" w14:textId="77777777" w:rsidR="008C0A0E" w:rsidRPr="00AA4CA4" w:rsidRDefault="008C0A0E" w:rsidP="008C0A0E">
      <w:pPr>
        <w:rPr>
          <w:rFonts w:asciiTheme="minorHAnsi" w:hAnsiTheme="minorHAnsi"/>
        </w:rPr>
      </w:pPr>
      <w:r w:rsidRPr="00AA4CA4">
        <w:rPr>
          <w:rFonts w:asciiTheme="minorHAnsi" w:hAnsiTheme="minorHAnsi"/>
        </w:rPr>
        <w:t>[3] Mathematical Institute, University of Oxford, Oxford, UK</w:t>
      </w:r>
    </w:p>
    <w:p w14:paraId="78CB4B0A" w14:textId="0E1D3B8C" w:rsidR="008C0A0E" w:rsidRPr="00AA4CA4" w:rsidRDefault="008C0A0E" w:rsidP="008C0A0E">
      <w:pPr>
        <w:rPr>
          <w:rFonts w:asciiTheme="minorHAnsi" w:hAnsiTheme="minorHAnsi"/>
        </w:rPr>
      </w:pPr>
      <w:r w:rsidRPr="00AA4CA4">
        <w:rPr>
          <w:rFonts w:asciiTheme="minorHAnsi" w:hAnsiTheme="minorHAnsi"/>
        </w:rPr>
        <w:t>[4] UK Health Security Agency, London UK</w:t>
      </w:r>
    </w:p>
    <w:p w14:paraId="2A0AAAFB" w14:textId="77777777" w:rsidR="008C0A0E" w:rsidRPr="00AA4CA4" w:rsidRDefault="008C0A0E" w:rsidP="008C0A0E">
      <w:pPr>
        <w:rPr>
          <w:rFonts w:asciiTheme="minorHAnsi" w:hAnsiTheme="minorHAnsi"/>
        </w:rPr>
      </w:pPr>
      <w:r w:rsidRPr="00AA4CA4">
        <w:rPr>
          <w:rFonts w:asciiTheme="minorHAnsi" w:hAnsiTheme="minorHAnsi"/>
        </w:rPr>
        <w:t xml:space="preserve">[5] Institute for Disease </w:t>
      </w:r>
      <w:proofErr w:type="spellStart"/>
      <w:r w:rsidRPr="00AA4CA4">
        <w:rPr>
          <w:rFonts w:asciiTheme="minorHAnsi" w:hAnsiTheme="minorHAnsi"/>
        </w:rPr>
        <w:t>Modeling</w:t>
      </w:r>
      <w:proofErr w:type="spellEnd"/>
      <w:r w:rsidRPr="00AA4CA4">
        <w:rPr>
          <w:rFonts w:asciiTheme="minorHAnsi" w:hAnsiTheme="minorHAnsi"/>
        </w:rPr>
        <w:t>, Gates Foundation, USA</w:t>
      </w:r>
    </w:p>
    <w:p w14:paraId="764E2BD5" w14:textId="77777777" w:rsidR="008C0A0E" w:rsidRPr="00AA4CA4" w:rsidRDefault="008C0A0E" w:rsidP="008C0A0E">
      <w:pPr>
        <w:rPr>
          <w:rFonts w:asciiTheme="minorHAnsi" w:hAnsiTheme="minorHAnsi"/>
        </w:rPr>
      </w:pPr>
      <w:r w:rsidRPr="00AA4CA4">
        <w:rPr>
          <w:rFonts w:asciiTheme="minorHAnsi" w:hAnsiTheme="minorHAnsi"/>
        </w:rPr>
        <w:t>[6] Department of Biology, University of Oxford, Oxford, UK</w:t>
      </w:r>
    </w:p>
    <w:p w14:paraId="2FF4839D" w14:textId="77777777" w:rsidR="008C0A0E" w:rsidRPr="00AA4CA4" w:rsidRDefault="008C0A0E" w:rsidP="008C0A0E">
      <w:pPr>
        <w:rPr>
          <w:rFonts w:asciiTheme="minorHAnsi" w:hAnsiTheme="minorHAnsi"/>
        </w:rPr>
      </w:pPr>
      <w:r w:rsidRPr="00AA4CA4">
        <w:rPr>
          <w:rFonts w:asciiTheme="minorHAnsi" w:hAnsiTheme="minorHAnsi"/>
        </w:rPr>
        <w:t>[7] The Queen's College, University of Oxford, Oxford, UK</w:t>
      </w:r>
    </w:p>
    <w:p w14:paraId="5269F3FA" w14:textId="61F68809" w:rsidR="008C0A0E" w:rsidRDefault="008C0A0E" w:rsidP="008C0A0E">
      <w:pPr>
        <w:rPr>
          <w:rFonts w:asciiTheme="minorHAnsi" w:hAnsiTheme="minorHAnsi"/>
        </w:rPr>
      </w:pPr>
      <w:r w:rsidRPr="00AA4CA4">
        <w:rPr>
          <w:rFonts w:asciiTheme="minorHAnsi" w:hAnsiTheme="minorHAnsi"/>
        </w:rPr>
        <w:t xml:space="preserve">*Corresponding authors: fabian.sturman@oriel.ox.ac.uk,  </w:t>
      </w:r>
      <w:hyperlink r:id="rId6" w:history="1">
        <w:r w:rsidR="00CD4405" w:rsidRPr="006E54E8">
          <w:rPr>
            <w:rStyle w:val="Hyperlink"/>
            <w:rFonts w:asciiTheme="minorHAnsi" w:hAnsiTheme="minorHAnsi"/>
          </w:rPr>
          <w:t>jasmina.panovska-griffiths@queens.ox.ac.uk</w:t>
        </w:r>
      </w:hyperlink>
    </w:p>
    <w:p w14:paraId="3CB2C632" w14:textId="77777777" w:rsidR="00CD4405" w:rsidRDefault="00CD4405" w:rsidP="008C0A0E">
      <w:pPr>
        <w:rPr>
          <w:rFonts w:asciiTheme="minorHAnsi" w:hAnsiTheme="minorHAnsi"/>
        </w:rPr>
      </w:pPr>
    </w:p>
    <w:p w14:paraId="0C7B52B8" w14:textId="0DAA94D1" w:rsidR="00CD4405" w:rsidRDefault="00CD4405" w:rsidP="00AD4C5D">
      <w:pPr>
        <w:pStyle w:val="Heading1"/>
        <w:rPr>
          <w:rFonts w:ascii="Aptos" w:hAnsi="Aptos"/>
        </w:rPr>
      </w:pPr>
      <w:r>
        <w:rPr>
          <w:rFonts w:ascii="Aptos" w:hAnsi="Aptos"/>
        </w:rPr>
        <w:t>S0: Introduction</w:t>
      </w:r>
    </w:p>
    <w:p w14:paraId="2FBA004F" w14:textId="740A6FD4" w:rsidR="00CD4405" w:rsidRDefault="00CD4405" w:rsidP="00CD4405">
      <w:pPr>
        <w:rPr>
          <w:rFonts w:ascii="Aptos" w:hAnsi="Aptos"/>
          <w:lang w:eastAsia="en-US"/>
        </w:rPr>
      </w:pPr>
      <w:r w:rsidRPr="00CD4405">
        <w:rPr>
          <w:rFonts w:ascii="Aptos" w:hAnsi="Aptos"/>
          <w:lang w:eastAsia="en-US"/>
        </w:rPr>
        <w:t xml:space="preserve">This document </w:t>
      </w:r>
      <w:r>
        <w:rPr>
          <w:rFonts w:ascii="Aptos" w:hAnsi="Aptos"/>
          <w:lang w:eastAsia="en-US"/>
        </w:rPr>
        <w:t>is supplementary to our paper “</w:t>
      </w:r>
      <w:r w:rsidRPr="00CD4405">
        <w:rPr>
          <w:rFonts w:ascii="Aptos" w:hAnsi="Aptos"/>
          <w:i/>
          <w:iCs/>
          <w:lang w:eastAsia="en-US"/>
        </w:rPr>
        <w:t>Adapting the frequency of cervical screening to individual HPV vaccination status: an agent-based modelling study for England</w:t>
      </w:r>
      <w:r>
        <w:rPr>
          <w:rFonts w:ascii="Aptos" w:hAnsi="Aptos"/>
          <w:lang w:eastAsia="en-US"/>
        </w:rPr>
        <w:t>”</w:t>
      </w:r>
      <w:sdt>
        <w:sdtPr>
          <w:rPr>
            <w:rFonts w:ascii="Aptos" w:hAnsi="Aptos"/>
            <w:lang w:eastAsia="en-US"/>
          </w:rPr>
          <w:id w:val="30533963"/>
          <w:citation/>
        </w:sdtPr>
        <w:sdtContent>
          <w:r w:rsidR="004C6C53">
            <w:rPr>
              <w:rFonts w:ascii="Aptos" w:hAnsi="Aptos"/>
              <w:lang w:eastAsia="en-US"/>
            </w:rPr>
            <w:fldChar w:fldCharType="begin"/>
          </w:r>
          <w:r w:rsidR="004C6C53">
            <w:rPr>
              <w:rFonts w:ascii="Aptos" w:hAnsi="Aptos"/>
              <w:lang w:eastAsia="en-US"/>
            </w:rPr>
            <w:instrText xml:space="preserve"> CITATION Stu261 \l 2057 </w:instrText>
          </w:r>
          <w:r w:rsidR="004C6C53">
            <w:rPr>
              <w:rFonts w:ascii="Aptos" w:hAnsi="Aptos"/>
              <w:lang w:eastAsia="en-US"/>
            </w:rPr>
            <w:fldChar w:fldCharType="separate"/>
          </w:r>
          <w:r w:rsidR="00052B38">
            <w:rPr>
              <w:rFonts w:ascii="Aptos" w:hAnsi="Aptos"/>
              <w:noProof/>
              <w:lang w:eastAsia="en-US"/>
            </w:rPr>
            <w:t xml:space="preserve"> </w:t>
          </w:r>
          <w:r w:rsidR="00052B38" w:rsidRPr="00052B38">
            <w:rPr>
              <w:rFonts w:ascii="Aptos" w:hAnsi="Aptos"/>
              <w:noProof/>
              <w:lang w:eastAsia="en-US"/>
            </w:rPr>
            <w:t>[1]</w:t>
          </w:r>
          <w:r w:rsidR="004C6C53">
            <w:rPr>
              <w:rFonts w:ascii="Aptos" w:hAnsi="Aptos"/>
              <w:lang w:eastAsia="en-US"/>
            </w:rPr>
            <w:fldChar w:fldCharType="end"/>
          </w:r>
        </w:sdtContent>
      </w:sdt>
      <w:r>
        <w:rPr>
          <w:rFonts w:ascii="Aptos" w:hAnsi="Aptos"/>
          <w:lang w:eastAsia="en-US"/>
        </w:rPr>
        <w:t xml:space="preserve">, which should be read in advance of the following text. In the paper’s main body, we apply </w:t>
      </w:r>
      <w:proofErr w:type="spellStart"/>
      <w:r>
        <w:rPr>
          <w:rFonts w:ascii="Aptos" w:hAnsi="Aptos"/>
          <w:lang w:eastAsia="en-US"/>
        </w:rPr>
        <w:t>HPVsim</w:t>
      </w:r>
      <w:proofErr w:type="spellEnd"/>
      <w:r>
        <w:rPr>
          <w:rFonts w:ascii="Aptos" w:hAnsi="Aptos"/>
          <w:lang w:eastAsia="en-US"/>
        </w:rPr>
        <w:t xml:space="preserve">, an Agent Based Model (ABM) of Human Papillomavirus (HPV) and cervical cancer transmission and dynamics, to investigate the effect on cervical cancer of reducing cervical screening in England for individuals offered (or who have received) HPV vaccination. We use a version of </w:t>
      </w:r>
      <w:proofErr w:type="spellStart"/>
      <w:r>
        <w:rPr>
          <w:rFonts w:ascii="Aptos" w:hAnsi="Aptos"/>
          <w:lang w:eastAsia="en-US"/>
        </w:rPr>
        <w:t>HPVsim</w:t>
      </w:r>
      <w:proofErr w:type="spellEnd"/>
      <w:r>
        <w:rPr>
          <w:rFonts w:ascii="Aptos" w:hAnsi="Aptos"/>
          <w:lang w:eastAsia="en-US"/>
        </w:rPr>
        <w:t xml:space="preserve"> which we fitted to the English setting in an accompanying methods paper </w:t>
      </w:r>
      <w:sdt>
        <w:sdtPr>
          <w:rPr>
            <w:rFonts w:ascii="Aptos" w:hAnsi="Aptos"/>
            <w:lang w:eastAsia="en-US"/>
          </w:rPr>
          <w:id w:val="-1937668436"/>
          <w:citation/>
        </w:sdtPr>
        <w:sdtContent>
          <w:r>
            <w:rPr>
              <w:rFonts w:ascii="Aptos" w:hAnsi="Aptos"/>
              <w:lang w:eastAsia="en-US"/>
            </w:rPr>
            <w:fldChar w:fldCharType="begin"/>
          </w:r>
          <w:r>
            <w:rPr>
              <w:rFonts w:ascii="Aptos" w:hAnsi="Aptos"/>
              <w:lang w:eastAsia="en-US"/>
            </w:rPr>
            <w:instrText xml:space="preserve"> CITATION Stu26 \l 2057 </w:instrText>
          </w:r>
          <w:r>
            <w:rPr>
              <w:rFonts w:ascii="Aptos" w:hAnsi="Aptos"/>
              <w:lang w:eastAsia="en-US"/>
            </w:rPr>
            <w:fldChar w:fldCharType="separate"/>
          </w:r>
          <w:r w:rsidR="00052B38" w:rsidRPr="00052B38">
            <w:rPr>
              <w:rFonts w:ascii="Aptos" w:hAnsi="Aptos"/>
              <w:noProof/>
              <w:lang w:eastAsia="en-US"/>
            </w:rPr>
            <w:t>[2]</w:t>
          </w:r>
          <w:r>
            <w:rPr>
              <w:rFonts w:ascii="Aptos" w:hAnsi="Aptos"/>
              <w:lang w:eastAsia="en-US"/>
            </w:rPr>
            <w:fldChar w:fldCharType="end"/>
          </w:r>
        </w:sdtContent>
      </w:sdt>
      <w:r>
        <w:rPr>
          <w:rFonts w:ascii="Aptos" w:hAnsi="Aptos"/>
          <w:lang w:eastAsia="en-US"/>
        </w:rPr>
        <w:t xml:space="preserve">. We evaluate alternative screening approaches in terms of clinical cervical cancer outcomes: in particular, </w:t>
      </w:r>
      <w:r w:rsidR="00981A10">
        <w:rPr>
          <w:rFonts w:ascii="Aptos" w:hAnsi="Aptos"/>
          <w:lang w:eastAsia="en-US"/>
        </w:rPr>
        <w:t>C</w:t>
      </w:r>
      <w:r>
        <w:rPr>
          <w:rFonts w:ascii="Aptos" w:hAnsi="Aptos"/>
          <w:lang w:eastAsia="en-US"/>
        </w:rPr>
        <w:t xml:space="preserve">ervical </w:t>
      </w:r>
      <w:r w:rsidR="00981A10">
        <w:rPr>
          <w:rFonts w:ascii="Aptos" w:hAnsi="Aptos"/>
          <w:lang w:eastAsia="en-US"/>
        </w:rPr>
        <w:t>C</w:t>
      </w:r>
      <w:r>
        <w:rPr>
          <w:rFonts w:ascii="Aptos" w:hAnsi="Aptos"/>
          <w:lang w:eastAsia="en-US"/>
        </w:rPr>
        <w:t>ancer</w:t>
      </w:r>
      <w:r w:rsidR="00981A10">
        <w:rPr>
          <w:rFonts w:ascii="Aptos" w:hAnsi="Aptos"/>
          <w:lang w:eastAsia="en-US"/>
        </w:rPr>
        <w:t xml:space="preserve"> I</w:t>
      </w:r>
      <w:r>
        <w:rPr>
          <w:rFonts w:ascii="Aptos" w:hAnsi="Aptos"/>
          <w:lang w:eastAsia="en-US"/>
        </w:rPr>
        <w:t>ncidence</w:t>
      </w:r>
      <w:r w:rsidR="00981A10">
        <w:rPr>
          <w:rFonts w:ascii="Aptos" w:hAnsi="Aptos"/>
          <w:lang w:eastAsia="en-US"/>
        </w:rPr>
        <w:t xml:space="preserve"> (CCI)</w:t>
      </w:r>
      <w:r>
        <w:rPr>
          <w:rFonts w:ascii="Aptos" w:hAnsi="Aptos"/>
          <w:lang w:eastAsia="en-US"/>
        </w:rPr>
        <w:t xml:space="preserve"> and </w:t>
      </w:r>
      <w:r w:rsidR="00981A10">
        <w:rPr>
          <w:rFonts w:ascii="Aptos" w:hAnsi="Aptos"/>
          <w:lang w:eastAsia="en-US"/>
        </w:rPr>
        <w:t>Long-Term</w:t>
      </w:r>
      <w:r>
        <w:rPr>
          <w:rFonts w:ascii="Aptos" w:hAnsi="Aptos"/>
          <w:lang w:eastAsia="en-US"/>
        </w:rPr>
        <w:t xml:space="preserve"> </w:t>
      </w:r>
      <w:r w:rsidR="00981A10">
        <w:rPr>
          <w:rFonts w:ascii="Aptos" w:hAnsi="Aptos"/>
          <w:lang w:eastAsia="en-US"/>
        </w:rPr>
        <w:t>U</w:t>
      </w:r>
      <w:r>
        <w:rPr>
          <w:rFonts w:ascii="Aptos" w:hAnsi="Aptos"/>
          <w:lang w:eastAsia="en-US"/>
        </w:rPr>
        <w:t xml:space="preserve">ndiagnosed </w:t>
      </w:r>
      <w:r w:rsidR="00981A10">
        <w:rPr>
          <w:rFonts w:ascii="Aptos" w:hAnsi="Aptos"/>
          <w:lang w:eastAsia="en-US"/>
        </w:rPr>
        <w:t>P</w:t>
      </w:r>
      <w:r>
        <w:rPr>
          <w:rFonts w:ascii="Aptos" w:hAnsi="Aptos"/>
          <w:lang w:eastAsia="en-US"/>
        </w:rPr>
        <w:t xml:space="preserve">revalence </w:t>
      </w:r>
      <w:r w:rsidR="00981A10">
        <w:rPr>
          <w:rFonts w:ascii="Aptos" w:hAnsi="Aptos"/>
          <w:lang w:eastAsia="en-US"/>
        </w:rPr>
        <w:t xml:space="preserve">(LTUP) </w:t>
      </w:r>
      <w:r>
        <w:rPr>
          <w:rFonts w:ascii="Aptos" w:hAnsi="Aptos"/>
          <w:lang w:eastAsia="en-US"/>
        </w:rPr>
        <w:t xml:space="preserve">of cervical cancer. </w:t>
      </w:r>
    </w:p>
    <w:p w14:paraId="1D4418DE" w14:textId="77777777" w:rsidR="00CD4405" w:rsidRDefault="00CD4405" w:rsidP="00CD4405">
      <w:pPr>
        <w:rPr>
          <w:rFonts w:ascii="Aptos" w:hAnsi="Aptos"/>
          <w:lang w:eastAsia="en-US"/>
        </w:rPr>
      </w:pPr>
    </w:p>
    <w:p w14:paraId="77503B72" w14:textId="026368F5" w:rsidR="00CD4405" w:rsidRDefault="00CD4405" w:rsidP="00CD4405">
      <w:pPr>
        <w:rPr>
          <w:rFonts w:ascii="Aptos" w:hAnsi="Aptos"/>
          <w:lang w:eastAsia="en-US"/>
        </w:rPr>
      </w:pPr>
      <w:r>
        <w:rPr>
          <w:rFonts w:ascii="Aptos" w:hAnsi="Aptos"/>
          <w:lang w:eastAsia="en-US"/>
        </w:rPr>
        <w:t xml:space="preserve">In this document, we provide (1) further details regarding the scoping review undertaken to determine both the novelty of our work and its position within the literature scope, (2) notes on the distinction between observed cervical cancer incidence and that which we modelled, (3) additional notes on sexual mixing assumptions in our model, (4) an enumeration of cases considered in our sensitivity analysis, (5)  results from across our sensitivity analysis, and (6) additional results on missed cervical cancer cases in various subpopulations. </w:t>
      </w:r>
    </w:p>
    <w:p w14:paraId="078F27A3" w14:textId="77777777" w:rsidR="004C6C53" w:rsidRDefault="004C6C53" w:rsidP="00CD4405">
      <w:pPr>
        <w:rPr>
          <w:rFonts w:ascii="Aptos" w:hAnsi="Aptos"/>
          <w:lang w:eastAsia="en-US"/>
        </w:rPr>
      </w:pPr>
    </w:p>
    <w:p w14:paraId="3021F32B" w14:textId="0F18309E" w:rsidR="004C6C53" w:rsidRDefault="004C6C53" w:rsidP="00CD4405">
      <w:pPr>
        <w:rPr>
          <w:rFonts w:ascii="Aptos" w:hAnsi="Aptos"/>
          <w:lang w:eastAsia="en-US"/>
        </w:rPr>
      </w:pPr>
      <w:r>
        <w:rPr>
          <w:rFonts w:ascii="Aptos" w:hAnsi="Aptos"/>
          <w:lang w:eastAsia="en-US"/>
        </w:rPr>
        <w:t xml:space="preserve">All code is open source and available at our project GitHub, </w:t>
      </w:r>
      <w:sdt>
        <w:sdtPr>
          <w:rPr>
            <w:rFonts w:ascii="Aptos" w:hAnsi="Aptos"/>
            <w:lang w:eastAsia="en-US"/>
          </w:rPr>
          <w:id w:val="-533736147"/>
          <w:citation/>
        </w:sdtPr>
        <w:sdtContent>
          <w:r>
            <w:rPr>
              <w:rFonts w:ascii="Aptos" w:hAnsi="Aptos"/>
              <w:lang w:eastAsia="en-US"/>
            </w:rPr>
            <w:fldChar w:fldCharType="begin"/>
          </w:r>
          <w:r>
            <w:rPr>
              <w:rFonts w:ascii="Aptos" w:hAnsi="Aptos"/>
              <w:lang w:eastAsia="en-US"/>
            </w:rPr>
            <w:instrText xml:space="preserve"> CITATION Stu \l 2057 </w:instrText>
          </w:r>
          <w:r>
            <w:rPr>
              <w:rFonts w:ascii="Aptos" w:hAnsi="Aptos"/>
              <w:lang w:eastAsia="en-US"/>
            </w:rPr>
            <w:fldChar w:fldCharType="separate"/>
          </w:r>
          <w:r w:rsidR="00052B38" w:rsidRPr="00052B38">
            <w:rPr>
              <w:rFonts w:ascii="Aptos" w:hAnsi="Aptos"/>
              <w:noProof/>
              <w:lang w:eastAsia="en-US"/>
            </w:rPr>
            <w:t>[3]</w:t>
          </w:r>
          <w:r>
            <w:rPr>
              <w:rFonts w:ascii="Aptos" w:hAnsi="Aptos"/>
              <w:lang w:eastAsia="en-US"/>
            </w:rPr>
            <w:fldChar w:fldCharType="end"/>
          </w:r>
        </w:sdtContent>
      </w:sdt>
      <w:r>
        <w:rPr>
          <w:rFonts w:ascii="Aptos" w:hAnsi="Aptos"/>
          <w:lang w:eastAsia="en-US"/>
        </w:rPr>
        <w:t xml:space="preserve">. </w:t>
      </w:r>
    </w:p>
    <w:p w14:paraId="3ABE3FF8" w14:textId="77777777" w:rsidR="00CD4405" w:rsidRDefault="00CD4405">
      <w:pPr>
        <w:rPr>
          <w:rFonts w:ascii="Aptos" w:hAnsi="Aptos"/>
          <w:lang w:eastAsia="en-US"/>
        </w:rPr>
      </w:pPr>
      <w:r>
        <w:rPr>
          <w:rFonts w:ascii="Aptos" w:hAnsi="Aptos"/>
          <w:lang w:eastAsia="en-US"/>
        </w:rPr>
        <w:br w:type="page"/>
      </w:r>
    </w:p>
    <w:p w14:paraId="4CE61744" w14:textId="38C58490" w:rsidR="00F61CF1" w:rsidRPr="00855381" w:rsidRDefault="00252AC5" w:rsidP="00AD4C5D">
      <w:pPr>
        <w:pStyle w:val="Heading1"/>
        <w:rPr>
          <w:rFonts w:ascii="Aptos" w:hAnsi="Aptos"/>
        </w:rPr>
      </w:pPr>
      <w:r>
        <w:rPr>
          <w:rFonts w:ascii="Aptos" w:hAnsi="Aptos"/>
        </w:rPr>
        <w:lastRenderedPageBreak/>
        <w:t xml:space="preserve">S1: </w:t>
      </w:r>
      <w:r w:rsidR="00F61CF1" w:rsidRPr="00855381">
        <w:rPr>
          <w:rFonts w:ascii="Aptos" w:hAnsi="Aptos"/>
        </w:rPr>
        <w:t>Scoping Review</w:t>
      </w:r>
      <w:r>
        <w:rPr>
          <w:rFonts w:ascii="Aptos" w:hAnsi="Aptos"/>
        </w:rPr>
        <w:t xml:space="preserve"> Details</w:t>
      </w:r>
    </w:p>
    <w:p w14:paraId="68D6C5C8" w14:textId="410E8CCF" w:rsidR="00F61CF1" w:rsidRPr="00855381" w:rsidRDefault="00F61CF1" w:rsidP="00F61CF1">
      <w:pPr>
        <w:rPr>
          <w:rFonts w:ascii="Aptos" w:hAnsi="Aptos"/>
        </w:rPr>
      </w:pPr>
      <w:r w:rsidRPr="00855381">
        <w:rPr>
          <w:rFonts w:ascii="Aptos" w:hAnsi="Aptos"/>
        </w:rPr>
        <w:t xml:space="preserve">We searched on PUBMED for </w:t>
      </w:r>
      <w:r w:rsidRPr="00855381">
        <w:rPr>
          <w:rFonts w:ascii="Aptos" w:hAnsi="Aptos"/>
          <w:i/>
          <w:iCs/>
        </w:rPr>
        <w:t>(((cervical cancer) OR (cervical screening)) AND (model*)) AND ((England) OR (united kingdom) OR (UK)) AND (</w:t>
      </w:r>
      <w:proofErr w:type="spellStart"/>
      <w:r w:rsidRPr="00855381">
        <w:rPr>
          <w:rFonts w:ascii="Aptos" w:hAnsi="Aptos"/>
          <w:i/>
          <w:iCs/>
        </w:rPr>
        <w:t>vaccin</w:t>
      </w:r>
      <w:proofErr w:type="spellEnd"/>
      <w:r w:rsidRPr="00855381">
        <w:rPr>
          <w:rFonts w:ascii="Aptos" w:hAnsi="Aptos"/>
          <w:i/>
          <w:iCs/>
        </w:rPr>
        <w:t>*)</w:t>
      </w:r>
      <w:r w:rsidRPr="00855381">
        <w:rPr>
          <w:rFonts w:ascii="Aptos" w:hAnsi="Aptos"/>
        </w:rPr>
        <w:t xml:space="preserve">, to find for papers which consider screening in the context of vaccination status within England, with articles from the last 10 years. We repeated this search without the England/united kingdom/UK clause. For found article, we also checked all sources cited by/citing that </w:t>
      </w:r>
      <w:r w:rsidR="00042959" w:rsidRPr="00855381">
        <w:rPr>
          <w:rFonts w:ascii="Aptos" w:hAnsi="Aptos"/>
        </w:rPr>
        <w:t>article</w:t>
      </w:r>
      <w:r w:rsidRPr="00855381">
        <w:rPr>
          <w:rFonts w:ascii="Aptos" w:hAnsi="Aptos"/>
        </w:rPr>
        <w:t>.</w:t>
      </w:r>
    </w:p>
    <w:p w14:paraId="24430A48" w14:textId="77777777" w:rsidR="00964018" w:rsidRPr="00855381" w:rsidRDefault="00964018" w:rsidP="00F61CF1">
      <w:pPr>
        <w:rPr>
          <w:rFonts w:ascii="Aptos" w:hAnsi="Aptos"/>
        </w:rPr>
      </w:pPr>
    </w:p>
    <w:p w14:paraId="7C6F97F2" w14:textId="77777777" w:rsidR="00CD4405" w:rsidRDefault="00CD4405">
      <w:pPr>
        <w:rPr>
          <w:rFonts w:ascii="Aptos" w:eastAsiaTheme="majorEastAsia" w:hAnsi="Aptos" w:cstheme="majorBidi"/>
          <w:color w:val="0F4761" w:themeColor="accent1" w:themeShade="BF"/>
          <w:kern w:val="2"/>
          <w:sz w:val="40"/>
          <w:szCs w:val="40"/>
          <w:lang w:eastAsia="en-US"/>
          <w14:ligatures w14:val="standardContextual"/>
        </w:rPr>
      </w:pPr>
      <w:r>
        <w:rPr>
          <w:rFonts w:ascii="Aptos" w:hAnsi="Aptos"/>
        </w:rPr>
        <w:br w:type="page"/>
      </w:r>
    </w:p>
    <w:p w14:paraId="5F56D7F5" w14:textId="2FA8DE94" w:rsidR="00964018" w:rsidRPr="00855381" w:rsidRDefault="00252AC5" w:rsidP="00964018">
      <w:pPr>
        <w:pStyle w:val="Heading1"/>
        <w:rPr>
          <w:rFonts w:ascii="Aptos" w:hAnsi="Aptos"/>
        </w:rPr>
      </w:pPr>
      <w:r>
        <w:rPr>
          <w:rFonts w:ascii="Aptos" w:hAnsi="Aptos"/>
        </w:rPr>
        <w:lastRenderedPageBreak/>
        <w:t>S2: I</w:t>
      </w:r>
      <w:r w:rsidR="00964018" w:rsidRPr="00855381">
        <w:rPr>
          <w:rFonts w:ascii="Aptos" w:hAnsi="Aptos"/>
        </w:rPr>
        <w:t>nterpretation of observed and modelled cervical cancer incidence</w:t>
      </w:r>
    </w:p>
    <w:p w14:paraId="0C7647F4" w14:textId="77777777" w:rsidR="00964018" w:rsidRPr="00855381" w:rsidRDefault="00964018" w:rsidP="00964018">
      <w:pPr>
        <w:rPr>
          <w:rFonts w:ascii="Aptos" w:hAnsi="Aptos"/>
        </w:rPr>
      </w:pPr>
      <w:r w:rsidRPr="00855381">
        <w:rPr>
          <w:rFonts w:ascii="Aptos" w:hAnsi="Aptos"/>
        </w:rPr>
        <w:t>Under changing cervical screening practices, there are three distinct interpretations of `cervical cancer incidence’ (and equivalently, three options for all other cervical cancer metrics): (1) `true’ incidence (the number of individuals with cancer, whether or not the cancer has been observed), (2) observed incidence under continued 5-yearly screening, and (3) observed incidence under reduced screening. The distinction between (1) and (2) is important for accurate calibration of the model (where we need to model true, unobserved, cervical cancer incidence). The distinction between (2) and (3) is needed to rigorously evaluate counterfactuals.</w:t>
      </w:r>
    </w:p>
    <w:p w14:paraId="30B3243F" w14:textId="77777777" w:rsidR="00964018" w:rsidRPr="00855381" w:rsidRDefault="00964018" w:rsidP="00964018">
      <w:pPr>
        <w:rPr>
          <w:rFonts w:ascii="Aptos" w:hAnsi="Aptos"/>
        </w:rPr>
      </w:pPr>
    </w:p>
    <w:p w14:paraId="63825F19" w14:textId="66F8060C" w:rsidR="00964018" w:rsidRPr="00855381" w:rsidRDefault="00964018" w:rsidP="00964018">
      <w:pPr>
        <w:rPr>
          <w:rFonts w:ascii="Aptos" w:hAnsi="Aptos"/>
          <w:b/>
          <w:bCs/>
        </w:rPr>
      </w:pPr>
      <w:r w:rsidRPr="00855381">
        <w:rPr>
          <w:rFonts w:ascii="Aptos" w:hAnsi="Aptos"/>
        </w:rPr>
        <w:t>We calibrate against observed new cases of cervical cancer</w:t>
      </w:r>
      <w:r w:rsidR="00530581">
        <w:rPr>
          <w:rFonts w:ascii="Aptos" w:hAnsi="Aptos"/>
        </w:rPr>
        <w:t xml:space="preserve"> (</w:t>
      </w:r>
      <w:sdt>
        <w:sdtPr>
          <w:rPr>
            <w:rFonts w:ascii="Aptos" w:hAnsi="Aptos"/>
          </w:rPr>
          <w:id w:val="-1137872128"/>
          <w:citation/>
        </w:sdtPr>
        <w:sdtContent>
          <w:r w:rsidR="00530581">
            <w:rPr>
              <w:rFonts w:ascii="Aptos" w:hAnsi="Aptos"/>
            </w:rPr>
            <w:fldChar w:fldCharType="begin"/>
          </w:r>
          <w:r w:rsidR="00530581">
            <w:rPr>
              <w:rFonts w:ascii="Aptos" w:hAnsi="Aptos"/>
            </w:rPr>
            <w:instrText xml:space="preserve"> CITATION Gil25 \l 2057 </w:instrText>
          </w:r>
          <w:r w:rsidR="00530581">
            <w:rPr>
              <w:rFonts w:ascii="Aptos" w:hAnsi="Aptos"/>
            </w:rPr>
            <w:fldChar w:fldCharType="separate"/>
          </w:r>
          <w:r w:rsidR="00052B38">
            <w:rPr>
              <w:rFonts w:ascii="Aptos" w:hAnsi="Aptos"/>
              <w:noProof/>
            </w:rPr>
            <w:t xml:space="preserve"> </w:t>
          </w:r>
          <w:r w:rsidR="00052B38" w:rsidRPr="00052B38">
            <w:rPr>
              <w:rFonts w:ascii="Aptos" w:hAnsi="Aptos"/>
              <w:noProof/>
            </w:rPr>
            <w:t>[4]</w:t>
          </w:r>
          <w:r w:rsidR="00530581">
            <w:rPr>
              <w:rFonts w:ascii="Aptos" w:hAnsi="Aptos"/>
            </w:rPr>
            <w:fldChar w:fldCharType="end"/>
          </w:r>
        </w:sdtContent>
      </w:sdt>
      <w:r w:rsidR="00530581">
        <w:rPr>
          <w:rFonts w:ascii="Aptos" w:hAnsi="Aptos"/>
        </w:rPr>
        <w:t>,</w:t>
      </w:r>
      <w:sdt>
        <w:sdtPr>
          <w:rPr>
            <w:rFonts w:ascii="Aptos" w:hAnsi="Aptos"/>
          </w:rPr>
          <w:id w:val="-1374840698"/>
          <w:citation/>
        </w:sdtPr>
        <w:sdtContent>
          <w:r w:rsidR="00530581">
            <w:rPr>
              <w:rFonts w:ascii="Aptos" w:hAnsi="Aptos"/>
            </w:rPr>
            <w:fldChar w:fldCharType="begin"/>
          </w:r>
          <w:r w:rsidR="00530581">
            <w:rPr>
              <w:rFonts w:ascii="Aptos" w:hAnsi="Aptos"/>
            </w:rPr>
            <w:instrText xml:space="preserve"> CITATION Mes14 \l 2057 </w:instrText>
          </w:r>
          <w:r w:rsidR="00530581">
            <w:rPr>
              <w:rFonts w:ascii="Aptos" w:hAnsi="Aptos"/>
            </w:rPr>
            <w:fldChar w:fldCharType="separate"/>
          </w:r>
          <w:r w:rsidR="00052B38">
            <w:rPr>
              <w:rFonts w:ascii="Aptos" w:hAnsi="Aptos"/>
              <w:noProof/>
            </w:rPr>
            <w:t xml:space="preserve"> </w:t>
          </w:r>
          <w:r w:rsidR="00052B38" w:rsidRPr="00052B38">
            <w:rPr>
              <w:rFonts w:ascii="Aptos" w:hAnsi="Aptos"/>
              <w:noProof/>
            </w:rPr>
            <w:t>[5]</w:t>
          </w:r>
          <w:r w:rsidR="00530581">
            <w:rPr>
              <w:rFonts w:ascii="Aptos" w:hAnsi="Aptos"/>
            </w:rPr>
            <w:fldChar w:fldCharType="end"/>
          </w:r>
        </w:sdtContent>
      </w:sdt>
      <w:r w:rsidR="00530581">
        <w:rPr>
          <w:rFonts w:ascii="Aptos" w:hAnsi="Aptos"/>
        </w:rPr>
        <w:t>,</w:t>
      </w:r>
      <w:sdt>
        <w:sdtPr>
          <w:rPr>
            <w:rFonts w:ascii="Aptos" w:hAnsi="Aptos"/>
          </w:rPr>
          <w:id w:val="1343735871"/>
          <w:citation/>
        </w:sdtPr>
        <w:sdtContent>
          <w:r w:rsidR="00530581">
            <w:rPr>
              <w:rFonts w:ascii="Aptos" w:hAnsi="Aptos"/>
            </w:rPr>
            <w:fldChar w:fldCharType="begin"/>
          </w:r>
          <w:r w:rsidR="00530581">
            <w:rPr>
              <w:rFonts w:ascii="Aptos" w:hAnsi="Aptos"/>
            </w:rPr>
            <w:instrText xml:space="preserve"> CITATION NHS26 \l 2057 </w:instrText>
          </w:r>
          <w:r w:rsidR="00530581">
            <w:rPr>
              <w:rFonts w:ascii="Aptos" w:hAnsi="Aptos"/>
            </w:rPr>
            <w:fldChar w:fldCharType="separate"/>
          </w:r>
          <w:r w:rsidR="00052B38">
            <w:rPr>
              <w:rFonts w:ascii="Aptos" w:hAnsi="Aptos"/>
              <w:noProof/>
            </w:rPr>
            <w:t xml:space="preserve"> </w:t>
          </w:r>
          <w:r w:rsidR="00052B38" w:rsidRPr="00052B38">
            <w:rPr>
              <w:rFonts w:ascii="Aptos" w:hAnsi="Aptos"/>
              <w:noProof/>
            </w:rPr>
            <w:t>[6]</w:t>
          </w:r>
          <w:r w:rsidR="00530581">
            <w:rPr>
              <w:rFonts w:ascii="Aptos" w:hAnsi="Aptos"/>
            </w:rPr>
            <w:fldChar w:fldCharType="end"/>
          </w:r>
        </w:sdtContent>
      </w:sdt>
      <w:r w:rsidR="00530581">
        <w:rPr>
          <w:rFonts w:ascii="Aptos" w:hAnsi="Aptos"/>
        </w:rPr>
        <w:t>)</w:t>
      </w:r>
      <w:r w:rsidRPr="00855381">
        <w:rPr>
          <w:rFonts w:ascii="Aptos" w:hAnsi="Aptos"/>
        </w:rPr>
        <w:t xml:space="preserve">, which implicitly assumes this is the ground truth number of cervical cancers in the population. While it is the case that there will be undiagnosed cancers at any point in time, if we assume that the distribution of ground truth cervical cancer incidence in England changes smoothly over time (i.e. is locally stationary), and that the distribution of when a cervical cancer is diagnosed in an individual’s lifetime also changes little over the 11 years of incidence observations, then this calibration data serves as a good proxy for true cervical cancer incidence. That is, the number of unobserved cancers that are incident between timepoints </w:t>
      </w:r>
      <w:r w:rsidR="00CD4405">
        <w:rPr>
          <w:rFonts w:ascii="Aptos" w:hAnsi="Aptos"/>
        </w:rPr>
        <w:t>t</w:t>
      </w:r>
      <w:r w:rsidR="00CD4405">
        <w:rPr>
          <w:rFonts w:ascii="Aptos" w:hAnsi="Aptos"/>
          <w:vertAlign w:val="subscript"/>
        </w:rPr>
        <w:t xml:space="preserve">1 </w:t>
      </w:r>
      <w:r w:rsidR="00CD4405">
        <w:rPr>
          <w:rFonts w:ascii="Aptos" w:hAnsi="Aptos"/>
        </w:rPr>
        <w:t>and t</w:t>
      </w:r>
      <w:r w:rsidR="00CD4405">
        <w:rPr>
          <w:rFonts w:ascii="Aptos" w:hAnsi="Aptos"/>
          <w:vertAlign w:val="subscript"/>
        </w:rPr>
        <w:t>2</w:t>
      </w:r>
      <w:r w:rsidR="00CD4405">
        <w:rPr>
          <w:rFonts w:ascii="Aptos" w:hAnsi="Aptos"/>
        </w:rPr>
        <w:t xml:space="preserve"> </w:t>
      </w:r>
      <w:r w:rsidRPr="00855381">
        <w:rPr>
          <w:rFonts w:ascii="Aptos" w:hAnsi="Aptos"/>
        </w:rPr>
        <w:t xml:space="preserve">will be balanced by the number of incident cancers from previous timepoints that were not previously </w:t>
      </w:r>
      <w:proofErr w:type="gramStart"/>
      <w:r w:rsidRPr="00855381">
        <w:rPr>
          <w:rFonts w:ascii="Aptos" w:hAnsi="Aptos"/>
        </w:rPr>
        <w:t>observed, but</w:t>
      </w:r>
      <w:proofErr w:type="gramEnd"/>
      <w:r w:rsidRPr="00855381">
        <w:rPr>
          <w:rFonts w:ascii="Aptos" w:hAnsi="Aptos"/>
        </w:rPr>
        <w:t xml:space="preserve"> were observed in this interval. This assumption is justified in the 11-year interval in which we have calibrated data, which occurs while the vaccine-ineligible </w:t>
      </w:r>
      <w:r w:rsidR="00116E8A">
        <w:rPr>
          <w:rFonts w:ascii="Aptos" w:hAnsi="Aptos"/>
        </w:rPr>
        <w:t>cohort</w:t>
      </w:r>
      <w:r w:rsidRPr="00855381">
        <w:rPr>
          <w:rFonts w:ascii="Aptos" w:hAnsi="Aptos"/>
        </w:rPr>
        <w:t xml:space="preserve"> is highly dominant (at the end of the calibration period, year 2022, the vaccine-eligible </w:t>
      </w:r>
      <w:r w:rsidR="00116E8A">
        <w:rPr>
          <w:rFonts w:ascii="Aptos" w:hAnsi="Aptos"/>
        </w:rPr>
        <w:t>cohort</w:t>
      </w:r>
      <w:r w:rsidRPr="00855381">
        <w:rPr>
          <w:rFonts w:ascii="Aptos" w:hAnsi="Aptos"/>
        </w:rPr>
        <w:t xml:space="preserve"> is at most 27 years old; this is before a significant distribution shift that would violate our assumptions). Further we note that decreasing cervical cancer rates lead to a higher count of late-diagnosed cancers than missed incidence, meaning any inaccuracy in our calibration will be biased towards overestimation of cervical cancers; this does not change our conclusions when comparing algorithms (relative differences between algorithms’ outcomes remain the same), but does mean any inaccuracy due to discrepancy between (1) and (2) will push towards underestimation of elimination probabilities.</w:t>
      </w:r>
    </w:p>
    <w:p w14:paraId="1B873699" w14:textId="77777777" w:rsidR="00964018" w:rsidRPr="00855381" w:rsidRDefault="00964018" w:rsidP="00964018">
      <w:pPr>
        <w:rPr>
          <w:rFonts w:ascii="Aptos" w:hAnsi="Aptos"/>
        </w:rPr>
      </w:pPr>
    </w:p>
    <w:p w14:paraId="2D46505E" w14:textId="77777777" w:rsidR="00964018" w:rsidRPr="00855381" w:rsidRDefault="00964018" w:rsidP="00964018">
      <w:pPr>
        <w:rPr>
          <w:rFonts w:ascii="Aptos" w:hAnsi="Aptos"/>
        </w:rPr>
      </w:pPr>
      <w:r w:rsidRPr="00855381">
        <w:rPr>
          <w:rFonts w:ascii="Aptos" w:hAnsi="Aptos"/>
        </w:rPr>
        <w:t xml:space="preserve">We avoid the distinction between (2) and (3) by defining cancer incidence in our model as the number of agents with cervical cancer, only making a distinction between diagnosed and undiagnosed cervical cancers in our metrics ‘long-term undiagnosed prevalence’, ‘missed cervical cancer prevalence’ and ‘screens per diagnosis’. For example, this allows us to correctly identify that the complete removal of screening for vaccinated individuals leads to a large increase in cervical cancer incidence for vaccinated individuals (where all these cancers will be `unobserved’ in terms of routine screening, which in this scenario does not cover the vaccinated subpopulation). This ensures that cervical cancer incidence metrics are not biased by different screening intensities. </w:t>
      </w:r>
    </w:p>
    <w:p w14:paraId="51C56AD0" w14:textId="77777777" w:rsidR="00964018" w:rsidRDefault="00964018" w:rsidP="00964018">
      <w:pPr>
        <w:rPr>
          <w:rFonts w:ascii="Aptos" w:hAnsi="Aptos"/>
        </w:rPr>
      </w:pPr>
    </w:p>
    <w:p w14:paraId="72EFEB5A" w14:textId="77777777" w:rsidR="000414BF" w:rsidRDefault="000414BF">
      <w:pPr>
        <w:rPr>
          <w:rFonts w:ascii="Aptos" w:eastAsiaTheme="majorEastAsia" w:hAnsi="Aptos" w:cstheme="majorBidi"/>
          <w:color w:val="0F4761" w:themeColor="accent1" w:themeShade="BF"/>
          <w:kern w:val="2"/>
          <w:sz w:val="40"/>
          <w:szCs w:val="40"/>
          <w:lang w:eastAsia="en-US"/>
          <w14:ligatures w14:val="standardContextual"/>
        </w:rPr>
      </w:pPr>
      <w:r>
        <w:rPr>
          <w:rFonts w:ascii="Aptos" w:hAnsi="Aptos"/>
        </w:rPr>
        <w:br w:type="page"/>
      </w:r>
    </w:p>
    <w:p w14:paraId="660B58DE" w14:textId="18543E8A" w:rsidR="00043EBC" w:rsidRPr="00043EBC" w:rsidRDefault="00252AC5" w:rsidP="00043EBC">
      <w:pPr>
        <w:pStyle w:val="Heading1"/>
        <w:rPr>
          <w:rFonts w:ascii="Aptos" w:hAnsi="Aptos"/>
        </w:rPr>
      </w:pPr>
      <w:r>
        <w:rPr>
          <w:rFonts w:ascii="Aptos" w:hAnsi="Aptos"/>
        </w:rPr>
        <w:lastRenderedPageBreak/>
        <w:t>S3: Sexual Mixing Considerations</w:t>
      </w:r>
    </w:p>
    <w:p w14:paraId="5F4BDDA3" w14:textId="45150517" w:rsidR="00043EBC" w:rsidRPr="00043EBC" w:rsidRDefault="00043EBC" w:rsidP="00043EBC">
      <w:pPr>
        <w:rPr>
          <w:rFonts w:ascii="Aptos" w:hAnsi="Aptos"/>
          <w:lang w:eastAsia="en-US"/>
        </w:rPr>
      </w:pPr>
      <w:r w:rsidRPr="00043EBC">
        <w:rPr>
          <w:rFonts w:ascii="Aptos" w:hAnsi="Aptos"/>
          <w:lang w:eastAsia="en-US"/>
        </w:rPr>
        <w:t>As our model did not account for mixing associativity by vaccine uptake, it overestimated mixing effect between these two subpopulations. By observing negligible cross-effect between screening intervals of the vaccinated and unvaccinated vaccine-eligible subpopulations, even when this cross-effect is overestimated, we can further justify the use of hybrid screening strategies: the optimal screening strategies for vaccinated and unvaccinated vaccine-eligible individuals negligibly interfere with each other.</w:t>
      </w:r>
    </w:p>
    <w:p w14:paraId="27F1F698" w14:textId="77777777" w:rsidR="008710ED" w:rsidRPr="00855381" w:rsidRDefault="008710ED" w:rsidP="008710ED">
      <w:pPr>
        <w:rPr>
          <w:rFonts w:ascii="Aptos" w:hAnsi="Aptos"/>
        </w:rPr>
      </w:pPr>
    </w:p>
    <w:p w14:paraId="155440E5" w14:textId="77777777" w:rsidR="000414BF" w:rsidRDefault="000414BF">
      <w:pPr>
        <w:rPr>
          <w:rFonts w:ascii="Aptos" w:eastAsiaTheme="majorEastAsia" w:hAnsi="Aptos" w:cstheme="majorBidi"/>
          <w:color w:val="0F4761" w:themeColor="accent1" w:themeShade="BF"/>
          <w:kern w:val="2"/>
          <w:sz w:val="40"/>
          <w:szCs w:val="40"/>
          <w:lang w:eastAsia="en-US"/>
          <w14:ligatures w14:val="standardContextual"/>
        </w:rPr>
      </w:pPr>
      <w:r>
        <w:rPr>
          <w:rFonts w:ascii="Aptos" w:hAnsi="Aptos"/>
        </w:rPr>
        <w:br w:type="page"/>
      </w:r>
    </w:p>
    <w:p w14:paraId="4956A171" w14:textId="7924D6E0" w:rsidR="008710ED" w:rsidRPr="00855381" w:rsidRDefault="00252AC5" w:rsidP="008710ED">
      <w:pPr>
        <w:pStyle w:val="Heading1"/>
        <w:rPr>
          <w:rFonts w:ascii="Aptos" w:hAnsi="Aptos"/>
        </w:rPr>
      </w:pPr>
      <w:r>
        <w:rPr>
          <w:rFonts w:ascii="Aptos" w:hAnsi="Aptos"/>
        </w:rPr>
        <w:lastRenderedPageBreak/>
        <w:t xml:space="preserve">S4: </w:t>
      </w:r>
      <w:r w:rsidR="00F025AC" w:rsidRPr="00855381">
        <w:rPr>
          <w:rFonts w:ascii="Aptos" w:hAnsi="Aptos"/>
        </w:rPr>
        <w:t xml:space="preserve">Model Parameterisation and </w:t>
      </w:r>
      <w:r w:rsidR="008710ED" w:rsidRPr="00855381">
        <w:rPr>
          <w:rFonts w:ascii="Aptos" w:hAnsi="Aptos"/>
        </w:rPr>
        <w:t>Sensitivity Analyses</w:t>
      </w:r>
    </w:p>
    <w:p w14:paraId="6362F79B" w14:textId="6BB3792F" w:rsidR="00AD4C5D" w:rsidRPr="00855381" w:rsidRDefault="00AD4C5D" w:rsidP="004C6C53">
      <w:pPr>
        <w:rPr>
          <w:rFonts w:ascii="Aptos" w:hAnsi="Aptos"/>
        </w:rPr>
      </w:pPr>
      <w:r w:rsidRPr="00855381">
        <w:rPr>
          <w:rFonts w:ascii="Aptos" w:hAnsi="Aptos"/>
        </w:rPr>
        <w:t xml:space="preserve">Our model parameterisation was informed by our existing work on fitting </w:t>
      </w:r>
      <w:proofErr w:type="spellStart"/>
      <w:r w:rsidRPr="00855381">
        <w:rPr>
          <w:rFonts w:ascii="Aptos" w:hAnsi="Aptos"/>
        </w:rPr>
        <w:t>HPVsim</w:t>
      </w:r>
      <w:proofErr w:type="spellEnd"/>
      <w:r w:rsidRPr="00855381">
        <w:rPr>
          <w:rFonts w:ascii="Aptos" w:hAnsi="Aptos"/>
        </w:rPr>
        <w:t xml:space="preserve"> to the English setting</w:t>
      </w:r>
      <w:r w:rsidR="00252AC5">
        <w:rPr>
          <w:rFonts w:ascii="Aptos" w:hAnsi="Aptos"/>
        </w:rPr>
        <w:t xml:space="preserve">. </w:t>
      </w:r>
      <w:r w:rsidR="004C6C53">
        <w:rPr>
          <w:rFonts w:ascii="Aptos" w:hAnsi="Aptos"/>
        </w:rPr>
        <w:t xml:space="preserve">For our central analysis, we retain the parameterisation and calibration of </w:t>
      </w:r>
      <w:proofErr w:type="spellStart"/>
      <w:r w:rsidR="004C6C53">
        <w:rPr>
          <w:rFonts w:ascii="Aptos" w:hAnsi="Aptos"/>
        </w:rPr>
        <w:t>HPVsim</w:t>
      </w:r>
      <w:proofErr w:type="spellEnd"/>
      <w:r w:rsidR="004C6C53">
        <w:rPr>
          <w:rFonts w:ascii="Aptos" w:hAnsi="Aptos"/>
        </w:rPr>
        <w:t xml:space="preserve"> used in our accompanying methods paper </w:t>
      </w:r>
      <w:sdt>
        <w:sdtPr>
          <w:rPr>
            <w:rFonts w:ascii="Aptos" w:hAnsi="Aptos"/>
          </w:rPr>
          <w:id w:val="1269588051"/>
          <w:citation/>
        </w:sdtPr>
        <w:sdtContent>
          <w:r w:rsidR="004C6C53">
            <w:rPr>
              <w:rFonts w:ascii="Aptos" w:hAnsi="Aptos"/>
            </w:rPr>
            <w:fldChar w:fldCharType="begin"/>
          </w:r>
          <w:r w:rsidR="004C6C53">
            <w:rPr>
              <w:rFonts w:ascii="Aptos" w:hAnsi="Aptos"/>
            </w:rPr>
            <w:instrText xml:space="preserve"> CITATION Stu26 \l 2057 </w:instrText>
          </w:r>
          <w:r w:rsidR="004C6C53">
            <w:rPr>
              <w:rFonts w:ascii="Aptos" w:hAnsi="Aptos"/>
            </w:rPr>
            <w:fldChar w:fldCharType="separate"/>
          </w:r>
          <w:r w:rsidR="00052B38" w:rsidRPr="00052B38">
            <w:rPr>
              <w:rFonts w:ascii="Aptos" w:hAnsi="Aptos"/>
              <w:noProof/>
            </w:rPr>
            <w:t>[2]</w:t>
          </w:r>
          <w:r w:rsidR="004C6C53">
            <w:rPr>
              <w:rFonts w:ascii="Aptos" w:hAnsi="Aptos"/>
            </w:rPr>
            <w:fldChar w:fldCharType="end"/>
          </w:r>
        </w:sdtContent>
      </w:sdt>
      <w:r w:rsidR="004C6C53">
        <w:rPr>
          <w:rFonts w:ascii="Aptos" w:hAnsi="Aptos"/>
        </w:rPr>
        <w:t>, while we additionally perform six sensitivity analysis (</w:t>
      </w:r>
      <w:r w:rsidR="004C6C53">
        <w:rPr>
          <w:rFonts w:ascii="Aptos" w:hAnsi="Aptos"/>
        </w:rPr>
        <w:fldChar w:fldCharType="begin"/>
      </w:r>
      <w:r w:rsidR="004C6C53">
        <w:rPr>
          <w:rFonts w:ascii="Aptos" w:hAnsi="Aptos"/>
        </w:rPr>
        <w:instrText xml:space="preserve"> REF _Ref241330718 \h </w:instrText>
      </w:r>
      <w:r w:rsidR="004C6C53">
        <w:rPr>
          <w:rFonts w:ascii="Aptos" w:hAnsi="Aptos"/>
        </w:rPr>
      </w:r>
      <w:r w:rsidR="004C6C53">
        <w:rPr>
          <w:rFonts w:ascii="Aptos" w:hAnsi="Aptos"/>
        </w:rPr>
        <w:fldChar w:fldCharType="separate"/>
      </w:r>
      <w:r w:rsidR="00052B38" w:rsidRPr="006719F5">
        <w:rPr>
          <w:rFonts w:ascii="Aptos" w:hAnsi="Aptos"/>
        </w:rPr>
        <w:t xml:space="preserve">Table </w:t>
      </w:r>
      <w:r w:rsidR="00052B38">
        <w:rPr>
          <w:rFonts w:ascii="Aptos" w:hAnsi="Aptos"/>
          <w:noProof/>
        </w:rPr>
        <w:t>1</w:t>
      </w:r>
      <w:r w:rsidR="004C6C53">
        <w:rPr>
          <w:rFonts w:ascii="Aptos" w:hAnsi="Aptos"/>
        </w:rPr>
        <w:fldChar w:fldCharType="end"/>
      </w:r>
      <w:r w:rsidR="004C6C53">
        <w:rPr>
          <w:rFonts w:ascii="Aptos" w:hAnsi="Aptos"/>
        </w:rPr>
        <w:t>)</w:t>
      </w:r>
      <w:r w:rsidR="004C6C53" w:rsidRPr="00855381">
        <w:rPr>
          <w:rFonts w:ascii="Aptos" w:hAnsi="Aptos"/>
        </w:rPr>
        <w:t>.</w:t>
      </w:r>
      <w:r w:rsidR="004C6C53">
        <w:rPr>
          <w:rFonts w:ascii="Aptos" w:hAnsi="Aptos"/>
        </w:rPr>
        <w:t xml:space="preserve"> </w:t>
      </w:r>
    </w:p>
    <w:p w14:paraId="0C2D8052" w14:textId="77777777" w:rsidR="00AD4C5D" w:rsidRPr="00855381" w:rsidRDefault="00AD4C5D" w:rsidP="00AD4C5D">
      <w:pPr>
        <w:rPr>
          <w:rFonts w:ascii="Aptos" w:hAnsi="Aptos"/>
        </w:rPr>
      </w:pPr>
    </w:p>
    <w:p w14:paraId="4BD558BF" w14:textId="38D727F7" w:rsidR="00AD4C5D" w:rsidRPr="00855381" w:rsidRDefault="00AD4C5D" w:rsidP="00AD4C5D">
      <w:pPr>
        <w:rPr>
          <w:rFonts w:ascii="Aptos" w:hAnsi="Aptos"/>
        </w:rPr>
      </w:pPr>
      <w:r w:rsidRPr="00855381">
        <w:rPr>
          <w:rFonts w:ascii="Aptos" w:hAnsi="Aptos"/>
        </w:rPr>
        <w:t>Each sensitivity analysis consists of varying salient model parameters, recalibrating the model to the dataset, validating the calibration, and re-running the full set of projections with the newly parameterised model. This allows the conclusions we draw to be informed by a wide range of possible model parameterisations, and aims for robustness of policy implications of our paper.</w:t>
      </w:r>
    </w:p>
    <w:p w14:paraId="18A39D8E" w14:textId="013EC66C" w:rsidR="00314B92" w:rsidRPr="00855381" w:rsidRDefault="00314B92" w:rsidP="00314B92">
      <w:pPr>
        <w:rPr>
          <w:rFonts w:ascii="Aptos" w:hAnsi="Aptos"/>
        </w:rPr>
      </w:pPr>
    </w:p>
    <w:tbl>
      <w:tblPr>
        <w:tblW w:w="5000" w:type="pct"/>
        <w:tblLook w:val="04A0" w:firstRow="1" w:lastRow="0" w:firstColumn="1" w:lastColumn="0" w:noHBand="0" w:noVBand="1"/>
      </w:tblPr>
      <w:tblGrid>
        <w:gridCol w:w="1056"/>
        <w:gridCol w:w="3402"/>
        <w:gridCol w:w="2669"/>
        <w:gridCol w:w="2637"/>
        <w:gridCol w:w="677"/>
      </w:tblGrid>
      <w:tr w:rsidR="008710ED" w:rsidRPr="00855381" w14:paraId="11A59798" w14:textId="77777777" w:rsidTr="00CD1A12">
        <w:trPr>
          <w:trHeight w:val="340"/>
        </w:trPr>
        <w:tc>
          <w:tcPr>
            <w:tcW w:w="506" w:type="pct"/>
            <w:tcBorders>
              <w:top w:val="single" w:sz="8" w:space="0" w:color="auto"/>
              <w:left w:val="single" w:sz="8" w:space="0" w:color="auto"/>
              <w:bottom w:val="single" w:sz="8" w:space="0" w:color="auto"/>
              <w:right w:val="nil"/>
            </w:tcBorders>
            <w:noWrap/>
            <w:vAlign w:val="bottom"/>
            <w:hideMark/>
          </w:tcPr>
          <w:p w14:paraId="26EB9770" w14:textId="0E51A064" w:rsidR="008710ED" w:rsidRPr="00855381" w:rsidRDefault="008710ED" w:rsidP="008710ED">
            <w:pPr>
              <w:rPr>
                <w:rFonts w:ascii="Aptos" w:hAnsi="Aptos"/>
                <w:b/>
                <w:bCs/>
                <w:color w:val="000000"/>
                <w:sz w:val="16"/>
                <w:szCs w:val="16"/>
              </w:rPr>
            </w:pPr>
            <w:r w:rsidRPr="00855381">
              <w:rPr>
                <w:rFonts w:ascii="Aptos" w:hAnsi="Aptos"/>
                <w:b/>
                <w:bCs/>
                <w:color w:val="000000"/>
                <w:sz w:val="16"/>
                <w:szCs w:val="16"/>
              </w:rPr>
              <w:t>SA Number</w:t>
            </w:r>
          </w:p>
        </w:tc>
        <w:tc>
          <w:tcPr>
            <w:tcW w:w="1629" w:type="pct"/>
            <w:tcBorders>
              <w:top w:val="single" w:sz="8" w:space="0" w:color="auto"/>
              <w:left w:val="nil"/>
              <w:bottom w:val="single" w:sz="8" w:space="0" w:color="auto"/>
              <w:right w:val="nil"/>
            </w:tcBorders>
            <w:noWrap/>
            <w:vAlign w:val="bottom"/>
            <w:hideMark/>
          </w:tcPr>
          <w:p w14:paraId="371D5D9C" w14:textId="77777777" w:rsidR="008710ED" w:rsidRPr="00855381" w:rsidRDefault="008710ED" w:rsidP="008710ED">
            <w:pPr>
              <w:rPr>
                <w:rFonts w:ascii="Aptos" w:hAnsi="Aptos"/>
                <w:b/>
                <w:bCs/>
                <w:color w:val="000000"/>
                <w:sz w:val="16"/>
                <w:szCs w:val="16"/>
              </w:rPr>
            </w:pPr>
            <w:r w:rsidRPr="00855381">
              <w:rPr>
                <w:rFonts w:ascii="Aptos" w:hAnsi="Aptos"/>
                <w:b/>
                <w:bCs/>
                <w:color w:val="000000"/>
                <w:sz w:val="16"/>
                <w:szCs w:val="16"/>
              </w:rPr>
              <w:t>Parameter</w:t>
            </w:r>
          </w:p>
        </w:tc>
        <w:tc>
          <w:tcPr>
            <w:tcW w:w="1278" w:type="pct"/>
            <w:tcBorders>
              <w:top w:val="single" w:sz="8" w:space="0" w:color="auto"/>
              <w:left w:val="nil"/>
              <w:bottom w:val="single" w:sz="8" w:space="0" w:color="auto"/>
              <w:right w:val="nil"/>
            </w:tcBorders>
            <w:noWrap/>
            <w:vAlign w:val="bottom"/>
            <w:hideMark/>
          </w:tcPr>
          <w:p w14:paraId="7C9CECCE" w14:textId="77777777" w:rsidR="008710ED" w:rsidRPr="00855381" w:rsidRDefault="008710ED" w:rsidP="008710ED">
            <w:pPr>
              <w:rPr>
                <w:rFonts w:ascii="Aptos" w:hAnsi="Aptos"/>
                <w:b/>
                <w:bCs/>
                <w:color w:val="000000"/>
                <w:sz w:val="16"/>
                <w:szCs w:val="16"/>
              </w:rPr>
            </w:pPr>
            <w:r w:rsidRPr="00855381">
              <w:rPr>
                <w:rFonts w:ascii="Aptos" w:hAnsi="Aptos"/>
                <w:b/>
                <w:bCs/>
                <w:color w:val="000000"/>
                <w:sz w:val="16"/>
                <w:szCs w:val="16"/>
              </w:rPr>
              <w:t>Primary Value</w:t>
            </w:r>
          </w:p>
        </w:tc>
        <w:tc>
          <w:tcPr>
            <w:tcW w:w="1263" w:type="pct"/>
            <w:tcBorders>
              <w:top w:val="single" w:sz="8" w:space="0" w:color="auto"/>
              <w:left w:val="nil"/>
              <w:bottom w:val="single" w:sz="8" w:space="0" w:color="auto"/>
              <w:right w:val="nil"/>
            </w:tcBorders>
            <w:noWrap/>
            <w:vAlign w:val="bottom"/>
            <w:hideMark/>
          </w:tcPr>
          <w:p w14:paraId="2B359173" w14:textId="77777777" w:rsidR="008710ED" w:rsidRPr="00855381" w:rsidRDefault="008710ED" w:rsidP="008710ED">
            <w:pPr>
              <w:rPr>
                <w:rFonts w:ascii="Aptos" w:hAnsi="Aptos"/>
                <w:b/>
                <w:bCs/>
                <w:color w:val="000000"/>
                <w:sz w:val="16"/>
                <w:szCs w:val="16"/>
              </w:rPr>
            </w:pPr>
            <w:r w:rsidRPr="00855381">
              <w:rPr>
                <w:rFonts w:ascii="Aptos" w:hAnsi="Aptos"/>
                <w:b/>
                <w:bCs/>
                <w:color w:val="000000"/>
                <w:sz w:val="16"/>
                <w:szCs w:val="16"/>
              </w:rPr>
              <w:t>Secondary Values</w:t>
            </w:r>
          </w:p>
        </w:tc>
        <w:tc>
          <w:tcPr>
            <w:tcW w:w="324" w:type="pct"/>
            <w:tcBorders>
              <w:top w:val="single" w:sz="8" w:space="0" w:color="auto"/>
              <w:left w:val="nil"/>
              <w:bottom w:val="single" w:sz="8" w:space="0" w:color="auto"/>
              <w:right w:val="single" w:sz="12" w:space="0" w:color="auto"/>
            </w:tcBorders>
            <w:noWrap/>
            <w:vAlign w:val="bottom"/>
            <w:hideMark/>
          </w:tcPr>
          <w:p w14:paraId="4119B0EF" w14:textId="77777777" w:rsidR="008710ED" w:rsidRPr="00855381" w:rsidRDefault="008710ED" w:rsidP="008710ED">
            <w:pPr>
              <w:rPr>
                <w:rFonts w:ascii="Aptos" w:hAnsi="Aptos"/>
                <w:b/>
                <w:bCs/>
                <w:color w:val="000000"/>
                <w:sz w:val="16"/>
                <w:szCs w:val="16"/>
              </w:rPr>
            </w:pPr>
            <w:r w:rsidRPr="00855381">
              <w:rPr>
                <w:rFonts w:ascii="Aptos" w:hAnsi="Aptos"/>
                <w:b/>
                <w:bCs/>
                <w:color w:val="000000"/>
                <w:sz w:val="16"/>
                <w:szCs w:val="16"/>
              </w:rPr>
              <w:t>Notes</w:t>
            </w:r>
          </w:p>
        </w:tc>
      </w:tr>
      <w:tr w:rsidR="008710ED" w:rsidRPr="00855381" w14:paraId="019988D6" w14:textId="77777777" w:rsidTr="008710ED">
        <w:trPr>
          <w:trHeight w:val="320"/>
        </w:trPr>
        <w:tc>
          <w:tcPr>
            <w:tcW w:w="5000" w:type="pct"/>
            <w:gridSpan w:val="5"/>
            <w:tcBorders>
              <w:top w:val="nil"/>
              <w:left w:val="single" w:sz="8" w:space="0" w:color="auto"/>
              <w:bottom w:val="nil"/>
              <w:right w:val="single" w:sz="12" w:space="0" w:color="000000"/>
            </w:tcBorders>
            <w:noWrap/>
            <w:vAlign w:val="bottom"/>
            <w:hideMark/>
          </w:tcPr>
          <w:p w14:paraId="18B562BC" w14:textId="77777777" w:rsidR="008710ED" w:rsidRPr="00855381" w:rsidRDefault="008710ED" w:rsidP="008710ED">
            <w:pPr>
              <w:jc w:val="center"/>
              <w:rPr>
                <w:rFonts w:ascii="Aptos" w:hAnsi="Aptos"/>
                <w:b/>
                <w:bCs/>
                <w:i/>
                <w:iCs/>
                <w:color w:val="000000"/>
                <w:sz w:val="16"/>
                <w:szCs w:val="16"/>
              </w:rPr>
            </w:pPr>
            <w:r w:rsidRPr="00855381">
              <w:rPr>
                <w:rFonts w:ascii="Aptos" w:hAnsi="Aptos"/>
                <w:b/>
                <w:bCs/>
                <w:i/>
                <w:iCs/>
                <w:color w:val="000000"/>
                <w:sz w:val="16"/>
                <w:szCs w:val="16"/>
              </w:rPr>
              <w:t>Sensitivity Analysis on Efficacies</w:t>
            </w:r>
          </w:p>
        </w:tc>
      </w:tr>
      <w:tr w:rsidR="008710ED" w:rsidRPr="00855381" w14:paraId="31D201DC" w14:textId="77777777" w:rsidTr="00CD1A12">
        <w:trPr>
          <w:trHeight w:val="320"/>
        </w:trPr>
        <w:tc>
          <w:tcPr>
            <w:tcW w:w="506" w:type="pct"/>
            <w:tcBorders>
              <w:top w:val="nil"/>
              <w:left w:val="single" w:sz="8" w:space="0" w:color="auto"/>
              <w:bottom w:val="nil"/>
              <w:right w:val="nil"/>
            </w:tcBorders>
            <w:noWrap/>
            <w:vAlign w:val="bottom"/>
            <w:hideMark/>
          </w:tcPr>
          <w:p w14:paraId="7A23389B" w14:textId="7392CAAD" w:rsidR="008710ED" w:rsidRPr="00855381" w:rsidRDefault="008710ED" w:rsidP="008710ED">
            <w:pPr>
              <w:rPr>
                <w:rFonts w:ascii="Aptos" w:hAnsi="Aptos"/>
                <w:color w:val="000000"/>
                <w:sz w:val="16"/>
                <w:szCs w:val="16"/>
              </w:rPr>
            </w:pPr>
            <w:r w:rsidRPr="00855381">
              <w:rPr>
                <w:rFonts w:ascii="Aptos" w:hAnsi="Aptos"/>
                <w:color w:val="000000"/>
                <w:sz w:val="16"/>
                <w:szCs w:val="16"/>
              </w:rPr>
              <w:t>1</w:t>
            </w:r>
          </w:p>
        </w:tc>
        <w:tc>
          <w:tcPr>
            <w:tcW w:w="1629" w:type="pct"/>
            <w:tcBorders>
              <w:top w:val="nil"/>
              <w:left w:val="nil"/>
              <w:bottom w:val="nil"/>
              <w:right w:val="nil"/>
            </w:tcBorders>
            <w:noWrap/>
            <w:vAlign w:val="bottom"/>
            <w:hideMark/>
          </w:tcPr>
          <w:p w14:paraId="343F7B5C" w14:textId="77777777" w:rsidR="008710ED" w:rsidRPr="00855381" w:rsidRDefault="008710ED" w:rsidP="008710ED">
            <w:pPr>
              <w:rPr>
                <w:rFonts w:ascii="Aptos" w:hAnsi="Aptos"/>
                <w:color w:val="000000"/>
                <w:sz w:val="16"/>
                <w:szCs w:val="16"/>
              </w:rPr>
            </w:pPr>
            <w:r w:rsidRPr="00855381">
              <w:rPr>
                <w:rFonts w:ascii="Aptos" w:hAnsi="Aptos"/>
                <w:color w:val="000000"/>
                <w:sz w:val="16"/>
                <w:szCs w:val="16"/>
              </w:rPr>
              <w:t>General Cancer Treatment Efficacy</w:t>
            </w:r>
          </w:p>
        </w:tc>
        <w:tc>
          <w:tcPr>
            <w:tcW w:w="1278" w:type="pct"/>
            <w:tcBorders>
              <w:top w:val="nil"/>
              <w:left w:val="nil"/>
              <w:bottom w:val="nil"/>
              <w:right w:val="nil"/>
            </w:tcBorders>
            <w:noWrap/>
            <w:vAlign w:val="bottom"/>
            <w:hideMark/>
          </w:tcPr>
          <w:p w14:paraId="026C50C4"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0.8</w:t>
            </w:r>
          </w:p>
        </w:tc>
        <w:tc>
          <w:tcPr>
            <w:tcW w:w="1263" w:type="pct"/>
            <w:tcBorders>
              <w:top w:val="nil"/>
              <w:left w:val="nil"/>
              <w:bottom w:val="nil"/>
              <w:right w:val="nil"/>
            </w:tcBorders>
            <w:noWrap/>
            <w:vAlign w:val="bottom"/>
            <w:hideMark/>
          </w:tcPr>
          <w:p w14:paraId="1063289A"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0.65</w:t>
            </w:r>
          </w:p>
        </w:tc>
        <w:tc>
          <w:tcPr>
            <w:tcW w:w="324" w:type="pct"/>
            <w:tcBorders>
              <w:top w:val="nil"/>
              <w:left w:val="nil"/>
              <w:bottom w:val="nil"/>
              <w:right w:val="single" w:sz="12" w:space="0" w:color="auto"/>
            </w:tcBorders>
            <w:noWrap/>
            <w:vAlign w:val="bottom"/>
            <w:hideMark/>
          </w:tcPr>
          <w:p w14:paraId="471954AB" w14:textId="77777777" w:rsidR="008710ED" w:rsidRPr="00855381" w:rsidRDefault="008710ED" w:rsidP="008710ED">
            <w:pPr>
              <w:rPr>
                <w:rFonts w:ascii="Aptos" w:hAnsi="Aptos"/>
                <w:color w:val="000000"/>
                <w:sz w:val="16"/>
                <w:szCs w:val="16"/>
              </w:rPr>
            </w:pPr>
            <w:r w:rsidRPr="00855381">
              <w:rPr>
                <w:rFonts w:ascii="Aptos" w:hAnsi="Aptos"/>
                <w:color w:val="000000"/>
                <w:sz w:val="16"/>
                <w:szCs w:val="16"/>
              </w:rPr>
              <w:t> </w:t>
            </w:r>
          </w:p>
        </w:tc>
      </w:tr>
      <w:tr w:rsidR="008710ED" w:rsidRPr="00855381" w14:paraId="3D9F5B55" w14:textId="77777777" w:rsidTr="008710ED">
        <w:trPr>
          <w:trHeight w:val="320"/>
        </w:trPr>
        <w:tc>
          <w:tcPr>
            <w:tcW w:w="5000" w:type="pct"/>
            <w:gridSpan w:val="5"/>
            <w:tcBorders>
              <w:top w:val="nil"/>
              <w:left w:val="single" w:sz="8" w:space="0" w:color="auto"/>
              <w:bottom w:val="nil"/>
              <w:right w:val="single" w:sz="12" w:space="0" w:color="000000"/>
            </w:tcBorders>
            <w:noWrap/>
            <w:vAlign w:val="bottom"/>
            <w:hideMark/>
          </w:tcPr>
          <w:p w14:paraId="0F6F5869" w14:textId="57F7BCFC" w:rsidR="008710ED" w:rsidRPr="00855381" w:rsidRDefault="008710ED" w:rsidP="008710ED">
            <w:pPr>
              <w:jc w:val="center"/>
              <w:rPr>
                <w:rFonts w:ascii="Aptos" w:hAnsi="Aptos"/>
                <w:b/>
                <w:bCs/>
                <w:i/>
                <w:iCs/>
                <w:color w:val="000000"/>
                <w:sz w:val="16"/>
                <w:szCs w:val="16"/>
              </w:rPr>
            </w:pPr>
            <w:r w:rsidRPr="00855381">
              <w:rPr>
                <w:rFonts w:ascii="Aptos" w:hAnsi="Aptos"/>
                <w:b/>
                <w:bCs/>
                <w:i/>
                <w:iCs/>
                <w:color w:val="000000"/>
                <w:sz w:val="16"/>
                <w:szCs w:val="16"/>
              </w:rPr>
              <w:t xml:space="preserve">Sensitivity Analysis on Screening </w:t>
            </w:r>
            <w:r w:rsidR="006A478C" w:rsidRPr="00855381">
              <w:rPr>
                <w:rFonts w:ascii="Aptos" w:hAnsi="Aptos"/>
                <w:b/>
                <w:bCs/>
                <w:i/>
                <w:iCs/>
                <w:color w:val="000000"/>
                <w:sz w:val="16"/>
                <w:szCs w:val="16"/>
              </w:rPr>
              <w:t>Algorithm</w:t>
            </w:r>
            <w:r w:rsidRPr="00855381">
              <w:rPr>
                <w:rFonts w:ascii="Aptos" w:hAnsi="Aptos"/>
                <w:b/>
                <w:bCs/>
                <w:i/>
                <w:iCs/>
                <w:color w:val="000000"/>
                <w:sz w:val="16"/>
                <w:szCs w:val="16"/>
              </w:rPr>
              <w:t xml:space="preserve"> Compliance</w:t>
            </w:r>
          </w:p>
        </w:tc>
      </w:tr>
      <w:tr w:rsidR="008710ED" w:rsidRPr="00855381" w14:paraId="64E53D71" w14:textId="77777777" w:rsidTr="00CD1A12">
        <w:trPr>
          <w:trHeight w:val="320"/>
        </w:trPr>
        <w:tc>
          <w:tcPr>
            <w:tcW w:w="506" w:type="pct"/>
            <w:tcBorders>
              <w:top w:val="nil"/>
              <w:left w:val="single" w:sz="8" w:space="0" w:color="auto"/>
              <w:bottom w:val="nil"/>
              <w:right w:val="nil"/>
            </w:tcBorders>
            <w:noWrap/>
            <w:vAlign w:val="bottom"/>
            <w:hideMark/>
          </w:tcPr>
          <w:p w14:paraId="257FA5A5" w14:textId="46A1443C" w:rsidR="008710ED" w:rsidRPr="00855381" w:rsidRDefault="008710ED" w:rsidP="008710ED">
            <w:pPr>
              <w:jc w:val="center"/>
              <w:rPr>
                <w:rFonts w:ascii="Aptos" w:hAnsi="Aptos"/>
                <w:color w:val="000000"/>
                <w:sz w:val="16"/>
                <w:szCs w:val="16"/>
              </w:rPr>
            </w:pPr>
            <w:r w:rsidRPr="00855381">
              <w:rPr>
                <w:rFonts w:ascii="Aptos" w:hAnsi="Aptos"/>
                <w:color w:val="000000"/>
                <w:sz w:val="16"/>
                <w:szCs w:val="16"/>
              </w:rPr>
              <w:t>2</w:t>
            </w:r>
            <w:r w:rsidR="00314B92" w:rsidRPr="00855381">
              <w:rPr>
                <w:rFonts w:ascii="Aptos" w:hAnsi="Aptos"/>
                <w:color w:val="000000"/>
                <w:sz w:val="16"/>
                <w:szCs w:val="16"/>
              </w:rPr>
              <w:t>,3</w:t>
            </w:r>
          </w:p>
        </w:tc>
        <w:tc>
          <w:tcPr>
            <w:tcW w:w="1629" w:type="pct"/>
            <w:tcBorders>
              <w:top w:val="nil"/>
              <w:left w:val="nil"/>
              <w:bottom w:val="nil"/>
              <w:right w:val="nil"/>
            </w:tcBorders>
            <w:noWrap/>
            <w:vAlign w:val="bottom"/>
            <w:hideMark/>
          </w:tcPr>
          <w:p w14:paraId="2D0275A5" w14:textId="77777777" w:rsidR="008710ED" w:rsidRPr="00855381" w:rsidRDefault="008710ED" w:rsidP="008710ED">
            <w:pPr>
              <w:rPr>
                <w:rFonts w:ascii="Aptos" w:hAnsi="Aptos"/>
                <w:color w:val="000000"/>
                <w:sz w:val="16"/>
                <w:szCs w:val="16"/>
              </w:rPr>
            </w:pPr>
            <w:r w:rsidRPr="00855381">
              <w:rPr>
                <w:rFonts w:ascii="Aptos" w:hAnsi="Aptos"/>
                <w:color w:val="000000"/>
                <w:sz w:val="16"/>
                <w:szCs w:val="16"/>
              </w:rPr>
              <w:t>primary_screen_prob_under50</w:t>
            </w:r>
          </w:p>
        </w:tc>
        <w:tc>
          <w:tcPr>
            <w:tcW w:w="1278" w:type="pct"/>
            <w:tcBorders>
              <w:top w:val="nil"/>
              <w:left w:val="nil"/>
              <w:bottom w:val="nil"/>
              <w:right w:val="nil"/>
            </w:tcBorders>
            <w:noWrap/>
            <w:vAlign w:val="bottom"/>
            <w:hideMark/>
          </w:tcPr>
          <w:p w14:paraId="52681873"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0.68</w:t>
            </w:r>
          </w:p>
        </w:tc>
        <w:tc>
          <w:tcPr>
            <w:tcW w:w="1263" w:type="pct"/>
            <w:tcBorders>
              <w:top w:val="nil"/>
              <w:left w:val="nil"/>
              <w:bottom w:val="nil"/>
              <w:right w:val="nil"/>
            </w:tcBorders>
            <w:noWrap/>
            <w:vAlign w:val="bottom"/>
            <w:hideMark/>
          </w:tcPr>
          <w:p w14:paraId="7E7EE7FD"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0.68,0.8</w:t>
            </w:r>
          </w:p>
        </w:tc>
        <w:tc>
          <w:tcPr>
            <w:tcW w:w="324" w:type="pct"/>
            <w:vMerge w:val="restart"/>
            <w:tcBorders>
              <w:top w:val="nil"/>
              <w:left w:val="nil"/>
              <w:bottom w:val="nil"/>
              <w:right w:val="single" w:sz="12" w:space="0" w:color="auto"/>
            </w:tcBorders>
            <w:vAlign w:val="bottom"/>
            <w:hideMark/>
          </w:tcPr>
          <w:p w14:paraId="6596CA8C" w14:textId="4BE5BEE7" w:rsidR="008710ED" w:rsidRPr="00855381" w:rsidRDefault="008710ED" w:rsidP="008710ED">
            <w:pPr>
              <w:jc w:val="center"/>
              <w:rPr>
                <w:rFonts w:ascii="Aptos" w:hAnsi="Aptos"/>
                <w:color w:val="000000"/>
                <w:sz w:val="16"/>
                <w:szCs w:val="16"/>
              </w:rPr>
            </w:pPr>
            <w:r w:rsidRPr="00855381">
              <w:rPr>
                <w:rFonts w:ascii="Aptos" w:hAnsi="Aptos"/>
                <w:color w:val="000000"/>
                <w:sz w:val="16"/>
                <w:szCs w:val="16"/>
              </w:rPr>
              <w:t xml:space="preserve"> </w:t>
            </w:r>
          </w:p>
        </w:tc>
      </w:tr>
      <w:tr w:rsidR="008710ED" w:rsidRPr="00855381" w14:paraId="16F15DA1" w14:textId="77777777" w:rsidTr="00CD1A12">
        <w:trPr>
          <w:trHeight w:val="320"/>
        </w:trPr>
        <w:tc>
          <w:tcPr>
            <w:tcW w:w="506" w:type="pct"/>
            <w:tcBorders>
              <w:top w:val="nil"/>
              <w:left w:val="single" w:sz="8" w:space="0" w:color="auto"/>
              <w:bottom w:val="nil"/>
              <w:right w:val="nil"/>
            </w:tcBorders>
            <w:noWrap/>
            <w:vAlign w:val="bottom"/>
            <w:hideMark/>
          </w:tcPr>
          <w:p w14:paraId="4972F70F" w14:textId="7071B6A4" w:rsidR="008710ED" w:rsidRPr="00855381" w:rsidRDefault="008710ED" w:rsidP="008710ED">
            <w:pPr>
              <w:jc w:val="center"/>
              <w:rPr>
                <w:rFonts w:ascii="Aptos" w:hAnsi="Aptos"/>
                <w:color w:val="000000"/>
                <w:sz w:val="16"/>
                <w:szCs w:val="16"/>
              </w:rPr>
            </w:pPr>
            <w:r w:rsidRPr="00855381">
              <w:rPr>
                <w:rFonts w:ascii="Aptos" w:hAnsi="Aptos"/>
                <w:color w:val="000000"/>
                <w:sz w:val="16"/>
                <w:szCs w:val="16"/>
              </w:rPr>
              <w:t>2</w:t>
            </w:r>
            <w:r w:rsidR="00314B92" w:rsidRPr="00855381">
              <w:rPr>
                <w:rFonts w:ascii="Aptos" w:hAnsi="Aptos"/>
                <w:color w:val="000000"/>
                <w:sz w:val="16"/>
                <w:szCs w:val="16"/>
              </w:rPr>
              <w:t>,3</w:t>
            </w:r>
          </w:p>
        </w:tc>
        <w:tc>
          <w:tcPr>
            <w:tcW w:w="1629" w:type="pct"/>
            <w:tcBorders>
              <w:top w:val="nil"/>
              <w:left w:val="nil"/>
              <w:bottom w:val="nil"/>
              <w:right w:val="nil"/>
            </w:tcBorders>
            <w:noWrap/>
            <w:vAlign w:val="bottom"/>
            <w:hideMark/>
          </w:tcPr>
          <w:p w14:paraId="5A7CE093" w14:textId="77777777" w:rsidR="008710ED" w:rsidRPr="00855381" w:rsidRDefault="008710ED" w:rsidP="008710ED">
            <w:pPr>
              <w:rPr>
                <w:rFonts w:ascii="Aptos" w:hAnsi="Aptos"/>
                <w:color w:val="000000"/>
                <w:sz w:val="16"/>
                <w:szCs w:val="16"/>
              </w:rPr>
            </w:pPr>
            <w:r w:rsidRPr="00855381">
              <w:rPr>
                <w:rFonts w:ascii="Aptos" w:hAnsi="Aptos"/>
                <w:color w:val="000000"/>
                <w:sz w:val="16"/>
                <w:szCs w:val="16"/>
              </w:rPr>
              <w:t>primary_screen_prob_50andover</w:t>
            </w:r>
          </w:p>
        </w:tc>
        <w:tc>
          <w:tcPr>
            <w:tcW w:w="1278" w:type="pct"/>
            <w:tcBorders>
              <w:top w:val="nil"/>
              <w:left w:val="nil"/>
              <w:bottom w:val="nil"/>
              <w:right w:val="nil"/>
            </w:tcBorders>
            <w:noWrap/>
            <w:vAlign w:val="bottom"/>
            <w:hideMark/>
          </w:tcPr>
          <w:p w14:paraId="03C05759"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0.76</w:t>
            </w:r>
          </w:p>
        </w:tc>
        <w:tc>
          <w:tcPr>
            <w:tcW w:w="1263" w:type="pct"/>
            <w:tcBorders>
              <w:top w:val="nil"/>
              <w:left w:val="nil"/>
              <w:bottom w:val="nil"/>
              <w:right w:val="nil"/>
            </w:tcBorders>
            <w:noWrap/>
            <w:vAlign w:val="bottom"/>
            <w:hideMark/>
          </w:tcPr>
          <w:p w14:paraId="04E3B30C"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0.76,0.8</w:t>
            </w:r>
          </w:p>
        </w:tc>
        <w:tc>
          <w:tcPr>
            <w:tcW w:w="324" w:type="pct"/>
            <w:vMerge/>
            <w:tcBorders>
              <w:top w:val="nil"/>
              <w:left w:val="nil"/>
              <w:bottom w:val="nil"/>
              <w:right w:val="single" w:sz="12" w:space="0" w:color="auto"/>
            </w:tcBorders>
            <w:vAlign w:val="center"/>
            <w:hideMark/>
          </w:tcPr>
          <w:p w14:paraId="2E58924D" w14:textId="77777777" w:rsidR="008710ED" w:rsidRPr="00855381" w:rsidRDefault="008710ED" w:rsidP="008710ED">
            <w:pPr>
              <w:rPr>
                <w:rFonts w:ascii="Aptos" w:hAnsi="Aptos"/>
                <w:color w:val="000000"/>
                <w:sz w:val="16"/>
                <w:szCs w:val="16"/>
              </w:rPr>
            </w:pPr>
          </w:p>
        </w:tc>
      </w:tr>
      <w:tr w:rsidR="008710ED" w:rsidRPr="00855381" w14:paraId="062DA033" w14:textId="77777777" w:rsidTr="00CD1A12">
        <w:trPr>
          <w:trHeight w:val="320"/>
        </w:trPr>
        <w:tc>
          <w:tcPr>
            <w:tcW w:w="506" w:type="pct"/>
            <w:tcBorders>
              <w:top w:val="nil"/>
              <w:left w:val="single" w:sz="8" w:space="0" w:color="auto"/>
              <w:bottom w:val="nil"/>
              <w:right w:val="nil"/>
            </w:tcBorders>
            <w:noWrap/>
            <w:vAlign w:val="bottom"/>
            <w:hideMark/>
          </w:tcPr>
          <w:p w14:paraId="44A1B22B" w14:textId="1220D937" w:rsidR="008710ED" w:rsidRPr="00855381" w:rsidRDefault="008710ED" w:rsidP="008710ED">
            <w:pPr>
              <w:rPr>
                <w:rFonts w:ascii="Aptos" w:hAnsi="Aptos"/>
                <w:color w:val="000000"/>
                <w:sz w:val="16"/>
                <w:szCs w:val="16"/>
              </w:rPr>
            </w:pPr>
            <w:r w:rsidRPr="00855381">
              <w:rPr>
                <w:rFonts w:ascii="Aptos" w:hAnsi="Aptos"/>
                <w:color w:val="000000"/>
                <w:sz w:val="16"/>
                <w:szCs w:val="16"/>
              </w:rPr>
              <w:t>2</w:t>
            </w:r>
            <w:r w:rsidR="00314B92" w:rsidRPr="00855381">
              <w:rPr>
                <w:rFonts w:ascii="Aptos" w:hAnsi="Aptos"/>
                <w:color w:val="000000"/>
                <w:sz w:val="16"/>
                <w:szCs w:val="16"/>
              </w:rPr>
              <w:t>,3</w:t>
            </w:r>
          </w:p>
        </w:tc>
        <w:tc>
          <w:tcPr>
            <w:tcW w:w="1629" w:type="pct"/>
            <w:tcBorders>
              <w:top w:val="nil"/>
              <w:left w:val="nil"/>
              <w:bottom w:val="nil"/>
              <w:right w:val="nil"/>
            </w:tcBorders>
            <w:noWrap/>
            <w:vAlign w:val="bottom"/>
            <w:hideMark/>
          </w:tcPr>
          <w:p w14:paraId="0A3CFCCF" w14:textId="77777777" w:rsidR="008710ED" w:rsidRPr="00855381" w:rsidRDefault="008710ED" w:rsidP="008710ED">
            <w:pPr>
              <w:rPr>
                <w:rFonts w:ascii="Aptos" w:hAnsi="Aptos"/>
                <w:color w:val="000000"/>
                <w:sz w:val="16"/>
                <w:szCs w:val="16"/>
              </w:rPr>
            </w:pPr>
            <w:proofErr w:type="spellStart"/>
            <w:r w:rsidRPr="00855381">
              <w:rPr>
                <w:rFonts w:ascii="Aptos" w:hAnsi="Aptos"/>
                <w:color w:val="000000"/>
                <w:sz w:val="16"/>
                <w:szCs w:val="16"/>
              </w:rPr>
              <w:t>secondary_screen_prob</w:t>
            </w:r>
            <w:proofErr w:type="spellEnd"/>
          </w:p>
        </w:tc>
        <w:tc>
          <w:tcPr>
            <w:tcW w:w="1278" w:type="pct"/>
            <w:tcBorders>
              <w:top w:val="nil"/>
              <w:left w:val="nil"/>
              <w:bottom w:val="nil"/>
              <w:right w:val="nil"/>
            </w:tcBorders>
            <w:noWrap/>
            <w:vAlign w:val="bottom"/>
            <w:hideMark/>
          </w:tcPr>
          <w:p w14:paraId="60BB34DD"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0.8</w:t>
            </w:r>
          </w:p>
        </w:tc>
        <w:tc>
          <w:tcPr>
            <w:tcW w:w="1263" w:type="pct"/>
            <w:tcBorders>
              <w:top w:val="nil"/>
              <w:left w:val="nil"/>
              <w:bottom w:val="nil"/>
              <w:right w:val="nil"/>
            </w:tcBorders>
            <w:noWrap/>
            <w:vAlign w:val="bottom"/>
            <w:hideMark/>
          </w:tcPr>
          <w:p w14:paraId="08E7EDD0"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0.6,0.9</w:t>
            </w:r>
          </w:p>
        </w:tc>
        <w:tc>
          <w:tcPr>
            <w:tcW w:w="324" w:type="pct"/>
            <w:vMerge/>
            <w:tcBorders>
              <w:top w:val="nil"/>
              <w:left w:val="nil"/>
              <w:bottom w:val="nil"/>
              <w:right w:val="single" w:sz="12" w:space="0" w:color="auto"/>
            </w:tcBorders>
            <w:vAlign w:val="center"/>
            <w:hideMark/>
          </w:tcPr>
          <w:p w14:paraId="449AEAC7" w14:textId="77777777" w:rsidR="008710ED" w:rsidRPr="00855381" w:rsidRDefault="008710ED" w:rsidP="008710ED">
            <w:pPr>
              <w:rPr>
                <w:rFonts w:ascii="Aptos" w:hAnsi="Aptos"/>
                <w:color w:val="000000"/>
                <w:sz w:val="16"/>
                <w:szCs w:val="16"/>
              </w:rPr>
            </w:pPr>
          </w:p>
        </w:tc>
      </w:tr>
      <w:tr w:rsidR="008710ED" w:rsidRPr="00855381" w14:paraId="065B0CD7" w14:textId="77777777" w:rsidTr="00CD1A12">
        <w:trPr>
          <w:trHeight w:val="320"/>
        </w:trPr>
        <w:tc>
          <w:tcPr>
            <w:tcW w:w="506" w:type="pct"/>
            <w:tcBorders>
              <w:top w:val="nil"/>
              <w:left w:val="single" w:sz="8" w:space="0" w:color="auto"/>
              <w:bottom w:val="nil"/>
              <w:right w:val="nil"/>
            </w:tcBorders>
            <w:noWrap/>
            <w:vAlign w:val="bottom"/>
            <w:hideMark/>
          </w:tcPr>
          <w:p w14:paraId="1F677815" w14:textId="745EFB8E" w:rsidR="008710ED" w:rsidRPr="00855381" w:rsidRDefault="008710ED" w:rsidP="008710ED">
            <w:pPr>
              <w:rPr>
                <w:rFonts w:ascii="Aptos" w:hAnsi="Aptos"/>
                <w:color w:val="000000"/>
                <w:sz w:val="16"/>
                <w:szCs w:val="16"/>
              </w:rPr>
            </w:pPr>
            <w:r w:rsidRPr="00855381">
              <w:rPr>
                <w:rFonts w:ascii="Aptos" w:hAnsi="Aptos"/>
                <w:color w:val="000000"/>
                <w:sz w:val="16"/>
                <w:szCs w:val="16"/>
              </w:rPr>
              <w:t>2</w:t>
            </w:r>
            <w:r w:rsidR="00314B92" w:rsidRPr="00855381">
              <w:rPr>
                <w:rFonts w:ascii="Aptos" w:hAnsi="Aptos"/>
                <w:color w:val="000000"/>
                <w:sz w:val="16"/>
                <w:szCs w:val="16"/>
              </w:rPr>
              <w:t>,3</w:t>
            </w:r>
          </w:p>
        </w:tc>
        <w:tc>
          <w:tcPr>
            <w:tcW w:w="1629" w:type="pct"/>
            <w:tcBorders>
              <w:top w:val="nil"/>
              <w:left w:val="nil"/>
              <w:bottom w:val="nil"/>
              <w:right w:val="nil"/>
            </w:tcBorders>
            <w:noWrap/>
            <w:vAlign w:val="bottom"/>
            <w:hideMark/>
          </w:tcPr>
          <w:p w14:paraId="5F766FE7" w14:textId="77777777" w:rsidR="008710ED" w:rsidRPr="00855381" w:rsidRDefault="008710ED" w:rsidP="008710ED">
            <w:pPr>
              <w:rPr>
                <w:rFonts w:ascii="Aptos" w:hAnsi="Aptos"/>
                <w:color w:val="000000"/>
                <w:sz w:val="16"/>
                <w:szCs w:val="16"/>
              </w:rPr>
            </w:pPr>
            <w:proofErr w:type="spellStart"/>
            <w:r w:rsidRPr="00855381">
              <w:rPr>
                <w:rFonts w:ascii="Aptos" w:hAnsi="Aptos"/>
                <w:color w:val="000000"/>
                <w:sz w:val="16"/>
                <w:szCs w:val="16"/>
              </w:rPr>
              <w:t>third_screen_prob</w:t>
            </w:r>
            <w:proofErr w:type="spellEnd"/>
          </w:p>
        </w:tc>
        <w:tc>
          <w:tcPr>
            <w:tcW w:w="1278" w:type="pct"/>
            <w:tcBorders>
              <w:top w:val="nil"/>
              <w:left w:val="nil"/>
              <w:bottom w:val="nil"/>
              <w:right w:val="nil"/>
            </w:tcBorders>
            <w:noWrap/>
            <w:vAlign w:val="bottom"/>
            <w:hideMark/>
          </w:tcPr>
          <w:p w14:paraId="5DAFEC8C"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0.8</w:t>
            </w:r>
          </w:p>
        </w:tc>
        <w:tc>
          <w:tcPr>
            <w:tcW w:w="1263" w:type="pct"/>
            <w:tcBorders>
              <w:top w:val="nil"/>
              <w:left w:val="nil"/>
              <w:bottom w:val="nil"/>
              <w:right w:val="nil"/>
            </w:tcBorders>
            <w:noWrap/>
            <w:vAlign w:val="bottom"/>
            <w:hideMark/>
          </w:tcPr>
          <w:p w14:paraId="4112ABD3"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0.6,0.9</w:t>
            </w:r>
          </w:p>
        </w:tc>
        <w:tc>
          <w:tcPr>
            <w:tcW w:w="324" w:type="pct"/>
            <w:vMerge/>
            <w:tcBorders>
              <w:top w:val="nil"/>
              <w:left w:val="nil"/>
              <w:bottom w:val="nil"/>
              <w:right w:val="single" w:sz="12" w:space="0" w:color="auto"/>
            </w:tcBorders>
            <w:vAlign w:val="center"/>
            <w:hideMark/>
          </w:tcPr>
          <w:p w14:paraId="045685E3" w14:textId="77777777" w:rsidR="008710ED" w:rsidRPr="00855381" w:rsidRDefault="008710ED" w:rsidP="008710ED">
            <w:pPr>
              <w:rPr>
                <w:rFonts w:ascii="Aptos" w:hAnsi="Aptos"/>
                <w:color w:val="000000"/>
                <w:sz w:val="16"/>
                <w:szCs w:val="16"/>
              </w:rPr>
            </w:pPr>
          </w:p>
        </w:tc>
      </w:tr>
      <w:tr w:rsidR="008710ED" w:rsidRPr="00855381" w14:paraId="76B31016" w14:textId="77777777" w:rsidTr="00CD1A12">
        <w:trPr>
          <w:trHeight w:val="320"/>
        </w:trPr>
        <w:tc>
          <w:tcPr>
            <w:tcW w:w="506" w:type="pct"/>
            <w:tcBorders>
              <w:top w:val="nil"/>
              <w:left w:val="single" w:sz="8" w:space="0" w:color="auto"/>
              <w:bottom w:val="nil"/>
              <w:right w:val="nil"/>
            </w:tcBorders>
            <w:noWrap/>
            <w:vAlign w:val="bottom"/>
            <w:hideMark/>
          </w:tcPr>
          <w:p w14:paraId="6E08507F" w14:textId="4FA099D7" w:rsidR="008710ED" w:rsidRPr="00855381" w:rsidRDefault="008710ED" w:rsidP="008710ED">
            <w:pPr>
              <w:rPr>
                <w:rFonts w:ascii="Aptos" w:hAnsi="Aptos"/>
                <w:color w:val="000000"/>
                <w:sz w:val="16"/>
                <w:szCs w:val="16"/>
              </w:rPr>
            </w:pPr>
            <w:r w:rsidRPr="00855381">
              <w:rPr>
                <w:rFonts w:ascii="Aptos" w:hAnsi="Aptos"/>
                <w:color w:val="000000"/>
                <w:sz w:val="16"/>
                <w:szCs w:val="16"/>
              </w:rPr>
              <w:t>2</w:t>
            </w:r>
            <w:r w:rsidR="00314B92" w:rsidRPr="00855381">
              <w:rPr>
                <w:rFonts w:ascii="Aptos" w:hAnsi="Aptos"/>
                <w:color w:val="000000"/>
                <w:sz w:val="16"/>
                <w:szCs w:val="16"/>
              </w:rPr>
              <w:t>,3</w:t>
            </w:r>
          </w:p>
        </w:tc>
        <w:tc>
          <w:tcPr>
            <w:tcW w:w="1629" w:type="pct"/>
            <w:tcBorders>
              <w:top w:val="nil"/>
              <w:left w:val="nil"/>
              <w:bottom w:val="nil"/>
              <w:right w:val="nil"/>
            </w:tcBorders>
            <w:noWrap/>
            <w:vAlign w:val="bottom"/>
            <w:hideMark/>
          </w:tcPr>
          <w:p w14:paraId="50050169" w14:textId="77777777" w:rsidR="008710ED" w:rsidRPr="00855381" w:rsidRDefault="008710ED" w:rsidP="008710ED">
            <w:pPr>
              <w:rPr>
                <w:rFonts w:ascii="Aptos" w:hAnsi="Aptos"/>
                <w:color w:val="000000"/>
                <w:sz w:val="16"/>
                <w:szCs w:val="16"/>
              </w:rPr>
            </w:pPr>
            <w:proofErr w:type="spellStart"/>
            <w:r w:rsidRPr="00855381">
              <w:rPr>
                <w:rFonts w:ascii="Aptos" w:hAnsi="Aptos"/>
                <w:color w:val="000000"/>
                <w:sz w:val="16"/>
                <w:szCs w:val="16"/>
              </w:rPr>
              <w:t>ablate_prob</w:t>
            </w:r>
            <w:proofErr w:type="spellEnd"/>
          </w:p>
        </w:tc>
        <w:tc>
          <w:tcPr>
            <w:tcW w:w="1278" w:type="pct"/>
            <w:tcBorders>
              <w:top w:val="nil"/>
              <w:left w:val="nil"/>
              <w:bottom w:val="nil"/>
              <w:right w:val="nil"/>
            </w:tcBorders>
            <w:noWrap/>
            <w:vAlign w:val="bottom"/>
            <w:hideMark/>
          </w:tcPr>
          <w:p w14:paraId="6B13FAEC"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0.9</w:t>
            </w:r>
          </w:p>
        </w:tc>
        <w:tc>
          <w:tcPr>
            <w:tcW w:w="1263" w:type="pct"/>
            <w:tcBorders>
              <w:top w:val="nil"/>
              <w:left w:val="nil"/>
              <w:bottom w:val="nil"/>
              <w:right w:val="nil"/>
            </w:tcBorders>
            <w:noWrap/>
            <w:vAlign w:val="bottom"/>
            <w:hideMark/>
          </w:tcPr>
          <w:p w14:paraId="788E3182"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0.8, 0.95</w:t>
            </w:r>
          </w:p>
        </w:tc>
        <w:tc>
          <w:tcPr>
            <w:tcW w:w="324" w:type="pct"/>
            <w:vMerge/>
            <w:tcBorders>
              <w:top w:val="nil"/>
              <w:left w:val="nil"/>
              <w:bottom w:val="nil"/>
              <w:right w:val="single" w:sz="12" w:space="0" w:color="auto"/>
            </w:tcBorders>
            <w:vAlign w:val="center"/>
            <w:hideMark/>
          </w:tcPr>
          <w:p w14:paraId="020E3926" w14:textId="77777777" w:rsidR="008710ED" w:rsidRPr="00855381" w:rsidRDefault="008710ED" w:rsidP="008710ED">
            <w:pPr>
              <w:rPr>
                <w:rFonts w:ascii="Aptos" w:hAnsi="Aptos"/>
                <w:color w:val="000000"/>
                <w:sz w:val="16"/>
                <w:szCs w:val="16"/>
              </w:rPr>
            </w:pPr>
          </w:p>
        </w:tc>
      </w:tr>
      <w:tr w:rsidR="008710ED" w:rsidRPr="00855381" w14:paraId="594E732F" w14:textId="77777777" w:rsidTr="00CD1A12">
        <w:trPr>
          <w:trHeight w:val="320"/>
        </w:trPr>
        <w:tc>
          <w:tcPr>
            <w:tcW w:w="506" w:type="pct"/>
            <w:tcBorders>
              <w:top w:val="nil"/>
              <w:left w:val="single" w:sz="8" w:space="0" w:color="auto"/>
              <w:bottom w:val="nil"/>
              <w:right w:val="nil"/>
            </w:tcBorders>
            <w:noWrap/>
            <w:vAlign w:val="bottom"/>
            <w:hideMark/>
          </w:tcPr>
          <w:p w14:paraId="4E7D1F6B" w14:textId="67EFA5E9" w:rsidR="008710ED" w:rsidRPr="00855381" w:rsidRDefault="008710ED" w:rsidP="008710ED">
            <w:pPr>
              <w:rPr>
                <w:rFonts w:ascii="Aptos" w:hAnsi="Aptos"/>
                <w:color w:val="000000"/>
                <w:sz w:val="16"/>
                <w:szCs w:val="16"/>
              </w:rPr>
            </w:pPr>
            <w:r w:rsidRPr="00855381">
              <w:rPr>
                <w:rFonts w:ascii="Aptos" w:hAnsi="Aptos"/>
                <w:color w:val="000000"/>
                <w:sz w:val="16"/>
                <w:szCs w:val="16"/>
              </w:rPr>
              <w:t>2</w:t>
            </w:r>
            <w:r w:rsidR="00314B92" w:rsidRPr="00855381">
              <w:rPr>
                <w:rFonts w:ascii="Aptos" w:hAnsi="Aptos"/>
                <w:color w:val="000000"/>
                <w:sz w:val="16"/>
                <w:szCs w:val="16"/>
              </w:rPr>
              <w:t>,3</w:t>
            </w:r>
          </w:p>
        </w:tc>
        <w:tc>
          <w:tcPr>
            <w:tcW w:w="1629" w:type="pct"/>
            <w:tcBorders>
              <w:top w:val="nil"/>
              <w:left w:val="nil"/>
              <w:bottom w:val="nil"/>
              <w:right w:val="nil"/>
            </w:tcBorders>
            <w:noWrap/>
            <w:vAlign w:val="bottom"/>
            <w:hideMark/>
          </w:tcPr>
          <w:p w14:paraId="312B2D34" w14:textId="77777777" w:rsidR="008710ED" w:rsidRPr="00855381" w:rsidRDefault="008710ED" w:rsidP="008710ED">
            <w:pPr>
              <w:rPr>
                <w:rFonts w:ascii="Aptos" w:hAnsi="Aptos"/>
                <w:color w:val="000000"/>
                <w:sz w:val="16"/>
                <w:szCs w:val="16"/>
              </w:rPr>
            </w:pPr>
            <w:proofErr w:type="spellStart"/>
            <w:r w:rsidRPr="00855381">
              <w:rPr>
                <w:rFonts w:ascii="Aptos" w:hAnsi="Aptos"/>
                <w:color w:val="000000"/>
                <w:sz w:val="16"/>
                <w:szCs w:val="16"/>
              </w:rPr>
              <w:t>generalcancertreatment_prob</w:t>
            </w:r>
            <w:proofErr w:type="spellEnd"/>
          </w:p>
        </w:tc>
        <w:tc>
          <w:tcPr>
            <w:tcW w:w="1278" w:type="pct"/>
            <w:tcBorders>
              <w:top w:val="nil"/>
              <w:left w:val="nil"/>
              <w:bottom w:val="nil"/>
              <w:right w:val="nil"/>
            </w:tcBorders>
            <w:noWrap/>
            <w:vAlign w:val="bottom"/>
            <w:hideMark/>
          </w:tcPr>
          <w:p w14:paraId="6071FBDB"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0.9</w:t>
            </w:r>
          </w:p>
        </w:tc>
        <w:tc>
          <w:tcPr>
            <w:tcW w:w="1263" w:type="pct"/>
            <w:tcBorders>
              <w:top w:val="nil"/>
              <w:left w:val="nil"/>
              <w:bottom w:val="nil"/>
              <w:right w:val="nil"/>
            </w:tcBorders>
            <w:noWrap/>
            <w:vAlign w:val="bottom"/>
            <w:hideMark/>
          </w:tcPr>
          <w:p w14:paraId="0FD7E3D8"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0.8,0.95</w:t>
            </w:r>
          </w:p>
        </w:tc>
        <w:tc>
          <w:tcPr>
            <w:tcW w:w="324" w:type="pct"/>
            <w:vMerge/>
            <w:tcBorders>
              <w:top w:val="nil"/>
              <w:left w:val="nil"/>
              <w:bottom w:val="nil"/>
              <w:right w:val="single" w:sz="12" w:space="0" w:color="auto"/>
            </w:tcBorders>
            <w:vAlign w:val="center"/>
            <w:hideMark/>
          </w:tcPr>
          <w:p w14:paraId="684C7C6E" w14:textId="77777777" w:rsidR="008710ED" w:rsidRPr="00855381" w:rsidRDefault="008710ED" w:rsidP="008710ED">
            <w:pPr>
              <w:rPr>
                <w:rFonts w:ascii="Aptos" w:hAnsi="Aptos"/>
                <w:color w:val="000000"/>
                <w:sz w:val="16"/>
                <w:szCs w:val="16"/>
              </w:rPr>
            </w:pPr>
          </w:p>
        </w:tc>
      </w:tr>
      <w:tr w:rsidR="008710ED" w:rsidRPr="00855381" w14:paraId="3B56A677" w14:textId="77777777" w:rsidTr="008710ED">
        <w:trPr>
          <w:trHeight w:val="320"/>
        </w:trPr>
        <w:tc>
          <w:tcPr>
            <w:tcW w:w="5000" w:type="pct"/>
            <w:gridSpan w:val="5"/>
            <w:tcBorders>
              <w:top w:val="nil"/>
              <w:left w:val="single" w:sz="8" w:space="0" w:color="auto"/>
              <w:bottom w:val="nil"/>
              <w:right w:val="single" w:sz="12" w:space="0" w:color="000000"/>
            </w:tcBorders>
            <w:noWrap/>
            <w:vAlign w:val="bottom"/>
            <w:hideMark/>
          </w:tcPr>
          <w:p w14:paraId="31A5A924" w14:textId="77777777" w:rsidR="008710ED" w:rsidRPr="00855381" w:rsidRDefault="008710ED" w:rsidP="008710ED">
            <w:pPr>
              <w:jc w:val="center"/>
              <w:rPr>
                <w:rFonts w:ascii="Aptos" w:hAnsi="Aptos"/>
                <w:b/>
                <w:bCs/>
                <w:i/>
                <w:iCs/>
                <w:color w:val="000000"/>
                <w:sz w:val="16"/>
                <w:szCs w:val="16"/>
              </w:rPr>
            </w:pPr>
            <w:r w:rsidRPr="00855381">
              <w:rPr>
                <w:rFonts w:ascii="Aptos" w:hAnsi="Aptos"/>
                <w:b/>
                <w:bCs/>
                <w:i/>
                <w:iCs/>
                <w:color w:val="000000"/>
                <w:sz w:val="16"/>
                <w:szCs w:val="16"/>
              </w:rPr>
              <w:t xml:space="preserve">Sensitivity Analysis on Vaccine-Conferred OHR immunity - written as two cases </w:t>
            </w:r>
            <w:proofErr w:type="spellStart"/>
            <w:r w:rsidRPr="00855381">
              <w:rPr>
                <w:rFonts w:ascii="Aptos" w:hAnsi="Aptos"/>
                <w:b/>
                <w:bCs/>
                <w:i/>
                <w:iCs/>
                <w:color w:val="000000"/>
                <w:sz w:val="16"/>
                <w:szCs w:val="16"/>
              </w:rPr>
              <w:t>explciitly</w:t>
            </w:r>
            <w:proofErr w:type="spellEnd"/>
            <w:r w:rsidRPr="00855381">
              <w:rPr>
                <w:rFonts w:ascii="Aptos" w:hAnsi="Aptos"/>
                <w:b/>
                <w:bCs/>
                <w:i/>
                <w:iCs/>
                <w:color w:val="000000"/>
                <w:sz w:val="16"/>
                <w:szCs w:val="16"/>
              </w:rPr>
              <w:t xml:space="preserve"> in the paper</w:t>
            </w:r>
          </w:p>
        </w:tc>
      </w:tr>
      <w:tr w:rsidR="008710ED" w:rsidRPr="00855381" w14:paraId="22507F73" w14:textId="77777777" w:rsidTr="00CD1A12">
        <w:trPr>
          <w:trHeight w:val="320"/>
        </w:trPr>
        <w:tc>
          <w:tcPr>
            <w:tcW w:w="506" w:type="pct"/>
            <w:tcBorders>
              <w:top w:val="nil"/>
              <w:left w:val="single" w:sz="8" w:space="0" w:color="auto"/>
              <w:bottom w:val="nil"/>
              <w:right w:val="nil"/>
            </w:tcBorders>
            <w:noWrap/>
            <w:vAlign w:val="bottom"/>
            <w:hideMark/>
          </w:tcPr>
          <w:p w14:paraId="063CFBA6" w14:textId="3AD7EAAD" w:rsidR="008710ED" w:rsidRPr="00855381" w:rsidRDefault="00314B92" w:rsidP="008710ED">
            <w:pPr>
              <w:rPr>
                <w:rFonts w:ascii="Aptos" w:hAnsi="Aptos"/>
                <w:color w:val="000000"/>
                <w:sz w:val="16"/>
                <w:szCs w:val="16"/>
              </w:rPr>
            </w:pPr>
            <w:r w:rsidRPr="00855381">
              <w:rPr>
                <w:rFonts w:ascii="Aptos" w:hAnsi="Aptos"/>
                <w:color w:val="000000"/>
                <w:sz w:val="16"/>
                <w:szCs w:val="16"/>
              </w:rPr>
              <w:t>4</w:t>
            </w:r>
          </w:p>
        </w:tc>
        <w:tc>
          <w:tcPr>
            <w:tcW w:w="1629" w:type="pct"/>
            <w:tcBorders>
              <w:top w:val="nil"/>
              <w:left w:val="nil"/>
              <w:bottom w:val="nil"/>
              <w:right w:val="nil"/>
            </w:tcBorders>
            <w:noWrap/>
            <w:vAlign w:val="bottom"/>
            <w:hideMark/>
          </w:tcPr>
          <w:p w14:paraId="6C8ECFAA" w14:textId="77777777" w:rsidR="008710ED" w:rsidRPr="00855381" w:rsidRDefault="008710ED" w:rsidP="008710ED">
            <w:pPr>
              <w:rPr>
                <w:rFonts w:ascii="Aptos" w:hAnsi="Aptos"/>
                <w:color w:val="000000"/>
                <w:sz w:val="16"/>
                <w:szCs w:val="16"/>
              </w:rPr>
            </w:pPr>
            <w:r w:rsidRPr="00855381">
              <w:rPr>
                <w:rFonts w:ascii="Aptos" w:hAnsi="Aptos"/>
                <w:color w:val="000000"/>
                <w:sz w:val="16"/>
                <w:szCs w:val="16"/>
              </w:rPr>
              <w:t xml:space="preserve">bivalent </w:t>
            </w:r>
            <w:proofErr w:type="spellStart"/>
            <w:r w:rsidRPr="00855381">
              <w:rPr>
                <w:rFonts w:ascii="Aptos" w:hAnsi="Aptos"/>
                <w:color w:val="000000"/>
                <w:sz w:val="16"/>
                <w:szCs w:val="16"/>
              </w:rPr>
              <w:t>ohr</w:t>
            </w:r>
            <w:proofErr w:type="spellEnd"/>
            <w:r w:rsidRPr="00855381">
              <w:rPr>
                <w:rFonts w:ascii="Aptos" w:hAnsi="Aptos"/>
                <w:color w:val="000000"/>
                <w:sz w:val="16"/>
                <w:szCs w:val="16"/>
              </w:rPr>
              <w:t xml:space="preserve"> </w:t>
            </w:r>
            <w:proofErr w:type="spellStart"/>
            <w:r w:rsidRPr="00855381">
              <w:rPr>
                <w:rFonts w:ascii="Aptos" w:hAnsi="Aptos"/>
                <w:color w:val="000000"/>
                <w:sz w:val="16"/>
                <w:szCs w:val="16"/>
              </w:rPr>
              <w:t>rel_imm</w:t>
            </w:r>
            <w:proofErr w:type="spellEnd"/>
          </w:p>
        </w:tc>
        <w:tc>
          <w:tcPr>
            <w:tcW w:w="1278" w:type="pct"/>
            <w:tcBorders>
              <w:top w:val="nil"/>
              <w:left w:val="nil"/>
              <w:bottom w:val="nil"/>
              <w:right w:val="nil"/>
            </w:tcBorders>
            <w:noWrap/>
            <w:vAlign w:val="bottom"/>
            <w:hideMark/>
          </w:tcPr>
          <w:p w14:paraId="3DC1AE16"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w:t>
            </w:r>
          </w:p>
        </w:tc>
        <w:tc>
          <w:tcPr>
            <w:tcW w:w="1263" w:type="pct"/>
            <w:tcBorders>
              <w:top w:val="nil"/>
              <w:left w:val="nil"/>
              <w:bottom w:val="nil"/>
              <w:right w:val="nil"/>
            </w:tcBorders>
            <w:noWrap/>
            <w:vAlign w:val="bottom"/>
            <w:hideMark/>
          </w:tcPr>
          <w:p w14:paraId="4A404919"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0.1</w:t>
            </w:r>
          </w:p>
        </w:tc>
        <w:tc>
          <w:tcPr>
            <w:tcW w:w="324" w:type="pct"/>
            <w:vMerge w:val="restart"/>
            <w:tcBorders>
              <w:top w:val="nil"/>
              <w:left w:val="nil"/>
              <w:bottom w:val="nil"/>
              <w:right w:val="single" w:sz="12" w:space="0" w:color="auto"/>
            </w:tcBorders>
            <w:vAlign w:val="bottom"/>
            <w:hideMark/>
          </w:tcPr>
          <w:p w14:paraId="1F412C62" w14:textId="12036A9B" w:rsidR="008710ED" w:rsidRPr="00855381" w:rsidRDefault="008710ED" w:rsidP="008710ED">
            <w:pPr>
              <w:jc w:val="center"/>
              <w:rPr>
                <w:rFonts w:ascii="Aptos" w:hAnsi="Aptos"/>
                <w:color w:val="000000"/>
                <w:sz w:val="16"/>
                <w:szCs w:val="16"/>
              </w:rPr>
            </w:pPr>
            <w:r w:rsidRPr="00855381">
              <w:rPr>
                <w:rFonts w:ascii="Aptos" w:hAnsi="Aptos"/>
                <w:color w:val="000000"/>
                <w:sz w:val="16"/>
                <w:szCs w:val="16"/>
              </w:rPr>
              <w:t xml:space="preserve"> </w:t>
            </w:r>
          </w:p>
        </w:tc>
      </w:tr>
      <w:tr w:rsidR="008710ED" w:rsidRPr="00855381" w14:paraId="5B54D3EC" w14:textId="77777777" w:rsidTr="00CD1A12">
        <w:trPr>
          <w:trHeight w:val="320"/>
        </w:trPr>
        <w:tc>
          <w:tcPr>
            <w:tcW w:w="506" w:type="pct"/>
            <w:tcBorders>
              <w:top w:val="nil"/>
              <w:left w:val="single" w:sz="8" w:space="0" w:color="auto"/>
              <w:bottom w:val="nil"/>
              <w:right w:val="nil"/>
            </w:tcBorders>
            <w:noWrap/>
            <w:vAlign w:val="bottom"/>
            <w:hideMark/>
          </w:tcPr>
          <w:p w14:paraId="05361C13" w14:textId="6C8D86BA" w:rsidR="008710ED" w:rsidRPr="00855381" w:rsidRDefault="00314B92" w:rsidP="008710ED">
            <w:pPr>
              <w:rPr>
                <w:rFonts w:ascii="Aptos" w:hAnsi="Aptos"/>
                <w:color w:val="000000"/>
                <w:sz w:val="16"/>
                <w:szCs w:val="16"/>
              </w:rPr>
            </w:pPr>
            <w:r w:rsidRPr="00855381">
              <w:rPr>
                <w:rFonts w:ascii="Aptos" w:hAnsi="Aptos"/>
                <w:color w:val="000000"/>
                <w:sz w:val="16"/>
                <w:szCs w:val="16"/>
              </w:rPr>
              <w:t>4</w:t>
            </w:r>
          </w:p>
        </w:tc>
        <w:tc>
          <w:tcPr>
            <w:tcW w:w="1629" w:type="pct"/>
            <w:tcBorders>
              <w:top w:val="nil"/>
              <w:left w:val="nil"/>
              <w:bottom w:val="nil"/>
              <w:right w:val="nil"/>
            </w:tcBorders>
            <w:noWrap/>
            <w:vAlign w:val="bottom"/>
            <w:hideMark/>
          </w:tcPr>
          <w:p w14:paraId="07DFA859" w14:textId="77777777" w:rsidR="008710ED" w:rsidRPr="00855381" w:rsidRDefault="008710ED" w:rsidP="008710ED">
            <w:pPr>
              <w:rPr>
                <w:rFonts w:ascii="Aptos" w:hAnsi="Aptos"/>
                <w:color w:val="000000"/>
                <w:sz w:val="16"/>
                <w:szCs w:val="16"/>
              </w:rPr>
            </w:pPr>
            <w:r w:rsidRPr="00855381">
              <w:rPr>
                <w:rFonts w:ascii="Aptos" w:hAnsi="Aptos"/>
                <w:color w:val="000000"/>
                <w:sz w:val="16"/>
                <w:szCs w:val="16"/>
              </w:rPr>
              <w:t xml:space="preserve">quadrivalent </w:t>
            </w:r>
            <w:proofErr w:type="spellStart"/>
            <w:r w:rsidRPr="00855381">
              <w:rPr>
                <w:rFonts w:ascii="Aptos" w:hAnsi="Aptos"/>
                <w:color w:val="000000"/>
                <w:sz w:val="16"/>
                <w:szCs w:val="16"/>
              </w:rPr>
              <w:t>ohr</w:t>
            </w:r>
            <w:proofErr w:type="spellEnd"/>
            <w:r w:rsidRPr="00855381">
              <w:rPr>
                <w:rFonts w:ascii="Aptos" w:hAnsi="Aptos"/>
                <w:color w:val="000000"/>
                <w:sz w:val="16"/>
                <w:szCs w:val="16"/>
              </w:rPr>
              <w:t xml:space="preserve"> </w:t>
            </w:r>
            <w:proofErr w:type="spellStart"/>
            <w:r w:rsidRPr="00855381">
              <w:rPr>
                <w:rFonts w:ascii="Aptos" w:hAnsi="Aptos"/>
                <w:color w:val="000000"/>
                <w:sz w:val="16"/>
                <w:szCs w:val="16"/>
              </w:rPr>
              <w:t>rel_imm</w:t>
            </w:r>
            <w:proofErr w:type="spellEnd"/>
          </w:p>
        </w:tc>
        <w:tc>
          <w:tcPr>
            <w:tcW w:w="1278" w:type="pct"/>
            <w:tcBorders>
              <w:top w:val="nil"/>
              <w:left w:val="nil"/>
              <w:bottom w:val="nil"/>
              <w:right w:val="nil"/>
            </w:tcBorders>
            <w:noWrap/>
            <w:vAlign w:val="bottom"/>
            <w:hideMark/>
          </w:tcPr>
          <w:p w14:paraId="2A4A0E96"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w:t>
            </w:r>
          </w:p>
        </w:tc>
        <w:tc>
          <w:tcPr>
            <w:tcW w:w="1263" w:type="pct"/>
            <w:tcBorders>
              <w:top w:val="nil"/>
              <w:left w:val="nil"/>
              <w:bottom w:val="nil"/>
              <w:right w:val="nil"/>
            </w:tcBorders>
            <w:noWrap/>
            <w:vAlign w:val="bottom"/>
            <w:hideMark/>
          </w:tcPr>
          <w:p w14:paraId="761E696E"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0.1</w:t>
            </w:r>
          </w:p>
        </w:tc>
        <w:tc>
          <w:tcPr>
            <w:tcW w:w="324" w:type="pct"/>
            <w:vMerge/>
            <w:tcBorders>
              <w:top w:val="nil"/>
              <w:left w:val="nil"/>
              <w:bottom w:val="nil"/>
              <w:right w:val="single" w:sz="12" w:space="0" w:color="auto"/>
            </w:tcBorders>
            <w:vAlign w:val="center"/>
            <w:hideMark/>
          </w:tcPr>
          <w:p w14:paraId="07BF921B" w14:textId="77777777" w:rsidR="008710ED" w:rsidRPr="00855381" w:rsidRDefault="008710ED" w:rsidP="008710ED">
            <w:pPr>
              <w:rPr>
                <w:rFonts w:ascii="Aptos" w:hAnsi="Aptos"/>
                <w:color w:val="000000"/>
                <w:sz w:val="16"/>
                <w:szCs w:val="16"/>
              </w:rPr>
            </w:pPr>
          </w:p>
        </w:tc>
      </w:tr>
      <w:tr w:rsidR="008710ED" w:rsidRPr="00855381" w14:paraId="7F15964E" w14:textId="77777777" w:rsidTr="00CD1A12">
        <w:trPr>
          <w:trHeight w:val="320"/>
        </w:trPr>
        <w:tc>
          <w:tcPr>
            <w:tcW w:w="506" w:type="pct"/>
            <w:tcBorders>
              <w:top w:val="nil"/>
              <w:left w:val="single" w:sz="8" w:space="0" w:color="auto"/>
              <w:bottom w:val="nil"/>
              <w:right w:val="nil"/>
            </w:tcBorders>
            <w:noWrap/>
            <w:vAlign w:val="bottom"/>
            <w:hideMark/>
          </w:tcPr>
          <w:p w14:paraId="6052F4D3" w14:textId="372A64B8" w:rsidR="008710ED" w:rsidRPr="00855381" w:rsidRDefault="00314B92" w:rsidP="008710ED">
            <w:pPr>
              <w:rPr>
                <w:rFonts w:ascii="Aptos" w:hAnsi="Aptos"/>
                <w:color w:val="000000"/>
                <w:sz w:val="16"/>
                <w:szCs w:val="16"/>
              </w:rPr>
            </w:pPr>
            <w:r w:rsidRPr="00855381">
              <w:rPr>
                <w:rFonts w:ascii="Aptos" w:hAnsi="Aptos"/>
                <w:color w:val="000000"/>
                <w:sz w:val="16"/>
                <w:szCs w:val="16"/>
              </w:rPr>
              <w:t>4</w:t>
            </w:r>
          </w:p>
        </w:tc>
        <w:tc>
          <w:tcPr>
            <w:tcW w:w="1629" w:type="pct"/>
            <w:tcBorders>
              <w:top w:val="nil"/>
              <w:left w:val="nil"/>
              <w:bottom w:val="nil"/>
              <w:right w:val="nil"/>
            </w:tcBorders>
            <w:noWrap/>
            <w:vAlign w:val="bottom"/>
            <w:hideMark/>
          </w:tcPr>
          <w:p w14:paraId="698738AA" w14:textId="77777777" w:rsidR="008710ED" w:rsidRPr="00855381" w:rsidRDefault="008710ED" w:rsidP="008710ED">
            <w:pPr>
              <w:rPr>
                <w:rFonts w:ascii="Aptos" w:hAnsi="Aptos"/>
                <w:color w:val="000000"/>
                <w:sz w:val="16"/>
                <w:szCs w:val="16"/>
              </w:rPr>
            </w:pPr>
            <w:proofErr w:type="spellStart"/>
            <w:r w:rsidRPr="00855381">
              <w:rPr>
                <w:rFonts w:ascii="Aptos" w:hAnsi="Aptos"/>
                <w:color w:val="000000"/>
                <w:sz w:val="16"/>
                <w:szCs w:val="16"/>
              </w:rPr>
              <w:t>nonavalent</w:t>
            </w:r>
            <w:proofErr w:type="spellEnd"/>
            <w:r w:rsidRPr="00855381">
              <w:rPr>
                <w:rFonts w:ascii="Aptos" w:hAnsi="Aptos"/>
                <w:color w:val="000000"/>
                <w:sz w:val="16"/>
                <w:szCs w:val="16"/>
              </w:rPr>
              <w:t xml:space="preserve"> </w:t>
            </w:r>
            <w:proofErr w:type="spellStart"/>
            <w:r w:rsidRPr="00855381">
              <w:rPr>
                <w:rFonts w:ascii="Aptos" w:hAnsi="Aptos"/>
                <w:color w:val="000000"/>
                <w:sz w:val="16"/>
                <w:szCs w:val="16"/>
              </w:rPr>
              <w:t>ohr</w:t>
            </w:r>
            <w:proofErr w:type="spellEnd"/>
            <w:r w:rsidRPr="00855381">
              <w:rPr>
                <w:rFonts w:ascii="Aptos" w:hAnsi="Aptos"/>
                <w:color w:val="000000"/>
                <w:sz w:val="16"/>
                <w:szCs w:val="16"/>
              </w:rPr>
              <w:t xml:space="preserve"> </w:t>
            </w:r>
            <w:proofErr w:type="spellStart"/>
            <w:r w:rsidRPr="00855381">
              <w:rPr>
                <w:rFonts w:ascii="Aptos" w:hAnsi="Aptos"/>
                <w:color w:val="000000"/>
                <w:sz w:val="16"/>
                <w:szCs w:val="16"/>
              </w:rPr>
              <w:t>rel_imm</w:t>
            </w:r>
            <w:proofErr w:type="spellEnd"/>
          </w:p>
        </w:tc>
        <w:tc>
          <w:tcPr>
            <w:tcW w:w="1278" w:type="pct"/>
            <w:tcBorders>
              <w:top w:val="nil"/>
              <w:left w:val="nil"/>
              <w:bottom w:val="nil"/>
              <w:right w:val="nil"/>
            </w:tcBorders>
            <w:noWrap/>
            <w:vAlign w:val="bottom"/>
            <w:hideMark/>
          </w:tcPr>
          <w:p w14:paraId="0395AED3"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w:t>
            </w:r>
          </w:p>
        </w:tc>
        <w:tc>
          <w:tcPr>
            <w:tcW w:w="1263" w:type="pct"/>
            <w:tcBorders>
              <w:top w:val="nil"/>
              <w:left w:val="nil"/>
              <w:bottom w:val="nil"/>
              <w:right w:val="nil"/>
            </w:tcBorders>
            <w:noWrap/>
            <w:vAlign w:val="bottom"/>
            <w:hideMark/>
          </w:tcPr>
          <w:p w14:paraId="206078B2"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0.1</w:t>
            </w:r>
          </w:p>
        </w:tc>
        <w:tc>
          <w:tcPr>
            <w:tcW w:w="324" w:type="pct"/>
            <w:vMerge/>
            <w:tcBorders>
              <w:top w:val="nil"/>
              <w:left w:val="nil"/>
              <w:bottom w:val="nil"/>
              <w:right w:val="single" w:sz="12" w:space="0" w:color="auto"/>
            </w:tcBorders>
            <w:vAlign w:val="center"/>
            <w:hideMark/>
          </w:tcPr>
          <w:p w14:paraId="3003064D" w14:textId="77777777" w:rsidR="008710ED" w:rsidRPr="00855381" w:rsidRDefault="008710ED" w:rsidP="008710ED">
            <w:pPr>
              <w:rPr>
                <w:rFonts w:ascii="Aptos" w:hAnsi="Aptos"/>
                <w:color w:val="000000"/>
                <w:sz w:val="16"/>
                <w:szCs w:val="16"/>
              </w:rPr>
            </w:pPr>
          </w:p>
        </w:tc>
      </w:tr>
      <w:tr w:rsidR="008710ED" w:rsidRPr="00855381" w14:paraId="3D1B6AA0" w14:textId="77777777" w:rsidTr="008710ED">
        <w:trPr>
          <w:trHeight w:val="320"/>
        </w:trPr>
        <w:tc>
          <w:tcPr>
            <w:tcW w:w="5000" w:type="pct"/>
            <w:gridSpan w:val="5"/>
            <w:tcBorders>
              <w:top w:val="nil"/>
              <w:left w:val="single" w:sz="8" w:space="0" w:color="auto"/>
              <w:bottom w:val="nil"/>
              <w:right w:val="single" w:sz="12" w:space="0" w:color="000000"/>
            </w:tcBorders>
            <w:noWrap/>
            <w:vAlign w:val="bottom"/>
            <w:hideMark/>
          </w:tcPr>
          <w:p w14:paraId="7A342279" w14:textId="77777777" w:rsidR="008710ED" w:rsidRPr="00855381" w:rsidRDefault="008710ED" w:rsidP="008710ED">
            <w:pPr>
              <w:jc w:val="center"/>
              <w:rPr>
                <w:rFonts w:ascii="Aptos" w:hAnsi="Aptos"/>
                <w:b/>
                <w:bCs/>
                <w:i/>
                <w:iCs/>
                <w:color w:val="000000"/>
                <w:sz w:val="16"/>
                <w:szCs w:val="16"/>
              </w:rPr>
            </w:pPr>
            <w:r w:rsidRPr="00855381">
              <w:rPr>
                <w:rFonts w:ascii="Aptos" w:hAnsi="Aptos"/>
                <w:b/>
                <w:bCs/>
                <w:i/>
                <w:iCs/>
                <w:color w:val="000000"/>
                <w:sz w:val="16"/>
                <w:szCs w:val="16"/>
              </w:rPr>
              <w:t>Sensitivity Analysis on Initial HPV Prevalence among Men</w:t>
            </w:r>
          </w:p>
        </w:tc>
      </w:tr>
      <w:tr w:rsidR="008710ED" w:rsidRPr="00855381" w14:paraId="6D1F1716" w14:textId="77777777" w:rsidTr="00CD1A12">
        <w:trPr>
          <w:trHeight w:val="980"/>
        </w:trPr>
        <w:tc>
          <w:tcPr>
            <w:tcW w:w="506" w:type="pct"/>
            <w:tcBorders>
              <w:top w:val="nil"/>
              <w:left w:val="single" w:sz="8" w:space="0" w:color="auto"/>
              <w:bottom w:val="nil"/>
              <w:right w:val="nil"/>
            </w:tcBorders>
            <w:noWrap/>
            <w:vAlign w:val="bottom"/>
            <w:hideMark/>
          </w:tcPr>
          <w:p w14:paraId="5FD660E7" w14:textId="2D99922D" w:rsidR="008710ED" w:rsidRPr="00855381" w:rsidRDefault="00314B92" w:rsidP="008710ED">
            <w:pPr>
              <w:rPr>
                <w:rFonts w:ascii="Aptos" w:hAnsi="Aptos"/>
                <w:color w:val="000000"/>
                <w:sz w:val="16"/>
                <w:szCs w:val="16"/>
              </w:rPr>
            </w:pPr>
            <w:r w:rsidRPr="00855381">
              <w:rPr>
                <w:rFonts w:ascii="Aptos" w:hAnsi="Aptos"/>
                <w:color w:val="000000"/>
                <w:sz w:val="16"/>
                <w:szCs w:val="16"/>
              </w:rPr>
              <w:t>5</w:t>
            </w:r>
          </w:p>
        </w:tc>
        <w:tc>
          <w:tcPr>
            <w:tcW w:w="1629" w:type="pct"/>
            <w:tcBorders>
              <w:top w:val="nil"/>
              <w:left w:val="nil"/>
              <w:bottom w:val="nil"/>
              <w:right w:val="nil"/>
            </w:tcBorders>
            <w:noWrap/>
            <w:vAlign w:val="bottom"/>
            <w:hideMark/>
          </w:tcPr>
          <w:p w14:paraId="3E506385" w14:textId="77777777" w:rsidR="008710ED" w:rsidRPr="00855381" w:rsidRDefault="008710ED" w:rsidP="008710ED">
            <w:pPr>
              <w:rPr>
                <w:rFonts w:ascii="Aptos" w:hAnsi="Aptos"/>
                <w:color w:val="000000"/>
                <w:sz w:val="16"/>
                <w:szCs w:val="16"/>
              </w:rPr>
            </w:pPr>
            <w:proofErr w:type="spellStart"/>
            <w:r w:rsidRPr="00855381">
              <w:rPr>
                <w:rFonts w:ascii="Aptos" w:hAnsi="Aptos"/>
                <w:color w:val="000000"/>
                <w:sz w:val="16"/>
                <w:szCs w:val="16"/>
              </w:rPr>
              <w:t>init_hpv_prev</w:t>
            </w:r>
            <w:proofErr w:type="spellEnd"/>
            <w:r w:rsidRPr="00855381">
              <w:rPr>
                <w:rFonts w:ascii="Aptos" w:hAnsi="Aptos"/>
                <w:color w:val="000000"/>
                <w:sz w:val="16"/>
                <w:szCs w:val="16"/>
              </w:rPr>
              <w:t xml:space="preserve"> (m)</w:t>
            </w:r>
          </w:p>
        </w:tc>
        <w:tc>
          <w:tcPr>
            <w:tcW w:w="1278" w:type="pct"/>
            <w:tcBorders>
              <w:top w:val="nil"/>
              <w:left w:val="nil"/>
              <w:bottom w:val="nil"/>
              <w:right w:val="nil"/>
            </w:tcBorders>
            <w:noWrap/>
            <w:vAlign w:val="bottom"/>
            <w:hideMark/>
          </w:tcPr>
          <w:p w14:paraId="2D06CAD9" w14:textId="77777777" w:rsidR="008710ED" w:rsidRPr="00855381" w:rsidRDefault="008710ED" w:rsidP="008710ED">
            <w:pPr>
              <w:rPr>
                <w:rFonts w:ascii="Aptos" w:hAnsi="Aptos"/>
                <w:color w:val="000000"/>
                <w:sz w:val="16"/>
                <w:szCs w:val="16"/>
              </w:rPr>
            </w:pPr>
            <w:r w:rsidRPr="00855381">
              <w:rPr>
                <w:rFonts w:ascii="Aptos" w:hAnsi="Aptos"/>
                <w:color w:val="000000"/>
                <w:sz w:val="16"/>
                <w:szCs w:val="16"/>
              </w:rPr>
              <w:t>0,0.20,  0.23, 0.20, 0.18, 0.25, 0.25</w:t>
            </w:r>
          </w:p>
        </w:tc>
        <w:tc>
          <w:tcPr>
            <w:tcW w:w="1263" w:type="pct"/>
            <w:tcBorders>
              <w:top w:val="nil"/>
              <w:left w:val="nil"/>
              <w:bottom w:val="nil"/>
              <w:right w:val="nil"/>
            </w:tcBorders>
            <w:noWrap/>
            <w:vAlign w:val="bottom"/>
            <w:hideMark/>
          </w:tcPr>
          <w:p w14:paraId="78A09F06" w14:textId="77777777" w:rsidR="008710ED" w:rsidRPr="00855381" w:rsidRDefault="008710ED" w:rsidP="008710ED">
            <w:pPr>
              <w:rPr>
                <w:rFonts w:ascii="Aptos" w:hAnsi="Aptos"/>
                <w:color w:val="000000"/>
                <w:sz w:val="16"/>
                <w:szCs w:val="16"/>
              </w:rPr>
            </w:pPr>
            <w:r w:rsidRPr="00855381">
              <w:rPr>
                <w:rFonts w:ascii="Aptos" w:hAnsi="Aptos"/>
                <w:color w:val="000000"/>
                <w:sz w:val="16"/>
                <w:szCs w:val="16"/>
              </w:rPr>
              <w:t>0,0.25, 0.14, 0.08, 0.06, 0.06, 0.03</w:t>
            </w:r>
          </w:p>
        </w:tc>
        <w:tc>
          <w:tcPr>
            <w:tcW w:w="324" w:type="pct"/>
            <w:tcBorders>
              <w:top w:val="nil"/>
              <w:left w:val="nil"/>
              <w:bottom w:val="nil"/>
              <w:right w:val="single" w:sz="12" w:space="0" w:color="auto"/>
            </w:tcBorders>
            <w:vAlign w:val="bottom"/>
            <w:hideMark/>
          </w:tcPr>
          <w:p w14:paraId="4501B239" w14:textId="0D4D7893" w:rsidR="008710ED" w:rsidRPr="00855381" w:rsidRDefault="008710ED" w:rsidP="008710ED">
            <w:pPr>
              <w:rPr>
                <w:rFonts w:ascii="Aptos" w:hAnsi="Aptos"/>
                <w:color w:val="000000"/>
                <w:sz w:val="16"/>
                <w:szCs w:val="16"/>
              </w:rPr>
            </w:pPr>
            <w:r w:rsidRPr="00855381">
              <w:rPr>
                <w:rFonts w:ascii="Aptos" w:hAnsi="Aptos"/>
                <w:color w:val="000000"/>
                <w:sz w:val="16"/>
                <w:szCs w:val="16"/>
              </w:rPr>
              <w:t xml:space="preserve"> </w:t>
            </w:r>
          </w:p>
        </w:tc>
      </w:tr>
      <w:tr w:rsidR="008710ED" w:rsidRPr="00855381" w14:paraId="22C37C55" w14:textId="77777777" w:rsidTr="008710ED">
        <w:trPr>
          <w:trHeight w:val="320"/>
        </w:trPr>
        <w:tc>
          <w:tcPr>
            <w:tcW w:w="5000" w:type="pct"/>
            <w:gridSpan w:val="5"/>
            <w:tcBorders>
              <w:top w:val="nil"/>
              <w:left w:val="single" w:sz="8" w:space="0" w:color="auto"/>
              <w:bottom w:val="nil"/>
              <w:right w:val="single" w:sz="12" w:space="0" w:color="000000"/>
            </w:tcBorders>
            <w:noWrap/>
            <w:vAlign w:val="bottom"/>
            <w:hideMark/>
          </w:tcPr>
          <w:p w14:paraId="5CC593C9" w14:textId="77777777" w:rsidR="008710ED" w:rsidRPr="00855381" w:rsidRDefault="008710ED" w:rsidP="008710ED">
            <w:pPr>
              <w:jc w:val="center"/>
              <w:rPr>
                <w:rFonts w:ascii="Aptos" w:hAnsi="Aptos"/>
                <w:b/>
                <w:bCs/>
                <w:i/>
                <w:iCs/>
                <w:color w:val="000000"/>
                <w:sz w:val="16"/>
                <w:szCs w:val="16"/>
              </w:rPr>
            </w:pPr>
            <w:r w:rsidRPr="00855381">
              <w:rPr>
                <w:rFonts w:ascii="Aptos" w:hAnsi="Aptos"/>
                <w:b/>
                <w:bCs/>
                <w:i/>
                <w:iCs/>
                <w:color w:val="000000"/>
                <w:sz w:val="16"/>
                <w:szCs w:val="16"/>
              </w:rPr>
              <w:t>Sensitivity Analysis on Cytology Parameterisation</w:t>
            </w:r>
          </w:p>
        </w:tc>
      </w:tr>
      <w:tr w:rsidR="008710ED" w:rsidRPr="00855381" w14:paraId="1EE35F6D" w14:textId="77777777" w:rsidTr="00CD1A12">
        <w:trPr>
          <w:trHeight w:val="320"/>
        </w:trPr>
        <w:tc>
          <w:tcPr>
            <w:tcW w:w="506" w:type="pct"/>
            <w:tcBorders>
              <w:top w:val="nil"/>
              <w:left w:val="single" w:sz="8" w:space="0" w:color="auto"/>
              <w:bottom w:val="nil"/>
              <w:right w:val="nil"/>
            </w:tcBorders>
            <w:noWrap/>
            <w:vAlign w:val="bottom"/>
            <w:hideMark/>
          </w:tcPr>
          <w:p w14:paraId="40859B73" w14:textId="723D49DA" w:rsidR="008710ED" w:rsidRPr="00855381" w:rsidRDefault="00314B92" w:rsidP="008710ED">
            <w:pPr>
              <w:rPr>
                <w:rFonts w:ascii="Aptos" w:hAnsi="Aptos"/>
                <w:color w:val="000000"/>
                <w:sz w:val="16"/>
                <w:szCs w:val="16"/>
              </w:rPr>
            </w:pPr>
            <w:r w:rsidRPr="00855381">
              <w:rPr>
                <w:rFonts w:ascii="Aptos" w:hAnsi="Aptos"/>
                <w:color w:val="000000"/>
                <w:sz w:val="16"/>
                <w:szCs w:val="16"/>
              </w:rPr>
              <w:t>6</w:t>
            </w:r>
          </w:p>
        </w:tc>
        <w:tc>
          <w:tcPr>
            <w:tcW w:w="1629" w:type="pct"/>
            <w:tcBorders>
              <w:top w:val="nil"/>
              <w:left w:val="nil"/>
              <w:bottom w:val="nil"/>
              <w:right w:val="nil"/>
            </w:tcBorders>
            <w:noWrap/>
            <w:vAlign w:val="bottom"/>
            <w:hideMark/>
          </w:tcPr>
          <w:p w14:paraId="60A96B0F" w14:textId="77777777" w:rsidR="008710ED" w:rsidRPr="00855381" w:rsidRDefault="008710ED" w:rsidP="008710ED">
            <w:pPr>
              <w:rPr>
                <w:rFonts w:ascii="Aptos" w:hAnsi="Aptos"/>
                <w:color w:val="000000"/>
                <w:sz w:val="16"/>
                <w:szCs w:val="16"/>
              </w:rPr>
            </w:pPr>
            <w:r w:rsidRPr="00855381">
              <w:rPr>
                <w:rFonts w:ascii="Aptos" w:hAnsi="Aptos"/>
                <w:color w:val="000000"/>
                <w:sz w:val="16"/>
                <w:szCs w:val="16"/>
              </w:rPr>
              <w:t>P(</w:t>
            </w:r>
            <w:proofErr w:type="spellStart"/>
            <w:r w:rsidRPr="00855381">
              <w:rPr>
                <w:rFonts w:ascii="Aptos" w:hAnsi="Aptos"/>
                <w:color w:val="000000"/>
                <w:sz w:val="16"/>
                <w:szCs w:val="16"/>
              </w:rPr>
              <w:t>normal|susceptible</w:t>
            </w:r>
            <w:proofErr w:type="spellEnd"/>
            <w:r w:rsidRPr="00855381">
              <w:rPr>
                <w:rFonts w:ascii="Aptos" w:hAnsi="Aptos"/>
                <w:color w:val="000000"/>
                <w:sz w:val="16"/>
                <w:szCs w:val="16"/>
              </w:rPr>
              <w:t>, latent, pre-</w:t>
            </w:r>
            <w:proofErr w:type="spellStart"/>
            <w:r w:rsidRPr="00855381">
              <w:rPr>
                <w:rFonts w:ascii="Aptos" w:hAnsi="Aptos"/>
                <w:color w:val="000000"/>
                <w:sz w:val="16"/>
                <w:szCs w:val="16"/>
              </w:rPr>
              <w:t>cin</w:t>
            </w:r>
            <w:proofErr w:type="spellEnd"/>
            <w:r w:rsidRPr="00855381">
              <w:rPr>
                <w:rFonts w:ascii="Aptos" w:hAnsi="Aptos"/>
                <w:color w:val="000000"/>
                <w:sz w:val="16"/>
                <w:szCs w:val="16"/>
              </w:rPr>
              <w:t xml:space="preserve">), for </w:t>
            </w:r>
            <w:proofErr w:type="spellStart"/>
            <w:r w:rsidRPr="00855381">
              <w:rPr>
                <w:rFonts w:ascii="Aptos" w:hAnsi="Aptos"/>
                <w:color w:val="000000"/>
                <w:sz w:val="16"/>
                <w:szCs w:val="16"/>
              </w:rPr>
              <w:t>lbc</w:t>
            </w:r>
            <w:proofErr w:type="spellEnd"/>
          </w:p>
        </w:tc>
        <w:tc>
          <w:tcPr>
            <w:tcW w:w="1278" w:type="pct"/>
            <w:tcBorders>
              <w:top w:val="nil"/>
              <w:left w:val="nil"/>
              <w:bottom w:val="nil"/>
              <w:right w:val="nil"/>
            </w:tcBorders>
            <w:noWrap/>
            <w:vAlign w:val="bottom"/>
            <w:hideMark/>
          </w:tcPr>
          <w:p w14:paraId="5E7D07F2"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0.96</w:t>
            </w:r>
          </w:p>
        </w:tc>
        <w:tc>
          <w:tcPr>
            <w:tcW w:w="1263" w:type="pct"/>
            <w:tcBorders>
              <w:top w:val="nil"/>
              <w:left w:val="nil"/>
              <w:bottom w:val="nil"/>
              <w:right w:val="nil"/>
            </w:tcBorders>
            <w:noWrap/>
            <w:vAlign w:val="bottom"/>
            <w:hideMark/>
          </w:tcPr>
          <w:p w14:paraId="7DA6C586"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0.9</w:t>
            </w:r>
          </w:p>
        </w:tc>
        <w:tc>
          <w:tcPr>
            <w:tcW w:w="324" w:type="pct"/>
            <w:vMerge w:val="restart"/>
            <w:tcBorders>
              <w:top w:val="nil"/>
              <w:left w:val="nil"/>
              <w:bottom w:val="single" w:sz="8" w:space="0" w:color="000000"/>
              <w:right w:val="single" w:sz="12" w:space="0" w:color="auto"/>
            </w:tcBorders>
            <w:vAlign w:val="bottom"/>
            <w:hideMark/>
          </w:tcPr>
          <w:p w14:paraId="01F49421" w14:textId="444E3DAF" w:rsidR="008710ED" w:rsidRPr="00855381" w:rsidRDefault="00314B92" w:rsidP="008710ED">
            <w:pPr>
              <w:jc w:val="center"/>
              <w:rPr>
                <w:rFonts w:ascii="Aptos" w:hAnsi="Aptos"/>
                <w:color w:val="000000"/>
                <w:sz w:val="16"/>
                <w:szCs w:val="16"/>
              </w:rPr>
            </w:pPr>
            <w:r w:rsidRPr="00855381">
              <w:rPr>
                <w:rFonts w:ascii="Aptos" w:hAnsi="Aptos"/>
                <w:color w:val="000000"/>
                <w:sz w:val="16"/>
                <w:szCs w:val="16"/>
              </w:rPr>
              <w:t xml:space="preserve"> </w:t>
            </w:r>
          </w:p>
        </w:tc>
      </w:tr>
      <w:tr w:rsidR="008710ED" w:rsidRPr="00855381" w14:paraId="1A91B674" w14:textId="77777777" w:rsidTr="00CD1A12">
        <w:trPr>
          <w:trHeight w:val="340"/>
        </w:trPr>
        <w:tc>
          <w:tcPr>
            <w:tcW w:w="506" w:type="pct"/>
            <w:tcBorders>
              <w:top w:val="nil"/>
              <w:left w:val="single" w:sz="8" w:space="0" w:color="auto"/>
              <w:bottom w:val="nil"/>
              <w:right w:val="nil"/>
            </w:tcBorders>
            <w:noWrap/>
            <w:vAlign w:val="bottom"/>
            <w:hideMark/>
          </w:tcPr>
          <w:p w14:paraId="13D09D3D" w14:textId="2AFE8075" w:rsidR="008710ED" w:rsidRPr="00855381" w:rsidRDefault="00314B92" w:rsidP="008710ED">
            <w:pPr>
              <w:rPr>
                <w:rFonts w:ascii="Aptos" w:hAnsi="Aptos"/>
                <w:color w:val="000000"/>
                <w:sz w:val="16"/>
                <w:szCs w:val="16"/>
              </w:rPr>
            </w:pPr>
            <w:r w:rsidRPr="00855381">
              <w:rPr>
                <w:rFonts w:ascii="Aptos" w:hAnsi="Aptos"/>
                <w:color w:val="000000"/>
                <w:sz w:val="16"/>
                <w:szCs w:val="16"/>
              </w:rPr>
              <w:t>6</w:t>
            </w:r>
          </w:p>
        </w:tc>
        <w:tc>
          <w:tcPr>
            <w:tcW w:w="1629" w:type="pct"/>
            <w:tcBorders>
              <w:top w:val="nil"/>
              <w:left w:val="nil"/>
              <w:bottom w:val="nil"/>
              <w:right w:val="nil"/>
            </w:tcBorders>
            <w:noWrap/>
            <w:vAlign w:val="bottom"/>
            <w:hideMark/>
          </w:tcPr>
          <w:p w14:paraId="452CDFF6" w14:textId="77777777" w:rsidR="008710ED" w:rsidRPr="00855381" w:rsidRDefault="008710ED" w:rsidP="008710ED">
            <w:pPr>
              <w:rPr>
                <w:rFonts w:ascii="Aptos" w:hAnsi="Aptos"/>
                <w:color w:val="000000"/>
                <w:sz w:val="16"/>
                <w:szCs w:val="16"/>
              </w:rPr>
            </w:pPr>
            <w:r w:rsidRPr="00855381">
              <w:rPr>
                <w:rFonts w:ascii="Aptos" w:hAnsi="Aptos"/>
                <w:color w:val="000000"/>
                <w:sz w:val="16"/>
                <w:szCs w:val="16"/>
              </w:rPr>
              <w:t>P(</w:t>
            </w:r>
            <w:proofErr w:type="spellStart"/>
            <w:r w:rsidRPr="00855381">
              <w:rPr>
                <w:rFonts w:ascii="Aptos" w:hAnsi="Aptos"/>
                <w:color w:val="000000"/>
                <w:sz w:val="16"/>
                <w:szCs w:val="16"/>
              </w:rPr>
              <w:t>abnormal|cin</w:t>
            </w:r>
            <w:proofErr w:type="spellEnd"/>
            <w:r w:rsidRPr="00855381">
              <w:rPr>
                <w:rFonts w:ascii="Aptos" w:hAnsi="Aptos"/>
                <w:color w:val="000000"/>
                <w:sz w:val="16"/>
                <w:szCs w:val="16"/>
              </w:rPr>
              <w:t xml:space="preserve">), for </w:t>
            </w:r>
            <w:proofErr w:type="spellStart"/>
            <w:r w:rsidRPr="00855381">
              <w:rPr>
                <w:rFonts w:ascii="Aptos" w:hAnsi="Aptos"/>
                <w:color w:val="000000"/>
                <w:sz w:val="16"/>
                <w:szCs w:val="16"/>
              </w:rPr>
              <w:t>lbc</w:t>
            </w:r>
            <w:proofErr w:type="spellEnd"/>
          </w:p>
        </w:tc>
        <w:tc>
          <w:tcPr>
            <w:tcW w:w="1278" w:type="pct"/>
            <w:tcBorders>
              <w:top w:val="nil"/>
              <w:left w:val="nil"/>
              <w:bottom w:val="nil"/>
              <w:right w:val="nil"/>
            </w:tcBorders>
            <w:noWrap/>
            <w:vAlign w:val="bottom"/>
            <w:hideMark/>
          </w:tcPr>
          <w:p w14:paraId="6598C00C"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0.7</w:t>
            </w:r>
          </w:p>
        </w:tc>
        <w:tc>
          <w:tcPr>
            <w:tcW w:w="1263" w:type="pct"/>
            <w:tcBorders>
              <w:top w:val="nil"/>
              <w:left w:val="nil"/>
              <w:bottom w:val="nil"/>
              <w:right w:val="nil"/>
            </w:tcBorders>
            <w:noWrap/>
            <w:vAlign w:val="bottom"/>
            <w:hideMark/>
          </w:tcPr>
          <w:p w14:paraId="300C8AD7" w14:textId="77777777" w:rsidR="008710ED" w:rsidRPr="00855381" w:rsidRDefault="008710ED" w:rsidP="008710ED">
            <w:pPr>
              <w:jc w:val="right"/>
              <w:rPr>
                <w:rFonts w:ascii="Aptos" w:hAnsi="Aptos"/>
                <w:color w:val="000000"/>
                <w:sz w:val="16"/>
                <w:szCs w:val="16"/>
              </w:rPr>
            </w:pPr>
            <w:r w:rsidRPr="00855381">
              <w:rPr>
                <w:rFonts w:ascii="Aptos" w:hAnsi="Aptos"/>
                <w:color w:val="000000"/>
                <w:sz w:val="16"/>
                <w:szCs w:val="16"/>
              </w:rPr>
              <w:t>0.85</w:t>
            </w:r>
          </w:p>
        </w:tc>
        <w:tc>
          <w:tcPr>
            <w:tcW w:w="324" w:type="pct"/>
            <w:vMerge/>
            <w:tcBorders>
              <w:top w:val="nil"/>
              <w:left w:val="nil"/>
              <w:bottom w:val="nil"/>
              <w:right w:val="single" w:sz="12" w:space="0" w:color="auto"/>
            </w:tcBorders>
            <w:vAlign w:val="center"/>
            <w:hideMark/>
          </w:tcPr>
          <w:p w14:paraId="6C3724F5" w14:textId="77777777" w:rsidR="008710ED" w:rsidRPr="00855381" w:rsidRDefault="008710ED" w:rsidP="008710ED">
            <w:pPr>
              <w:rPr>
                <w:rFonts w:ascii="Aptos" w:hAnsi="Aptos"/>
                <w:color w:val="000000"/>
                <w:sz w:val="16"/>
                <w:szCs w:val="16"/>
              </w:rPr>
            </w:pPr>
          </w:p>
        </w:tc>
      </w:tr>
      <w:tr w:rsidR="00CD1A12" w:rsidRPr="00855381" w14:paraId="15F6A03B" w14:textId="77777777" w:rsidTr="00CD1A12">
        <w:trPr>
          <w:trHeight w:val="340"/>
        </w:trPr>
        <w:tc>
          <w:tcPr>
            <w:tcW w:w="506" w:type="pct"/>
            <w:tcBorders>
              <w:top w:val="nil"/>
              <w:left w:val="single" w:sz="8" w:space="0" w:color="auto"/>
              <w:bottom w:val="single" w:sz="8" w:space="0" w:color="auto"/>
              <w:right w:val="nil"/>
            </w:tcBorders>
            <w:noWrap/>
            <w:vAlign w:val="bottom"/>
          </w:tcPr>
          <w:p w14:paraId="76C3A8C5" w14:textId="77777777" w:rsidR="00CD1A12" w:rsidRPr="00855381" w:rsidRDefault="00CD1A12" w:rsidP="008710ED">
            <w:pPr>
              <w:rPr>
                <w:rFonts w:ascii="Aptos" w:hAnsi="Aptos"/>
                <w:color w:val="000000"/>
                <w:sz w:val="16"/>
                <w:szCs w:val="16"/>
              </w:rPr>
            </w:pPr>
          </w:p>
        </w:tc>
        <w:tc>
          <w:tcPr>
            <w:tcW w:w="1629" w:type="pct"/>
            <w:tcBorders>
              <w:top w:val="nil"/>
              <w:left w:val="nil"/>
              <w:bottom w:val="single" w:sz="8" w:space="0" w:color="auto"/>
              <w:right w:val="nil"/>
            </w:tcBorders>
            <w:noWrap/>
            <w:vAlign w:val="bottom"/>
          </w:tcPr>
          <w:p w14:paraId="4B2E9736" w14:textId="77777777" w:rsidR="00CD1A12" w:rsidRPr="00855381" w:rsidRDefault="00CD1A12" w:rsidP="008710ED">
            <w:pPr>
              <w:rPr>
                <w:rFonts w:ascii="Aptos" w:hAnsi="Aptos"/>
                <w:color w:val="000000"/>
                <w:sz w:val="16"/>
                <w:szCs w:val="16"/>
              </w:rPr>
            </w:pPr>
          </w:p>
        </w:tc>
        <w:tc>
          <w:tcPr>
            <w:tcW w:w="1278" w:type="pct"/>
            <w:tcBorders>
              <w:top w:val="nil"/>
              <w:left w:val="nil"/>
              <w:bottom w:val="single" w:sz="8" w:space="0" w:color="auto"/>
              <w:right w:val="nil"/>
            </w:tcBorders>
            <w:noWrap/>
            <w:vAlign w:val="bottom"/>
          </w:tcPr>
          <w:p w14:paraId="556BC004" w14:textId="77777777" w:rsidR="00CD1A12" w:rsidRPr="00855381" w:rsidRDefault="00CD1A12" w:rsidP="008710ED">
            <w:pPr>
              <w:jc w:val="right"/>
              <w:rPr>
                <w:rFonts w:ascii="Aptos" w:hAnsi="Aptos"/>
                <w:color w:val="000000"/>
                <w:sz w:val="16"/>
                <w:szCs w:val="16"/>
              </w:rPr>
            </w:pPr>
          </w:p>
        </w:tc>
        <w:tc>
          <w:tcPr>
            <w:tcW w:w="1263" w:type="pct"/>
            <w:tcBorders>
              <w:top w:val="nil"/>
              <w:left w:val="nil"/>
              <w:bottom w:val="single" w:sz="8" w:space="0" w:color="auto"/>
              <w:right w:val="nil"/>
            </w:tcBorders>
            <w:noWrap/>
            <w:vAlign w:val="bottom"/>
          </w:tcPr>
          <w:p w14:paraId="21B24BA5" w14:textId="77777777" w:rsidR="00CD1A12" w:rsidRPr="00855381" w:rsidRDefault="00CD1A12" w:rsidP="008710ED">
            <w:pPr>
              <w:jc w:val="right"/>
              <w:rPr>
                <w:rFonts w:ascii="Aptos" w:hAnsi="Aptos"/>
                <w:color w:val="000000"/>
                <w:sz w:val="16"/>
                <w:szCs w:val="16"/>
              </w:rPr>
            </w:pPr>
          </w:p>
        </w:tc>
        <w:tc>
          <w:tcPr>
            <w:tcW w:w="324" w:type="pct"/>
            <w:tcBorders>
              <w:top w:val="nil"/>
              <w:left w:val="nil"/>
              <w:bottom w:val="single" w:sz="8" w:space="0" w:color="000000"/>
              <w:right w:val="single" w:sz="12" w:space="0" w:color="auto"/>
            </w:tcBorders>
            <w:vAlign w:val="center"/>
          </w:tcPr>
          <w:p w14:paraId="500CCBE3" w14:textId="77777777" w:rsidR="00CD1A12" w:rsidRPr="00855381" w:rsidRDefault="00CD1A12" w:rsidP="008710ED">
            <w:pPr>
              <w:rPr>
                <w:rFonts w:ascii="Aptos" w:hAnsi="Aptos"/>
                <w:color w:val="000000"/>
                <w:sz w:val="16"/>
                <w:szCs w:val="16"/>
              </w:rPr>
            </w:pPr>
          </w:p>
        </w:tc>
      </w:tr>
    </w:tbl>
    <w:p w14:paraId="573D2EDB" w14:textId="77777777" w:rsidR="00042959" w:rsidRDefault="00042959" w:rsidP="00CD1A12">
      <w:pPr>
        <w:rPr>
          <w:rFonts w:ascii="Aptos" w:hAnsi="Aptos"/>
          <w:b/>
          <w:bCs/>
          <w:u w:val="single"/>
        </w:rPr>
      </w:pPr>
    </w:p>
    <w:p w14:paraId="1F4F8677" w14:textId="6BE996E6" w:rsidR="00D7519C" w:rsidRPr="006719F5" w:rsidRDefault="00D7519C" w:rsidP="00D7519C">
      <w:pPr>
        <w:pStyle w:val="Caption"/>
        <w:jc w:val="center"/>
        <w:rPr>
          <w:rFonts w:ascii="Aptos" w:hAnsi="Aptos"/>
          <w:b/>
          <w:bCs/>
          <w:sz w:val="24"/>
          <w:szCs w:val="24"/>
          <w:u w:val="single"/>
        </w:rPr>
      </w:pPr>
      <w:bookmarkStart w:id="0" w:name="_Ref241330718"/>
      <w:r w:rsidRPr="006719F5">
        <w:rPr>
          <w:rFonts w:ascii="Aptos" w:hAnsi="Aptos"/>
          <w:sz w:val="24"/>
          <w:szCs w:val="24"/>
        </w:rPr>
        <w:t xml:space="preserve">Table </w:t>
      </w:r>
      <w:r w:rsidRPr="006719F5">
        <w:rPr>
          <w:rFonts w:ascii="Aptos" w:hAnsi="Aptos"/>
          <w:sz w:val="24"/>
          <w:szCs w:val="24"/>
        </w:rPr>
        <w:fldChar w:fldCharType="begin"/>
      </w:r>
      <w:r w:rsidRPr="006719F5">
        <w:rPr>
          <w:rFonts w:ascii="Aptos" w:hAnsi="Aptos"/>
          <w:sz w:val="24"/>
          <w:szCs w:val="24"/>
        </w:rPr>
        <w:instrText xml:space="preserve"> SEQ Table \* ARABIC </w:instrText>
      </w:r>
      <w:r w:rsidRPr="006719F5">
        <w:rPr>
          <w:rFonts w:ascii="Aptos" w:hAnsi="Aptos"/>
          <w:sz w:val="24"/>
          <w:szCs w:val="24"/>
        </w:rPr>
        <w:fldChar w:fldCharType="separate"/>
      </w:r>
      <w:r w:rsidR="00052B38">
        <w:rPr>
          <w:rFonts w:ascii="Aptos" w:hAnsi="Aptos"/>
          <w:noProof/>
          <w:sz w:val="24"/>
          <w:szCs w:val="24"/>
        </w:rPr>
        <w:t>1</w:t>
      </w:r>
      <w:r w:rsidRPr="006719F5">
        <w:rPr>
          <w:rFonts w:ascii="Aptos" w:hAnsi="Aptos"/>
          <w:sz w:val="24"/>
          <w:szCs w:val="24"/>
        </w:rPr>
        <w:fldChar w:fldCharType="end"/>
      </w:r>
      <w:bookmarkEnd w:id="0"/>
      <w:r w:rsidRPr="006719F5">
        <w:rPr>
          <w:rFonts w:ascii="Aptos" w:hAnsi="Aptos"/>
          <w:sz w:val="24"/>
          <w:szCs w:val="24"/>
        </w:rPr>
        <w:t>: Enumeration of all sensitivity analysis cases considered in our analysis.</w:t>
      </w:r>
      <w:r w:rsidR="000414BF">
        <w:rPr>
          <w:rFonts w:ascii="Aptos" w:hAnsi="Aptos"/>
          <w:sz w:val="24"/>
          <w:szCs w:val="24"/>
        </w:rPr>
        <w:t xml:space="preserve"> </w:t>
      </w:r>
      <w:r w:rsidR="000414BF" w:rsidRPr="000414BF">
        <w:rPr>
          <w:rFonts w:ascii="Aptos" w:hAnsi="Aptos"/>
          <w:sz w:val="24"/>
          <w:szCs w:val="24"/>
        </w:rPr>
        <w:t>SA 2 refers to the lower of the two secondary values in each case (low compliance) and SA 3 refers to the higher of the two secondary values in each case (high compliance).</w:t>
      </w:r>
      <w:r w:rsidR="000414BF">
        <w:rPr>
          <w:rFonts w:ascii="Aptos" w:hAnsi="Aptos"/>
          <w:sz w:val="24"/>
          <w:szCs w:val="24"/>
        </w:rPr>
        <w:t xml:space="preserve"> </w:t>
      </w:r>
      <w:r w:rsidR="000414BF" w:rsidRPr="000414BF">
        <w:rPr>
          <w:rFonts w:ascii="Aptos" w:hAnsi="Aptos"/>
          <w:sz w:val="24"/>
          <w:szCs w:val="24"/>
        </w:rPr>
        <w:t>For consistency in numbering of results, we refer to the base case as SA 0.</w:t>
      </w:r>
    </w:p>
    <w:p w14:paraId="211BBD54" w14:textId="77777777" w:rsidR="00A3026E" w:rsidRPr="00855381" w:rsidRDefault="00A3026E" w:rsidP="00A3026E">
      <w:pPr>
        <w:rPr>
          <w:rFonts w:ascii="Aptos" w:hAnsi="Aptos"/>
        </w:rPr>
      </w:pPr>
    </w:p>
    <w:p w14:paraId="6E0C6A36" w14:textId="77777777" w:rsidR="00981A10" w:rsidRDefault="00981A10">
      <w:pPr>
        <w:rPr>
          <w:rFonts w:ascii="Aptos" w:eastAsiaTheme="majorEastAsia" w:hAnsi="Aptos" w:cstheme="majorBidi"/>
          <w:color w:val="0F4761" w:themeColor="accent1" w:themeShade="BF"/>
          <w:kern w:val="2"/>
          <w:sz w:val="40"/>
          <w:szCs w:val="40"/>
          <w:lang w:eastAsia="en-US"/>
          <w14:ligatures w14:val="standardContextual"/>
        </w:rPr>
      </w:pPr>
      <w:r>
        <w:rPr>
          <w:rFonts w:ascii="Aptos" w:hAnsi="Aptos"/>
        </w:rPr>
        <w:br w:type="page"/>
      </w:r>
    </w:p>
    <w:p w14:paraId="3AC8D84E" w14:textId="1C89D065" w:rsidR="00A3026E" w:rsidRPr="00855381" w:rsidRDefault="00252AC5" w:rsidP="00A3026E">
      <w:pPr>
        <w:pStyle w:val="Heading1"/>
        <w:rPr>
          <w:rFonts w:ascii="Aptos" w:hAnsi="Aptos"/>
        </w:rPr>
      </w:pPr>
      <w:r>
        <w:rPr>
          <w:rFonts w:ascii="Aptos" w:hAnsi="Aptos"/>
        </w:rPr>
        <w:lastRenderedPageBreak/>
        <w:t xml:space="preserve">S5: </w:t>
      </w:r>
      <w:r w:rsidR="00A3026E" w:rsidRPr="00855381">
        <w:rPr>
          <w:rFonts w:ascii="Aptos" w:hAnsi="Aptos"/>
        </w:rPr>
        <w:t>Sensitivity Analysis Result Summary</w:t>
      </w:r>
    </w:p>
    <w:p w14:paraId="6093AB87" w14:textId="5693B20A" w:rsidR="003A6B31" w:rsidRPr="00855381" w:rsidRDefault="003A6B31" w:rsidP="003A6B31">
      <w:pPr>
        <w:rPr>
          <w:rFonts w:ascii="Aptos" w:hAnsi="Aptos"/>
        </w:rPr>
      </w:pPr>
      <w:r w:rsidRPr="00855381">
        <w:rPr>
          <w:rFonts w:ascii="Aptos" w:hAnsi="Aptos"/>
        </w:rPr>
        <w:t xml:space="preserve">To summarise results over sensitivity analyses, we defined an alternative screening strategy to </w:t>
      </w:r>
      <w:r w:rsidR="007A09E6">
        <w:rPr>
          <w:rFonts w:ascii="Aptos" w:hAnsi="Aptos"/>
        </w:rPr>
        <w:t>lead to</w:t>
      </w:r>
      <w:r w:rsidR="00981A10">
        <w:rPr>
          <w:rFonts w:ascii="Aptos" w:hAnsi="Aptos"/>
        </w:rPr>
        <w:t xml:space="preserve"> ‘</w:t>
      </w:r>
      <w:r w:rsidRPr="00855381">
        <w:rPr>
          <w:rFonts w:ascii="Aptos" w:hAnsi="Aptos"/>
        </w:rPr>
        <w:t>similar' CCI to baseline if the effect size when comparing CCI between the two counterfactuals (Cohen's d) is</w:t>
      </w:r>
      <w:r w:rsidR="004C6C53">
        <w:rPr>
          <w:rFonts w:ascii="Aptos" w:hAnsi="Aptos"/>
        </w:rPr>
        <w:t xml:space="preserve"> </w:t>
      </w:r>
      <m:oMath>
        <m:r>
          <w:rPr>
            <w:rFonts w:ascii="Cambria Math" w:hAnsi="Cambria Math"/>
          </w:rPr>
          <m:t>d≤0.45</m:t>
        </m:r>
      </m:oMath>
      <w:r w:rsidRPr="00855381">
        <w:rPr>
          <w:rFonts w:ascii="Aptos" w:hAnsi="Aptos"/>
        </w:rPr>
        <w:t xml:space="preserve"> at both 2040 and 2050. This condition that accounts for our high sample size (n=106) which causes even small effect sizes to result in statistical significance. We defined</w:t>
      </w:r>
      <w:r w:rsidR="004C6C53">
        <w:rPr>
          <w:rFonts w:ascii="Aptos" w:hAnsi="Aptos"/>
        </w:rPr>
        <w:t xml:space="preserve"> ‘</w:t>
      </w:r>
      <w:r w:rsidRPr="00855381">
        <w:rPr>
          <w:rFonts w:ascii="Aptos" w:hAnsi="Aptos"/>
        </w:rPr>
        <w:t>similar LTUP' identically.</w:t>
      </w:r>
      <w:r w:rsidR="004C6C53">
        <w:rPr>
          <w:rFonts w:ascii="Aptos" w:hAnsi="Aptos"/>
        </w:rPr>
        <w:t xml:space="preserve"> </w:t>
      </w:r>
    </w:p>
    <w:p w14:paraId="1C28499D" w14:textId="77777777" w:rsidR="003A6B31" w:rsidRPr="00855381" w:rsidRDefault="003A6B31" w:rsidP="003A6B31">
      <w:pPr>
        <w:rPr>
          <w:rFonts w:ascii="Aptos" w:hAnsi="Aptos"/>
        </w:rPr>
      </w:pPr>
    </w:p>
    <w:p w14:paraId="509CD145" w14:textId="21A187DE" w:rsidR="003A6B31" w:rsidRPr="00855381" w:rsidRDefault="003A6B31" w:rsidP="003A6B31">
      <w:pPr>
        <w:rPr>
          <w:rFonts w:ascii="Aptos" w:hAnsi="Aptos"/>
        </w:rPr>
      </w:pPr>
      <w:r w:rsidRPr="00855381">
        <w:rPr>
          <w:rFonts w:ascii="Aptos" w:hAnsi="Aptos"/>
        </w:rPr>
        <w:t>Over the full population</w:t>
      </w:r>
      <w:r w:rsidR="004C6C53">
        <w:rPr>
          <w:rFonts w:ascii="Aptos" w:hAnsi="Aptos"/>
        </w:rPr>
        <w:t xml:space="preserve"> (</w:t>
      </w:r>
      <w:r w:rsidR="004C6C53">
        <w:rPr>
          <w:rFonts w:ascii="Aptos" w:hAnsi="Aptos"/>
        </w:rPr>
        <w:fldChar w:fldCharType="begin"/>
      </w:r>
      <w:r w:rsidR="004C6C53">
        <w:rPr>
          <w:rFonts w:ascii="Aptos" w:hAnsi="Aptos"/>
        </w:rPr>
        <w:instrText xml:space="preserve"> REF _Ref241331400 \h </w:instrText>
      </w:r>
      <w:r w:rsidR="004C6C53">
        <w:rPr>
          <w:rFonts w:ascii="Aptos" w:hAnsi="Aptos"/>
        </w:rPr>
      </w:r>
      <w:r w:rsidR="004C6C53">
        <w:rPr>
          <w:rFonts w:ascii="Aptos" w:hAnsi="Aptos"/>
        </w:rPr>
        <w:fldChar w:fldCharType="separate"/>
      </w:r>
      <w:r w:rsidR="00052B38" w:rsidRPr="007E0BE3">
        <w:rPr>
          <w:rFonts w:ascii="Aptos" w:hAnsi="Aptos"/>
          <w:sz w:val="20"/>
          <w:szCs w:val="20"/>
        </w:rPr>
        <w:t xml:space="preserve">Table </w:t>
      </w:r>
      <w:r w:rsidR="00052B38">
        <w:rPr>
          <w:rFonts w:ascii="Aptos" w:hAnsi="Aptos"/>
          <w:noProof/>
          <w:sz w:val="20"/>
          <w:szCs w:val="20"/>
        </w:rPr>
        <w:t>2</w:t>
      </w:r>
      <w:r w:rsidR="004C6C53">
        <w:rPr>
          <w:rFonts w:ascii="Aptos" w:hAnsi="Aptos"/>
        </w:rPr>
        <w:fldChar w:fldCharType="end"/>
      </w:r>
      <w:r w:rsidR="004C6C53">
        <w:rPr>
          <w:rFonts w:ascii="Aptos" w:hAnsi="Aptos"/>
        </w:rPr>
        <w:t>)</w:t>
      </w:r>
      <w:r w:rsidRPr="00855381">
        <w:rPr>
          <w:rFonts w:ascii="Aptos" w:hAnsi="Aptos"/>
        </w:rPr>
        <w:t>, a reduction in screening intensity for vaccinated individuals to as little as 15-yearly screening (3 LS) resulted in similar CCI and LTUP projections to baseline in all sensitivity analyses. Cohort-</w:t>
      </w:r>
      <w:r w:rsidR="005768B1">
        <w:rPr>
          <w:rFonts w:ascii="Aptos" w:hAnsi="Aptos"/>
        </w:rPr>
        <w:t>dependant</w:t>
      </w:r>
      <w:r w:rsidRPr="00855381">
        <w:rPr>
          <w:rFonts w:ascii="Aptos" w:hAnsi="Aptos"/>
        </w:rPr>
        <w:t xml:space="preserve"> screening could be reduced to 7-yearly across all sensitivity analyses while conserving population-wise similarity in CCI and LTUP projections. Most sensitivity analyses supported reduction of cohort-</w:t>
      </w:r>
      <w:r w:rsidR="005768B1">
        <w:rPr>
          <w:rFonts w:ascii="Aptos" w:hAnsi="Aptos"/>
        </w:rPr>
        <w:t>dependant</w:t>
      </w:r>
      <w:r w:rsidRPr="00855381">
        <w:rPr>
          <w:rFonts w:ascii="Aptos" w:hAnsi="Aptos"/>
        </w:rPr>
        <w:t xml:space="preserve"> screening to 10-yearly (when assessing similarity of CCI and LTUP trajectories at a population level), other than three cases. When we assume higher compliance to initial and follow</w:t>
      </w:r>
      <w:r w:rsidR="004C6C53">
        <w:rPr>
          <w:rFonts w:ascii="Aptos" w:hAnsi="Aptos"/>
        </w:rPr>
        <w:t>-</w:t>
      </w:r>
      <w:r w:rsidRPr="00855381">
        <w:rPr>
          <w:rFonts w:ascii="Aptos" w:hAnsi="Aptos"/>
        </w:rPr>
        <w:t>up screening, any reduction in screening had a larger downstream effect, so with 80-90% compliance, only smaller reductions in cohort-</w:t>
      </w:r>
      <w:r w:rsidR="005768B1">
        <w:rPr>
          <w:rFonts w:ascii="Aptos" w:hAnsi="Aptos"/>
        </w:rPr>
        <w:t>dependant</w:t>
      </w:r>
      <w:r w:rsidRPr="00855381">
        <w:rPr>
          <w:rFonts w:ascii="Aptos" w:hAnsi="Aptos"/>
        </w:rPr>
        <w:t xml:space="preserve"> screening resulted in similar CCI and LTUP trajectories to baseline on a population level. Similarly, when we assumed higher cytology sensitivity and specificity, screening was more effective at identifying individuals with low- and high-grade lesions, requiring less dramatic reductions in cohort-</w:t>
      </w:r>
      <w:r w:rsidR="005768B1">
        <w:rPr>
          <w:rFonts w:ascii="Aptos" w:hAnsi="Aptos"/>
        </w:rPr>
        <w:t>dependant</w:t>
      </w:r>
      <w:r w:rsidRPr="00855381">
        <w:rPr>
          <w:rFonts w:ascii="Aptos" w:hAnsi="Aptos"/>
        </w:rPr>
        <w:t xml:space="preserve"> screening in order to conserve trajectories. Finally, if we assume initial HPV infection distribution amongst men decreases with age, rather than a broadly stable rate of HPV infection across adult men, the larger concentration of HPV infection amongst younger sexually active men resulted in only smaller reductions in cohort-</w:t>
      </w:r>
      <w:r w:rsidR="005768B1">
        <w:rPr>
          <w:rFonts w:ascii="Aptos" w:hAnsi="Aptos"/>
        </w:rPr>
        <w:t>dependant</w:t>
      </w:r>
      <w:r w:rsidRPr="00855381">
        <w:rPr>
          <w:rFonts w:ascii="Aptos" w:hAnsi="Aptos"/>
        </w:rPr>
        <w:t xml:space="preserve"> screening </w:t>
      </w:r>
      <w:r w:rsidR="007A09E6">
        <w:rPr>
          <w:rFonts w:ascii="Aptos" w:hAnsi="Aptos"/>
        </w:rPr>
        <w:t>leading to</w:t>
      </w:r>
      <w:r w:rsidRPr="00855381">
        <w:rPr>
          <w:rFonts w:ascii="Aptos" w:hAnsi="Aptos"/>
        </w:rPr>
        <w:t xml:space="preserve"> similar trajectories. </w:t>
      </w:r>
    </w:p>
    <w:p w14:paraId="2B15179D" w14:textId="77777777" w:rsidR="003A6B31" w:rsidRPr="00855381" w:rsidRDefault="003A6B31" w:rsidP="003A6B31">
      <w:pPr>
        <w:rPr>
          <w:rFonts w:ascii="Aptos" w:hAnsi="Aptos"/>
        </w:rPr>
      </w:pPr>
    </w:p>
    <w:p w14:paraId="6337A9D1" w14:textId="080E8C56" w:rsidR="003A6B31" w:rsidRPr="00855381" w:rsidRDefault="003A6B31" w:rsidP="003A6B31">
      <w:pPr>
        <w:rPr>
          <w:rFonts w:ascii="Aptos" w:hAnsi="Aptos"/>
        </w:rPr>
      </w:pPr>
      <w:r w:rsidRPr="00855381">
        <w:rPr>
          <w:rFonts w:ascii="Aptos" w:hAnsi="Aptos"/>
        </w:rPr>
        <w:t xml:space="preserve">When focussing on the vaccinated </w:t>
      </w:r>
      <w:r w:rsidR="00116E8A">
        <w:rPr>
          <w:rFonts w:ascii="Aptos" w:hAnsi="Aptos"/>
        </w:rPr>
        <w:t>sub</w:t>
      </w:r>
      <w:r w:rsidRPr="00855381">
        <w:rPr>
          <w:rFonts w:ascii="Aptos" w:hAnsi="Aptos"/>
        </w:rPr>
        <w:t>population</w:t>
      </w:r>
      <w:r w:rsidR="004C6C53">
        <w:rPr>
          <w:rFonts w:ascii="Aptos" w:hAnsi="Aptos"/>
        </w:rPr>
        <w:t xml:space="preserve"> (</w:t>
      </w:r>
      <w:r w:rsidR="004C6C53">
        <w:rPr>
          <w:rFonts w:ascii="Aptos" w:hAnsi="Aptos"/>
        </w:rPr>
        <w:fldChar w:fldCharType="begin"/>
      </w:r>
      <w:r w:rsidR="004C6C53">
        <w:rPr>
          <w:rFonts w:ascii="Aptos" w:hAnsi="Aptos"/>
        </w:rPr>
        <w:instrText xml:space="preserve"> REF _Ref241331412 \h </w:instrText>
      </w:r>
      <w:r w:rsidR="004C6C53">
        <w:rPr>
          <w:rFonts w:ascii="Aptos" w:hAnsi="Aptos"/>
        </w:rPr>
      </w:r>
      <w:r w:rsidR="004C6C53">
        <w:rPr>
          <w:rFonts w:ascii="Aptos" w:hAnsi="Aptos"/>
        </w:rPr>
        <w:fldChar w:fldCharType="separate"/>
      </w:r>
      <w:r w:rsidR="00052B38" w:rsidRPr="007E0BE3">
        <w:rPr>
          <w:rFonts w:ascii="Aptos" w:hAnsi="Aptos"/>
          <w:sz w:val="20"/>
          <w:szCs w:val="20"/>
        </w:rPr>
        <w:t xml:space="preserve">Table </w:t>
      </w:r>
      <w:r w:rsidR="00052B38">
        <w:rPr>
          <w:rFonts w:ascii="Aptos" w:hAnsi="Aptos"/>
          <w:noProof/>
          <w:sz w:val="20"/>
          <w:szCs w:val="20"/>
        </w:rPr>
        <w:t>3</w:t>
      </w:r>
      <w:r w:rsidR="004C6C53">
        <w:rPr>
          <w:rFonts w:ascii="Aptos" w:hAnsi="Aptos"/>
        </w:rPr>
        <w:fldChar w:fldCharType="end"/>
      </w:r>
      <w:r w:rsidR="004C6C53">
        <w:rPr>
          <w:rFonts w:ascii="Aptos" w:hAnsi="Aptos"/>
        </w:rPr>
        <w:t>)</w:t>
      </w:r>
      <w:r w:rsidRPr="00855381">
        <w:rPr>
          <w:rFonts w:ascii="Aptos" w:hAnsi="Aptos"/>
        </w:rPr>
        <w:t xml:space="preserve">, a reduction to 10-yearly screening resulted in similar CCI trajectories in all but one sensitivity analysis (for which only a reduction to 7-yearly screening </w:t>
      </w:r>
      <w:r w:rsidR="007A09E6">
        <w:rPr>
          <w:rFonts w:ascii="Aptos" w:hAnsi="Aptos"/>
        </w:rPr>
        <w:t>led to</w:t>
      </w:r>
      <w:r w:rsidRPr="00855381">
        <w:rPr>
          <w:rFonts w:ascii="Aptos" w:hAnsi="Aptos"/>
        </w:rPr>
        <w:t xml:space="preserve"> similar trajectories</w:t>
      </w:r>
      <w:proofErr w:type="gramStart"/>
      <w:r w:rsidRPr="00855381">
        <w:rPr>
          <w:rFonts w:ascii="Aptos" w:hAnsi="Aptos"/>
        </w:rPr>
        <w:t>), and</w:t>
      </w:r>
      <w:proofErr w:type="gramEnd"/>
      <w:r w:rsidRPr="00855381">
        <w:rPr>
          <w:rFonts w:ascii="Aptos" w:hAnsi="Aptos"/>
        </w:rPr>
        <w:t xml:space="preserve"> resulted in similar LTUP trajectories in the base analysis and two others. As before, when screening compliance or cytology sensitivity/specificity was increased, the negative impact conferred by reductions in screening was greater, and therefore only smaller reductions in screening intensity may be acceptable. We found that CCI and LTUP trajectories at 10-yearly screening of vaccinated individuals were close to baseline at 2040, but with greater deviation at 2050 as rates of cervical cancers increased with age. The largest disagreement between sensitivity analyses </w:t>
      </w:r>
      <w:r w:rsidR="004C6C53" w:rsidRPr="00855381">
        <w:rPr>
          <w:rFonts w:ascii="Aptos" w:hAnsi="Aptos"/>
        </w:rPr>
        <w:t>occurred</w:t>
      </w:r>
      <w:r w:rsidRPr="00855381">
        <w:rPr>
          <w:rFonts w:ascii="Aptos" w:hAnsi="Aptos"/>
        </w:rPr>
        <w:t xml:space="preserve"> when projecting LTUP trajectories in vaccinated individuals; re-analyses as the real-world vaccinated </w:t>
      </w:r>
      <w:r w:rsidR="00116E8A">
        <w:rPr>
          <w:rFonts w:ascii="Aptos" w:hAnsi="Aptos"/>
        </w:rPr>
        <w:t>sub</w:t>
      </w:r>
      <w:r w:rsidRPr="00855381">
        <w:rPr>
          <w:rFonts w:ascii="Aptos" w:hAnsi="Aptos"/>
        </w:rPr>
        <w:t>population ages and more data is acquired in this subgroup will allow for greater certainty regarding cancer trajectories. Nonetheless, a more conservative reduction in screening intensity to 7-yearly for vaccinated individuals is supported as equitable by all sensitivity analyses, while the reduction to 10-yearly suggested in our main analysis is supported if we do not assume sharp increases in future compliance or test sensitivity/specificity.</w:t>
      </w:r>
    </w:p>
    <w:p w14:paraId="697A9136" w14:textId="77777777" w:rsidR="003A6B31" w:rsidRPr="00855381" w:rsidRDefault="003A6B31" w:rsidP="003A6B31">
      <w:pPr>
        <w:rPr>
          <w:rFonts w:ascii="Aptos" w:hAnsi="Aptos"/>
        </w:rPr>
      </w:pPr>
    </w:p>
    <w:p w14:paraId="7726D8DC" w14:textId="34831E57" w:rsidR="003A6B31" w:rsidRPr="00855381" w:rsidRDefault="003A6B31" w:rsidP="003A6B31">
      <w:pPr>
        <w:rPr>
          <w:rFonts w:ascii="Aptos" w:hAnsi="Aptos"/>
        </w:rPr>
      </w:pPr>
      <w:r w:rsidRPr="00855381">
        <w:rPr>
          <w:rFonts w:ascii="Aptos" w:hAnsi="Aptos"/>
        </w:rPr>
        <w:t xml:space="preserve">When focussing on the unvaccinated vaccine-eligible </w:t>
      </w:r>
      <w:r w:rsidR="00116E8A">
        <w:rPr>
          <w:rFonts w:ascii="Aptos" w:hAnsi="Aptos"/>
        </w:rPr>
        <w:t>sub</w:t>
      </w:r>
      <w:r w:rsidRPr="00855381">
        <w:rPr>
          <w:rFonts w:ascii="Aptos" w:hAnsi="Aptos"/>
        </w:rPr>
        <w:t>population</w:t>
      </w:r>
      <w:r w:rsidR="004C6C53">
        <w:rPr>
          <w:rFonts w:ascii="Aptos" w:hAnsi="Aptos"/>
        </w:rPr>
        <w:t xml:space="preserve"> (</w:t>
      </w:r>
      <w:r w:rsidR="004C6C53">
        <w:rPr>
          <w:rFonts w:ascii="Aptos" w:hAnsi="Aptos"/>
        </w:rPr>
        <w:fldChar w:fldCharType="begin"/>
      </w:r>
      <w:r w:rsidR="004C6C53">
        <w:rPr>
          <w:rFonts w:ascii="Aptos" w:hAnsi="Aptos"/>
        </w:rPr>
        <w:instrText xml:space="preserve"> REF _Ref241331419 \h </w:instrText>
      </w:r>
      <w:r w:rsidR="004C6C53">
        <w:rPr>
          <w:rFonts w:ascii="Aptos" w:hAnsi="Aptos"/>
        </w:rPr>
      </w:r>
      <w:r w:rsidR="004C6C53">
        <w:rPr>
          <w:rFonts w:ascii="Aptos" w:hAnsi="Aptos"/>
        </w:rPr>
        <w:fldChar w:fldCharType="separate"/>
      </w:r>
      <w:r w:rsidR="00052B38" w:rsidRPr="007E0BE3">
        <w:rPr>
          <w:rFonts w:ascii="Aptos" w:hAnsi="Aptos"/>
          <w:sz w:val="20"/>
          <w:szCs w:val="20"/>
        </w:rPr>
        <w:t xml:space="preserve">Table </w:t>
      </w:r>
      <w:r w:rsidR="00052B38">
        <w:rPr>
          <w:rFonts w:ascii="Aptos" w:hAnsi="Aptos"/>
          <w:noProof/>
          <w:sz w:val="20"/>
          <w:szCs w:val="20"/>
        </w:rPr>
        <w:t>4</w:t>
      </w:r>
      <w:r w:rsidR="004C6C53">
        <w:rPr>
          <w:rFonts w:ascii="Aptos" w:hAnsi="Aptos"/>
        </w:rPr>
        <w:fldChar w:fldCharType="end"/>
      </w:r>
      <w:r w:rsidR="004C6C53">
        <w:rPr>
          <w:rFonts w:ascii="Aptos" w:hAnsi="Aptos"/>
        </w:rPr>
        <w:t>)</w:t>
      </w:r>
      <w:r w:rsidRPr="00855381">
        <w:rPr>
          <w:rFonts w:ascii="Aptos" w:hAnsi="Aptos"/>
        </w:rPr>
        <w:t xml:space="preserve">, a reduction to 7-yearly screening </w:t>
      </w:r>
      <w:r w:rsidR="007A09E6">
        <w:rPr>
          <w:rFonts w:ascii="Aptos" w:hAnsi="Aptos"/>
        </w:rPr>
        <w:t>led to</w:t>
      </w:r>
      <w:r w:rsidRPr="00855381">
        <w:rPr>
          <w:rFonts w:ascii="Aptos" w:hAnsi="Aptos"/>
        </w:rPr>
        <w:t xml:space="preserve"> similar CCI trajectories in all sensitivity analyses other than when higher compliance or cytology sensitivity/specificity is assumed. A reduction to 7-yearly screening did not </w:t>
      </w:r>
      <w:r w:rsidR="007A09E6">
        <w:rPr>
          <w:rFonts w:ascii="Aptos" w:hAnsi="Aptos"/>
        </w:rPr>
        <w:t>lead to</w:t>
      </w:r>
      <w:r w:rsidRPr="00855381">
        <w:rPr>
          <w:rFonts w:ascii="Aptos" w:hAnsi="Aptos"/>
        </w:rPr>
        <w:t xml:space="preserve"> similar LTUP trajectories (under definition of effect size </w:t>
      </w:r>
      <m:oMath>
        <m:r>
          <w:rPr>
            <w:rFonts w:ascii="Cambria Math" w:hAnsi="Cambria Math"/>
          </w:rPr>
          <m:t>d≤0.45</m:t>
        </m:r>
      </m:oMath>
      <w:r w:rsidR="004C6C53">
        <w:rPr>
          <w:rFonts w:ascii="Aptos" w:hAnsi="Aptos"/>
        </w:rPr>
        <w:t xml:space="preserve"> </w:t>
      </w:r>
      <w:r w:rsidRPr="00855381">
        <w:rPr>
          <w:rFonts w:ascii="Aptos" w:hAnsi="Aptos"/>
        </w:rPr>
        <w:t>in 2040 and 2050), other than when assuming lower compliance (due to the opposite effect as assuming greater compliance), or when assuming a greater concentration of HPV infection in younger men than older men (likely due to greater herd effect in this case amongst younger individuals, allowing reduced cohort-</w:t>
      </w:r>
      <w:r w:rsidR="005768B1">
        <w:rPr>
          <w:rFonts w:ascii="Aptos" w:hAnsi="Aptos"/>
        </w:rPr>
        <w:t>dependant</w:t>
      </w:r>
      <w:r w:rsidRPr="00855381">
        <w:rPr>
          <w:rFonts w:ascii="Aptos" w:hAnsi="Aptos"/>
        </w:rPr>
        <w:t xml:space="preserve"> screening). As with vaccinated individuals, 7-yearly screening did not greatly increase LTUP at 2040 across sensitivity analyses, but does by 2050. This indicates a delay to initial screening may also be considered for vaccine-eligible individuals, however this is outside of the scope of this study. Despite not </w:t>
      </w:r>
      <w:r w:rsidR="007A09E6">
        <w:rPr>
          <w:rFonts w:ascii="Aptos" w:hAnsi="Aptos"/>
        </w:rPr>
        <w:t>leading to</w:t>
      </w:r>
      <w:r w:rsidRPr="00855381">
        <w:rPr>
          <w:rFonts w:ascii="Aptos" w:hAnsi="Aptos"/>
        </w:rPr>
        <w:t xml:space="preserve"> similar LTUP trajectories amongst unvaccinated vaccine-eligible in all but one sensitivity analysis at 7-yearly screening, effect sizes </w:t>
      </w:r>
      <w:proofErr w:type="gramStart"/>
      <w:r w:rsidRPr="00855381">
        <w:rPr>
          <w:rFonts w:ascii="Aptos" w:hAnsi="Aptos"/>
        </w:rPr>
        <w:t>at</w:t>
      </w:r>
      <w:proofErr w:type="gramEnd"/>
      <w:r w:rsidRPr="00855381">
        <w:rPr>
          <w:rFonts w:ascii="Aptos" w:hAnsi="Aptos"/>
        </w:rPr>
        <w:t xml:space="preserve"> 2050 were not large, and are at most</w:t>
      </w:r>
      <w:r w:rsidR="004C6C53">
        <w:rPr>
          <w:rFonts w:ascii="Aptos" w:hAnsi="Aptos"/>
        </w:rPr>
        <w:t xml:space="preserve"> </w:t>
      </w:r>
      <m:oMath>
        <m:r>
          <w:rPr>
            <w:rFonts w:ascii="Cambria Math" w:hAnsi="Cambria Math"/>
          </w:rPr>
          <m:t xml:space="preserve">d≤0.55, </m:t>
        </m:r>
        <m:d>
          <m:dPr>
            <m:begChr m:val="|"/>
            <m:endChr m:val="|"/>
            <m:ctrlPr>
              <w:rPr>
                <w:rFonts w:ascii="Cambria Math" w:hAnsi="Cambria Math"/>
                <w:i/>
              </w:rPr>
            </m:ctrlPr>
          </m:dPr>
          <m:e>
            <m:r>
              <w:rPr>
                <w:rFonts w:ascii="Cambria Math" w:hAnsi="Cambria Math"/>
              </w:rPr>
              <m:t>t</m:t>
            </m:r>
          </m:e>
        </m:d>
        <m:r>
          <w:rPr>
            <w:rFonts w:ascii="Cambria Math" w:hAnsi="Cambria Math"/>
          </w:rPr>
          <m:t>≤6.39</m:t>
        </m:r>
      </m:oMath>
      <w:r w:rsidRPr="00855381">
        <w:rPr>
          <w:rFonts w:ascii="Aptos" w:hAnsi="Aptos"/>
        </w:rPr>
        <w:t xml:space="preserve"> (other than at 60\% vaccine uptake, where </w:t>
      </w:r>
      <m:oMath>
        <m:r>
          <w:rPr>
            <w:rFonts w:ascii="Cambria Math" w:hAnsi="Cambria Math"/>
          </w:rPr>
          <m:t xml:space="preserve">d=0.77, </m:t>
        </m:r>
        <m:d>
          <m:dPr>
            <m:begChr m:val="|"/>
            <m:endChr m:val="|"/>
            <m:ctrlPr>
              <w:rPr>
                <w:rFonts w:ascii="Cambria Math" w:hAnsi="Cambria Math"/>
                <w:i/>
              </w:rPr>
            </m:ctrlPr>
          </m:dPr>
          <m:e>
            <m:r>
              <w:rPr>
                <w:rFonts w:ascii="Cambria Math" w:hAnsi="Cambria Math"/>
              </w:rPr>
              <m:t>t</m:t>
            </m:r>
          </m:e>
        </m:d>
        <m:r>
          <w:rPr>
            <w:rFonts w:ascii="Cambria Math" w:hAnsi="Cambria Math"/>
          </w:rPr>
          <m:t>=8.86</m:t>
        </m:r>
      </m:oMath>
      <w:r w:rsidRPr="00855381">
        <w:rPr>
          <w:rFonts w:ascii="Aptos" w:hAnsi="Aptos"/>
        </w:rPr>
        <w:t xml:space="preserve">). This indicates that </w:t>
      </w:r>
      <w:r w:rsidRPr="00855381">
        <w:rPr>
          <w:rFonts w:ascii="Aptos" w:hAnsi="Aptos"/>
        </w:rPr>
        <w:lastRenderedPageBreak/>
        <w:t xml:space="preserve">while no reduction in screening for unvaccinated vaccine-eligible individuals </w:t>
      </w:r>
      <w:r w:rsidR="007A09E6">
        <w:rPr>
          <w:rFonts w:ascii="Aptos" w:hAnsi="Aptos"/>
        </w:rPr>
        <w:t>leads to</w:t>
      </w:r>
      <w:r w:rsidRPr="00855381">
        <w:rPr>
          <w:rFonts w:ascii="Aptos" w:hAnsi="Aptos"/>
        </w:rPr>
        <w:t xml:space="preserve"> similar LTUP projections to baseline, a modest reduction to 7-yearly screening results in small changes across all sensitivity analyses, while greater reductions (such as 10-yearly screening) causes large increases in long-term undiagnosed cancer prevalence compared to baseline continuation of current screening.</w:t>
      </w:r>
    </w:p>
    <w:p w14:paraId="6D1656F0" w14:textId="77777777" w:rsidR="004C6C53" w:rsidRDefault="004C6C53" w:rsidP="00A3026E">
      <w:pPr>
        <w:rPr>
          <w:rFonts w:ascii="Aptos" w:hAnsi="Aptos"/>
        </w:rPr>
      </w:pPr>
    </w:p>
    <w:p w14:paraId="70355709" w14:textId="07351DE2" w:rsidR="00A3026E" w:rsidRDefault="00A3026E" w:rsidP="00A3026E">
      <w:pPr>
        <w:rPr>
          <w:rFonts w:ascii="Aptos" w:hAnsi="Aptos"/>
        </w:rPr>
      </w:pPr>
      <w:r w:rsidRPr="00855381">
        <w:rPr>
          <w:rFonts w:ascii="Aptos" w:hAnsi="Aptos"/>
        </w:rPr>
        <w:t>For more details on sensitivity analysis results (including elimination analyses),</w:t>
      </w:r>
      <w:r w:rsidR="00252AC5">
        <w:rPr>
          <w:rFonts w:ascii="Aptos" w:hAnsi="Aptos"/>
        </w:rPr>
        <w:t xml:space="preserve"> please refer to our GitHub code base</w:t>
      </w:r>
      <w:r w:rsidR="004C6C53">
        <w:rPr>
          <w:rFonts w:ascii="Aptos" w:hAnsi="Aptos"/>
        </w:rPr>
        <w:t xml:space="preserve"> </w:t>
      </w:r>
      <w:sdt>
        <w:sdtPr>
          <w:rPr>
            <w:rFonts w:ascii="Aptos" w:hAnsi="Aptos"/>
          </w:rPr>
          <w:id w:val="-1067099334"/>
          <w:citation/>
        </w:sdtPr>
        <w:sdtContent>
          <w:r w:rsidR="004C6C53">
            <w:rPr>
              <w:rFonts w:ascii="Aptos" w:hAnsi="Aptos"/>
            </w:rPr>
            <w:fldChar w:fldCharType="begin"/>
          </w:r>
          <w:r w:rsidR="004C6C53">
            <w:rPr>
              <w:rFonts w:ascii="Aptos" w:hAnsi="Aptos"/>
            </w:rPr>
            <w:instrText xml:space="preserve"> CITATION Stu \l 2057 </w:instrText>
          </w:r>
          <w:r w:rsidR="004C6C53">
            <w:rPr>
              <w:rFonts w:ascii="Aptos" w:hAnsi="Aptos"/>
            </w:rPr>
            <w:fldChar w:fldCharType="separate"/>
          </w:r>
          <w:r w:rsidR="00052B38" w:rsidRPr="00052B38">
            <w:rPr>
              <w:rFonts w:ascii="Aptos" w:hAnsi="Aptos"/>
              <w:noProof/>
            </w:rPr>
            <w:t>[3]</w:t>
          </w:r>
          <w:r w:rsidR="004C6C53">
            <w:rPr>
              <w:rFonts w:ascii="Aptos" w:hAnsi="Aptos"/>
            </w:rPr>
            <w:fldChar w:fldCharType="end"/>
          </w:r>
        </w:sdtContent>
      </w:sdt>
      <w:r w:rsidR="004C6C53">
        <w:rPr>
          <w:rFonts w:ascii="Aptos" w:hAnsi="Aptos"/>
        </w:rPr>
        <w:t>.</w:t>
      </w:r>
    </w:p>
    <w:p w14:paraId="7FFB1DA5" w14:textId="77777777" w:rsidR="00252AC5" w:rsidRPr="00855381" w:rsidRDefault="00252AC5" w:rsidP="00A3026E">
      <w:pPr>
        <w:rPr>
          <w:rFonts w:ascii="Aptos" w:hAnsi="Aptos"/>
        </w:rPr>
      </w:pPr>
    </w:p>
    <w:tbl>
      <w:tblPr>
        <w:tblW w:w="0" w:type="auto"/>
        <w:tblLook w:val="04A0" w:firstRow="1" w:lastRow="0" w:firstColumn="1" w:lastColumn="0" w:noHBand="0" w:noVBand="1"/>
      </w:tblPr>
      <w:tblGrid>
        <w:gridCol w:w="593"/>
        <w:gridCol w:w="657"/>
        <w:gridCol w:w="1215"/>
        <w:gridCol w:w="1266"/>
        <w:gridCol w:w="1026"/>
        <w:gridCol w:w="1094"/>
        <w:gridCol w:w="1217"/>
        <w:gridCol w:w="1269"/>
        <w:gridCol w:w="1027"/>
        <w:gridCol w:w="1097"/>
      </w:tblGrid>
      <w:tr w:rsidR="00A3026E" w:rsidRPr="00855381" w14:paraId="066FB182" w14:textId="77777777" w:rsidTr="00A3026E">
        <w:trPr>
          <w:trHeight w:val="320"/>
        </w:trPr>
        <w:tc>
          <w:tcPr>
            <w:tcW w:w="0" w:type="auto"/>
            <w:vMerge w:val="restart"/>
            <w:tcBorders>
              <w:top w:val="nil"/>
              <w:left w:val="nil"/>
              <w:bottom w:val="nil"/>
              <w:right w:val="nil"/>
            </w:tcBorders>
            <w:vAlign w:val="bottom"/>
            <w:hideMark/>
          </w:tcPr>
          <w:p w14:paraId="574C62AD"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Sensitivity Analysis</w:t>
            </w:r>
          </w:p>
        </w:tc>
        <w:tc>
          <w:tcPr>
            <w:tcW w:w="0" w:type="auto"/>
            <w:vMerge w:val="restart"/>
            <w:tcBorders>
              <w:top w:val="nil"/>
              <w:left w:val="nil"/>
              <w:bottom w:val="nil"/>
              <w:right w:val="single" w:sz="4" w:space="0" w:color="auto"/>
            </w:tcBorders>
            <w:vAlign w:val="bottom"/>
            <w:hideMark/>
          </w:tcPr>
          <w:p w14:paraId="287269FB"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Vaccination Uptake</w:t>
            </w:r>
          </w:p>
        </w:tc>
        <w:tc>
          <w:tcPr>
            <w:tcW w:w="0" w:type="auto"/>
            <w:gridSpan w:val="8"/>
            <w:tcBorders>
              <w:top w:val="nil"/>
              <w:left w:val="nil"/>
              <w:bottom w:val="nil"/>
              <w:right w:val="single" w:sz="4" w:space="0" w:color="000000"/>
            </w:tcBorders>
            <w:noWrap/>
            <w:vAlign w:val="bottom"/>
            <w:hideMark/>
          </w:tcPr>
          <w:p w14:paraId="48588193"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Population-wise</w:t>
            </w:r>
          </w:p>
        </w:tc>
      </w:tr>
      <w:tr w:rsidR="00A3026E" w:rsidRPr="00855381" w14:paraId="5AC02E4F" w14:textId="77777777" w:rsidTr="006719F5">
        <w:trPr>
          <w:trHeight w:val="320"/>
        </w:trPr>
        <w:tc>
          <w:tcPr>
            <w:tcW w:w="0" w:type="auto"/>
            <w:vMerge/>
            <w:tcBorders>
              <w:top w:val="nil"/>
              <w:left w:val="nil"/>
              <w:bottom w:val="nil"/>
              <w:right w:val="nil"/>
            </w:tcBorders>
            <w:vAlign w:val="center"/>
            <w:hideMark/>
          </w:tcPr>
          <w:p w14:paraId="05F9782F" w14:textId="77777777" w:rsidR="00A3026E" w:rsidRPr="00855381" w:rsidRDefault="00A3026E" w:rsidP="00A3026E">
            <w:pPr>
              <w:rPr>
                <w:rFonts w:ascii="Aptos" w:hAnsi="Aptos"/>
                <w:color w:val="000000"/>
                <w:sz w:val="16"/>
                <w:szCs w:val="16"/>
              </w:rPr>
            </w:pPr>
          </w:p>
        </w:tc>
        <w:tc>
          <w:tcPr>
            <w:tcW w:w="0" w:type="auto"/>
            <w:vMerge/>
            <w:tcBorders>
              <w:top w:val="nil"/>
              <w:left w:val="nil"/>
              <w:bottom w:val="nil"/>
              <w:right w:val="single" w:sz="4" w:space="0" w:color="auto"/>
            </w:tcBorders>
            <w:vAlign w:val="center"/>
            <w:hideMark/>
          </w:tcPr>
          <w:p w14:paraId="4E846024" w14:textId="77777777" w:rsidR="00A3026E" w:rsidRPr="00855381" w:rsidRDefault="00A3026E" w:rsidP="00A3026E">
            <w:pPr>
              <w:rPr>
                <w:rFonts w:ascii="Aptos" w:hAnsi="Aptos"/>
                <w:color w:val="000000"/>
                <w:sz w:val="16"/>
                <w:szCs w:val="16"/>
              </w:rPr>
            </w:pPr>
          </w:p>
        </w:tc>
        <w:tc>
          <w:tcPr>
            <w:tcW w:w="0" w:type="auto"/>
            <w:gridSpan w:val="4"/>
            <w:tcBorders>
              <w:top w:val="nil"/>
              <w:left w:val="nil"/>
              <w:bottom w:val="nil"/>
              <w:right w:val="single" w:sz="4" w:space="0" w:color="auto"/>
            </w:tcBorders>
            <w:noWrap/>
            <w:vAlign w:val="bottom"/>
            <w:hideMark/>
          </w:tcPr>
          <w:p w14:paraId="47692057"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What is the smallest x for which a VxU5A5 algorithm is worse (in either 2040 or 2050) than V5U5A5 in terms of….</w:t>
            </w:r>
          </w:p>
        </w:tc>
        <w:tc>
          <w:tcPr>
            <w:tcW w:w="0" w:type="auto"/>
            <w:gridSpan w:val="4"/>
            <w:tcBorders>
              <w:top w:val="nil"/>
              <w:left w:val="single" w:sz="4" w:space="0" w:color="auto"/>
              <w:bottom w:val="nil"/>
              <w:right w:val="single" w:sz="4" w:space="0" w:color="000000"/>
            </w:tcBorders>
            <w:noWrap/>
            <w:vAlign w:val="bottom"/>
            <w:hideMark/>
          </w:tcPr>
          <w:p w14:paraId="270A8C96"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What is the smallest x for which a VxUxA5 algorithm is worse  (in either 2040 or 2050) than V5U5A5 in terms of….</w:t>
            </w:r>
          </w:p>
        </w:tc>
      </w:tr>
      <w:tr w:rsidR="00A3026E" w:rsidRPr="00855381" w14:paraId="0B8E7B13" w14:textId="77777777" w:rsidTr="006719F5">
        <w:trPr>
          <w:trHeight w:val="320"/>
        </w:trPr>
        <w:tc>
          <w:tcPr>
            <w:tcW w:w="0" w:type="auto"/>
            <w:vMerge/>
            <w:tcBorders>
              <w:top w:val="nil"/>
              <w:left w:val="nil"/>
              <w:bottom w:val="nil"/>
              <w:right w:val="nil"/>
            </w:tcBorders>
            <w:vAlign w:val="center"/>
            <w:hideMark/>
          </w:tcPr>
          <w:p w14:paraId="19BD620C" w14:textId="77777777" w:rsidR="00A3026E" w:rsidRPr="00855381" w:rsidRDefault="00A3026E" w:rsidP="00A3026E">
            <w:pPr>
              <w:rPr>
                <w:rFonts w:ascii="Aptos" w:hAnsi="Aptos"/>
                <w:color w:val="000000"/>
                <w:sz w:val="16"/>
                <w:szCs w:val="16"/>
              </w:rPr>
            </w:pPr>
          </w:p>
        </w:tc>
        <w:tc>
          <w:tcPr>
            <w:tcW w:w="0" w:type="auto"/>
            <w:vMerge/>
            <w:tcBorders>
              <w:top w:val="nil"/>
              <w:left w:val="nil"/>
              <w:bottom w:val="nil"/>
              <w:right w:val="single" w:sz="4" w:space="0" w:color="auto"/>
            </w:tcBorders>
            <w:vAlign w:val="center"/>
            <w:hideMark/>
          </w:tcPr>
          <w:p w14:paraId="11671591" w14:textId="77777777" w:rsidR="00A3026E" w:rsidRPr="00855381" w:rsidRDefault="00A3026E" w:rsidP="00A3026E">
            <w:pPr>
              <w:rPr>
                <w:rFonts w:ascii="Aptos" w:hAnsi="Aptos"/>
                <w:color w:val="000000"/>
                <w:sz w:val="16"/>
                <w:szCs w:val="16"/>
              </w:rPr>
            </w:pPr>
          </w:p>
        </w:tc>
        <w:tc>
          <w:tcPr>
            <w:tcW w:w="0" w:type="auto"/>
            <w:tcBorders>
              <w:top w:val="nil"/>
              <w:left w:val="nil"/>
              <w:bottom w:val="single" w:sz="4" w:space="0" w:color="auto"/>
              <w:right w:val="nil"/>
            </w:tcBorders>
            <w:noWrap/>
            <w:vAlign w:val="bottom"/>
            <w:hideMark/>
          </w:tcPr>
          <w:p w14:paraId="3AB31FC9" w14:textId="33A41BE0" w:rsidR="00A3026E" w:rsidRPr="00855381" w:rsidRDefault="00A3026E" w:rsidP="00A3026E">
            <w:pPr>
              <w:rPr>
                <w:rFonts w:ascii="Aptos" w:hAnsi="Aptos"/>
                <w:color w:val="000000"/>
                <w:sz w:val="16"/>
                <w:szCs w:val="16"/>
              </w:rPr>
            </w:pPr>
            <w:r w:rsidRPr="00855381">
              <w:rPr>
                <w:rFonts w:ascii="Aptos" w:hAnsi="Aptos"/>
                <w:color w:val="000000"/>
                <w:sz w:val="16"/>
                <w:szCs w:val="16"/>
              </w:rPr>
              <w:t xml:space="preserve">CCI (1% </w:t>
            </w:r>
            <w:r w:rsidR="006719F5" w:rsidRPr="00855381">
              <w:rPr>
                <w:rFonts w:ascii="Aptos" w:hAnsi="Aptos"/>
                <w:color w:val="000000"/>
                <w:sz w:val="16"/>
                <w:szCs w:val="16"/>
              </w:rPr>
              <w:t>significance</w:t>
            </w:r>
            <w:r w:rsidRPr="00855381">
              <w:rPr>
                <w:rFonts w:ascii="Aptos" w:hAnsi="Aptos"/>
                <w:color w:val="000000"/>
                <w:sz w:val="16"/>
                <w:szCs w:val="16"/>
              </w:rPr>
              <w:t xml:space="preserve"> level)</w:t>
            </w:r>
          </w:p>
        </w:tc>
        <w:tc>
          <w:tcPr>
            <w:tcW w:w="0" w:type="auto"/>
            <w:tcBorders>
              <w:top w:val="nil"/>
              <w:left w:val="nil"/>
              <w:bottom w:val="single" w:sz="4" w:space="0" w:color="auto"/>
              <w:right w:val="nil"/>
            </w:tcBorders>
            <w:noWrap/>
            <w:vAlign w:val="bottom"/>
            <w:hideMark/>
          </w:tcPr>
          <w:p w14:paraId="04D74022" w14:textId="39CE2E00" w:rsidR="00A3026E" w:rsidRPr="00855381" w:rsidRDefault="00A3026E" w:rsidP="00A3026E">
            <w:pPr>
              <w:rPr>
                <w:rFonts w:ascii="Aptos" w:hAnsi="Aptos"/>
                <w:color w:val="000000"/>
                <w:sz w:val="16"/>
                <w:szCs w:val="16"/>
              </w:rPr>
            </w:pPr>
            <w:r w:rsidRPr="00855381">
              <w:rPr>
                <w:rFonts w:ascii="Aptos" w:hAnsi="Aptos"/>
                <w:color w:val="000000"/>
                <w:sz w:val="16"/>
                <w:szCs w:val="16"/>
              </w:rPr>
              <w:t xml:space="preserve">LTUP (1% </w:t>
            </w:r>
            <w:r w:rsidR="006719F5" w:rsidRPr="00855381">
              <w:rPr>
                <w:rFonts w:ascii="Aptos" w:hAnsi="Aptos"/>
                <w:color w:val="000000"/>
                <w:sz w:val="16"/>
                <w:szCs w:val="16"/>
              </w:rPr>
              <w:t>significance</w:t>
            </w:r>
            <w:r w:rsidRPr="00855381">
              <w:rPr>
                <w:rFonts w:ascii="Aptos" w:hAnsi="Aptos"/>
                <w:color w:val="000000"/>
                <w:sz w:val="16"/>
                <w:szCs w:val="16"/>
              </w:rPr>
              <w:t xml:space="preserve"> level)</w:t>
            </w:r>
          </w:p>
        </w:tc>
        <w:tc>
          <w:tcPr>
            <w:tcW w:w="0" w:type="auto"/>
            <w:tcBorders>
              <w:top w:val="nil"/>
              <w:left w:val="nil"/>
              <w:bottom w:val="single" w:sz="4" w:space="0" w:color="auto"/>
              <w:right w:val="nil"/>
            </w:tcBorders>
            <w:noWrap/>
            <w:vAlign w:val="bottom"/>
            <w:hideMark/>
          </w:tcPr>
          <w:p w14:paraId="50C41139"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CCI (effect size&gt;0.45)</w:t>
            </w:r>
          </w:p>
        </w:tc>
        <w:tc>
          <w:tcPr>
            <w:tcW w:w="0" w:type="auto"/>
            <w:tcBorders>
              <w:top w:val="nil"/>
              <w:left w:val="nil"/>
              <w:bottom w:val="single" w:sz="4" w:space="0" w:color="auto"/>
              <w:right w:val="single" w:sz="4" w:space="0" w:color="auto"/>
            </w:tcBorders>
            <w:noWrap/>
            <w:vAlign w:val="bottom"/>
            <w:hideMark/>
          </w:tcPr>
          <w:p w14:paraId="0CD58C61"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LTUP (effect size &gt;0.45)</w:t>
            </w:r>
          </w:p>
        </w:tc>
        <w:tc>
          <w:tcPr>
            <w:tcW w:w="0" w:type="auto"/>
            <w:tcBorders>
              <w:top w:val="nil"/>
              <w:left w:val="single" w:sz="4" w:space="0" w:color="auto"/>
              <w:bottom w:val="single" w:sz="4" w:space="0" w:color="auto"/>
              <w:right w:val="nil"/>
            </w:tcBorders>
            <w:noWrap/>
            <w:vAlign w:val="bottom"/>
            <w:hideMark/>
          </w:tcPr>
          <w:p w14:paraId="77772274" w14:textId="35C796BC" w:rsidR="00A3026E" w:rsidRPr="00855381" w:rsidRDefault="00A3026E" w:rsidP="00A3026E">
            <w:pPr>
              <w:rPr>
                <w:rFonts w:ascii="Aptos" w:hAnsi="Aptos"/>
                <w:color w:val="000000"/>
                <w:sz w:val="16"/>
                <w:szCs w:val="16"/>
              </w:rPr>
            </w:pPr>
            <w:r w:rsidRPr="00855381">
              <w:rPr>
                <w:rFonts w:ascii="Aptos" w:hAnsi="Aptos"/>
                <w:color w:val="000000"/>
                <w:sz w:val="16"/>
                <w:szCs w:val="16"/>
              </w:rPr>
              <w:t xml:space="preserve">CCI (1% </w:t>
            </w:r>
            <w:r w:rsidR="006719F5" w:rsidRPr="00855381">
              <w:rPr>
                <w:rFonts w:ascii="Aptos" w:hAnsi="Aptos"/>
                <w:color w:val="000000"/>
                <w:sz w:val="16"/>
                <w:szCs w:val="16"/>
              </w:rPr>
              <w:t>significance</w:t>
            </w:r>
            <w:r w:rsidRPr="00855381">
              <w:rPr>
                <w:rFonts w:ascii="Aptos" w:hAnsi="Aptos"/>
                <w:color w:val="000000"/>
                <w:sz w:val="16"/>
                <w:szCs w:val="16"/>
              </w:rPr>
              <w:t xml:space="preserve"> level)</w:t>
            </w:r>
          </w:p>
        </w:tc>
        <w:tc>
          <w:tcPr>
            <w:tcW w:w="0" w:type="auto"/>
            <w:tcBorders>
              <w:top w:val="nil"/>
              <w:left w:val="nil"/>
              <w:bottom w:val="single" w:sz="4" w:space="0" w:color="auto"/>
              <w:right w:val="nil"/>
            </w:tcBorders>
            <w:noWrap/>
            <w:vAlign w:val="bottom"/>
            <w:hideMark/>
          </w:tcPr>
          <w:p w14:paraId="3071A557" w14:textId="1D14D575" w:rsidR="00A3026E" w:rsidRPr="00855381" w:rsidRDefault="00A3026E" w:rsidP="00A3026E">
            <w:pPr>
              <w:rPr>
                <w:rFonts w:ascii="Aptos" w:hAnsi="Aptos"/>
                <w:color w:val="000000"/>
                <w:sz w:val="16"/>
                <w:szCs w:val="16"/>
              </w:rPr>
            </w:pPr>
            <w:r w:rsidRPr="00855381">
              <w:rPr>
                <w:rFonts w:ascii="Aptos" w:hAnsi="Aptos"/>
                <w:color w:val="000000"/>
                <w:sz w:val="16"/>
                <w:szCs w:val="16"/>
              </w:rPr>
              <w:t>LTUP (</w:t>
            </w:r>
            <w:r w:rsidR="006719F5">
              <w:rPr>
                <w:rFonts w:ascii="Aptos" w:hAnsi="Aptos"/>
                <w:color w:val="000000"/>
                <w:sz w:val="16"/>
                <w:szCs w:val="16"/>
              </w:rPr>
              <w:t>1</w:t>
            </w:r>
            <w:r w:rsidRPr="00855381">
              <w:rPr>
                <w:rFonts w:ascii="Aptos" w:hAnsi="Aptos"/>
                <w:color w:val="000000"/>
                <w:sz w:val="16"/>
                <w:szCs w:val="16"/>
              </w:rPr>
              <w:t xml:space="preserve">% </w:t>
            </w:r>
            <w:r w:rsidR="006719F5" w:rsidRPr="00855381">
              <w:rPr>
                <w:rFonts w:ascii="Aptos" w:hAnsi="Aptos"/>
                <w:color w:val="000000"/>
                <w:sz w:val="16"/>
                <w:szCs w:val="16"/>
              </w:rPr>
              <w:t>significance</w:t>
            </w:r>
            <w:r w:rsidRPr="00855381">
              <w:rPr>
                <w:rFonts w:ascii="Aptos" w:hAnsi="Aptos"/>
                <w:color w:val="000000"/>
                <w:sz w:val="16"/>
                <w:szCs w:val="16"/>
              </w:rPr>
              <w:t xml:space="preserve"> level)</w:t>
            </w:r>
          </w:p>
        </w:tc>
        <w:tc>
          <w:tcPr>
            <w:tcW w:w="0" w:type="auto"/>
            <w:tcBorders>
              <w:top w:val="nil"/>
              <w:left w:val="nil"/>
              <w:bottom w:val="single" w:sz="4" w:space="0" w:color="auto"/>
              <w:right w:val="nil"/>
            </w:tcBorders>
            <w:noWrap/>
            <w:vAlign w:val="bottom"/>
            <w:hideMark/>
          </w:tcPr>
          <w:p w14:paraId="12E0D559"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CCI (effect size&gt;0.45)</w:t>
            </w:r>
          </w:p>
        </w:tc>
        <w:tc>
          <w:tcPr>
            <w:tcW w:w="0" w:type="auto"/>
            <w:tcBorders>
              <w:top w:val="nil"/>
              <w:left w:val="nil"/>
              <w:bottom w:val="single" w:sz="4" w:space="0" w:color="auto"/>
              <w:right w:val="single" w:sz="4" w:space="0" w:color="auto"/>
            </w:tcBorders>
            <w:noWrap/>
            <w:vAlign w:val="bottom"/>
            <w:hideMark/>
          </w:tcPr>
          <w:p w14:paraId="56656988"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LTUP (effect size &gt;0.45)</w:t>
            </w:r>
          </w:p>
        </w:tc>
      </w:tr>
      <w:tr w:rsidR="00A3026E" w:rsidRPr="00855381" w14:paraId="523396D6" w14:textId="77777777" w:rsidTr="00A3026E">
        <w:trPr>
          <w:trHeight w:val="320"/>
        </w:trPr>
        <w:tc>
          <w:tcPr>
            <w:tcW w:w="0" w:type="auto"/>
            <w:tcBorders>
              <w:top w:val="nil"/>
              <w:left w:val="nil"/>
              <w:bottom w:val="nil"/>
              <w:right w:val="nil"/>
            </w:tcBorders>
            <w:noWrap/>
            <w:vAlign w:val="bottom"/>
            <w:hideMark/>
          </w:tcPr>
          <w:p w14:paraId="7414344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0</w:t>
            </w:r>
          </w:p>
        </w:tc>
        <w:tc>
          <w:tcPr>
            <w:tcW w:w="0" w:type="auto"/>
            <w:tcBorders>
              <w:top w:val="nil"/>
              <w:left w:val="nil"/>
              <w:bottom w:val="nil"/>
              <w:right w:val="single" w:sz="4" w:space="0" w:color="auto"/>
            </w:tcBorders>
            <w:noWrap/>
            <w:vAlign w:val="bottom"/>
            <w:hideMark/>
          </w:tcPr>
          <w:p w14:paraId="4625B63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60</w:t>
            </w:r>
          </w:p>
        </w:tc>
        <w:tc>
          <w:tcPr>
            <w:tcW w:w="0" w:type="auto"/>
            <w:tcBorders>
              <w:top w:val="nil"/>
              <w:left w:val="nil"/>
              <w:bottom w:val="nil"/>
              <w:right w:val="nil"/>
            </w:tcBorders>
            <w:noWrap/>
            <w:vAlign w:val="bottom"/>
            <w:hideMark/>
          </w:tcPr>
          <w:p w14:paraId="2FCB7D7F"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2C9A491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35F34DBA"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Removal of screening</w:t>
            </w:r>
          </w:p>
        </w:tc>
        <w:tc>
          <w:tcPr>
            <w:tcW w:w="0" w:type="auto"/>
            <w:tcBorders>
              <w:top w:val="nil"/>
              <w:left w:val="nil"/>
              <w:bottom w:val="nil"/>
              <w:right w:val="single" w:sz="4" w:space="0" w:color="auto"/>
            </w:tcBorders>
            <w:noWrap/>
            <w:vAlign w:val="bottom"/>
            <w:hideMark/>
          </w:tcPr>
          <w:p w14:paraId="51F9A5E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715E2D6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4501129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55326DCA"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0AAAB6C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r>
      <w:tr w:rsidR="00A3026E" w:rsidRPr="00855381" w14:paraId="2400166A" w14:textId="77777777" w:rsidTr="00A3026E">
        <w:trPr>
          <w:trHeight w:val="320"/>
        </w:trPr>
        <w:tc>
          <w:tcPr>
            <w:tcW w:w="0" w:type="auto"/>
            <w:tcBorders>
              <w:top w:val="nil"/>
              <w:left w:val="nil"/>
              <w:bottom w:val="nil"/>
              <w:right w:val="nil"/>
            </w:tcBorders>
            <w:noWrap/>
            <w:vAlign w:val="bottom"/>
            <w:hideMark/>
          </w:tcPr>
          <w:p w14:paraId="202E6AB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0</w:t>
            </w:r>
          </w:p>
        </w:tc>
        <w:tc>
          <w:tcPr>
            <w:tcW w:w="0" w:type="auto"/>
            <w:tcBorders>
              <w:top w:val="nil"/>
              <w:left w:val="nil"/>
              <w:bottom w:val="nil"/>
              <w:right w:val="single" w:sz="4" w:space="0" w:color="auto"/>
            </w:tcBorders>
            <w:noWrap/>
            <w:vAlign w:val="bottom"/>
            <w:hideMark/>
          </w:tcPr>
          <w:p w14:paraId="2FC068D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0383A83A"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6CD9668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6B4012E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single" w:sz="4" w:space="0" w:color="auto"/>
            </w:tcBorders>
            <w:noWrap/>
            <w:vAlign w:val="bottom"/>
            <w:hideMark/>
          </w:tcPr>
          <w:p w14:paraId="14210B8C"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52C4AA3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5DC1D35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6FD5C3F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76CCA5C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r>
      <w:tr w:rsidR="00A3026E" w:rsidRPr="00855381" w14:paraId="392554BF" w14:textId="77777777" w:rsidTr="00A3026E">
        <w:trPr>
          <w:trHeight w:val="320"/>
        </w:trPr>
        <w:tc>
          <w:tcPr>
            <w:tcW w:w="0" w:type="auto"/>
            <w:tcBorders>
              <w:top w:val="nil"/>
              <w:left w:val="nil"/>
              <w:bottom w:val="nil"/>
              <w:right w:val="nil"/>
            </w:tcBorders>
            <w:noWrap/>
            <w:vAlign w:val="bottom"/>
            <w:hideMark/>
          </w:tcPr>
          <w:p w14:paraId="32689BA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0</w:t>
            </w:r>
          </w:p>
        </w:tc>
        <w:tc>
          <w:tcPr>
            <w:tcW w:w="0" w:type="auto"/>
            <w:tcBorders>
              <w:top w:val="nil"/>
              <w:left w:val="nil"/>
              <w:bottom w:val="nil"/>
              <w:right w:val="single" w:sz="4" w:space="0" w:color="auto"/>
            </w:tcBorders>
            <w:noWrap/>
            <w:vAlign w:val="bottom"/>
            <w:hideMark/>
          </w:tcPr>
          <w:p w14:paraId="72272F06"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90</w:t>
            </w:r>
          </w:p>
        </w:tc>
        <w:tc>
          <w:tcPr>
            <w:tcW w:w="0" w:type="auto"/>
            <w:tcBorders>
              <w:top w:val="nil"/>
              <w:left w:val="nil"/>
              <w:bottom w:val="nil"/>
              <w:right w:val="nil"/>
            </w:tcBorders>
            <w:noWrap/>
            <w:vAlign w:val="bottom"/>
            <w:hideMark/>
          </w:tcPr>
          <w:p w14:paraId="6443FA9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1EF0F44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1CD832F1"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Removal of screening</w:t>
            </w:r>
          </w:p>
        </w:tc>
        <w:tc>
          <w:tcPr>
            <w:tcW w:w="0" w:type="auto"/>
            <w:tcBorders>
              <w:top w:val="nil"/>
              <w:left w:val="nil"/>
              <w:bottom w:val="nil"/>
              <w:right w:val="single" w:sz="4" w:space="0" w:color="auto"/>
            </w:tcBorders>
            <w:noWrap/>
            <w:vAlign w:val="bottom"/>
            <w:hideMark/>
          </w:tcPr>
          <w:p w14:paraId="2D2717A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4FC31BD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0B0ED29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52B2483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single" w:sz="4" w:space="0" w:color="auto"/>
            </w:tcBorders>
            <w:noWrap/>
            <w:vAlign w:val="bottom"/>
            <w:hideMark/>
          </w:tcPr>
          <w:p w14:paraId="1C886F5F"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r w:rsidR="00A3026E" w:rsidRPr="00855381" w14:paraId="5BB71B62" w14:textId="77777777" w:rsidTr="00A3026E">
        <w:trPr>
          <w:trHeight w:val="320"/>
        </w:trPr>
        <w:tc>
          <w:tcPr>
            <w:tcW w:w="0" w:type="auto"/>
            <w:tcBorders>
              <w:top w:val="nil"/>
              <w:left w:val="nil"/>
              <w:bottom w:val="nil"/>
              <w:right w:val="nil"/>
            </w:tcBorders>
            <w:noWrap/>
            <w:vAlign w:val="bottom"/>
            <w:hideMark/>
          </w:tcPr>
          <w:p w14:paraId="6830F6EE"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w:t>
            </w:r>
          </w:p>
        </w:tc>
        <w:tc>
          <w:tcPr>
            <w:tcW w:w="0" w:type="auto"/>
            <w:tcBorders>
              <w:top w:val="nil"/>
              <w:left w:val="nil"/>
              <w:bottom w:val="nil"/>
              <w:right w:val="single" w:sz="4" w:space="0" w:color="auto"/>
            </w:tcBorders>
            <w:noWrap/>
            <w:vAlign w:val="bottom"/>
            <w:hideMark/>
          </w:tcPr>
          <w:p w14:paraId="397DF69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306A729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7EBB2CB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nil"/>
            </w:tcBorders>
            <w:noWrap/>
            <w:vAlign w:val="bottom"/>
            <w:hideMark/>
          </w:tcPr>
          <w:p w14:paraId="6DAEB60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single" w:sz="4" w:space="0" w:color="auto"/>
            </w:tcBorders>
            <w:noWrap/>
            <w:vAlign w:val="bottom"/>
            <w:hideMark/>
          </w:tcPr>
          <w:p w14:paraId="628B07A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0AB0B5E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383E656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4CC448FA"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213079A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r>
      <w:tr w:rsidR="00A3026E" w:rsidRPr="00855381" w14:paraId="130B2D20" w14:textId="77777777" w:rsidTr="00A3026E">
        <w:trPr>
          <w:trHeight w:val="320"/>
        </w:trPr>
        <w:tc>
          <w:tcPr>
            <w:tcW w:w="0" w:type="auto"/>
            <w:tcBorders>
              <w:top w:val="nil"/>
              <w:left w:val="nil"/>
              <w:bottom w:val="nil"/>
              <w:right w:val="nil"/>
            </w:tcBorders>
            <w:noWrap/>
            <w:vAlign w:val="bottom"/>
            <w:hideMark/>
          </w:tcPr>
          <w:p w14:paraId="1AA26F2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2</w:t>
            </w:r>
          </w:p>
        </w:tc>
        <w:tc>
          <w:tcPr>
            <w:tcW w:w="0" w:type="auto"/>
            <w:tcBorders>
              <w:top w:val="nil"/>
              <w:left w:val="nil"/>
              <w:bottom w:val="nil"/>
              <w:right w:val="single" w:sz="4" w:space="0" w:color="auto"/>
            </w:tcBorders>
            <w:noWrap/>
            <w:vAlign w:val="bottom"/>
            <w:hideMark/>
          </w:tcPr>
          <w:p w14:paraId="648EB18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513DBF7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nil"/>
            </w:tcBorders>
            <w:noWrap/>
            <w:vAlign w:val="bottom"/>
            <w:hideMark/>
          </w:tcPr>
          <w:p w14:paraId="48E72B3F"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nil"/>
            </w:tcBorders>
            <w:noWrap/>
            <w:vAlign w:val="bottom"/>
            <w:hideMark/>
          </w:tcPr>
          <w:p w14:paraId="6772E2C1"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Removal of screening</w:t>
            </w:r>
          </w:p>
        </w:tc>
        <w:tc>
          <w:tcPr>
            <w:tcW w:w="0" w:type="auto"/>
            <w:tcBorders>
              <w:top w:val="nil"/>
              <w:left w:val="nil"/>
              <w:bottom w:val="nil"/>
              <w:right w:val="single" w:sz="4" w:space="0" w:color="auto"/>
            </w:tcBorders>
            <w:noWrap/>
            <w:vAlign w:val="bottom"/>
            <w:hideMark/>
          </w:tcPr>
          <w:p w14:paraId="3D72024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59CDEA1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nil"/>
            </w:tcBorders>
            <w:noWrap/>
            <w:vAlign w:val="bottom"/>
            <w:hideMark/>
          </w:tcPr>
          <w:p w14:paraId="4B99F96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6D00B83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4FA89FE6"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r>
      <w:tr w:rsidR="00A3026E" w:rsidRPr="00855381" w14:paraId="09CCFEE4" w14:textId="77777777" w:rsidTr="00A3026E">
        <w:trPr>
          <w:trHeight w:val="320"/>
        </w:trPr>
        <w:tc>
          <w:tcPr>
            <w:tcW w:w="0" w:type="auto"/>
            <w:tcBorders>
              <w:top w:val="nil"/>
              <w:left w:val="nil"/>
              <w:bottom w:val="nil"/>
              <w:right w:val="nil"/>
            </w:tcBorders>
            <w:noWrap/>
            <w:vAlign w:val="bottom"/>
            <w:hideMark/>
          </w:tcPr>
          <w:p w14:paraId="2ECECDB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3</w:t>
            </w:r>
          </w:p>
        </w:tc>
        <w:tc>
          <w:tcPr>
            <w:tcW w:w="0" w:type="auto"/>
            <w:tcBorders>
              <w:top w:val="nil"/>
              <w:left w:val="nil"/>
              <w:bottom w:val="nil"/>
              <w:right w:val="single" w:sz="4" w:space="0" w:color="auto"/>
            </w:tcBorders>
            <w:noWrap/>
            <w:vAlign w:val="bottom"/>
            <w:hideMark/>
          </w:tcPr>
          <w:p w14:paraId="4EB5A11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28F1EC7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640A37EC"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nil"/>
            </w:tcBorders>
            <w:noWrap/>
            <w:vAlign w:val="bottom"/>
            <w:hideMark/>
          </w:tcPr>
          <w:p w14:paraId="771041A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single" w:sz="4" w:space="0" w:color="auto"/>
            </w:tcBorders>
            <w:noWrap/>
            <w:vAlign w:val="bottom"/>
            <w:hideMark/>
          </w:tcPr>
          <w:p w14:paraId="45B2C91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76D8ED6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7B17E91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5F5640C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single" w:sz="4" w:space="0" w:color="auto"/>
            </w:tcBorders>
            <w:noWrap/>
            <w:vAlign w:val="bottom"/>
            <w:hideMark/>
          </w:tcPr>
          <w:p w14:paraId="0AFF939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r>
      <w:tr w:rsidR="00A3026E" w:rsidRPr="00855381" w14:paraId="68D7F1A0" w14:textId="77777777" w:rsidTr="00A3026E">
        <w:trPr>
          <w:trHeight w:val="320"/>
        </w:trPr>
        <w:tc>
          <w:tcPr>
            <w:tcW w:w="0" w:type="auto"/>
            <w:tcBorders>
              <w:top w:val="nil"/>
              <w:left w:val="nil"/>
              <w:bottom w:val="nil"/>
              <w:right w:val="nil"/>
            </w:tcBorders>
            <w:noWrap/>
            <w:vAlign w:val="bottom"/>
            <w:hideMark/>
          </w:tcPr>
          <w:p w14:paraId="185B22CF"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4</w:t>
            </w:r>
          </w:p>
        </w:tc>
        <w:tc>
          <w:tcPr>
            <w:tcW w:w="0" w:type="auto"/>
            <w:tcBorders>
              <w:top w:val="nil"/>
              <w:left w:val="nil"/>
              <w:bottom w:val="nil"/>
              <w:right w:val="single" w:sz="4" w:space="0" w:color="auto"/>
            </w:tcBorders>
            <w:noWrap/>
            <w:vAlign w:val="bottom"/>
            <w:hideMark/>
          </w:tcPr>
          <w:p w14:paraId="7B53189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3DE35E4E"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56A59D2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2A8A60DF"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Removal of screening</w:t>
            </w:r>
          </w:p>
        </w:tc>
        <w:tc>
          <w:tcPr>
            <w:tcW w:w="0" w:type="auto"/>
            <w:tcBorders>
              <w:top w:val="nil"/>
              <w:left w:val="nil"/>
              <w:bottom w:val="nil"/>
              <w:right w:val="single" w:sz="4" w:space="0" w:color="auto"/>
            </w:tcBorders>
            <w:noWrap/>
            <w:vAlign w:val="bottom"/>
            <w:hideMark/>
          </w:tcPr>
          <w:p w14:paraId="19B308F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046C40F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48058EB6"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nil"/>
            </w:tcBorders>
            <w:noWrap/>
            <w:vAlign w:val="bottom"/>
            <w:hideMark/>
          </w:tcPr>
          <w:p w14:paraId="1840B86E"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05F0256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r>
      <w:tr w:rsidR="00A3026E" w:rsidRPr="00855381" w14:paraId="293871C5" w14:textId="77777777" w:rsidTr="00A3026E">
        <w:trPr>
          <w:trHeight w:val="320"/>
        </w:trPr>
        <w:tc>
          <w:tcPr>
            <w:tcW w:w="0" w:type="auto"/>
            <w:tcBorders>
              <w:top w:val="nil"/>
              <w:left w:val="nil"/>
              <w:bottom w:val="nil"/>
              <w:right w:val="nil"/>
            </w:tcBorders>
            <w:noWrap/>
            <w:vAlign w:val="bottom"/>
            <w:hideMark/>
          </w:tcPr>
          <w:p w14:paraId="3F5D881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single" w:sz="4" w:space="0" w:color="auto"/>
            </w:tcBorders>
            <w:noWrap/>
            <w:vAlign w:val="bottom"/>
            <w:hideMark/>
          </w:tcPr>
          <w:p w14:paraId="023A31E6"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0D98F4B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3FF1A24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nil"/>
            </w:tcBorders>
            <w:noWrap/>
            <w:vAlign w:val="bottom"/>
            <w:hideMark/>
          </w:tcPr>
          <w:p w14:paraId="33EB16F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single" w:sz="4" w:space="0" w:color="auto"/>
            </w:tcBorders>
            <w:noWrap/>
            <w:vAlign w:val="bottom"/>
            <w:hideMark/>
          </w:tcPr>
          <w:p w14:paraId="5CDD032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nil"/>
            </w:tcBorders>
            <w:noWrap/>
            <w:vAlign w:val="bottom"/>
            <w:hideMark/>
          </w:tcPr>
          <w:p w14:paraId="25CDFD6E"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6A8022C6"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50C3008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63F781B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r w:rsidR="00A3026E" w:rsidRPr="00855381" w14:paraId="26333762" w14:textId="77777777" w:rsidTr="00A3026E">
        <w:trPr>
          <w:trHeight w:val="320"/>
        </w:trPr>
        <w:tc>
          <w:tcPr>
            <w:tcW w:w="0" w:type="auto"/>
            <w:tcBorders>
              <w:top w:val="nil"/>
              <w:left w:val="nil"/>
              <w:bottom w:val="single" w:sz="4" w:space="0" w:color="auto"/>
              <w:right w:val="nil"/>
            </w:tcBorders>
            <w:noWrap/>
            <w:vAlign w:val="bottom"/>
            <w:hideMark/>
          </w:tcPr>
          <w:p w14:paraId="75716B0E"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6</w:t>
            </w:r>
          </w:p>
        </w:tc>
        <w:tc>
          <w:tcPr>
            <w:tcW w:w="0" w:type="auto"/>
            <w:tcBorders>
              <w:top w:val="nil"/>
              <w:left w:val="nil"/>
              <w:bottom w:val="single" w:sz="4" w:space="0" w:color="auto"/>
              <w:right w:val="single" w:sz="4" w:space="0" w:color="auto"/>
            </w:tcBorders>
            <w:noWrap/>
            <w:vAlign w:val="bottom"/>
            <w:hideMark/>
          </w:tcPr>
          <w:p w14:paraId="1B24E5C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single" w:sz="4" w:space="0" w:color="auto"/>
              <w:right w:val="nil"/>
            </w:tcBorders>
            <w:noWrap/>
            <w:vAlign w:val="bottom"/>
            <w:hideMark/>
          </w:tcPr>
          <w:p w14:paraId="7190007F"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single" w:sz="4" w:space="0" w:color="auto"/>
              <w:right w:val="nil"/>
            </w:tcBorders>
            <w:noWrap/>
            <w:vAlign w:val="bottom"/>
            <w:hideMark/>
          </w:tcPr>
          <w:p w14:paraId="3C6FF5F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single" w:sz="4" w:space="0" w:color="auto"/>
              <w:right w:val="nil"/>
            </w:tcBorders>
            <w:noWrap/>
            <w:vAlign w:val="bottom"/>
            <w:hideMark/>
          </w:tcPr>
          <w:p w14:paraId="2E3C82F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single" w:sz="4" w:space="0" w:color="auto"/>
              <w:right w:val="single" w:sz="4" w:space="0" w:color="auto"/>
            </w:tcBorders>
            <w:noWrap/>
            <w:vAlign w:val="bottom"/>
            <w:hideMark/>
          </w:tcPr>
          <w:p w14:paraId="6278FCF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single" w:sz="4" w:space="0" w:color="auto"/>
              <w:right w:val="nil"/>
            </w:tcBorders>
            <w:noWrap/>
            <w:vAlign w:val="bottom"/>
            <w:hideMark/>
          </w:tcPr>
          <w:p w14:paraId="568D9B9F"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single" w:sz="4" w:space="0" w:color="auto"/>
              <w:right w:val="nil"/>
            </w:tcBorders>
            <w:noWrap/>
            <w:vAlign w:val="bottom"/>
            <w:hideMark/>
          </w:tcPr>
          <w:p w14:paraId="1198015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single" w:sz="4" w:space="0" w:color="auto"/>
              <w:right w:val="nil"/>
            </w:tcBorders>
            <w:noWrap/>
            <w:vAlign w:val="bottom"/>
            <w:hideMark/>
          </w:tcPr>
          <w:p w14:paraId="0F77897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single" w:sz="4" w:space="0" w:color="auto"/>
              <w:right w:val="single" w:sz="4" w:space="0" w:color="auto"/>
            </w:tcBorders>
            <w:noWrap/>
            <w:vAlign w:val="bottom"/>
            <w:hideMark/>
          </w:tcPr>
          <w:p w14:paraId="77E1A2E6"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bl>
    <w:p w14:paraId="165B957B" w14:textId="77A2CD68" w:rsidR="00A3026E" w:rsidRDefault="00A3026E" w:rsidP="00A3026E">
      <w:pPr>
        <w:rPr>
          <w:rFonts w:ascii="Aptos" w:hAnsi="Aptos"/>
        </w:rPr>
      </w:pPr>
    </w:p>
    <w:p w14:paraId="08484C4D" w14:textId="2EA49506" w:rsidR="00145D1D" w:rsidRPr="007E0BE3" w:rsidRDefault="00145D1D" w:rsidP="00145D1D">
      <w:pPr>
        <w:pStyle w:val="Caption"/>
        <w:jc w:val="center"/>
        <w:rPr>
          <w:rFonts w:ascii="Aptos" w:hAnsi="Aptos"/>
          <w:b/>
          <w:bCs/>
          <w:sz w:val="20"/>
          <w:szCs w:val="20"/>
        </w:rPr>
      </w:pPr>
      <w:bookmarkStart w:id="1" w:name="_Ref241331400"/>
      <w:r w:rsidRPr="007E0BE3">
        <w:rPr>
          <w:rFonts w:ascii="Aptos" w:hAnsi="Aptos"/>
          <w:sz w:val="20"/>
          <w:szCs w:val="20"/>
        </w:rPr>
        <w:t xml:space="preserve">Table </w:t>
      </w:r>
      <w:r w:rsidRPr="007E0BE3">
        <w:rPr>
          <w:rFonts w:ascii="Aptos" w:hAnsi="Aptos"/>
          <w:sz w:val="20"/>
          <w:szCs w:val="20"/>
        </w:rPr>
        <w:fldChar w:fldCharType="begin"/>
      </w:r>
      <w:r w:rsidRPr="007E0BE3">
        <w:rPr>
          <w:rFonts w:ascii="Aptos" w:hAnsi="Aptos"/>
          <w:sz w:val="20"/>
          <w:szCs w:val="20"/>
        </w:rPr>
        <w:instrText xml:space="preserve"> SEQ Table \* ARABIC </w:instrText>
      </w:r>
      <w:r w:rsidRPr="007E0BE3">
        <w:rPr>
          <w:rFonts w:ascii="Aptos" w:hAnsi="Aptos"/>
          <w:sz w:val="20"/>
          <w:szCs w:val="20"/>
        </w:rPr>
        <w:fldChar w:fldCharType="separate"/>
      </w:r>
      <w:r w:rsidR="00052B38">
        <w:rPr>
          <w:rFonts w:ascii="Aptos" w:hAnsi="Aptos"/>
          <w:noProof/>
          <w:sz w:val="20"/>
          <w:szCs w:val="20"/>
        </w:rPr>
        <w:t>2</w:t>
      </w:r>
      <w:r w:rsidRPr="007E0BE3">
        <w:rPr>
          <w:rFonts w:ascii="Aptos" w:hAnsi="Aptos"/>
          <w:sz w:val="20"/>
          <w:szCs w:val="20"/>
        </w:rPr>
        <w:fldChar w:fldCharType="end"/>
      </w:r>
      <w:bookmarkEnd w:id="1"/>
      <w:r w:rsidRPr="007E0BE3">
        <w:rPr>
          <w:rFonts w:ascii="Aptos" w:hAnsi="Aptos"/>
          <w:sz w:val="20"/>
          <w:szCs w:val="20"/>
        </w:rPr>
        <w:t>: Summary of</w:t>
      </w:r>
      <w:r w:rsidR="006719F5" w:rsidRPr="007E0BE3">
        <w:rPr>
          <w:rFonts w:ascii="Aptos" w:hAnsi="Aptos"/>
          <w:sz w:val="20"/>
          <w:szCs w:val="20"/>
        </w:rPr>
        <w:t xml:space="preserve"> results when comparing all screening algorithms in terms of outcomes over the </w:t>
      </w:r>
      <w:r w:rsidR="006719F5" w:rsidRPr="007E0BE3">
        <w:rPr>
          <w:rFonts w:ascii="Aptos" w:hAnsi="Aptos"/>
          <w:b/>
          <w:bCs/>
          <w:sz w:val="20"/>
          <w:szCs w:val="20"/>
        </w:rPr>
        <w:t>full population</w:t>
      </w:r>
      <w:r w:rsidR="006719F5" w:rsidRPr="007E0BE3">
        <w:rPr>
          <w:rFonts w:ascii="Aptos" w:hAnsi="Aptos"/>
          <w:sz w:val="20"/>
          <w:szCs w:val="20"/>
        </w:rPr>
        <w:t>.</w:t>
      </w:r>
      <w:r w:rsidR="007E0BE3" w:rsidRPr="007E0BE3">
        <w:rPr>
          <w:rFonts w:ascii="Aptos" w:hAnsi="Aptos"/>
          <w:sz w:val="20"/>
          <w:szCs w:val="20"/>
        </w:rPr>
        <w:t xml:space="preserve"> Each row is a different sensitivity analysis/assumed vaccine uptake. </w:t>
      </w:r>
      <w:r w:rsidR="006719F5" w:rsidRPr="007E0BE3">
        <w:rPr>
          <w:rFonts w:ascii="Aptos" w:hAnsi="Aptos"/>
          <w:sz w:val="20"/>
          <w:szCs w:val="20"/>
        </w:rPr>
        <w:t xml:space="preserve"> We compare algorithms to a baseline scenario in which current screening (V5U5A5; 5-yearly screening for all subpopulations) is </w:t>
      </w:r>
      <w:proofErr w:type="gramStart"/>
      <w:r w:rsidR="006719F5" w:rsidRPr="007E0BE3">
        <w:rPr>
          <w:rFonts w:ascii="Aptos" w:hAnsi="Aptos"/>
          <w:sz w:val="20"/>
          <w:szCs w:val="20"/>
        </w:rPr>
        <w:t>continued, and</w:t>
      </w:r>
      <w:proofErr w:type="gramEnd"/>
      <w:r w:rsidR="006719F5" w:rsidRPr="007E0BE3">
        <w:rPr>
          <w:rFonts w:ascii="Aptos" w:hAnsi="Aptos"/>
          <w:sz w:val="20"/>
          <w:szCs w:val="20"/>
        </w:rPr>
        <w:t xml:space="preserve"> compare in terms of Cervical Cancer Incidence (CCI) and Long-Term Undiagnosed cervical cancer Prevalence (LTUP). We consider outcomes to have ‘worsened’ according to two metrics: either a significant change in simulated outcome (t-tests conducted at the 1% significance level), or an effect size (Cohen’s d) greater than 0.45; we note effect size is invariant to number of repeated simulations and is therefore a </w:t>
      </w:r>
      <w:r w:rsidR="007E0BE3" w:rsidRPr="007E0BE3">
        <w:rPr>
          <w:rFonts w:ascii="Aptos" w:hAnsi="Aptos"/>
          <w:sz w:val="20"/>
          <w:szCs w:val="20"/>
        </w:rPr>
        <w:t xml:space="preserve">more robust </w:t>
      </w:r>
      <w:r w:rsidR="006719F5" w:rsidRPr="007E0BE3">
        <w:rPr>
          <w:rFonts w:ascii="Aptos" w:hAnsi="Aptos"/>
          <w:sz w:val="20"/>
          <w:szCs w:val="20"/>
        </w:rPr>
        <w:t>metric.</w:t>
      </w:r>
      <w:r w:rsidR="007E0BE3" w:rsidRPr="007E0BE3">
        <w:rPr>
          <w:rFonts w:ascii="Aptos" w:hAnsi="Aptos"/>
          <w:sz w:val="20"/>
          <w:szCs w:val="20"/>
        </w:rPr>
        <w:t xml:space="preserve"> For each row, we report the shortest extension of screening for vaccinated/vaccine-eligible individuals (out of 5-yearly/no extension, 7-yearly, 10-yearly, 15-yearly, or removal of screening) that results in a worsening of outcomes. Therefore, extension of screening to one level lower than this, does not result in a worsening of outcomes.</w:t>
      </w:r>
    </w:p>
    <w:p w14:paraId="3F08043B" w14:textId="77777777" w:rsidR="00145D1D" w:rsidRDefault="00145D1D" w:rsidP="00A3026E">
      <w:pPr>
        <w:rPr>
          <w:rFonts w:ascii="Aptos" w:hAnsi="Aptos"/>
        </w:rPr>
      </w:pPr>
    </w:p>
    <w:p w14:paraId="1F27D5FB" w14:textId="77777777" w:rsidR="00145D1D" w:rsidRPr="00855381" w:rsidRDefault="00145D1D" w:rsidP="00A3026E">
      <w:pPr>
        <w:rPr>
          <w:rFonts w:ascii="Aptos" w:hAnsi="Aptos"/>
        </w:rPr>
      </w:pPr>
    </w:p>
    <w:tbl>
      <w:tblPr>
        <w:tblW w:w="0" w:type="auto"/>
        <w:tblLook w:val="04A0" w:firstRow="1" w:lastRow="0" w:firstColumn="1" w:lastColumn="0" w:noHBand="0" w:noVBand="1"/>
      </w:tblPr>
      <w:tblGrid>
        <w:gridCol w:w="1231"/>
        <w:gridCol w:w="1312"/>
        <w:gridCol w:w="2102"/>
        <w:gridCol w:w="2198"/>
        <w:gridCol w:w="1744"/>
        <w:gridCol w:w="1874"/>
      </w:tblGrid>
      <w:tr w:rsidR="00A3026E" w:rsidRPr="00855381" w14:paraId="33781BA9" w14:textId="77777777" w:rsidTr="00A3026E">
        <w:trPr>
          <w:trHeight w:val="320"/>
        </w:trPr>
        <w:tc>
          <w:tcPr>
            <w:tcW w:w="0" w:type="auto"/>
            <w:vMerge w:val="restart"/>
            <w:tcBorders>
              <w:top w:val="nil"/>
              <w:left w:val="nil"/>
              <w:bottom w:val="nil"/>
              <w:right w:val="nil"/>
            </w:tcBorders>
            <w:vAlign w:val="bottom"/>
            <w:hideMark/>
          </w:tcPr>
          <w:p w14:paraId="35138A57"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Sensitivity Analysis</w:t>
            </w:r>
          </w:p>
        </w:tc>
        <w:tc>
          <w:tcPr>
            <w:tcW w:w="0" w:type="auto"/>
            <w:vMerge w:val="restart"/>
            <w:tcBorders>
              <w:top w:val="nil"/>
              <w:left w:val="nil"/>
              <w:bottom w:val="nil"/>
              <w:right w:val="single" w:sz="4" w:space="0" w:color="auto"/>
            </w:tcBorders>
            <w:vAlign w:val="bottom"/>
            <w:hideMark/>
          </w:tcPr>
          <w:p w14:paraId="49AEFE67"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Vaccination Uptake</w:t>
            </w:r>
          </w:p>
        </w:tc>
        <w:tc>
          <w:tcPr>
            <w:tcW w:w="0" w:type="auto"/>
            <w:gridSpan w:val="4"/>
            <w:tcBorders>
              <w:top w:val="nil"/>
              <w:left w:val="nil"/>
              <w:bottom w:val="nil"/>
              <w:right w:val="single" w:sz="4" w:space="0" w:color="000000"/>
            </w:tcBorders>
            <w:noWrap/>
            <w:vAlign w:val="bottom"/>
            <w:hideMark/>
          </w:tcPr>
          <w:p w14:paraId="5962843E" w14:textId="22033B00"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 xml:space="preserve">For vaccinated </w:t>
            </w:r>
            <w:r w:rsidR="00116E8A">
              <w:rPr>
                <w:rFonts w:ascii="Aptos" w:hAnsi="Aptos"/>
                <w:color w:val="000000"/>
                <w:sz w:val="16"/>
                <w:szCs w:val="16"/>
              </w:rPr>
              <w:t>sub</w:t>
            </w:r>
            <w:r w:rsidRPr="00855381">
              <w:rPr>
                <w:rFonts w:ascii="Aptos" w:hAnsi="Aptos"/>
                <w:color w:val="000000"/>
                <w:sz w:val="16"/>
                <w:szCs w:val="16"/>
              </w:rPr>
              <w:t>population</w:t>
            </w:r>
          </w:p>
        </w:tc>
      </w:tr>
      <w:tr w:rsidR="00A3026E" w:rsidRPr="00855381" w14:paraId="0CF2A1DD" w14:textId="77777777" w:rsidTr="00A3026E">
        <w:trPr>
          <w:trHeight w:val="320"/>
        </w:trPr>
        <w:tc>
          <w:tcPr>
            <w:tcW w:w="0" w:type="auto"/>
            <w:vMerge/>
            <w:tcBorders>
              <w:top w:val="nil"/>
              <w:left w:val="nil"/>
              <w:bottom w:val="nil"/>
              <w:right w:val="nil"/>
            </w:tcBorders>
            <w:vAlign w:val="center"/>
            <w:hideMark/>
          </w:tcPr>
          <w:p w14:paraId="21C9F3C5" w14:textId="77777777" w:rsidR="00A3026E" w:rsidRPr="00855381" w:rsidRDefault="00A3026E" w:rsidP="00A3026E">
            <w:pPr>
              <w:rPr>
                <w:rFonts w:ascii="Aptos" w:hAnsi="Aptos"/>
                <w:color w:val="000000"/>
                <w:sz w:val="16"/>
                <w:szCs w:val="16"/>
              </w:rPr>
            </w:pPr>
          </w:p>
        </w:tc>
        <w:tc>
          <w:tcPr>
            <w:tcW w:w="0" w:type="auto"/>
            <w:vMerge/>
            <w:tcBorders>
              <w:top w:val="nil"/>
              <w:left w:val="nil"/>
              <w:bottom w:val="nil"/>
              <w:right w:val="single" w:sz="4" w:space="0" w:color="auto"/>
            </w:tcBorders>
            <w:vAlign w:val="center"/>
            <w:hideMark/>
          </w:tcPr>
          <w:p w14:paraId="5B998A15" w14:textId="77777777" w:rsidR="00A3026E" w:rsidRPr="00855381" w:rsidRDefault="00A3026E" w:rsidP="00A3026E">
            <w:pPr>
              <w:rPr>
                <w:rFonts w:ascii="Aptos" w:hAnsi="Aptos"/>
                <w:color w:val="000000"/>
                <w:sz w:val="16"/>
                <w:szCs w:val="16"/>
              </w:rPr>
            </w:pPr>
          </w:p>
        </w:tc>
        <w:tc>
          <w:tcPr>
            <w:tcW w:w="0" w:type="auto"/>
            <w:gridSpan w:val="4"/>
            <w:tcBorders>
              <w:top w:val="nil"/>
              <w:left w:val="nil"/>
              <w:bottom w:val="nil"/>
              <w:right w:val="single" w:sz="4" w:space="0" w:color="000000"/>
            </w:tcBorders>
            <w:noWrap/>
            <w:vAlign w:val="bottom"/>
            <w:hideMark/>
          </w:tcPr>
          <w:p w14:paraId="2C532657"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What is the smallest x for which a VxU5A5 algorithm is worse   (in either 2040 or 2050) than V5U5A5 in terms of….</w:t>
            </w:r>
          </w:p>
        </w:tc>
      </w:tr>
      <w:tr w:rsidR="00A3026E" w:rsidRPr="00855381" w14:paraId="4CDE69C0" w14:textId="77777777" w:rsidTr="00A3026E">
        <w:trPr>
          <w:trHeight w:val="320"/>
        </w:trPr>
        <w:tc>
          <w:tcPr>
            <w:tcW w:w="0" w:type="auto"/>
            <w:vMerge/>
            <w:tcBorders>
              <w:top w:val="nil"/>
              <w:left w:val="nil"/>
              <w:bottom w:val="nil"/>
              <w:right w:val="nil"/>
            </w:tcBorders>
            <w:vAlign w:val="center"/>
            <w:hideMark/>
          </w:tcPr>
          <w:p w14:paraId="53384EFC" w14:textId="77777777" w:rsidR="00A3026E" w:rsidRPr="00855381" w:rsidRDefault="00A3026E" w:rsidP="00A3026E">
            <w:pPr>
              <w:rPr>
                <w:rFonts w:ascii="Aptos" w:hAnsi="Aptos"/>
                <w:color w:val="000000"/>
                <w:sz w:val="16"/>
                <w:szCs w:val="16"/>
              </w:rPr>
            </w:pPr>
          </w:p>
        </w:tc>
        <w:tc>
          <w:tcPr>
            <w:tcW w:w="0" w:type="auto"/>
            <w:vMerge/>
            <w:tcBorders>
              <w:top w:val="nil"/>
              <w:left w:val="nil"/>
              <w:bottom w:val="nil"/>
              <w:right w:val="single" w:sz="4" w:space="0" w:color="auto"/>
            </w:tcBorders>
            <w:vAlign w:val="center"/>
            <w:hideMark/>
          </w:tcPr>
          <w:p w14:paraId="323B0020" w14:textId="77777777" w:rsidR="00A3026E" w:rsidRPr="00855381" w:rsidRDefault="00A3026E" w:rsidP="00A3026E">
            <w:pPr>
              <w:rPr>
                <w:rFonts w:ascii="Aptos" w:hAnsi="Aptos"/>
                <w:color w:val="000000"/>
                <w:sz w:val="16"/>
                <w:szCs w:val="16"/>
              </w:rPr>
            </w:pPr>
          </w:p>
        </w:tc>
        <w:tc>
          <w:tcPr>
            <w:tcW w:w="0" w:type="auto"/>
            <w:tcBorders>
              <w:top w:val="nil"/>
              <w:left w:val="nil"/>
              <w:bottom w:val="single" w:sz="4" w:space="0" w:color="auto"/>
              <w:right w:val="nil"/>
            </w:tcBorders>
            <w:noWrap/>
            <w:vAlign w:val="bottom"/>
            <w:hideMark/>
          </w:tcPr>
          <w:p w14:paraId="1C8098A7" w14:textId="46863CB7" w:rsidR="00A3026E" w:rsidRPr="00855381" w:rsidRDefault="00A3026E" w:rsidP="00A3026E">
            <w:pPr>
              <w:rPr>
                <w:rFonts w:ascii="Aptos" w:hAnsi="Aptos"/>
                <w:color w:val="000000"/>
                <w:sz w:val="16"/>
                <w:szCs w:val="16"/>
              </w:rPr>
            </w:pPr>
            <w:r w:rsidRPr="00855381">
              <w:rPr>
                <w:rFonts w:ascii="Aptos" w:hAnsi="Aptos"/>
                <w:color w:val="000000"/>
                <w:sz w:val="16"/>
                <w:szCs w:val="16"/>
              </w:rPr>
              <w:t xml:space="preserve">CCI (1% </w:t>
            </w:r>
            <w:r w:rsidR="006719F5" w:rsidRPr="00855381">
              <w:rPr>
                <w:rFonts w:ascii="Aptos" w:hAnsi="Aptos"/>
                <w:color w:val="000000"/>
                <w:sz w:val="16"/>
                <w:szCs w:val="16"/>
              </w:rPr>
              <w:t>significance</w:t>
            </w:r>
            <w:r w:rsidRPr="00855381">
              <w:rPr>
                <w:rFonts w:ascii="Aptos" w:hAnsi="Aptos"/>
                <w:color w:val="000000"/>
                <w:sz w:val="16"/>
                <w:szCs w:val="16"/>
              </w:rPr>
              <w:t xml:space="preserve"> level)</w:t>
            </w:r>
          </w:p>
        </w:tc>
        <w:tc>
          <w:tcPr>
            <w:tcW w:w="0" w:type="auto"/>
            <w:tcBorders>
              <w:top w:val="nil"/>
              <w:left w:val="nil"/>
              <w:bottom w:val="single" w:sz="4" w:space="0" w:color="auto"/>
              <w:right w:val="nil"/>
            </w:tcBorders>
            <w:noWrap/>
            <w:vAlign w:val="bottom"/>
            <w:hideMark/>
          </w:tcPr>
          <w:p w14:paraId="0C6D0E05" w14:textId="26D42535" w:rsidR="00A3026E" w:rsidRPr="00855381" w:rsidRDefault="00A3026E" w:rsidP="00A3026E">
            <w:pPr>
              <w:rPr>
                <w:rFonts w:ascii="Aptos" w:hAnsi="Aptos"/>
                <w:color w:val="000000"/>
                <w:sz w:val="16"/>
                <w:szCs w:val="16"/>
              </w:rPr>
            </w:pPr>
            <w:r w:rsidRPr="00855381">
              <w:rPr>
                <w:rFonts w:ascii="Aptos" w:hAnsi="Aptos"/>
                <w:color w:val="000000"/>
                <w:sz w:val="16"/>
                <w:szCs w:val="16"/>
              </w:rPr>
              <w:t xml:space="preserve">LTUP (1% </w:t>
            </w:r>
            <w:r w:rsidR="006719F5" w:rsidRPr="00855381">
              <w:rPr>
                <w:rFonts w:ascii="Aptos" w:hAnsi="Aptos"/>
                <w:color w:val="000000"/>
                <w:sz w:val="16"/>
                <w:szCs w:val="16"/>
              </w:rPr>
              <w:t>significance</w:t>
            </w:r>
            <w:r w:rsidRPr="00855381">
              <w:rPr>
                <w:rFonts w:ascii="Aptos" w:hAnsi="Aptos"/>
                <w:color w:val="000000"/>
                <w:sz w:val="16"/>
                <w:szCs w:val="16"/>
              </w:rPr>
              <w:t xml:space="preserve"> level)</w:t>
            </w:r>
          </w:p>
        </w:tc>
        <w:tc>
          <w:tcPr>
            <w:tcW w:w="0" w:type="auto"/>
            <w:tcBorders>
              <w:top w:val="nil"/>
              <w:left w:val="nil"/>
              <w:bottom w:val="single" w:sz="4" w:space="0" w:color="auto"/>
              <w:right w:val="nil"/>
            </w:tcBorders>
            <w:noWrap/>
            <w:vAlign w:val="bottom"/>
            <w:hideMark/>
          </w:tcPr>
          <w:p w14:paraId="4EBF9701"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CCI (effect size&gt;0.45)</w:t>
            </w:r>
          </w:p>
        </w:tc>
        <w:tc>
          <w:tcPr>
            <w:tcW w:w="0" w:type="auto"/>
            <w:tcBorders>
              <w:top w:val="nil"/>
              <w:left w:val="nil"/>
              <w:bottom w:val="single" w:sz="4" w:space="0" w:color="auto"/>
              <w:right w:val="single" w:sz="4" w:space="0" w:color="auto"/>
            </w:tcBorders>
            <w:noWrap/>
            <w:vAlign w:val="bottom"/>
            <w:hideMark/>
          </w:tcPr>
          <w:p w14:paraId="2710DC41"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LTUP (effect size &gt;0.45)</w:t>
            </w:r>
          </w:p>
        </w:tc>
      </w:tr>
      <w:tr w:rsidR="00A3026E" w:rsidRPr="00855381" w14:paraId="0EC1114D" w14:textId="77777777" w:rsidTr="00A3026E">
        <w:trPr>
          <w:trHeight w:val="320"/>
        </w:trPr>
        <w:tc>
          <w:tcPr>
            <w:tcW w:w="0" w:type="auto"/>
            <w:tcBorders>
              <w:top w:val="nil"/>
              <w:left w:val="nil"/>
              <w:bottom w:val="nil"/>
              <w:right w:val="nil"/>
            </w:tcBorders>
            <w:noWrap/>
            <w:vAlign w:val="bottom"/>
            <w:hideMark/>
          </w:tcPr>
          <w:p w14:paraId="0B8BD72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0</w:t>
            </w:r>
          </w:p>
        </w:tc>
        <w:tc>
          <w:tcPr>
            <w:tcW w:w="0" w:type="auto"/>
            <w:tcBorders>
              <w:top w:val="nil"/>
              <w:left w:val="nil"/>
              <w:bottom w:val="nil"/>
              <w:right w:val="single" w:sz="4" w:space="0" w:color="auto"/>
            </w:tcBorders>
            <w:noWrap/>
            <w:vAlign w:val="bottom"/>
            <w:hideMark/>
          </w:tcPr>
          <w:p w14:paraId="0ECA867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60</w:t>
            </w:r>
          </w:p>
        </w:tc>
        <w:tc>
          <w:tcPr>
            <w:tcW w:w="0" w:type="auto"/>
            <w:tcBorders>
              <w:top w:val="nil"/>
              <w:left w:val="nil"/>
              <w:bottom w:val="nil"/>
              <w:right w:val="nil"/>
            </w:tcBorders>
            <w:noWrap/>
            <w:vAlign w:val="bottom"/>
            <w:hideMark/>
          </w:tcPr>
          <w:p w14:paraId="0A94F75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0FE0BCD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3BB9327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4AD2A99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r w:rsidR="00A3026E" w:rsidRPr="00855381" w14:paraId="0A53A01B" w14:textId="77777777" w:rsidTr="00A3026E">
        <w:trPr>
          <w:trHeight w:val="320"/>
        </w:trPr>
        <w:tc>
          <w:tcPr>
            <w:tcW w:w="0" w:type="auto"/>
            <w:tcBorders>
              <w:top w:val="nil"/>
              <w:left w:val="nil"/>
              <w:bottom w:val="nil"/>
              <w:right w:val="nil"/>
            </w:tcBorders>
            <w:noWrap/>
            <w:vAlign w:val="bottom"/>
            <w:hideMark/>
          </w:tcPr>
          <w:p w14:paraId="1FC16BB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0</w:t>
            </w:r>
          </w:p>
        </w:tc>
        <w:tc>
          <w:tcPr>
            <w:tcW w:w="0" w:type="auto"/>
            <w:tcBorders>
              <w:top w:val="nil"/>
              <w:left w:val="nil"/>
              <w:bottom w:val="nil"/>
              <w:right w:val="single" w:sz="4" w:space="0" w:color="auto"/>
            </w:tcBorders>
            <w:noWrap/>
            <w:vAlign w:val="bottom"/>
            <w:hideMark/>
          </w:tcPr>
          <w:p w14:paraId="5A4E6D4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0DC2105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68F87B4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1F9EC8DC"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298C66E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r>
      <w:tr w:rsidR="00A3026E" w:rsidRPr="00855381" w14:paraId="0C7B8AE2" w14:textId="77777777" w:rsidTr="00A3026E">
        <w:trPr>
          <w:trHeight w:val="320"/>
        </w:trPr>
        <w:tc>
          <w:tcPr>
            <w:tcW w:w="0" w:type="auto"/>
            <w:tcBorders>
              <w:top w:val="nil"/>
              <w:left w:val="nil"/>
              <w:bottom w:val="nil"/>
              <w:right w:val="nil"/>
            </w:tcBorders>
            <w:noWrap/>
            <w:vAlign w:val="bottom"/>
            <w:hideMark/>
          </w:tcPr>
          <w:p w14:paraId="4531E18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0</w:t>
            </w:r>
          </w:p>
        </w:tc>
        <w:tc>
          <w:tcPr>
            <w:tcW w:w="0" w:type="auto"/>
            <w:tcBorders>
              <w:top w:val="nil"/>
              <w:left w:val="nil"/>
              <w:bottom w:val="nil"/>
              <w:right w:val="single" w:sz="4" w:space="0" w:color="auto"/>
            </w:tcBorders>
            <w:noWrap/>
            <w:vAlign w:val="bottom"/>
            <w:hideMark/>
          </w:tcPr>
          <w:p w14:paraId="25A6015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90</w:t>
            </w:r>
          </w:p>
        </w:tc>
        <w:tc>
          <w:tcPr>
            <w:tcW w:w="0" w:type="auto"/>
            <w:tcBorders>
              <w:top w:val="nil"/>
              <w:left w:val="nil"/>
              <w:bottom w:val="nil"/>
              <w:right w:val="nil"/>
            </w:tcBorders>
            <w:noWrap/>
            <w:vAlign w:val="bottom"/>
            <w:hideMark/>
          </w:tcPr>
          <w:p w14:paraId="6C8D2AE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7EB4061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5B5B355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551B1ED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r>
      <w:tr w:rsidR="00A3026E" w:rsidRPr="00855381" w14:paraId="089DD077" w14:textId="77777777" w:rsidTr="00A3026E">
        <w:trPr>
          <w:trHeight w:val="320"/>
        </w:trPr>
        <w:tc>
          <w:tcPr>
            <w:tcW w:w="0" w:type="auto"/>
            <w:tcBorders>
              <w:top w:val="nil"/>
              <w:left w:val="nil"/>
              <w:bottom w:val="nil"/>
              <w:right w:val="nil"/>
            </w:tcBorders>
            <w:noWrap/>
            <w:vAlign w:val="bottom"/>
            <w:hideMark/>
          </w:tcPr>
          <w:p w14:paraId="7A8BB2FA"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w:t>
            </w:r>
          </w:p>
        </w:tc>
        <w:tc>
          <w:tcPr>
            <w:tcW w:w="0" w:type="auto"/>
            <w:tcBorders>
              <w:top w:val="nil"/>
              <w:left w:val="nil"/>
              <w:bottom w:val="nil"/>
              <w:right w:val="single" w:sz="4" w:space="0" w:color="auto"/>
            </w:tcBorders>
            <w:noWrap/>
            <w:vAlign w:val="bottom"/>
            <w:hideMark/>
          </w:tcPr>
          <w:p w14:paraId="5C5E077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1E5180F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37CCDBDF"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491BBB9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47F7CDC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r w:rsidR="00A3026E" w:rsidRPr="00855381" w14:paraId="0C2D6C17" w14:textId="77777777" w:rsidTr="00A3026E">
        <w:trPr>
          <w:trHeight w:val="320"/>
        </w:trPr>
        <w:tc>
          <w:tcPr>
            <w:tcW w:w="0" w:type="auto"/>
            <w:tcBorders>
              <w:top w:val="nil"/>
              <w:left w:val="nil"/>
              <w:bottom w:val="nil"/>
              <w:right w:val="nil"/>
            </w:tcBorders>
            <w:noWrap/>
            <w:vAlign w:val="bottom"/>
            <w:hideMark/>
          </w:tcPr>
          <w:p w14:paraId="29532D2A"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2</w:t>
            </w:r>
          </w:p>
        </w:tc>
        <w:tc>
          <w:tcPr>
            <w:tcW w:w="0" w:type="auto"/>
            <w:tcBorders>
              <w:top w:val="nil"/>
              <w:left w:val="nil"/>
              <w:bottom w:val="nil"/>
              <w:right w:val="single" w:sz="4" w:space="0" w:color="auto"/>
            </w:tcBorders>
            <w:noWrap/>
            <w:vAlign w:val="bottom"/>
            <w:hideMark/>
          </w:tcPr>
          <w:p w14:paraId="76F8661E"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3272802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6DAAA67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46C1F93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c>
          <w:tcPr>
            <w:tcW w:w="0" w:type="auto"/>
            <w:tcBorders>
              <w:top w:val="nil"/>
              <w:left w:val="nil"/>
              <w:bottom w:val="nil"/>
              <w:right w:val="single" w:sz="4" w:space="0" w:color="auto"/>
            </w:tcBorders>
            <w:noWrap/>
            <w:vAlign w:val="bottom"/>
            <w:hideMark/>
          </w:tcPr>
          <w:p w14:paraId="1A821A0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15</w:t>
            </w:r>
          </w:p>
        </w:tc>
      </w:tr>
      <w:tr w:rsidR="00A3026E" w:rsidRPr="00855381" w14:paraId="58095238" w14:textId="77777777" w:rsidTr="00A3026E">
        <w:trPr>
          <w:trHeight w:val="320"/>
        </w:trPr>
        <w:tc>
          <w:tcPr>
            <w:tcW w:w="0" w:type="auto"/>
            <w:tcBorders>
              <w:top w:val="nil"/>
              <w:left w:val="nil"/>
              <w:bottom w:val="nil"/>
              <w:right w:val="nil"/>
            </w:tcBorders>
            <w:noWrap/>
            <w:vAlign w:val="bottom"/>
            <w:hideMark/>
          </w:tcPr>
          <w:p w14:paraId="4598774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3</w:t>
            </w:r>
          </w:p>
        </w:tc>
        <w:tc>
          <w:tcPr>
            <w:tcW w:w="0" w:type="auto"/>
            <w:tcBorders>
              <w:top w:val="nil"/>
              <w:left w:val="nil"/>
              <w:bottom w:val="nil"/>
              <w:right w:val="single" w:sz="4" w:space="0" w:color="auto"/>
            </w:tcBorders>
            <w:noWrap/>
            <w:vAlign w:val="bottom"/>
            <w:hideMark/>
          </w:tcPr>
          <w:p w14:paraId="0524151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5448EAD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0C6626C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45E97C2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294BB27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r w:rsidR="00A3026E" w:rsidRPr="00855381" w14:paraId="23194B02" w14:textId="77777777" w:rsidTr="00A3026E">
        <w:trPr>
          <w:trHeight w:val="320"/>
        </w:trPr>
        <w:tc>
          <w:tcPr>
            <w:tcW w:w="0" w:type="auto"/>
            <w:tcBorders>
              <w:top w:val="nil"/>
              <w:left w:val="nil"/>
              <w:bottom w:val="nil"/>
              <w:right w:val="nil"/>
            </w:tcBorders>
            <w:noWrap/>
            <w:vAlign w:val="bottom"/>
            <w:hideMark/>
          </w:tcPr>
          <w:p w14:paraId="78A41EE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4</w:t>
            </w:r>
          </w:p>
        </w:tc>
        <w:tc>
          <w:tcPr>
            <w:tcW w:w="0" w:type="auto"/>
            <w:tcBorders>
              <w:top w:val="nil"/>
              <w:left w:val="nil"/>
              <w:bottom w:val="nil"/>
              <w:right w:val="single" w:sz="4" w:space="0" w:color="auto"/>
            </w:tcBorders>
            <w:noWrap/>
            <w:vAlign w:val="bottom"/>
            <w:hideMark/>
          </w:tcPr>
          <w:p w14:paraId="4B41BD8F"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341201B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31D8E9D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698F38C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36818D5F"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r w:rsidR="00A3026E" w:rsidRPr="00855381" w14:paraId="1FF34840" w14:textId="77777777" w:rsidTr="00A3026E">
        <w:trPr>
          <w:trHeight w:val="320"/>
        </w:trPr>
        <w:tc>
          <w:tcPr>
            <w:tcW w:w="0" w:type="auto"/>
            <w:tcBorders>
              <w:top w:val="nil"/>
              <w:left w:val="nil"/>
              <w:bottom w:val="nil"/>
              <w:right w:val="nil"/>
            </w:tcBorders>
            <w:noWrap/>
            <w:vAlign w:val="bottom"/>
            <w:hideMark/>
          </w:tcPr>
          <w:p w14:paraId="1C5F48DF"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single" w:sz="4" w:space="0" w:color="auto"/>
            </w:tcBorders>
            <w:noWrap/>
            <w:vAlign w:val="bottom"/>
            <w:hideMark/>
          </w:tcPr>
          <w:p w14:paraId="0E7B4EE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2B8DEC9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nil"/>
            </w:tcBorders>
            <w:noWrap/>
            <w:vAlign w:val="bottom"/>
            <w:hideMark/>
          </w:tcPr>
          <w:p w14:paraId="7EBA81C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54115AC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10</w:t>
            </w:r>
          </w:p>
        </w:tc>
        <w:tc>
          <w:tcPr>
            <w:tcW w:w="0" w:type="auto"/>
            <w:tcBorders>
              <w:top w:val="nil"/>
              <w:left w:val="nil"/>
              <w:bottom w:val="nil"/>
              <w:right w:val="single" w:sz="4" w:space="0" w:color="auto"/>
            </w:tcBorders>
            <w:noWrap/>
            <w:vAlign w:val="bottom"/>
            <w:hideMark/>
          </w:tcPr>
          <w:p w14:paraId="38D35F1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r w:rsidR="00A3026E" w:rsidRPr="00855381" w14:paraId="3F991000" w14:textId="77777777" w:rsidTr="00A3026E">
        <w:trPr>
          <w:trHeight w:val="320"/>
        </w:trPr>
        <w:tc>
          <w:tcPr>
            <w:tcW w:w="0" w:type="auto"/>
            <w:tcBorders>
              <w:top w:val="nil"/>
              <w:left w:val="nil"/>
              <w:bottom w:val="single" w:sz="4" w:space="0" w:color="auto"/>
              <w:right w:val="nil"/>
            </w:tcBorders>
            <w:noWrap/>
            <w:vAlign w:val="bottom"/>
            <w:hideMark/>
          </w:tcPr>
          <w:p w14:paraId="53278BC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6</w:t>
            </w:r>
          </w:p>
        </w:tc>
        <w:tc>
          <w:tcPr>
            <w:tcW w:w="0" w:type="auto"/>
            <w:tcBorders>
              <w:top w:val="nil"/>
              <w:left w:val="nil"/>
              <w:bottom w:val="single" w:sz="4" w:space="0" w:color="auto"/>
              <w:right w:val="single" w:sz="4" w:space="0" w:color="auto"/>
            </w:tcBorders>
            <w:noWrap/>
            <w:vAlign w:val="bottom"/>
            <w:hideMark/>
          </w:tcPr>
          <w:p w14:paraId="2F29300C"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single" w:sz="4" w:space="0" w:color="auto"/>
              <w:right w:val="nil"/>
            </w:tcBorders>
            <w:noWrap/>
            <w:vAlign w:val="bottom"/>
            <w:hideMark/>
          </w:tcPr>
          <w:p w14:paraId="5A251A6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single" w:sz="4" w:space="0" w:color="auto"/>
              <w:right w:val="nil"/>
            </w:tcBorders>
            <w:noWrap/>
            <w:vAlign w:val="bottom"/>
            <w:hideMark/>
          </w:tcPr>
          <w:p w14:paraId="5C726CF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single" w:sz="4" w:space="0" w:color="auto"/>
              <w:right w:val="nil"/>
            </w:tcBorders>
            <w:noWrap/>
            <w:vAlign w:val="bottom"/>
            <w:hideMark/>
          </w:tcPr>
          <w:p w14:paraId="2CCACBCC"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single" w:sz="4" w:space="0" w:color="auto"/>
              <w:right w:val="single" w:sz="4" w:space="0" w:color="auto"/>
            </w:tcBorders>
            <w:noWrap/>
            <w:vAlign w:val="bottom"/>
            <w:hideMark/>
          </w:tcPr>
          <w:p w14:paraId="7AF90DF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bl>
    <w:p w14:paraId="6B35ECC4" w14:textId="77777777" w:rsidR="00CD1A12" w:rsidRDefault="00CD1A12" w:rsidP="00152B4D">
      <w:pPr>
        <w:rPr>
          <w:rFonts w:ascii="Aptos" w:hAnsi="Aptos"/>
        </w:rPr>
      </w:pPr>
    </w:p>
    <w:p w14:paraId="5FD4B979" w14:textId="5EDEAA3C" w:rsidR="007E0BE3" w:rsidRPr="007E0BE3" w:rsidRDefault="00145D1D" w:rsidP="007E0BE3">
      <w:pPr>
        <w:pStyle w:val="Caption"/>
        <w:jc w:val="center"/>
        <w:rPr>
          <w:rFonts w:ascii="Aptos" w:hAnsi="Aptos"/>
          <w:b/>
          <w:bCs/>
          <w:sz w:val="20"/>
          <w:szCs w:val="20"/>
        </w:rPr>
      </w:pPr>
      <w:bookmarkStart w:id="2" w:name="_Ref241331412"/>
      <w:r w:rsidRPr="007E0BE3">
        <w:rPr>
          <w:rFonts w:ascii="Aptos" w:hAnsi="Aptos"/>
          <w:sz w:val="20"/>
          <w:szCs w:val="20"/>
        </w:rPr>
        <w:t xml:space="preserve">Table </w:t>
      </w:r>
      <w:r w:rsidRPr="007E0BE3">
        <w:rPr>
          <w:rFonts w:ascii="Aptos" w:hAnsi="Aptos"/>
          <w:sz w:val="20"/>
          <w:szCs w:val="20"/>
        </w:rPr>
        <w:fldChar w:fldCharType="begin"/>
      </w:r>
      <w:r w:rsidRPr="007E0BE3">
        <w:rPr>
          <w:rFonts w:ascii="Aptos" w:hAnsi="Aptos"/>
          <w:sz w:val="20"/>
          <w:szCs w:val="20"/>
        </w:rPr>
        <w:instrText xml:space="preserve"> SEQ Table \* ARABIC </w:instrText>
      </w:r>
      <w:r w:rsidRPr="007E0BE3">
        <w:rPr>
          <w:rFonts w:ascii="Aptos" w:hAnsi="Aptos"/>
          <w:sz w:val="20"/>
          <w:szCs w:val="20"/>
        </w:rPr>
        <w:fldChar w:fldCharType="separate"/>
      </w:r>
      <w:r w:rsidR="00052B38">
        <w:rPr>
          <w:rFonts w:ascii="Aptos" w:hAnsi="Aptos"/>
          <w:noProof/>
          <w:sz w:val="20"/>
          <w:szCs w:val="20"/>
        </w:rPr>
        <w:t>3</w:t>
      </w:r>
      <w:r w:rsidRPr="007E0BE3">
        <w:rPr>
          <w:rFonts w:ascii="Aptos" w:hAnsi="Aptos"/>
          <w:sz w:val="20"/>
          <w:szCs w:val="20"/>
        </w:rPr>
        <w:fldChar w:fldCharType="end"/>
      </w:r>
      <w:bookmarkEnd w:id="2"/>
      <w:r w:rsidRPr="007E0BE3">
        <w:rPr>
          <w:rFonts w:ascii="Aptos" w:hAnsi="Aptos"/>
          <w:sz w:val="20"/>
          <w:szCs w:val="20"/>
        </w:rPr>
        <w:t>:</w:t>
      </w:r>
      <w:r w:rsidR="007E0BE3" w:rsidRPr="007E0BE3">
        <w:rPr>
          <w:rFonts w:ascii="Aptos" w:hAnsi="Aptos"/>
          <w:sz w:val="20"/>
          <w:szCs w:val="20"/>
        </w:rPr>
        <w:t xml:space="preserve"> Summary of results when comparing all screening algorithms in terms of outcomes over the </w:t>
      </w:r>
      <w:r w:rsidR="007E0BE3" w:rsidRPr="007E0BE3">
        <w:rPr>
          <w:rFonts w:ascii="Aptos" w:hAnsi="Aptos"/>
          <w:b/>
          <w:bCs/>
          <w:sz w:val="20"/>
          <w:szCs w:val="20"/>
        </w:rPr>
        <w:t>vaccinated sub-population</w:t>
      </w:r>
      <w:r w:rsidR="007E0BE3" w:rsidRPr="007E0BE3">
        <w:rPr>
          <w:rFonts w:ascii="Aptos" w:hAnsi="Aptos"/>
          <w:sz w:val="20"/>
          <w:szCs w:val="20"/>
        </w:rPr>
        <w:t xml:space="preserve">. Each row is a different sensitivity analysis/assumed vaccine uptake.  We compare algorithms to a baseline scenario in which current screening (V5U5A5; 5-yearly screening for all subpopulations) is </w:t>
      </w:r>
      <w:proofErr w:type="gramStart"/>
      <w:r w:rsidR="007E0BE3" w:rsidRPr="007E0BE3">
        <w:rPr>
          <w:rFonts w:ascii="Aptos" w:hAnsi="Aptos"/>
          <w:sz w:val="20"/>
          <w:szCs w:val="20"/>
        </w:rPr>
        <w:t>continued, and</w:t>
      </w:r>
      <w:proofErr w:type="gramEnd"/>
      <w:r w:rsidR="007E0BE3" w:rsidRPr="007E0BE3">
        <w:rPr>
          <w:rFonts w:ascii="Aptos" w:hAnsi="Aptos"/>
          <w:sz w:val="20"/>
          <w:szCs w:val="20"/>
        </w:rPr>
        <w:t xml:space="preserve"> compare in </w:t>
      </w:r>
      <w:r w:rsidR="007E0BE3" w:rsidRPr="007E0BE3">
        <w:rPr>
          <w:rFonts w:ascii="Aptos" w:hAnsi="Aptos"/>
          <w:sz w:val="20"/>
          <w:szCs w:val="20"/>
        </w:rPr>
        <w:lastRenderedPageBreak/>
        <w:t>terms of Cervical Cancer Incidence (CCI) and Long-Term Undiagnosed cervical cancer Prevalence (LTUP). We consider outcomes to have ‘worsened’ according to two metrics: either a significant change in simulated outcome (t-tests conducted at the 1% significance level), or an effect size (Cohen’s d) greater than 0.45; we note effect size is invariant to number of repeated simulations and is therefore a more robust metric. For each row, we report the shortest extension of screening for vaccinated individuals (out of 5-yearly/no extension, 7-yearly, 10-yearly, 15-yearly, or removal of screening) that results in a worsening of outcomes. Therefore, extension of screening to one level lower than this, does not result in a worsening of outcomes.</w:t>
      </w:r>
    </w:p>
    <w:p w14:paraId="5F356CC0" w14:textId="7EDC5236" w:rsidR="00145D1D" w:rsidRPr="00145D1D" w:rsidRDefault="00145D1D" w:rsidP="00145D1D">
      <w:pPr>
        <w:pStyle w:val="Caption"/>
        <w:jc w:val="center"/>
        <w:rPr>
          <w:rFonts w:ascii="Aptos" w:hAnsi="Aptos"/>
          <w:sz w:val="24"/>
          <w:szCs w:val="24"/>
        </w:rPr>
      </w:pPr>
    </w:p>
    <w:p w14:paraId="2867514F" w14:textId="77777777" w:rsidR="00145D1D" w:rsidRPr="00855381" w:rsidRDefault="00145D1D" w:rsidP="00152B4D">
      <w:pPr>
        <w:rPr>
          <w:rFonts w:ascii="Aptos" w:hAnsi="Aptos"/>
        </w:rPr>
      </w:pPr>
    </w:p>
    <w:tbl>
      <w:tblPr>
        <w:tblW w:w="0" w:type="auto"/>
        <w:tblLook w:val="04A0" w:firstRow="1" w:lastRow="0" w:firstColumn="1" w:lastColumn="0" w:noHBand="0" w:noVBand="1"/>
      </w:tblPr>
      <w:tblGrid>
        <w:gridCol w:w="1254"/>
        <w:gridCol w:w="1332"/>
        <w:gridCol w:w="2089"/>
        <w:gridCol w:w="2185"/>
        <w:gridCol w:w="1733"/>
        <w:gridCol w:w="1863"/>
      </w:tblGrid>
      <w:tr w:rsidR="00A3026E" w:rsidRPr="00855381" w14:paraId="4DD72422" w14:textId="77777777" w:rsidTr="00A3026E">
        <w:trPr>
          <w:trHeight w:val="320"/>
        </w:trPr>
        <w:tc>
          <w:tcPr>
            <w:tcW w:w="0" w:type="auto"/>
            <w:vMerge w:val="restart"/>
            <w:tcBorders>
              <w:top w:val="single" w:sz="4" w:space="0" w:color="auto"/>
              <w:left w:val="single" w:sz="4" w:space="0" w:color="auto"/>
              <w:bottom w:val="nil"/>
              <w:right w:val="nil"/>
            </w:tcBorders>
            <w:vAlign w:val="bottom"/>
            <w:hideMark/>
          </w:tcPr>
          <w:p w14:paraId="0A85C186"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Sensitivity Analysis</w:t>
            </w:r>
          </w:p>
        </w:tc>
        <w:tc>
          <w:tcPr>
            <w:tcW w:w="0" w:type="auto"/>
            <w:vMerge w:val="restart"/>
            <w:tcBorders>
              <w:top w:val="single" w:sz="4" w:space="0" w:color="auto"/>
              <w:left w:val="nil"/>
              <w:bottom w:val="nil"/>
              <w:right w:val="single" w:sz="4" w:space="0" w:color="auto"/>
            </w:tcBorders>
            <w:vAlign w:val="bottom"/>
            <w:hideMark/>
          </w:tcPr>
          <w:p w14:paraId="485DF664"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Vaccination Uptake</w:t>
            </w:r>
          </w:p>
        </w:tc>
        <w:tc>
          <w:tcPr>
            <w:tcW w:w="0" w:type="auto"/>
            <w:gridSpan w:val="4"/>
            <w:tcBorders>
              <w:top w:val="single" w:sz="4" w:space="0" w:color="auto"/>
              <w:left w:val="nil"/>
              <w:bottom w:val="nil"/>
              <w:right w:val="single" w:sz="4" w:space="0" w:color="000000"/>
            </w:tcBorders>
            <w:noWrap/>
            <w:vAlign w:val="bottom"/>
            <w:hideMark/>
          </w:tcPr>
          <w:p w14:paraId="57C22375" w14:textId="434C1BAC"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 xml:space="preserve">For unvaccinated vaccine-eligible </w:t>
            </w:r>
            <w:r w:rsidR="00116E8A">
              <w:rPr>
                <w:rFonts w:ascii="Aptos" w:hAnsi="Aptos"/>
                <w:color w:val="000000"/>
                <w:sz w:val="16"/>
                <w:szCs w:val="16"/>
              </w:rPr>
              <w:t>sub</w:t>
            </w:r>
            <w:r w:rsidRPr="00855381">
              <w:rPr>
                <w:rFonts w:ascii="Aptos" w:hAnsi="Aptos"/>
                <w:color w:val="000000"/>
                <w:sz w:val="16"/>
                <w:szCs w:val="16"/>
              </w:rPr>
              <w:t>population</w:t>
            </w:r>
          </w:p>
        </w:tc>
      </w:tr>
      <w:tr w:rsidR="00A3026E" w:rsidRPr="00855381" w14:paraId="099B8CAE" w14:textId="77777777" w:rsidTr="00A3026E">
        <w:trPr>
          <w:trHeight w:val="320"/>
        </w:trPr>
        <w:tc>
          <w:tcPr>
            <w:tcW w:w="0" w:type="auto"/>
            <w:vMerge/>
            <w:tcBorders>
              <w:top w:val="single" w:sz="4" w:space="0" w:color="auto"/>
              <w:left w:val="single" w:sz="4" w:space="0" w:color="auto"/>
              <w:bottom w:val="nil"/>
              <w:right w:val="nil"/>
            </w:tcBorders>
            <w:vAlign w:val="center"/>
            <w:hideMark/>
          </w:tcPr>
          <w:p w14:paraId="51920404" w14:textId="77777777" w:rsidR="00A3026E" w:rsidRPr="00855381" w:rsidRDefault="00A3026E" w:rsidP="00A3026E">
            <w:pPr>
              <w:rPr>
                <w:rFonts w:ascii="Aptos" w:hAnsi="Aptos"/>
                <w:color w:val="000000"/>
                <w:sz w:val="16"/>
                <w:szCs w:val="16"/>
              </w:rPr>
            </w:pPr>
          </w:p>
        </w:tc>
        <w:tc>
          <w:tcPr>
            <w:tcW w:w="0" w:type="auto"/>
            <w:vMerge/>
            <w:tcBorders>
              <w:top w:val="single" w:sz="4" w:space="0" w:color="auto"/>
              <w:left w:val="nil"/>
              <w:bottom w:val="nil"/>
              <w:right w:val="single" w:sz="4" w:space="0" w:color="auto"/>
            </w:tcBorders>
            <w:vAlign w:val="center"/>
            <w:hideMark/>
          </w:tcPr>
          <w:p w14:paraId="69B0FB39" w14:textId="77777777" w:rsidR="00A3026E" w:rsidRPr="00855381" w:rsidRDefault="00A3026E" w:rsidP="00A3026E">
            <w:pPr>
              <w:rPr>
                <w:rFonts w:ascii="Aptos" w:hAnsi="Aptos"/>
                <w:color w:val="000000"/>
                <w:sz w:val="16"/>
                <w:szCs w:val="16"/>
              </w:rPr>
            </w:pPr>
          </w:p>
        </w:tc>
        <w:tc>
          <w:tcPr>
            <w:tcW w:w="0" w:type="auto"/>
            <w:gridSpan w:val="4"/>
            <w:tcBorders>
              <w:top w:val="nil"/>
              <w:left w:val="nil"/>
              <w:bottom w:val="nil"/>
              <w:right w:val="single" w:sz="4" w:space="0" w:color="000000"/>
            </w:tcBorders>
            <w:noWrap/>
            <w:vAlign w:val="bottom"/>
            <w:hideMark/>
          </w:tcPr>
          <w:p w14:paraId="45A29784" w14:textId="77777777" w:rsidR="00A3026E" w:rsidRPr="00855381" w:rsidRDefault="00A3026E" w:rsidP="00A3026E">
            <w:pPr>
              <w:jc w:val="center"/>
              <w:rPr>
                <w:rFonts w:ascii="Aptos" w:hAnsi="Aptos"/>
                <w:color w:val="000000"/>
                <w:sz w:val="16"/>
                <w:szCs w:val="16"/>
              </w:rPr>
            </w:pPr>
            <w:r w:rsidRPr="00855381">
              <w:rPr>
                <w:rFonts w:ascii="Aptos" w:hAnsi="Aptos"/>
                <w:color w:val="000000"/>
                <w:sz w:val="16"/>
                <w:szCs w:val="16"/>
              </w:rPr>
              <w:t>What is the smallest x for which a VxUxA5 algorithm is worse  (in either 2040 or 2050) than V5U5A5 in terms of….</w:t>
            </w:r>
          </w:p>
        </w:tc>
      </w:tr>
      <w:tr w:rsidR="00A3026E" w:rsidRPr="00855381" w14:paraId="30AF42C2" w14:textId="77777777" w:rsidTr="00A3026E">
        <w:trPr>
          <w:trHeight w:val="320"/>
        </w:trPr>
        <w:tc>
          <w:tcPr>
            <w:tcW w:w="0" w:type="auto"/>
            <w:vMerge/>
            <w:tcBorders>
              <w:top w:val="single" w:sz="4" w:space="0" w:color="auto"/>
              <w:left w:val="single" w:sz="4" w:space="0" w:color="auto"/>
              <w:bottom w:val="nil"/>
              <w:right w:val="nil"/>
            </w:tcBorders>
            <w:vAlign w:val="center"/>
            <w:hideMark/>
          </w:tcPr>
          <w:p w14:paraId="2F70AE01" w14:textId="77777777" w:rsidR="00A3026E" w:rsidRPr="00855381" w:rsidRDefault="00A3026E" w:rsidP="00A3026E">
            <w:pPr>
              <w:rPr>
                <w:rFonts w:ascii="Aptos" w:hAnsi="Aptos"/>
                <w:color w:val="000000"/>
                <w:sz w:val="16"/>
                <w:szCs w:val="16"/>
              </w:rPr>
            </w:pPr>
          </w:p>
        </w:tc>
        <w:tc>
          <w:tcPr>
            <w:tcW w:w="0" w:type="auto"/>
            <w:vMerge/>
            <w:tcBorders>
              <w:top w:val="single" w:sz="4" w:space="0" w:color="auto"/>
              <w:left w:val="nil"/>
              <w:bottom w:val="nil"/>
              <w:right w:val="single" w:sz="4" w:space="0" w:color="auto"/>
            </w:tcBorders>
            <w:vAlign w:val="center"/>
            <w:hideMark/>
          </w:tcPr>
          <w:p w14:paraId="10D01816" w14:textId="77777777" w:rsidR="00A3026E" w:rsidRPr="00855381" w:rsidRDefault="00A3026E" w:rsidP="00A3026E">
            <w:pPr>
              <w:rPr>
                <w:rFonts w:ascii="Aptos" w:hAnsi="Aptos"/>
                <w:color w:val="000000"/>
                <w:sz w:val="16"/>
                <w:szCs w:val="16"/>
              </w:rPr>
            </w:pPr>
          </w:p>
        </w:tc>
        <w:tc>
          <w:tcPr>
            <w:tcW w:w="0" w:type="auto"/>
            <w:tcBorders>
              <w:top w:val="nil"/>
              <w:left w:val="nil"/>
              <w:bottom w:val="single" w:sz="4" w:space="0" w:color="auto"/>
              <w:right w:val="nil"/>
            </w:tcBorders>
            <w:noWrap/>
            <w:vAlign w:val="bottom"/>
            <w:hideMark/>
          </w:tcPr>
          <w:p w14:paraId="1A38AE8E" w14:textId="29E64903" w:rsidR="00A3026E" w:rsidRPr="00855381" w:rsidRDefault="00A3026E" w:rsidP="00A3026E">
            <w:pPr>
              <w:rPr>
                <w:rFonts w:ascii="Aptos" w:hAnsi="Aptos"/>
                <w:color w:val="000000"/>
                <w:sz w:val="16"/>
                <w:szCs w:val="16"/>
              </w:rPr>
            </w:pPr>
            <w:r w:rsidRPr="00855381">
              <w:rPr>
                <w:rFonts w:ascii="Aptos" w:hAnsi="Aptos"/>
                <w:color w:val="000000"/>
                <w:sz w:val="16"/>
                <w:szCs w:val="16"/>
              </w:rPr>
              <w:t xml:space="preserve">CCI (1% </w:t>
            </w:r>
            <w:r w:rsidR="006719F5" w:rsidRPr="00855381">
              <w:rPr>
                <w:rFonts w:ascii="Aptos" w:hAnsi="Aptos"/>
                <w:color w:val="000000"/>
                <w:sz w:val="16"/>
                <w:szCs w:val="16"/>
              </w:rPr>
              <w:t>significance</w:t>
            </w:r>
            <w:r w:rsidRPr="00855381">
              <w:rPr>
                <w:rFonts w:ascii="Aptos" w:hAnsi="Aptos"/>
                <w:color w:val="000000"/>
                <w:sz w:val="16"/>
                <w:szCs w:val="16"/>
              </w:rPr>
              <w:t xml:space="preserve"> level)</w:t>
            </w:r>
          </w:p>
        </w:tc>
        <w:tc>
          <w:tcPr>
            <w:tcW w:w="0" w:type="auto"/>
            <w:tcBorders>
              <w:top w:val="nil"/>
              <w:left w:val="nil"/>
              <w:bottom w:val="single" w:sz="4" w:space="0" w:color="auto"/>
              <w:right w:val="nil"/>
            </w:tcBorders>
            <w:noWrap/>
            <w:vAlign w:val="bottom"/>
            <w:hideMark/>
          </w:tcPr>
          <w:p w14:paraId="0B8D37A9" w14:textId="028BC160" w:rsidR="00A3026E" w:rsidRPr="00855381" w:rsidRDefault="00A3026E" w:rsidP="00A3026E">
            <w:pPr>
              <w:rPr>
                <w:rFonts w:ascii="Aptos" w:hAnsi="Aptos"/>
                <w:color w:val="000000"/>
                <w:sz w:val="16"/>
                <w:szCs w:val="16"/>
              </w:rPr>
            </w:pPr>
            <w:r w:rsidRPr="00855381">
              <w:rPr>
                <w:rFonts w:ascii="Aptos" w:hAnsi="Aptos"/>
                <w:color w:val="000000"/>
                <w:sz w:val="16"/>
                <w:szCs w:val="16"/>
              </w:rPr>
              <w:t xml:space="preserve">LTUP (1% </w:t>
            </w:r>
            <w:r w:rsidR="006719F5" w:rsidRPr="00855381">
              <w:rPr>
                <w:rFonts w:ascii="Aptos" w:hAnsi="Aptos"/>
                <w:color w:val="000000"/>
                <w:sz w:val="16"/>
                <w:szCs w:val="16"/>
              </w:rPr>
              <w:t>significance</w:t>
            </w:r>
            <w:r w:rsidRPr="00855381">
              <w:rPr>
                <w:rFonts w:ascii="Aptos" w:hAnsi="Aptos"/>
                <w:color w:val="000000"/>
                <w:sz w:val="16"/>
                <w:szCs w:val="16"/>
              </w:rPr>
              <w:t xml:space="preserve"> level)</w:t>
            </w:r>
          </w:p>
        </w:tc>
        <w:tc>
          <w:tcPr>
            <w:tcW w:w="0" w:type="auto"/>
            <w:tcBorders>
              <w:top w:val="nil"/>
              <w:left w:val="nil"/>
              <w:bottom w:val="single" w:sz="4" w:space="0" w:color="auto"/>
              <w:right w:val="nil"/>
            </w:tcBorders>
            <w:noWrap/>
            <w:vAlign w:val="bottom"/>
            <w:hideMark/>
          </w:tcPr>
          <w:p w14:paraId="439CF91B"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CCI (effect size&gt;0.45)</w:t>
            </w:r>
          </w:p>
        </w:tc>
        <w:tc>
          <w:tcPr>
            <w:tcW w:w="0" w:type="auto"/>
            <w:tcBorders>
              <w:top w:val="nil"/>
              <w:left w:val="nil"/>
              <w:bottom w:val="single" w:sz="4" w:space="0" w:color="auto"/>
              <w:right w:val="single" w:sz="4" w:space="0" w:color="auto"/>
            </w:tcBorders>
            <w:noWrap/>
            <w:vAlign w:val="bottom"/>
            <w:hideMark/>
          </w:tcPr>
          <w:p w14:paraId="780D48D0" w14:textId="77777777" w:rsidR="00A3026E" w:rsidRPr="00855381" w:rsidRDefault="00A3026E" w:rsidP="00A3026E">
            <w:pPr>
              <w:rPr>
                <w:rFonts w:ascii="Aptos" w:hAnsi="Aptos"/>
                <w:color w:val="000000"/>
                <w:sz w:val="16"/>
                <w:szCs w:val="16"/>
              </w:rPr>
            </w:pPr>
            <w:r w:rsidRPr="00855381">
              <w:rPr>
                <w:rFonts w:ascii="Aptos" w:hAnsi="Aptos"/>
                <w:color w:val="000000"/>
                <w:sz w:val="16"/>
                <w:szCs w:val="16"/>
              </w:rPr>
              <w:t>LTUP (effect size &gt;0.45)</w:t>
            </w:r>
          </w:p>
        </w:tc>
      </w:tr>
      <w:tr w:rsidR="00A3026E" w:rsidRPr="00855381" w14:paraId="2A4532F1" w14:textId="77777777" w:rsidTr="00A3026E">
        <w:trPr>
          <w:trHeight w:val="320"/>
        </w:trPr>
        <w:tc>
          <w:tcPr>
            <w:tcW w:w="0" w:type="auto"/>
            <w:tcBorders>
              <w:top w:val="nil"/>
              <w:left w:val="single" w:sz="4" w:space="0" w:color="auto"/>
              <w:bottom w:val="nil"/>
              <w:right w:val="nil"/>
            </w:tcBorders>
            <w:noWrap/>
            <w:vAlign w:val="bottom"/>
            <w:hideMark/>
          </w:tcPr>
          <w:p w14:paraId="4EA0D53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0</w:t>
            </w:r>
          </w:p>
        </w:tc>
        <w:tc>
          <w:tcPr>
            <w:tcW w:w="0" w:type="auto"/>
            <w:tcBorders>
              <w:top w:val="nil"/>
              <w:left w:val="nil"/>
              <w:bottom w:val="nil"/>
              <w:right w:val="single" w:sz="4" w:space="0" w:color="auto"/>
            </w:tcBorders>
            <w:noWrap/>
            <w:vAlign w:val="bottom"/>
            <w:hideMark/>
          </w:tcPr>
          <w:p w14:paraId="0B212096"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60</w:t>
            </w:r>
          </w:p>
        </w:tc>
        <w:tc>
          <w:tcPr>
            <w:tcW w:w="0" w:type="auto"/>
            <w:tcBorders>
              <w:top w:val="nil"/>
              <w:left w:val="nil"/>
              <w:bottom w:val="nil"/>
              <w:right w:val="nil"/>
            </w:tcBorders>
            <w:noWrap/>
            <w:vAlign w:val="bottom"/>
            <w:hideMark/>
          </w:tcPr>
          <w:p w14:paraId="10EBE06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440C94F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31BB1DB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single" w:sz="4" w:space="0" w:color="auto"/>
            </w:tcBorders>
            <w:noWrap/>
            <w:vAlign w:val="bottom"/>
            <w:hideMark/>
          </w:tcPr>
          <w:p w14:paraId="726F135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r>
      <w:tr w:rsidR="00A3026E" w:rsidRPr="00855381" w14:paraId="7367E465" w14:textId="77777777" w:rsidTr="00A3026E">
        <w:trPr>
          <w:trHeight w:val="320"/>
        </w:trPr>
        <w:tc>
          <w:tcPr>
            <w:tcW w:w="0" w:type="auto"/>
            <w:tcBorders>
              <w:top w:val="nil"/>
              <w:left w:val="single" w:sz="4" w:space="0" w:color="auto"/>
              <w:bottom w:val="nil"/>
              <w:right w:val="nil"/>
            </w:tcBorders>
            <w:noWrap/>
            <w:vAlign w:val="bottom"/>
            <w:hideMark/>
          </w:tcPr>
          <w:p w14:paraId="3BC00EA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0</w:t>
            </w:r>
          </w:p>
        </w:tc>
        <w:tc>
          <w:tcPr>
            <w:tcW w:w="0" w:type="auto"/>
            <w:tcBorders>
              <w:top w:val="nil"/>
              <w:left w:val="nil"/>
              <w:bottom w:val="nil"/>
              <w:right w:val="single" w:sz="4" w:space="0" w:color="auto"/>
            </w:tcBorders>
            <w:noWrap/>
            <w:vAlign w:val="bottom"/>
            <w:hideMark/>
          </w:tcPr>
          <w:p w14:paraId="51FF2B5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452E2FB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17E9AFDD"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7B0C7B16"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single" w:sz="4" w:space="0" w:color="auto"/>
            </w:tcBorders>
            <w:noWrap/>
            <w:vAlign w:val="bottom"/>
            <w:hideMark/>
          </w:tcPr>
          <w:p w14:paraId="28DAF7F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r>
      <w:tr w:rsidR="00A3026E" w:rsidRPr="00855381" w14:paraId="351D2CEF" w14:textId="77777777" w:rsidTr="00A3026E">
        <w:trPr>
          <w:trHeight w:val="320"/>
        </w:trPr>
        <w:tc>
          <w:tcPr>
            <w:tcW w:w="0" w:type="auto"/>
            <w:tcBorders>
              <w:top w:val="nil"/>
              <w:left w:val="single" w:sz="4" w:space="0" w:color="auto"/>
              <w:bottom w:val="nil"/>
              <w:right w:val="nil"/>
            </w:tcBorders>
            <w:noWrap/>
            <w:vAlign w:val="bottom"/>
            <w:hideMark/>
          </w:tcPr>
          <w:p w14:paraId="73B1E7D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0</w:t>
            </w:r>
          </w:p>
        </w:tc>
        <w:tc>
          <w:tcPr>
            <w:tcW w:w="0" w:type="auto"/>
            <w:tcBorders>
              <w:top w:val="nil"/>
              <w:left w:val="nil"/>
              <w:bottom w:val="nil"/>
              <w:right w:val="single" w:sz="4" w:space="0" w:color="auto"/>
            </w:tcBorders>
            <w:noWrap/>
            <w:vAlign w:val="bottom"/>
            <w:hideMark/>
          </w:tcPr>
          <w:p w14:paraId="0B17BADC"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90</w:t>
            </w:r>
          </w:p>
        </w:tc>
        <w:tc>
          <w:tcPr>
            <w:tcW w:w="0" w:type="auto"/>
            <w:tcBorders>
              <w:top w:val="nil"/>
              <w:left w:val="nil"/>
              <w:bottom w:val="nil"/>
              <w:right w:val="nil"/>
            </w:tcBorders>
            <w:noWrap/>
            <w:vAlign w:val="bottom"/>
            <w:hideMark/>
          </w:tcPr>
          <w:p w14:paraId="286853BA"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4560DD3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3012536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single" w:sz="4" w:space="0" w:color="auto"/>
            </w:tcBorders>
            <w:noWrap/>
            <w:vAlign w:val="bottom"/>
            <w:hideMark/>
          </w:tcPr>
          <w:p w14:paraId="4A157B0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r>
      <w:tr w:rsidR="00A3026E" w:rsidRPr="00855381" w14:paraId="7E1B0DB6" w14:textId="77777777" w:rsidTr="00A3026E">
        <w:trPr>
          <w:trHeight w:val="320"/>
        </w:trPr>
        <w:tc>
          <w:tcPr>
            <w:tcW w:w="0" w:type="auto"/>
            <w:tcBorders>
              <w:top w:val="nil"/>
              <w:left w:val="single" w:sz="4" w:space="0" w:color="auto"/>
              <w:bottom w:val="nil"/>
              <w:right w:val="nil"/>
            </w:tcBorders>
            <w:noWrap/>
            <w:vAlign w:val="bottom"/>
            <w:hideMark/>
          </w:tcPr>
          <w:p w14:paraId="3B51968E"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1</w:t>
            </w:r>
          </w:p>
        </w:tc>
        <w:tc>
          <w:tcPr>
            <w:tcW w:w="0" w:type="auto"/>
            <w:tcBorders>
              <w:top w:val="nil"/>
              <w:left w:val="nil"/>
              <w:bottom w:val="nil"/>
              <w:right w:val="single" w:sz="4" w:space="0" w:color="auto"/>
            </w:tcBorders>
            <w:noWrap/>
            <w:vAlign w:val="bottom"/>
            <w:hideMark/>
          </w:tcPr>
          <w:p w14:paraId="4409953C"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3EAEFBDC"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5A00F15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7136E526"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single" w:sz="4" w:space="0" w:color="auto"/>
            </w:tcBorders>
            <w:noWrap/>
            <w:vAlign w:val="bottom"/>
            <w:hideMark/>
          </w:tcPr>
          <w:p w14:paraId="6201E78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r>
      <w:tr w:rsidR="00A3026E" w:rsidRPr="00855381" w14:paraId="59EC98D8" w14:textId="77777777" w:rsidTr="00A3026E">
        <w:trPr>
          <w:trHeight w:val="320"/>
        </w:trPr>
        <w:tc>
          <w:tcPr>
            <w:tcW w:w="0" w:type="auto"/>
            <w:tcBorders>
              <w:top w:val="nil"/>
              <w:left w:val="single" w:sz="4" w:space="0" w:color="auto"/>
              <w:bottom w:val="nil"/>
              <w:right w:val="nil"/>
            </w:tcBorders>
            <w:noWrap/>
            <w:vAlign w:val="bottom"/>
            <w:hideMark/>
          </w:tcPr>
          <w:p w14:paraId="6EE9F4C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2</w:t>
            </w:r>
          </w:p>
        </w:tc>
        <w:tc>
          <w:tcPr>
            <w:tcW w:w="0" w:type="auto"/>
            <w:tcBorders>
              <w:top w:val="nil"/>
              <w:left w:val="nil"/>
              <w:bottom w:val="nil"/>
              <w:right w:val="single" w:sz="4" w:space="0" w:color="auto"/>
            </w:tcBorders>
            <w:noWrap/>
            <w:vAlign w:val="bottom"/>
            <w:hideMark/>
          </w:tcPr>
          <w:p w14:paraId="205F70B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08733BC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47C7FB7B"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5E07898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single" w:sz="4" w:space="0" w:color="auto"/>
            </w:tcBorders>
            <w:noWrap/>
            <w:vAlign w:val="bottom"/>
            <w:hideMark/>
          </w:tcPr>
          <w:p w14:paraId="6233025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r w:rsidR="00A3026E" w:rsidRPr="00855381" w14:paraId="420CF347" w14:textId="77777777" w:rsidTr="00A3026E">
        <w:trPr>
          <w:trHeight w:val="320"/>
        </w:trPr>
        <w:tc>
          <w:tcPr>
            <w:tcW w:w="0" w:type="auto"/>
            <w:tcBorders>
              <w:top w:val="nil"/>
              <w:left w:val="single" w:sz="4" w:space="0" w:color="auto"/>
              <w:bottom w:val="nil"/>
              <w:right w:val="nil"/>
            </w:tcBorders>
            <w:noWrap/>
            <w:vAlign w:val="bottom"/>
            <w:hideMark/>
          </w:tcPr>
          <w:p w14:paraId="64B071E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3</w:t>
            </w:r>
          </w:p>
        </w:tc>
        <w:tc>
          <w:tcPr>
            <w:tcW w:w="0" w:type="auto"/>
            <w:tcBorders>
              <w:top w:val="nil"/>
              <w:left w:val="nil"/>
              <w:bottom w:val="nil"/>
              <w:right w:val="single" w:sz="4" w:space="0" w:color="auto"/>
            </w:tcBorders>
            <w:noWrap/>
            <w:vAlign w:val="bottom"/>
            <w:hideMark/>
          </w:tcPr>
          <w:p w14:paraId="600DB5A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08FEBD9C"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2FBCB96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762172F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single" w:sz="4" w:space="0" w:color="auto"/>
            </w:tcBorders>
            <w:noWrap/>
            <w:vAlign w:val="bottom"/>
            <w:hideMark/>
          </w:tcPr>
          <w:p w14:paraId="7C436F2C"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r>
      <w:tr w:rsidR="00A3026E" w:rsidRPr="00855381" w14:paraId="2F44FC32" w14:textId="77777777" w:rsidTr="00A3026E">
        <w:trPr>
          <w:trHeight w:val="320"/>
        </w:trPr>
        <w:tc>
          <w:tcPr>
            <w:tcW w:w="0" w:type="auto"/>
            <w:tcBorders>
              <w:top w:val="nil"/>
              <w:left w:val="single" w:sz="4" w:space="0" w:color="auto"/>
              <w:bottom w:val="nil"/>
              <w:right w:val="nil"/>
            </w:tcBorders>
            <w:noWrap/>
            <w:vAlign w:val="bottom"/>
            <w:hideMark/>
          </w:tcPr>
          <w:p w14:paraId="05DDD43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4</w:t>
            </w:r>
          </w:p>
        </w:tc>
        <w:tc>
          <w:tcPr>
            <w:tcW w:w="0" w:type="auto"/>
            <w:tcBorders>
              <w:top w:val="nil"/>
              <w:left w:val="nil"/>
              <w:bottom w:val="nil"/>
              <w:right w:val="single" w:sz="4" w:space="0" w:color="auto"/>
            </w:tcBorders>
            <w:noWrap/>
            <w:vAlign w:val="bottom"/>
            <w:hideMark/>
          </w:tcPr>
          <w:p w14:paraId="2A2331A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2333935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0CA7CCF1"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1C6E01B6"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single" w:sz="4" w:space="0" w:color="auto"/>
            </w:tcBorders>
            <w:noWrap/>
            <w:vAlign w:val="bottom"/>
            <w:hideMark/>
          </w:tcPr>
          <w:p w14:paraId="43445385"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r>
      <w:tr w:rsidR="00A3026E" w:rsidRPr="00855381" w14:paraId="3F7DA8BE" w14:textId="77777777" w:rsidTr="00A3026E">
        <w:trPr>
          <w:trHeight w:val="320"/>
        </w:trPr>
        <w:tc>
          <w:tcPr>
            <w:tcW w:w="0" w:type="auto"/>
            <w:tcBorders>
              <w:top w:val="nil"/>
              <w:left w:val="single" w:sz="4" w:space="0" w:color="auto"/>
              <w:bottom w:val="nil"/>
              <w:right w:val="nil"/>
            </w:tcBorders>
            <w:noWrap/>
            <w:vAlign w:val="bottom"/>
            <w:hideMark/>
          </w:tcPr>
          <w:p w14:paraId="048BCCB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single" w:sz="4" w:space="0" w:color="auto"/>
            </w:tcBorders>
            <w:noWrap/>
            <w:vAlign w:val="bottom"/>
            <w:hideMark/>
          </w:tcPr>
          <w:p w14:paraId="0238D44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nil"/>
              <w:right w:val="nil"/>
            </w:tcBorders>
            <w:noWrap/>
            <w:vAlign w:val="bottom"/>
            <w:hideMark/>
          </w:tcPr>
          <w:p w14:paraId="5933AAA9"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2E270890"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nil"/>
              <w:right w:val="nil"/>
            </w:tcBorders>
            <w:noWrap/>
            <w:vAlign w:val="bottom"/>
            <w:hideMark/>
          </w:tcPr>
          <w:p w14:paraId="2A804DC3"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c>
          <w:tcPr>
            <w:tcW w:w="0" w:type="auto"/>
            <w:tcBorders>
              <w:top w:val="nil"/>
              <w:left w:val="nil"/>
              <w:bottom w:val="nil"/>
              <w:right w:val="single" w:sz="4" w:space="0" w:color="auto"/>
            </w:tcBorders>
            <w:noWrap/>
            <w:vAlign w:val="bottom"/>
            <w:hideMark/>
          </w:tcPr>
          <w:p w14:paraId="1733F654"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7</w:t>
            </w:r>
          </w:p>
        </w:tc>
      </w:tr>
      <w:tr w:rsidR="00A3026E" w:rsidRPr="00855381" w14:paraId="71B3188C" w14:textId="77777777" w:rsidTr="00A3026E">
        <w:trPr>
          <w:trHeight w:val="320"/>
        </w:trPr>
        <w:tc>
          <w:tcPr>
            <w:tcW w:w="0" w:type="auto"/>
            <w:tcBorders>
              <w:top w:val="nil"/>
              <w:left w:val="single" w:sz="4" w:space="0" w:color="auto"/>
              <w:bottom w:val="single" w:sz="4" w:space="0" w:color="auto"/>
              <w:right w:val="nil"/>
            </w:tcBorders>
            <w:noWrap/>
            <w:vAlign w:val="bottom"/>
            <w:hideMark/>
          </w:tcPr>
          <w:p w14:paraId="52BF4BA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6</w:t>
            </w:r>
          </w:p>
        </w:tc>
        <w:tc>
          <w:tcPr>
            <w:tcW w:w="0" w:type="auto"/>
            <w:tcBorders>
              <w:top w:val="nil"/>
              <w:left w:val="nil"/>
              <w:bottom w:val="single" w:sz="4" w:space="0" w:color="auto"/>
              <w:right w:val="single" w:sz="4" w:space="0" w:color="auto"/>
            </w:tcBorders>
            <w:noWrap/>
            <w:vAlign w:val="bottom"/>
            <w:hideMark/>
          </w:tcPr>
          <w:p w14:paraId="0FC61C3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80</w:t>
            </w:r>
          </w:p>
        </w:tc>
        <w:tc>
          <w:tcPr>
            <w:tcW w:w="0" w:type="auto"/>
            <w:tcBorders>
              <w:top w:val="nil"/>
              <w:left w:val="nil"/>
              <w:bottom w:val="single" w:sz="4" w:space="0" w:color="auto"/>
              <w:right w:val="nil"/>
            </w:tcBorders>
            <w:noWrap/>
            <w:vAlign w:val="bottom"/>
            <w:hideMark/>
          </w:tcPr>
          <w:p w14:paraId="3E35159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single" w:sz="4" w:space="0" w:color="auto"/>
              <w:right w:val="nil"/>
            </w:tcBorders>
            <w:noWrap/>
            <w:vAlign w:val="bottom"/>
            <w:hideMark/>
          </w:tcPr>
          <w:p w14:paraId="158A10C2"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single" w:sz="4" w:space="0" w:color="auto"/>
              <w:right w:val="nil"/>
            </w:tcBorders>
            <w:noWrap/>
            <w:vAlign w:val="bottom"/>
            <w:hideMark/>
          </w:tcPr>
          <w:p w14:paraId="6CB1A037"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c>
          <w:tcPr>
            <w:tcW w:w="0" w:type="auto"/>
            <w:tcBorders>
              <w:top w:val="nil"/>
              <w:left w:val="nil"/>
              <w:bottom w:val="single" w:sz="4" w:space="0" w:color="auto"/>
              <w:right w:val="single" w:sz="4" w:space="0" w:color="auto"/>
            </w:tcBorders>
            <w:noWrap/>
            <w:vAlign w:val="bottom"/>
            <w:hideMark/>
          </w:tcPr>
          <w:p w14:paraId="755C5198" w14:textId="77777777" w:rsidR="00A3026E" w:rsidRPr="00855381" w:rsidRDefault="00A3026E" w:rsidP="00A3026E">
            <w:pPr>
              <w:jc w:val="right"/>
              <w:rPr>
                <w:rFonts w:ascii="Aptos" w:hAnsi="Aptos"/>
                <w:color w:val="000000"/>
                <w:sz w:val="16"/>
                <w:szCs w:val="16"/>
              </w:rPr>
            </w:pPr>
            <w:r w:rsidRPr="00855381">
              <w:rPr>
                <w:rFonts w:ascii="Aptos" w:hAnsi="Aptos"/>
                <w:color w:val="000000"/>
                <w:sz w:val="16"/>
                <w:szCs w:val="16"/>
              </w:rPr>
              <w:t>5</w:t>
            </w:r>
          </w:p>
        </w:tc>
      </w:tr>
    </w:tbl>
    <w:p w14:paraId="197C5C67" w14:textId="77777777" w:rsidR="00A3026E" w:rsidRDefault="00A3026E" w:rsidP="00152B4D">
      <w:pPr>
        <w:rPr>
          <w:rFonts w:ascii="Aptos" w:hAnsi="Aptos"/>
        </w:rPr>
      </w:pPr>
    </w:p>
    <w:p w14:paraId="6A89E3C7" w14:textId="65744023" w:rsidR="007E0BE3" w:rsidRPr="007E0BE3" w:rsidRDefault="00145D1D" w:rsidP="007E0BE3">
      <w:pPr>
        <w:pStyle w:val="Caption"/>
        <w:jc w:val="center"/>
        <w:rPr>
          <w:rFonts w:ascii="Aptos" w:hAnsi="Aptos"/>
          <w:b/>
          <w:bCs/>
          <w:sz w:val="20"/>
          <w:szCs w:val="20"/>
        </w:rPr>
      </w:pPr>
      <w:bookmarkStart w:id="3" w:name="_Ref241331419"/>
      <w:r w:rsidRPr="007E0BE3">
        <w:rPr>
          <w:rFonts w:ascii="Aptos" w:hAnsi="Aptos"/>
          <w:sz w:val="20"/>
          <w:szCs w:val="20"/>
        </w:rPr>
        <w:t xml:space="preserve">Table </w:t>
      </w:r>
      <w:r w:rsidRPr="007E0BE3">
        <w:rPr>
          <w:rFonts w:ascii="Aptos" w:hAnsi="Aptos"/>
          <w:sz w:val="20"/>
          <w:szCs w:val="20"/>
        </w:rPr>
        <w:fldChar w:fldCharType="begin"/>
      </w:r>
      <w:r w:rsidRPr="007E0BE3">
        <w:rPr>
          <w:rFonts w:ascii="Aptos" w:hAnsi="Aptos"/>
          <w:sz w:val="20"/>
          <w:szCs w:val="20"/>
        </w:rPr>
        <w:instrText xml:space="preserve"> SEQ Table \* ARABIC </w:instrText>
      </w:r>
      <w:r w:rsidRPr="007E0BE3">
        <w:rPr>
          <w:rFonts w:ascii="Aptos" w:hAnsi="Aptos"/>
          <w:sz w:val="20"/>
          <w:szCs w:val="20"/>
        </w:rPr>
        <w:fldChar w:fldCharType="separate"/>
      </w:r>
      <w:r w:rsidR="00052B38">
        <w:rPr>
          <w:rFonts w:ascii="Aptos" w:hAnsi="Aptos"/>
          <w:noProof/>
          <w:sz w:val="20"/>
          <w:szCs w:val="20"/>
        </w:rPr>
        <w:t>4</w:t>
      </w:r>
      <w:r w:rsidRPr="007E0BE3">
        <w:rPr>
          <w:rFonts w:ascii="Aptos" w:hAnsi="Aptos"/>
          <w:sz w:val="20"/>
          <w:szCs w:val="20"/>
        </w:rPr>
        <w:fldChar w:fldCharType="end"/>
      </w:r>
      <w:bookmarkEnd w:id="3"/>
      <w:r w:rsidRPr="007E0BE3">
        <w:rPr>
          <w:rFonts w:ascii="Aptos" w:hAnsi="Aptos"/>
          <w:sz w:val="20"/>
          <w:szCs w:val="20"/>
        </w:rPr>
        <w:t>:</w:t>
      </w:r>
      <w:r w:rsidR="007E0BE3" w:rsidRPr="007E0BE3">
        <w:rPr>
          <w:rFonts w:ascii="Aptos" w:hAnsi="Aptos"/>
          <w:sz w:val="20"/>
          <w:szCs w:val="20"/>
        </w:rPr>
        <w:t xml:space="preserve"> Summary of results when comparing all screening algorithms in terms of outcomes over the </w:t>
      </w:r>
      <w:r w:rsidR="007E0BE3">
        <w:rPr>
          <w:rFonts w:ascii="Aptos" w:hAnsi="Aptos"/>
          <w:b/>
          <w:bCs/>
          <w:sz w:val="20"/>
          <w:szCs w:val="20"/>
        </w:rPr>
        <w:t>unvaccinated vaccine-eligible</w:t>
      </w:r>
      <w:r w:rsidR="007E0BE3" w:rsidRPr="007E0BE3">
        <w:rPr>
          <w:rFonts w:ascii="Aptos" w:hAnsi="Aptos"/>
          <w:b/>
          <w:bCs/>
          <w:sz w:val="20"/>
          <w:szCs w:val="20"/>
        </w:rPr>
        <w:t xml:space="preserve"> sub-population</w:t>
      </w:r>
      <w:r w:rsidR="007E0BE3" w:rsidRPr="007E0BE3">
        <w:rPr>
          <w:rFonts w:ascii="Aptos" w:hAnsi="Aptos"/>
          <w:sz w:val="20"/>
          <w:szCs w:val="20"/>
        </w:rPr>
        <w:t xml:space="preserve">. Each row is a different sensitivity analysis/assumed vaccine uptake.  We compare algorithms to a baseline scenario in which current screening (V5U5A5; 5-yearly screening for all subpopulations) is </w:t>
      </w:r>
      <w:proofErr w:type="gramStart"/>
      <w:r w:rsidR="007E0BE3" w:rsidRPr="007E0BE3">
        <w:rPr>
          <w:rFonts w:ascii="Aptos" w:hAnsi="Aptos"/>
          <w:sz w:val="20"/>
          <w:szCs w:val="20"/>
        </w:rPr>
        <w:t>continued, and</w:t>
      </w:r>
      <w:proofErr w:type="gramEnd"/>
      <w:r w:rsidR="007E0BE3" w:rsidRPr="007E0BE3">
        <w:rPr>
          <w:rFonts w:ascii="Aptos" w:hAnsi="Aptos"/>
          <w:sz w:val="20"/>
          <w:szCs w:val="20"/>
        </w:rPr>
        <w:t xml:space="preserve"> compare in terms of Cervical Cancer Incidence (CCI) and Long-Term Undiagnosed cervical cancer Prevalence (LTUP). We consider outcomes to have ‘worsened’ according to two metrics: either a significant change in simulated outcome (t-tests conducted at the 1% significance level), or an effect size (Cohen’s d) greater than 0.45; we note effect size is invariant to number of repeated simulations and is therefore a more robust metric. For each row, we report the shortest extension of screening for </w:t>
      </w:r>
      <w:r w:rsidR="007E0BE3">
        <w:rPr>
          <w:rFonts w:ascii="Aptos" w:hAnsi="Aptos"/>
          <w:sz w:val="20"/>
          <w:szCs w:val="20"/>
        </w:rPr>
        <w:t>vaccine-eligible</w:t>
      </w:r>
      <w:r w:rsidR="007E0BE3" w:rsidRPr="007E0BE3">
        <w:rPr>
          <w:rFonts w:ascii="Aptos" w:hAnsi="Aptos"/>
          <w:sz w:val="20"/>
          <w:szCs w:val="20"/>
        </w:rPr>
        <w:t xml:space="preserve"> individuals (out of 5-yearly/no extension, 7-yearly, 10-yearly, 15-yearly, or removal of screening) that results in a worsening of outcomes. Therefore, extension of screening to one level lower than this, does not result in a worsening of outcomes.</w:t>
      </w:r>
    </w:p>
    <w:p w14:paraId="47106185" w14:textId="46F441C7" w:rsidR="00145D1D" w:rsidRPr="007E0BE3" w:rsidRDefault="00145D1D" w:rsidP="00145D1D">
      <w:pPr>
        <w:pStyle w:val="Caption"/>
        <w:jc w:val="center"/>
        <w:rPr>
          <w:rFonts w:ascii="Aptos" w:hAnsi="Aptos"/>
          <w:sz w:val="20"/>
          <w:szCs w:val="20"/>
        </w:rPr>
      </w:pPr>
    </w:p>
    <w:p w14:paraId="79005302" w14:textId="77777777" w:rsidR="0082661F" w:rsidRDefault="0082661F">
      <w:pPr>
        <w:rPr>
          <w:rFonts w:ascii="Aptos" w:eastAsiaTheme="majorEastAsia" w:hAnsi="Aptos" w:cstheme="majorBidi"/>
          <w:color w:val="0F4761" w:themeColor="accent1" w:themeShade="BF"/>
          <w:kern w:val="2"/>
          <w:sz w:val="40"/>
          <w:szCs w:val="40"/>
          <w:lang w:eastAsia="en-US"/>
          <w14:ligatures w14:val="standardContextual"/>
        </w:rPr>
      </w:pPr>
      <w:r>
        <w:rPr>
          <w:rFonts w:ascii="Aptos" w:hAnsi="Aptos"/>
        </w:rPr>
        <w:br w:type="page"/>
      </w:r>
    </w:p>
    <w:p w14:paraId="6EFF1008" w14:textId="7DD53FDF" w:rsidR="00A3026E" w:rsidRPr="00855381" w:rsidRDefault="00252AC5" w:rsidP="00855381">
      <w:pPr>
        <w:pStyle w:val="Heading1"/>
        <w:rPr>
          <w:rFonts w:ascii="Aptos" w:hAnsi="Aptos"/>
        </w:rPr>
      </w:pPr>
      <w:r>
        <w:rPr>
          <w:rFonts w:ascii="Aptos" w:hAnsi="Aptos"/>
        </w:rPr>
        <w:lastRenderedPageBreak/>
        <w:t xml:space="preserve">S6: Subpopulation Analysis of </w:t>
      </w:r>
      <w:r w:rsidR="00855381" w:rsidRPr="00855381">
        <w:rPr>
          <w:rFonts w:ascii="Aptos" w:hAnsi="Aptos"/>
        </w:rPr>
        <w:t>Missed Cervical Cancer Cases</w:t>
      </w:r>
    </w:p>
    <w:p w14:paraId="7BCD7D97" w14:textId="25901954" w:rsidR="00855381" w:rsidRDefault="00855381" w:rsidP="00855381">
      <w:pPr>
        <w:rPr>
          <w:rFonts w:ascii="Aptos" w:hAnsi="Aptos"/>
          <w:lang w:eastAsia="en-US"/>
        </w:rPr>
      </w:pPr>
      <w:r w:rsidRPr="00855381">
        <w:rPr>
          <w:rFonts w:ascii="Aptos" w:hAnsi="Aptos"/>
          <w:lang w:eastAsia="en-US"/>
        </w:rPr>
        <w:t xml:space="preserve">We </w:t>
      </w:r>
      <w:r w:rsidR="001E0469">
        <w:rPr>
          <w:rFonts w:ascii="Aptos" w:hAnsi="Aptos"/>
          <w:lang w:eastAsia="en-US"/>
        </w:rPr>
        <w:t>consider a subpopulation analysis for missed cervical cancers, noting that results align with CCI and LTUP metrics (particularly LTUP, which is a closely related metric).</w:t>
      </w:r>
    </w:p>
    <w:p w14:paraId="3CD52C3E" w14:textId="77777777" w:rsidR="001E0469" w:rsidRDefault="001E0469" w:rsidP="00855381">
      <w:pPr>
        <w:rPr>
          <w:rFonts w:ascii="Aptos" w:hAnsi="Aptos"/>
          <w:lang w:eastAsia="en-US"/>
        </w:rPr>
      </w:pPr>
    </w:p>
    <w:p w14:paraId="3A9621F4" w14:textId="5ABAA8B9" w:rsidR="001E0469" w:rsidRPr="001E0469" w:rsidRDefault="001E0469" w:rsidP="001E0469">
      <w:pPr>
        <w:rPr>
          <w:rFonts w:ascii="Aptos" w:hAnsi="Aptos"/>
          <w:lang w:eastAsia="en-US"/>
        </w:rPr>
      </w:pPr>
      <w:r w:rsidRPr="001E0469">
        <w:rPr>
          <w:rFonts w:ascii="Aptos" w:hAnsi="Aptos"/>
          <w:lang w:eastAsia="en-US"/>
        </w:rPr>
        <w:t>Focussing on the vaccinated subpopulation only, a reduction in screening from 5- to 7-yearly maintained 7700 (95% CI</w:t>
      </w:r>
      <w:proofErr w:type="gramStart"/>
      <w:r w:rsidRPr="001E0469">
        <w:rPr>
          <w:rFonts w:ascii="Aptos" w:hAnsi="Aptos"/>
          <w:lang w:eastAsia="en-US"/>
        </w:rPr>
        <w:t>=(</w:t>
      </w:r>
      <w:proofErr w:type="gramEnd"/>
      <w:r w:rsidRPr="001E0469">
        <w:rPr>
          <w:rFonts w:ascii="Aptos" w:hAnsi="Aptos"/>
          <w:lang w:eastAsia="en-US"/>
        </w:rPr>
        <w:t xml:space="preserve">5700,13700)) missed infections </w:t>
      </w:r>
      <w:proofErr w:type="gramStart"/>
      <w:r w:rsidRPr="001E0469">
        <w:rPr>
          <w:rFonts w:ascii="Aptos" w:hAnsi="Aptos"/>
          <w:lang w:eastAsia="en-US"/>
        </w:rPr>
        <w:t>at</w:t>
      </w:r>
      <w:proofErr w:type="gramEnd"/>
      <w:r w:rsidRPr="001E0469">
        <w:rPr>
          <w:rFonts w:ascii="Aptos" w:hAnsi="Aptos"/>
          <w:lang w:eastAsia="en-US"/>
        </w:rPr>
        <w:t xml:space="preserve"> 2040 and 3700 (95% CI</w:t>
      </w:r>
      <w:proofErr w:type="gramStart"/>
      <w:r w:rsidRPr="001E0469">
        <w:rPr>
          <w:rFonts w:ascii="Aptos" w:hAnsi="Aptos"/>
          <w:lang w:eastAsia="en-US"/>
        </w:rPr>
        <w:t>=(</w:t>
      </w:r>
      <w:proofErr w:type="gramEnd"/>
      <w:r w:rsidRPr="001E0469">
        <w:rPr>
          <w:rFonts w:ascii="Aptos" w:hAnsi="Aptos"/>
          <w:lang w:eastAsia="en-US"/>
        </w:rPr>
        <w:t xml:space="preserve">2600,11400)) </w:t>
      </w:r>
      <w:proofErr w:type="gramStart"/>
      <w:r w:rsidRPr="001E0469">
        <w:rPr>
          <w:rFonts w:ascii="Aptos" w:hAnsi="Aptos"/>
          <w:lang w:eastAsia="en-US"/>
        </w:rPr>
        <w:t>at</w:t>
      </w:r>
      <w:proofErr w:type="gramEnd"/>
      <w:r w:rsidRPr="001E0469">
        <w:rPr>
          <w:rFonts w:ascii="Aptos" w:hAnsi="Aptos"/>
          <w:lang w:eastAsia="en-US"/>
        </w:rPr>
        <w:t xml:space="preserve"> 2050, while at 10-yearly screening the number of missed infections increased to 12400 (95% CI</w:t>
      </w:r>
      <w:proofErr w:type="gramStart"/>
      <w:r w:rsidRPr="001E0469">
        <w:rPr>
          <w:rFonts w:ascii="Aptos" w:hAnsi="Aptos"/>
          <w:lang w:eastAsia="en-US"/>
        </w:rPr>
        <w:t>=(</w:t>
      </w:r>
      <w:proofErr w:type="gramEnd"/>
      <w:r w:rsidRPr="001E0469">
        <w:rPr>
          <w:rFonts w:ascii="Aptos" w:hAnsi="Aptos"/>
          <w:lang w:eastAsia="en-US"/>
        </w:rPr>
        <w:t>9900,24700)) in 2040 and 7400 (95% CI</w:t>
      </w:r>
      <w:proofErr w:type="gramStart"/>
      <w:r w:rsidRPr="001E0469">
        <w:rPr>
          <w:rFonts w:ascii="Aptos" w:hAnsi="Aptos"/>
          <w:lang w:eastAsia="en-US"/>
        </w:rPr>
        <w:t>=(</w:t>
      </w:r>
      <w:proofErr w:type="gramEnd"/>
      <w:r w:rsidRPr="001E0469">
        <w:rPr>
          <w:rFonts w:ascii="Aptos" w:hAnsi="Aptos"/>
          <w:lang w:eastAsia="en-US"/>
        </w:rPr>
        <w:t>5700,21500)) in 2050. A reduction from 5- to 10-yearly screening, however, maintained the number of missed cancers in this subpopulation at &lt;100 in 2040 and 2050, while further reduction to 15-yearly screening increased missed cancers to 200 (95% CI</w:t>
      </w:r>
      <w:proofErr w:type="gramStart"/>
      <w:r w:rsidRPr="001E0469">
        <w:rPr>
          <w:rFonts w:ascii="Aptos" w:hAnsi="Aptos"/>
          <w:lang w:eastAsia="en-US"/>
        </w:rPr>
        <w:t>=(</w:t>
      </w:r>
      <w:proofErr w:type="gramEnd"/>
      <w:r w:rsidRPr="001E0469">
        <w:rPr>
          <w:rFonts w:ascii="Aptos" w:hAnsi="Aptos"/>
          <w:lang w:eastAsia="en-US"/>
        </w:rPr>
        <w:t>100,300)) in 2040 and 100 (95% CI</w:t>
      </w:r>
      <w:proofErr w:type="gramStart"/>
      <w:r w:rsidRPr="001E0469">
        <w:rPr>
          <w:rFonts w:ascii="Aptos" w:hAnsi="Aptos"/>
          <w:lang w:eastAsia="en-US"/>
        </w:rPr>
        <w:t>=(</w:t>
      </w:r>
      <w:proofErr w:type="gramEnd"/>
      <w:r w:rsidRPr="001E0469">
        <w:rPr>
          <w:rFonts w:ascii="Aptos" w:hAnsi="Aptos"/>
          <w:lang w:eastAsia="en-US"/>
        </w:rPr>
        <w:t>100,200)) in 2050.</w:t>
      </w:r>
    </w:p>
    <w:p w14:paraId="2CA15CEB" w14:textId="77777777" w:rsidR="001E0469" w:rsidRPr="001E0469" w:rsidRDefault="001E0469" w:rsidP="001E0469">
      <w:pPr>
        <w:rPr>
          <w:rFonts w:ascii="Aptos" w:hAnsi="Aptos"/>
          <w:lang w:eastAsia="en-US"/>
        </w:rPr>
      </w:pPr>
    </w:p>
    <w:p w14:paraId="3301E0F3" w14:textId="6A480413" w:rsidR="001E0469" w:rsidRPr="00855381" w:rsidRDefault="001E0469" w:rsidP="001E0469">
      <w:pPr>
        <w:rPr>
          <w:rFonts w:ascii="Aptos" w:hAnsi="Aptos"/>
          <w:lang w:eastAsia="en-US"/>
        </w:rPr>
      </w:pPr>
      <w:r w:rsidRPr="001E0469">
        <w:rPr>
          <w:rFonts w:ascii="Aptos" w:hAnsi="Aptos"/>
          <w:lang w:eastAsia="en-US"/>
        </w:rPr>
        <w:t>For the unvaccinated vaccine-eligible subpopulation, a reduction from 5- to 7-</w:t>
      </w:r>
      <w:proofErr w:type="gramStart"/>
      <w:r w:rsidRPr="001E0469">
        <w:rPr>
          <w:rFonts w:ascii="Aptos" w:hAnsi="Aptos"/>
          <w:lang w:eastAsia="en-US"/>
        </w:rPr>
        <w:t>yearly  screening</w:t>
      </w:r>
      <w:proofErr w:type="gramEnd"/>
      <w:r w:rsidRPr="001E0469">
        <w:rPr>
          <w:rFonts w:ascii="Aptos" w:hAnsi="Aptos"/>
          <w:lang w:eastAsia="en-US"/>
        </w:rPr>
        <w:t xml:space="preserve"> increased the number of missed infections from 43k (95% CI=(37k,58k)) to 55k (95% CI=(48k,74k)) in 2040 and from 20k (95% CI=(16k,27k)) to 29k (95% CI=(23k,37k)) in 2050. Further reduction to 15-yearly screening increased the number of missed infections in this subpopulation to 94k (95% CI=(80k,116k)) in 2040 and 49k (95% CI=(39k,61k)) in 2050, consistently 55-60\% of the overall HPV prevalence in the subpopulation. Reduction from 5- to 7-yearly screening increased the number of missed cancers from 300 (95% CI</w:t>
      </w:r>
      <w:proofErr w:type="gramStart"/>
      <w:r w:rsidRPr="001E0469">
        <w:rPr>
          <w:rFonts w:ascii="Aptos" w:hAnsi="Aptos"/>
          <w:lang w:eastAsia="en-US"/>
        </w:rPr>
        <w:t>=(</w:t>
      </w:r>
      <w:proofErr w:type="gramEnd"/>
      <w:r w:rsidRPr="001E0469">
        <w:rPr>
          <w:rFonts w:ascii="Aptos" w:hAnsi="Aptos"/>
          <w:lang w:eastAsia="en-US"/>
        </w:rPr>
        <w:t>200,300)) to 400 (95% CI</w:t>
      </w:r>
      <w:proofErr w:type="gramStart"/>
      <w:r w:rsidRPr="001E0469">
        <w:rPr>
          <w:rFonts w:ascii="Aptos" w:hAnsi="Aptos"/>
          <w:lang w:eastAsia="en-US"/>
        </w:rPr>
        <w:t>=(</w:t>
      </w:r>
      <w:proofErr w:type="gramEnd"/>
      <w:r w:rsidRPr="001E0469">
        <w:rPr>
          <w:rFonts w:ascii="Aptos" w:hAnsi="Aptos"/>
          <w:lang w:eastAsia="en-US"/>
        </w:rPr>
        <w:t>300,400)) in 2040 and from 200 (95% CI</w:t>
      </w:r>
      <w:proofErr w:type="gramStart"/>
      <w:r w:rsidRPr="001E0469">
        <w:rPr>
          <w:rFonts w:ascii="Aptos" w:hAnsi="Aptos"/>
          <w:lang w:eastAsia="en-US"/>
        </w:rPr>
        <w:t>=(</w:t>
      </w:r>
      <w:proofErr w:type="gramEnd"/>
      <w:r w:rsidRPr="001E0469">
        <w:rPr>
          <w:rFonts w:ascii="Aptos" w:hAnsi="Aptos"/>
          <w:lang w:eastAsia="en-US"/>
        </w:rPr>
        <w:t>100,200)) to 300 (95% CI</w:t>
      </w:r>
      <w:proofErr w:type="gramStart"/>
      <w:r w:rsidRPr="001E0469">
        <w:rPr>
          <w:rFonts w:ascii="Aptos" w:hAnsi="Aptos"/>
          <w:lang w:eastAsia="en-US"/>
        </w:rPr>
        <w:t>=(</w:t>
      </w:r>
      <w:proofErr w:type="gramEnd"/>
      <w:r w:rsidRPr="001E0469">
        <w:rPr>
          <w:rFonts w:ascii="Aptos" w:hAnsi="Aptos"/>
          <w:lang w:eastAsia="en-US"/>
        </w:rPr>
        <w:t xml:space="preserve">200,400)) in 2050. 10-yearly screening </w:t>
      </w:r>
      <w:proofErr w:type="gramStart"/>
      <w:r w:rsidRPr="001E0469">
        <w:rPr>
          <w:rFonts w:ascii="Aptos" w:hAnsi="Aptos"/>
          <w:lang w:eastAsia="en-US"/>
        </w:rPr>
        <w:t>lead</w:t>
      </w:r>
      <w:proofErr w:type="gramEnd"/>
      <w:r w:rsidRPr="001E0469">
        <w:rPr>
          <w:rFonts w:ascii="Aptos" w:hAnsi="Aptos"/>
          <w:lang w:eastAsia="en-US"/>
        </w:rPr>
        <w:t xml:space="preserve"> to notably more missed cancers at 600 (95% CI</w:t>
      </w:r>
      <w:proofErr w:type="gramStart"/>
      <w:r w:rsidRPr="001E0469">
        <w:rPr>
          <w:rFonts w:ascii="Aptos" w:hAnsi="Aptos"/>
          <w:lang w:eastAsia="en-US"/>
        </w:rPr>
        <w:t>=(</w:t>
      </w:r>
      <w:proofErr w:type="gramEnd"/>
      <w:r w:rsidRPr="001E0469">
        <w:rPr>
          <w:rFonts w:ascii="Aptos" w:hAnsi="Aptos"/>
          <w:lang w:eastAsia="en-US"/>
        </w:rPr>
        <w:t>500,700)) in 2040 and 500 (95% CI</w:t>
      </w:r>
      <w:proofErr w:type="gramStart"/>
      <w:r w:rsidRPr="001E0469">
        <w:rPr>
          <w:rFonts w:ascii="Aptos" w:hAnsi="Aptos"/>
          <w:lang w:eastAsia="en-US"/>
        </w:rPr>
        <w:t>=(</w:t>
      </w:r>
      <w:proofErr w:type="gramEnd"/>
      <w:r w:rsidRPr="001E0469">
        <w:rPr>
          <w:rFonts w:ascii="Aptos" w:hAnsi="Aptos"/>
          <w:lang w:eastAsia="en-US"/>
        </w:rPr>
        <w:t xml:space="preserve">400,600)) in 2050. </w:t>
      </w:r>
    </w:p>
    <w:p w14:paraId="5A542A82" w14:textId="6074DDCD" w:rsidR="004A6266" w:rsidRDefault="004A6266" w:rsidP="00252AC5">
      <w:pPr>
        <w:rPr>
          <w:rFonts w:ascii="Aptos" w:hAnsi="Aptos"/>
        </w:rPr>
      </w:pPr>
    </w:p>
    <w:sdt>
      <w:sdtPr>
        <w:rPr>
          <w:rFonts w:ascii="Times New Roman" w:eastAsia="Times New Roman" w:hAnsi="Times New Roman" w:cs="Times New Roman"/>
          <w:color w:val="auto"/>
          <w:kern w:val="0"/>
          <w:sz w:val="24"/>
          <w:szCs w:val="24"/>
          <w:lang w:eastAsia="en-GB"/>
          <w14:ligatures w14:val="none"/>
        </w:rPr>
        <w:id w:val="-810012382"/>
        <w:docPartObj>
          <w:docPartGallery w:val="Bibliographies"/>
          <w:docPartUnique/>
        </w:docPartObj>
      </w:sdtPr>
      <w:sdtEndPr>
        <w:rPr>
          <w:b/>
          <w:bCs/>
        </w:rPr>
      </w:sdtEndPr>
      <w:sdtContent>
        <w:p w14:paraId="5F82C4C7" w14:textId="77777777" w:rsidR="0082661F" w:rsidRDefault="0082661F">
          <w:pPr>
            <w:pStyle w:val="Heading1"/>
          </w:pPr>
        </w:p>
        <w:p w14:paraId="1609AC8A" w14:textId="77777777" w:rsidR="0082661F" w:rsidRDefault="0082661F">
          <w:pPr>
            <w:rPr>
              <w:rFonts w:asciiTheme="majorHAnsi" w:eastAsiaTheme="majorEastAsia" w:hAnsiTheme="majorHAnsi" w:cstheme="majorBidi"/>
              <w:color w:val="0F4761" w:themeColor="accent1" w:themeShade="BF"/>
              <w:kern w:val="2"/>
              <w:sz w:val="40"/>
              <w:szCs w:val="40"/>
              <w:lang w:eastAsia="en-US"/>
              <w14:ligatures w14:val="standardContextual"/>
            </w:rPr>
          </w:pPr>
          <w:r>
            <w:br w:type="page"/>
          </w:r>
        </w:p>
        <w:p w14:paraId="3C30AB66" w14:textId="36C3F137" w:rsidR="00CD4405" w:rsidRDefault="00CD4405">
          <w:pPr>
            <w:pStyle w:val="Heading1"/>
          </w:pPr>
          <w:r>
            <w:lastRenderedPageBreak/>
            <w:t>Works Cited</w:t>
          </w:r>
        </w:p>
        <w:p w14:paraId="4ED22FF1" w14:textId="77777777" w:rsidR="00052B38" w:rsidRDefault="00CD4405" w:rsidP="00CD4405">
          <w:pPr>
            <w:rPr>
              <w:rFonts w:asciiTheme="minorHAnsi" w:eastAsiaTheme="minorHAnsi" w:hAnsiTheme="minorHAnsi" w:cstheme="minorBidi"/>
              <w:noProof/>
              <w:kern w:val="2"/>
              <w:lang w:eastAsia="en-US"/>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10111"/>
          </w:tblGrid>
          <w:tr w:rsidR="00052B38" w14:paraId="082BF3C5" w14:textId="77777777">
            <w:trPr>
              <w:divId w:val="1615625474"/>
              <w:tblCellSpacing w:w="15" w:type="dxa"/>
            </w:trPr>
            <w:tc>
              <w:tcPr>
                <w:tcW w:w="50" w:type="pct"/>
                <w:hideMark/>
              </w:tcPr>
              <w:p w14:paraId="5CB5518A" w14:textId="31C43280" w:rsidR="00052B38" w:rsidRDefault="00052B38">
                <w:pPr>
                  <w:pStyle w:val="Bibliography"/>
                  <w:rPr>
                    <w:noProof/>
                  </w:rPr>
                </w:pPr>
                <w:r>
                  <w:rPr>
                    <w:noProof/>
                  </w:rPr>
                  <w:t xml:space="preserve">[1] </w:t>
                </w:r>
              </w:p>
            </w:tc>
            <w:tc>
              <w:tcPr>
                <w:tcW w:w="0" w:type="auto"/>
                <w:hideMark/>
              </w:tcPr>
              <w:p w14:paraId="3305FF9D" w14:textId="77777777" w:rsidR="00052B38" w:rsidRDefault="00052B38">
                <w:pPr>
                  <w:pStyle w:val="Bibliography"/>
                  <w:rPr>
                    <w:noProof/>
                  </w:rPr>
                </w:pPr>
                <w:r>
                  <w:rPr>
                    <w:noProof/>
                  </w:rPr>
                  <w:t xml:space="preserve">F. Sturman, S. Keenan, K. Soldan, R. Stuart, K. Lythgoe and J. Panovska-Griffiths, “Adapting the frequency of cervical screening to individual HPV vaccination status: an agent-based modelling study for England,” </w:t>
                </w:r>
                <w:r>
                  <w:rPr>
                    <w:i/>
                    <w:iCs/>
                    <w:noProof/>
                  </w:rPr>
                  <w:t xml:space="preserve">Nature Medicine, IN REVIEW, </w:t>
                </w:r>
                <w:r>
                  <w:rPr>
                    <w:noProof/>
                  </w:rPr>
                  <w:t xml:space="preserve">2026. </w:t>
                </w:r>
              </w:p>
            </w:tc>
          </w:tr>
          <w:tr w:rsidR="00052B38" w14:paraId="4E98F361" w14:textId="77777777">
            <w:trPr>
              <w:divId w:val="1615625474"/>
              <w:tblCellSpacing w:w="15" w:type="dxa"/>
            </w:trPr>
            <w:tc>
              <w:tcPr>
                <w:tcW w:w="50" w:type="pct"/>
                <w:hideMark/>
              </w:tcPr>
              <w:p w14:paraId="193375DB" w14:textId="77777777" w:rsidR="00052B38" w:rsidRDefault="00052B38">
                <w:pPr>
                  <w:pStyle w:val="Bibliography"/>
                  <w:rPr>
                    <w:noProof/>
                  </w:rPr>
                </w:pPr>
                <w:r>
                  <w:rPr>
                    <w:noProof/>
                  </w:rPr>
                  <w:t xml:space="preserve">[2] </w:t>
                </w:r>
              </w:p>
            </w:tc>
            <w:tc>
              <w:tcPr>
                <w:tcW w:w="0" w:type="auto"/>
                <w:hideMark/>
              </w:tcPr>
              <w:p w14:paraId="663D0941" w14:textId="77777777" w:rsidR="00052B38" w:rsidRDefault="00052B38">
                <w:pPr>
                  <w:pStyle w:val="Bibliography"/>
                  <w:rPr>
                    <w:noProof/>
                  </w:rPr>
                </w:pPr>
                <w:r>
                  <w:rPr>
                    <w:noProof/>
                  </w:rPr>
                  <w:t xml:space="preserve">F. Sturman, S. Keenan, K. Soldan, R. Stuart, K. Lythgoe and J. Panovska-Griffiths, “Adapting HPVsim to model HPV transmission, cervical cancer diagnoses and different public health interventions in high-income countries: modelling study for England,” </w:t>
                </w:r>
                <w:r>
                  <w:rPr>
                    <w:i/>
                    <w:iCs/>
                    <w:noProof/>
                  </w:rPr>
                  <w:t xml:space="preserve">PLoS Computational Biology, IN REVIEW, </w:t>
                </w:r>
                <w:r>
                  <w:rPr>
                    <w:noProof/>
                  </w:rPr>
                  <w:t xml:space="preserve">2026. </w:t>
                </w:r>
              </w:p>
            </w:tc>
          </w:tr>
          <w:tr w:rsidR="00052B38" w14:paraId="603807E9" w14:textId="77777777">
            <w:trPr>
              <w:divId w:val="1615625474"/>
              <w:tblCellSpacing w:w="15" w:type="dxa"/>
            </w:trPr>
            <w:tc>
              <w:tcPr>
                <w:tcW w:w="50" w:type="pct"/>
                <w:hideMark/>
              </w:tcPr>
              <w:p w14:paraId="5CBDB83D" w14:textId="77777777" w:rsidR="00052B38" w:rsidRDefault="00052B38">
                <w:pPr>
                  <w:pStyle w:val="Bibliography"/>
                  <w:rPr>
                    <w:noProof/>
                  </w:rPr>
                </w:pPr>
                <w:r>
                  <w:rPr>
                    <w:noProof/>
                  </w:rPr>
                  <w:t xml:space="preserve">[3] </w:t>
                </w:r>
              </w:p>
            </w:tc>
            <w:tc>
              <w:tcPr>
                <w:tcW w:w="0" w:type="auto"/>
                <w:hideMark/>
              </w:tcPr>
              <w:p w14:paraId="7551DA7E" w14:textId="77777777" w:rsidR="00052B38" w:rsidRDefault="00052B38">
                <w:pPr>
                  <w:pStyle w:val="Bibliography"/>
                  <w:rPr>
                    <w:noProof/>
                  </w:rPr>
                </w:pPr>
                <w:r>
                  <w:rPr>
                    <w:noProof/>
                  </w:rPr>
                  <w:t>F. Sturman, S. Keenan, K. Soldan, R. Stuart, K. Lythgoe and J. Panovska-Griffiths, “Project Code Repository,” [Online]. Available: https://github.com/fabiansturman/HPVScreeningProject/.</w:t>
                </w:r>
              </w:p>
            </w:tc>
          </w:tr>
          <w:tr w:rsidR="00052B38" w14:paraId="22F07ED7" w14:textId="77777777">
            <w:trPr>
              <w:divId w:val="1615625474"/>
              <w:tblCellSpacing w:w="15" w:type="dxa"/>
            </w:trPr>
            <w:tc>
              <w:tcPr>
                <w:tcW w:w="50" w:type="pct"/>
                <w:hideMark/>
              </w:tcPr>
              <w:p w14:paraId="60946450" w14:textId="77777777" w:rsidR="00052B38" w:rsidRDefault="00052B38">
                <w:pPr>
                  <w:pStyle w:val="Bibliography"/>
                  <w:rPr>
                    <w:noProof/>
                  </w:rPr>
                </w:pPr>
                <w:r>
                  <w:rPr>
                    <w:noProof/>
                  </w:rPr>
                  <w:t xml:space="preserve">[4] </w:t>
                </w:r>
              </w:p>
            </w:tc>
            <w:tc>
              <w:tcPr>
                <w:tcW w:w="0" w:type="auto"/>
                <w:hideMark/>
              </w:tcPr>
              <w:p w14:paraId="37D935C4" w14:textId="77777777" w:rsidR="00052B38" w:rsidRDefault="00052B38">
                <w:pPr>
                  <w:pStyle w:val="Bibliography"/>
                  <w:rPr>
                    <w:noProof/>
                  </w:rPr>
                </w:pPr>
                <w:r>
                  <w:rPr>
                    <w:noProof/>
                  </w:rPr>
                  <w:t xml:space="preserve">C. Gilham and J. Peto, “Is elimination of cervical cancer in sight in England?,” </w:t>
                </w:r>
                <w:r>
                  <w:rPr>
                    <w:i/>
                    <w:iCs/>
                    <w:noProof/>
                  </w:rPr>
                  <w:t xml:space="preserve">Preventive Medicine, </w:t>
                </w:r>
                <w:r>
                  <w:rPr>
                    <w:noProof/>
                  </w:rPr>
                  <w:t xml:space="preserve">vol. 191, 2025. </w:t>
                </w:r>
              </w:p>
            </w:tc>
          </w:tr>
          <w:tr w:rsidR="00052B38" w14:paraId="525D42DE" w14:textId="77777777">
            <w:trPr>
              <w:divId w:val="1615625474"/>
              <w:tblCellSpacing w:w="15" w:type="dxa"/>
            </w:trPr>
            <w:tc>
              <w:tcPr>
                <w:tcW w:w="50" w:type="pct"/>
                <w:hideMark/>
              </w:tcPr>
              <w:p w14:paraId="7F3EC163" w14:textId="77777777" w:rsidR="00052B38" w:rsidRDefault="00052B38">
                <w:pPr>
                  <w:pStyle w:val="Bibliography"/>
                  <w:rPr>
                    <w:noProof/>
                  </w:rPr>
                </w:pPr>
                <w:r>
                  <w:rPr>
                    <w:noProof/>
                  </w:rPr>
                  <w:t xml:space="preserve">[5] </w:t>
                </w:r>
              </w:p>
            </w:tc>
            <w:tc>
              <w:tcPr>
                <w:tcW w:w="0" w:type="auto"/>
                <w:hideMark/>
              </w:tcPr>
              <w:p w14:paraId="258DF784" w14:textId="77777777" w:rsidR="00052B38" w:rsidRDefault="00052B38">
                <w:pPr>
                  <w:pStyle w:val="Bibliography"/>
                  <w:rPr>
                    <w:noProof/>
                  </w:rPr>
                </w:pPr>
                <w:r>
                  <w:rPr>
                    <w:noProof/>
                  </w:rPr>
                  <w:t xml:space="preserve">D. Mesher, K. Cuschieri, S. Hubbitts, J. Jamison, A. Sargent, K. Pollock, N. Powell, R. Wilson, F. McCall, A. Fiander and K. Soldan, “Type-specific HPV prevalence in invasive cervical cancer in the UK prior to national HPV immunisation programme: baseline for monitoring the effects of immunisation,” </w:t>
                </w:r>
                <w:r>
                  <w:rPr>
                    <w:i/>
                    <w:iCs/>
                    <w:noProof/>
                  </w:rPr>
                  <w:t xml:space="preserve">Journal of Clinical Pathology, </w:t>
                </w:r>
                <w:r>
                  <w:rPr>
                    <w:noProof/>
                  </w:rPr>
                  <w:t xml:space="preserve">vol. 68, no. 2, 2014. </w:t>
                </w:r>
              </w:p>
            </w:tc>
          </w:tr>
          <w:tr w:rsidR="00052B38" w14:paraId="6CAB3D68" w14:textId="77777777">
            <w:trPr>
              <w:divId w:val="1615625474"/>
              <w:tblCellSpacing w:w="15" w:type="dxa"/>
            </w:trPr>
            <w:tc>
              <w:tcPr>
                <w:tcW w:w="50" w:type="pct"/>
                <w:hideMark/>
              </w:tcPr>
              <w:p w14:paraId="5EDB162A" w14:textId="77777777" w:rsidR="00052B38" w:rsidRDefault="00052B38">
                <w:pPr>
                  <w:pStyle w:val="Bibliography"/>
                  <w:rPr>
                    <w:noProof/>
                  </w:rPr>
                </w:pPr>
                <w:r>
                  <w:rPr>
                    <w:noProof/>
                  </w:rPr>
                  <w:t xml:space="preserve">[6] </w:t>
                </w:r>
              </w:p>
            </w:tc>
            <w:tc>
              <w:tcPr>
                <w:tcW w:w="0" w:type="auto"/>
                <w:hideMark/>
              </w:tcPr>
              <w:p w14:paraId="15EE2918" w14:textId="77777777" w:rsidR="00052B38" w:rsidRDefault="00052B38">
                <w:pPr>
                  <w:pStyle w:val="Bibliography"/>
                  <w:rPr>
                    <w:noProof/>
                  </w:rPr>
                </w:pPr>
                <w:r>
                  <w:rPr>
                    <w:noProof/>
                  </w:rPr>
                  <w:t>NHS England, “Cancer Registrations Statistics, England,” [Online]. Available: https://digital.nhs.uk/data-and-information/publications/statistical/cancer-registration-statistics. [Accessed 04 04 2026].</w:t>
                </w:r>
              </w:p>
            </w:tc>
          </w:tr>
        </w:tbl>
        <w:p w14:paraId="005FA7C3" w14:textId="77777777" w:rsidR="00052B38" w:rsidRDefault="00052B38">
          <w:pPr>
            <w:divId w:val="1615625474"/>
            <w:rPr>
              <w:noProof/>
            </w:rPr>
          </w:pPr>
        </w:p>
        <w:p w14:paraId="322C4EEF" w14:textId="6E818008" w:rsidR="00CD4405" w:rsidRDefault="00CD4405" w:rsidP="00CD4405">
          <w:r>
            <w:rPr>
              <w:b/>
              <w:bCs/>
            </w:rPr>
            <w:fldChar w:fldCharType="end"/>
          </w:r>
        </w:p>
      </w:sdtContent>
    </w:sdt>
    <w:p w14:paraId="6B12681A" w14:textId="77777777" w:rsidR="00CD4405" w:rsidRPr="00252AC5" w:rsidRDefault="00CD4405" w:rsidP="00252AC5">
      <w:pPr>
        <w:rPr>
          <w:rFonts w:ascii="Aptos" w:hAnsi="Aptos"/>
        </w:rPr>
      </w:pPr>
    </w:p>
    <w:sectPr w:rsidR="00CD4405" w:rsidRPr="00252AC5" w:rsidSect="00152B4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524177"/>
    <w:multiLevelType w:val="hybridMultilevel"/>
    <w:tmpl w:val="E9B0A69E"/>
    <w:lvl w:ilvl="0" w:tplc="14FE9C6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32204D"/>
    <w:multiLevelType w:val="hybridMultilevel"/>
    <w:tmpl w:val="A6B84A2E"/>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47CB0865"/>
    <w:multiLevelType w:val="hybridMultilevel"/>
    <w:tmpl w:val="9C50140A"/>
    <w:lvl w:ilvl="0" w:tplc="FD788C3E">
      <w:start w:val="2019"/>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109853">
    <w:abstractNumId w:val="0"/>
  </w:num>
  <w:num w:numId="2" w16cid:durableId="1930579200">
    <w:abstractNumId w:val="1"/>
  </w:num>
  <w:num w:numId="3" w16cid:durableId="53897608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0ED"/>
    <w:rsid w:val="0000553D"/>
    <w:rsid w:val="0001657F"/>
    <w:rsid w:val="00024414"/>
    <w:rsid w:val="00036947"/>
    <w:rsid w:val="00037C06"/>
    <w:rsid w:val="000414BF"/>
    <w:rsid w:val="00042959"/>
    <w:rsid w:val="00043EBC"/>
    <w:rsid w:val="00052B38"/>
    <w:rsid w:val="000547BE"/>
    <w:rsid w:val="00056411"/>
    <w:rsid w:val="00057E5D"/>
    <w:rsid w:val="00065F11"/>
    <w:rsid w:val="00066F80"/>
    <w:rsid w:val="00073C15"/>
    <w:rsid w:val="00074704"/>
    <w:rsid w:val="00077E4E"/>
    <w:rsid w:val="00084536"/>
    <w:rsid w:val="00086E2E"/>
    <w:rsid w:val="00090219"/>
    <w:rsid w:val="00091DD1"/>
    <w:rsid w:val="000973AF"/>
    <w:rsid w:val="000A1AF6"/>
    <w:rsid w:val="000A3795"/>
    <w:rsid w:val="000A3F0E"/>
    <w:rsid w:val="000A58F2"/>
    <w:rsid w:val="000B68B7"/>
    <w:rsid w:val="000D0CDE"/>
    <w:rsid w:val="000D7012"/>
    <w:rsid w:val="000F1DE5"/>
    <w:rsid w:val="000F37AC"/>
    <w:rsid w:val="000F37BF"/>
    <w:rsid w:val="0010521C"/>
    <w:rsid w:val="001104F7"/>
    <w:rsid w:val="00112B85"/>
    <w:rsid w:val="001130C4"/>
    <w:rsid w:val="00115D48"/>
    <w:rsid w:val="0011637E"/>
    <w:rsid w:val="00116E8A"/>
    <w:rsid w:val="00120A94"/>
    <w:rsid w:val="00121B3C"/>
    <w:rsid w:val="00131A5F"/>
    <w:rsid w:val="00132E00"/>
    <w:rsid w:val="00133571"/>
    <w:rsid w:val="00136A41"/>
    <w:rsid w:val="0014336F"/>
    <w:rsid w:val="0014467F"/>
    <w:rsid w:val="00145D1D"/>
    <w:rsid w:val="00150AF7"/>
    <w:rsid w:val="00152B4D"/>
    <w:rsid w:val="001531C4"/>
    <w:rsid w:val="00172BA3"/>
    <w:rsid w:val="0017608A"/>
    <w:rsid w:val="00184205"/>
    <w:rsid w:val="00190359"/>
    <w:rsid w:val="001909DE"/>
    <w:rsid w:val="001964AA"/>
    <w:rsid w:val="00197CAC"/>
    <w:rsid w:val="001A4A08"/>
    <w:rsid w:val="001B524B"/>
    <w:rsid w:val="001C194C"/>
    <w:rsid w:val="001D09D1"/>
    <w:rsid w:val="001D12B2"/>
    <w:rsid w:val="001E0469"/>
    <w:rsid w:val="001E07F7"/>
    <w:rsid w:val="001E09AC"/>
    <w:rsid w:val="001F5335"/>
    <w:rsid w:val="00200A16"/>
    <w:rsid w:val="0020335E"/>
    <w:rsid w:val="002107A4"/>
    <w:rsid w:val="0021233B"/>
    <w:rsid w:val="00213A0C"/>
    <w:rsid w:val="0021564E"/>
    <w:rsid w:val="00217966"/>
    <w:rsid w:val="0022242E"/>
    <w:rsid w:val="00223B23"/>
    <w:rsid w:val="0022663E"/>
    <w:rsid w:val="00232F27"/>
    <w:rsid w:val="00241469"/>
    <w:rsid w:val="002460F1"/>
    <w:rsid w:val="00246E03"/>
    <w:rsid w:val="00252AC5"/>
    <w:rsid w:val="0027125E"/>
    <w:rsid w:val="00276028"/>
    <w:rsid w:val="00276ADA"/>
    <w:rsid w:val="00277DB5"/>
    <w:rsid w:val="002836B2"/>
    <w:rsid w:val="00297516"/>
    <w:rsid w:val="002A0BC7"/>
    <w:rsid w:val="002A233C"/>
    <w:rsid w:val="002A581C"/>
    <w:rsid w:val="002A785B"/>
    <w:rsid w:val="002B16DB"/>
    <w:rsid w:val="002B4A54"/>
    <w:rsid w:val="002D0216"/>
    <w:rsid w:val="002D67B9"/>
    <w:rsid w:val="002F29F6"/>
    <w:rsid w:val="002F2EC2"/>
    <w:rsid w:val="00312CD9"/>
    <w:rsid w:val="00314B92"/>
    <w:rsid w:val="00314FBB"/>
    <w:rsid w:val="00321009"/>
    <w:rsid w:val="00321AFF"/>
    <w:rsid w:val="00322F42"/>
    <w:rsid w:val="00323B6F"/>
    <w:rsid w:val="00327548"/>
    <w:rsid w:val="00335E6A"/>
    <w:rsid w:val="003360CF"/>
    <w:rsid w:val="00341B83"/>
    <w:rsid w:val="00342B12"/>
    <w:rsid w:val="00344743"/>
    <w:rsid w:val="00356913"/>
    <w:rsid w:val="003665FE"/>
    <w:rsid w:val="00366AC5"/>
    <w:rsid w:val="00371120"/>
    <w:rsid w:val="00372D15"/>
    <w:rsid w:val="00373259"/>
    <w:rsid w:val="0038734C"/>
    <w:rsid w:val="00395130"/>
    <w:rsid w:val="003A6B31"/>
    <w:rsid w:val="003A772B"/>
    <w:rsid w:val="003A7CAB"/>
    <w:rsid w:val="003B2BF1"/>
    <w:rsid w:val="003C162E"/>
    <w:rsid w:val="003D3A33"/>
    <w:rsid w:val="003D4049"/>
    <w:rsid w:val="003D6625"/>
    <w:rsid w:val="003D6FAB"/>
    <w:rsid w:val="003E7BEE"/>
    <w:rsid w:val="003F5D43"/>
    <w:rsid w:val="00404F78"/>
    <w:rsid w:val="004060D6"/>
    <w:rsid w:val="00410A93"/>
    <w:rsid w:val="00414023"/>
    <w:rsid w:val="0041413A"/>
    <w:rsid w:val="004169FE"/>
    <w:rsid w:val="004319E5"/>
    <w:rsid w:val="00432C48"/>
    <w:rsid w:val="00436176"/>
    <w:rsid w:val="004423E5"/>
    <w:rsid w:val="004429BF"/>
    <w:rsid w:val="00445BD9"/>
    <w:rsid w:val="0044712D"/>
    <w:rsid w:val="0045586E"/>
    <w:rsid w:val="00456D23"/>
    <w:rsid w:val="00461EA0"/>
    <w:rsid w:val="004725D4"/>
    <w:rsid w:val="00472F06"/>
    <w:rsid w:val="004760DF"/>
    <w:rsid w:val="00476C32"/>
    <w:rsid w:val="00482B88"/>
    <w:rsid w:val="004A6266"/>
    <w:rsid w:val="004A7745"/>
    <w:rsid w:val="004C599A"/>
    <w:rsid w:val="004C6818"/>
    <w:rsid w:val="004C6C53"/>
    <w:rsid w:val="004C7433"/>
    <w:rsid w:val="004D2DDC"/>
    <w:rsid w:val="004D70CA"/>
    <w:rsid w:val="004E43A2"/>
    <w:rsid w:val="004E5D8E"/>
    <w:rsid w:val="004E74C8"/>
    <w:rsid w:val="004F12EF"/>
    <w:rsid w:val="004F37A3"/>
    <w:rsid w:val="005025F3"/>
    <w:rsid w:val="00502B4B"/>
    <w:rsid w:val="00510541"/>
    <w:rsid w:val="00517812"/>
    <w:rsid w:val="00524720"/>
    <w:rsid w:val="00525BF6"/>
    <w:rsid w:val="00526795"/>
    <w:rsid w:val="00530581"/>
    <w:rsid w:val="00530F42"/>
    <w:rsid w:val="00533CA3"/>
    <w:rsid w:val="00535BE4"/>
    <w:rsid w:val="005406E3"/>
    <w:rsid w:val="00544812"/>
    <w:rsid w:val="00552325"/>
    <w:rsid w:val="00552623"/>
    <w:rsid w:val="00553F32"/>
    <w:rsid w:val="00564282"/>
    <w:rsid w:val="0056559E"/>
    <w:rsid w:val="005724F5"/>
    <w:rsid w:val="005766C2"/>
    <w:rsid w:val="005768B1"/>
    <w:rsid w:val="00592145"/>
    <w:rsid w:val="0059688E"/>
    <w:rsid w:val="00596EDB"/>
    <w:rsid w:val="00597F47"/>
    <w:rsid w:val="005A325F"/>
    <w:rsid w:val="005B188C"/>
    <w:rsid w:val="005C04A5"/>
    <w:rsid w:val="005C237B"/>
    <w:rsid w:val="005C60B9"/>
    <w:rsid w:val="005D7060"/>
    <w:rsid w:val="005E307D"/>
    <w:rsid w:val="005E5A71"/>
    <w:rsid w:val="005E7AF8"/>
    <w:rsid w:val="005F714B"/>
    <w:rsid w:val="00600B18"/>
    <w:rsid w:val="006024B0"/>
    <w:rsid w:val="0060282F"/>
    <w:rsid w:val="00604E65"/>
    <w:rsid w:val="006200A9"/>
    <w:rsid w:val="00623428"/>
    <w:rsid w:val="00625234"/>
    <w:rsid w:val="00627316"/>
    <w:rsid w:val="0062799F"/>
    <w:rsid w:val="006342A9"/>
    <w:rsid w:val="00634F69"/>
    <w:rsid w:val="00635DE0"/>
    <w:rsid w:val="00637DD3"/>
    <w:rsid w:val="00637E3C"/>
    <w:rsid w:val="006438AF"/>
    <w:rsid w:val="0065228E"/>
    <w:rsid w:val="00660C0E"/>
    <w:rsid w:val="00662BDD"/>
    <w:rsid w:val="00666E03"/>
    <w:rsid w:val="006719F5"/>
    <w:rsid w:val="006772B3"/>
    <w:rsid w:val="006817DE"/>
    <w:rsid w:val="006841F7"/>
    <w:rsid w:val="00686A59"/>
    <w:rsid w:val="006A18AB"/>
    <w:rsid w:val="006A478C"/>
    <w:rsid w:val="006B12A6"/>
    <w:rsid w:val="006C72DE"/>
    <w:rsid w:val="006D1828"/>
    <w:rsid w:val="006D2651"/>
    <w:rsid w:val="006D50B7"/>
    <w:rsid w:val="006D6E8E"/>
    <w:rsid w:val="006E0C66"/>
    <w:rsid w:val="006F0085"/>
    <w:rsid w:val="006F1C0C"/>
    <w:rsid w:val="00703431"/>
    <w:rsid w:val="00707F63"/>
    <w:rsid w:val="007147DA"/>
    <w:rsid w:val="007151DE"/>
    <w:rsid w:val="00722D33"/>
    <w:rsid w:val="007236C8"/>
    <w:rsid w:val="007253F3"/>
    <w:rsid w:val="007307C3"/>
    <w:rsid w:val="007506EE"/>
    <w:rsid w:val="007601BA"/>
    <w:rsid w:val="007618D7"/>
    <w:rsid w:val="00764963"/>
    <w:rsid w:val="00773F4C"/>
    <w:rsid w:val="00781DE5"/>
    <w:rsid w:val="0079525D"/>
    <w:rsid w:val="00795B82"/>
    <w:rsid w:val="007A09E6"/>
    <w:rsid w:val="007A4268"/>
    <w:rsid w:val="007A4F12"/>
    <w:rsid w:val="007A523F"/>
    <w:rsid w:val="007A664A"/>
    <w:rsid w:val="007A7BF4"/>
    <w:rsid w:val="007C11A4"/>
    <w:rsid w:val="007C2AE0"/>
    <w:rsid w:val="007C7BFA"/>
    <w:rsid w:val="007D1C83"/>
    <w:rsid w:val="007D5D45"/>
    <w:rsid w:val="007E0BE3"/>
    <w:rsid w:val="007E4B57"/>
    <w:rsid w:val="007E5472"/>
    <w:rsid w:val="007F0288"/>
    <w:rsid w:val="007F1D37"/>
    <w:rsid w:val="00802DFA"/>
    <w:rsid w:val="0081055B"/>
    <w:rsid w:val="00810CA9"/>
    <w:rsid w:val="00811DC7"/>
    <w:rsid w:val="00811F80"/>
    <w:rsid w:val="00815E1D"/>
    <w:rsid w:val="008262CF"/>
    <w:rsid w:val="0082661F"/>
    <w:rsid w:val="008364A9"/>
    <w:rsid w:val="008449B9"/>
    <w:rsid w:val="00855381"/>
    <w:rsid w:val="008576FD"/>
    <w:rsid w:val="00857F5E"/>
    <w:rsid w:val="008651B2"/>
    <w:rsid w:val="00867F7C"/>
    <w:rsid w:val="008710ED"/>
    <w:rsid w:val="00875202"/>
    <w:rsid w:val="00882E75"/>
    <w:rsid w:val="00884155"/>
    <w:rsid w:val="008927BF"/>
    <w:rsid w:val="008A4713"/>
    <w:rsid w:val="008A4B6A"/>
    <w:rsid w:val="008A5A6F"/>
    <w:rsid w:val="008A7967"/>
    <w:rsid w:val="008B6E5F"/>
    <w:rsid w:val="008B760A"/>
    <w:rsid w:val="008C09CC"/>
    <w:rsid w:val="008C0A0E"/>
    <w:rsid w:val="008C64F4"/>
    <w:rsid w:val="008D0C8A"/>
    <w:rsid w:val="008D1538"/>
    <w:rsid w:val="008D3358"/>
    <w:rsid w:val="008D3C77"/>
    <w:rsid w:val="008D6D2F"/>
    <w:rsid w:val="008E1B46"/>
    <w:rsid w:val="008E252C"/>
    <w:rsid w:val="008F2F71"/>
    <w:rsid w:val="008F3A1F"/>
    <w:rsid w:val="008F442B"/>
    <w:rsid w:val="009071DB"/>
    <w:rsid w:val="00913276"/>
    <w:rsid w:val="0091488B"/>
    <w:rsid w:val="00926040"/>
    <w:rsid w:val="009266BD"/>
    <w:rsid w:val="00933170"/>
    <w:rsid w:val="009337A0"/>
    <w:rsid w:val="009368AA"/>
    <w:rsid w:val="00942F99"/>
    <w:rsid w:val="00950CD4"/>
    <w:rsid w:val="00950DB9"/>
    <w:rsid w:val="00954D8A"/>
    <w:rsid w:val="00957BD3"/>
    <w:rsid w:val="00962BB6"/>
    <w:rsid w:val="00964018"/>
    <w:rsid w:val="00971827"/>
    <w:rsid w:val="0097495A"/>
    <w:rsid w:val="00981A10"/>
    <w:rsid w:val="00990BAC"/>
    <w:rsid w:val="00993704"/>
    <w:rsid w:val="00997EE3"/>
    <w:rsid w:val="009A6671"/>
    <w:rsid w:val="009B351B"/>
    <w:rsid w:val="009B7883"/>
    <w:rsid w:val="009C280E"/>
    <w:rsid w:val="009C5399"/>
    <w:rsid w:val="009C70AB"/>
    <w:rsid w:val="009D327A"/>
    <w:rsid w:val="009D369B"/>
    <w:rsid w:val="009E27DA"/>
    <w:rsid w:val="009F4EF9"/>
    <w:rsid w:val="00A01E03"/>
    <w:rsid w:val="00A01E38"/>
    <w:rsid w:val="00A02967"/>
    <w:rsid w:val="00A042C1"/>
    <w:rsid w:val="00A04BD9"/>
    <w:rsid w:val="00A152ED"/>
    <w:rsid w:val="00A2028B"/>
    <w:rsid w:val="00A204FF"/>
    <w:rsid w:val="00A20877"/>
    <w:rsid w:val="00A24C17"/>
    <w:rsid w:val="00A3026E"/>
    <w:rsid w:val="00A30904"/>
    <w:rsid w:val="00A36C8E"/>
    <w:rsid w:val="00A45461"/>
    <w:rsid w:val="00A455AA"/>
    <w:rsid w:val="00A45AE5"/>
    <w:rsid w:val="00A469A6"/>
    <w:rsid w:val="00A51637"/>
    <w:rsid w:val="00A60F1A"/>
    <w:rsid w:val="00A623B6"/>
    <w:rsid w:val="00A708A2"/>
    <w:rsid w:val="00A7542A"/>
    <w:rsid w:val="00A75994"/>
    <w:rsid w:val="00A80573"/>
    <w:rsid w:val="00A813FC"/>
    <w:rsid w:val="00A8186F"/>
    <w:rsid w:val="00A82DC9"/>
    <w:rsid w:val="00A83429"/>
    <w:rsid w:val="00A86DC8"/>
    <w:rsid w:val="00A86E2B"/>
    <w:rsid w:val="00A92B3A"/>
    <w:rsid w:val="00A957B6"/>
    <w:rsid w:val="00A96CEF"/>
    <w:rsid w:val="00A97151"/>
    <w:rsid w:val="00AA09F3"/>
    <w:rsid w:val="00AA266E"/>
    <w:rsid w:val="00AA3F40"/>
    <w:rsid w:val="00AB06B4"/>
    <w:rsid w:val="00AD2334"/>
    <w:rsid w:val="00AD36D9"/>
    <w:rsid w:val="00AD36DB"/>
    <w:rsid w:val="00AD4C5D"/>
    <w:rsid w:val="00AE5DBB"/>
    <w:rsid w:val="00AE7BF5"/>
    <w:rsid w:val="00AF420B"/>
    <w:rsid w:val="00AF635C"/>
    <w:rsid w:val="00B03DC2"/>
    <w:rsid w:val="00B10754"/>
    <w:rsid w:val="00B1460A"/>
    <w:rsid w:val="00B2167F"/>
    <w:rsid w:val="00B21959"/>
    <w:rsid w:val="00B41351"/>
    <w:rsid w:val="00B42725"/>
    <w:rsid w:val="00B457F5"/>
    <w:rsid w:val="00B45CF0"/>
    <w:rsid w:val="00B528F4"/>
    <w:rsid w:val="00B536C2"/>
    <w:rsid w:val="00B564BF"/>
    <w:rsid w:val="00B60916"/>
    <w:rsid w:val="00B61981"/>
    <w:rsid w:val="00B66F69"/>
    <w:rsid w:val="00B74186"/>
    <w:rsid w:val="00B9083B"/>
    <w:rsid w:val="00BA0995"/>
    <w:rsid w:val="00BA1EA7"/>
    <w:rsid w:val="00BB3E56"/>
    <w:rsid w:val="00BB498B"/>
    <w:rsid w:val="00BB7C38"/>
    <w:rsid w:val="00BC541B"/>
    <w:rsid w:val="00BC5E26"/>
    <w:rsid w:val="00BD5B74"/>
    <w:rsid w:val="00BD7FD2"/>
    <w:rsid w:val="00BE6B7F"/>
    <w:rsid w:val="00BF1AB3"/>
    <w:rsid w:val="00BF4983"/>
    <w:rsid w:val="00BF7C11"/>
    <w:rsid w:val="00C10944"/>
    <w:rsid w:val="00C11516"/>
    <w:rsid w:val="00C1569C"/>
    <w:rsid w:val="00C23B2B"/>
    <w:rsid w:val="00C30621"/>
    <w:rsid w:val="00C308ED"/>
    <w:rsid w:val="00C35517"/>
    <w:rsid w:val="00C42E32"/>
    <w:rsid w:val="00C57F06"/>
    <w:rsid w:val="00C60D99"/>
    <w:rsid w:val="00C61F35"/>
    <w:rsid w:val="00C7084F"/>
    <w:rsid w:val="00C73B26"/>
    <w:rsid w:val="00C7509C"/>
    <w:rsid w:val="00C85124"/>
    <w:rsid w:val="00C91695"/>
    <w:rsid w:val="00C94752"/>
    <w:rsid w:val="00CA4AC8"/>
    <w:rsid w:val="00CA5259"/>
    <w:rsid w:val="00CB6491"/>
    <w:rsid w:val="00CB78E9"/>
    <w:rsid w:val="00CC1CA8"/>
    <w:rsid w:val="00CC76C2"/>
    <w:rsid w:val="00CC79A1"/>
    <w:rsid w:val="00CD0CC6"/>
    <w:rsid w:val="00CD1A12"/>
    <w:rsid w:val="00CD4405"/>
    <w:rsid w:val="00CE3E56"/>
    <w:rsid w:val="00CF0797"/>
    <w:rsid w:val="00CF0EB0"/>
    <w:rsid w:val="00CF1807"/>
    <w:rsid w:val="00CF6FC8"/>
    <w:rsid w:val="00D23E3C"/>
    <w:rsid w:val="00D34AF8"/>
    <w:rsid w:val="00D46AFC"/>
    <w:rsid w:val="00D46B4F"/>
    <w:rsid w:val="00D60621"/>
    <w:rsid w:val="00D63381"/>
    <w:rsid w:val="00D7358D"/>
    <w:rsid w:val="00D7519C"/>
    <w:rsid w:val="00D76AA5"/>
    <w:rsid w:val="00D812FE"/>
    <w:rsid w:val="00D82838"/>
    <w:rsid w:val="00D863A7"/>
    <w:rsid w:val="00D92A51"/>
    <w:rsid w:val="00D95AC3"/>
    <w:rsid w:val="00DA1FBA"/>
    <w:rsid w:val="00DB1DEA"/>
    <w:rsid w:val="00DB5DAA"/>
    <w:rsid w:val="00DB650A"/>
    <w:rsid w:val="00DC51E7"/>
    <w:rsid w:val="00DD4EE7"/>
    <w:rsid w:val="00DD781D"/>
    <w:rsid w:val="00DE17F3"/>
    <w:rsid w:val="00DE43AE"/>
    <w:rsid w:val="00DE5A84"/>
    <w:rsid w:val="00DE70D2"/>
    <w:rsid w:val="00DE7FFE"/>
    <w:rsid w:val="00DF39E8"/>
    <w:rsid w:val="00DF7DE8"/>
    <w:rsid w:val="00E02C37"/>
    <w:rsid w:val="00E168E9"/>
    <w:rsid w:val="00E232BE"/>
    <w:rsid w:val="00E26C23"/>
    <w:rsid w:val="00E347FB"/>
    <w:rsid w:val="00E356D2"/>
    <w:rsid w:val="00E3600C"/>
    <w:rsid w:val="00E51C78"/>
    <w:rsid w:val="00E52732"/>
    <w:rsid w:val="00E56431"/>
    <w:rsid w:val="00E60A2D"/>
    <w:rsid w:val="00E66216"/>
    <w:rsid w:val="00E70F5B"/>
    <w:rsid w:val="00E713C9"/>
    <w:rsid w:val="00E72196"/>
    <w:rsid w:val="00E7676D"/>
    <w:rsid w:val="00E774D6"/>
    <w:rsid w:val="00E84FA8"/>
    <w:rsid w:val="00E86E6E"/>
    <w:rsid w:val="00EA5DF5"/>
    <w:rsid w:val="00EB63E2"/>
    <w:rsid w:val="00EC4491"/>
    <w:rsid w:val="00ED712C"/>
    <w:rsid w:val="00EE03DF"/>
    <w:rsid w:val="00EE37A0"/>
    <w:rsid w:val="00EF34B5"/>
    <w:rsid w:val="00EF69DC"/>
    <w:rsid w:val="00F00A0F"/>
    <w:rsid w:val="00F0157C"/>
    <w:rsid w:val="00F025AC"/>
    <w:rsid w:val="00F02A39"/>
    <w:rsid w:val="00F06533"/>
    <w:rsid w:val="00F109B1"/>
    <w:rsid w:val="00F12127"/>
    <w:rsid w:val="00F15E7E"/>
    <w:rsid w:val="00F24BA5"/>
    <w:rsid w:val="00F25D5A"/>
    <w:rsid w:val="00F2785D"/>
    <w:rsid w:val="00F33397"/>
    <w:rsid w:val="00F47BC3"/>
    <w:rsid w:val="00F572A2"/>
    <w:rsid w:val="00F61CF1"/>
    <w:rsid w:val="00F647BD"/>
    <w:rsid w:val="00F709E9"/>
    <w:rsid w:val="00F72A74"/>
    <w:rsid w:val="00F741FF"/>
    <w:rsid w:val="00F807AE"/>
    <w:rsid w:val="00F84D3E"/>
    <w:rsid w:val="00F8670F"/>
    <w:rsid w:val="00FA1DA6"/>
    <w:rsid w:val="00FA21E8"/>
    <w:rsid w:val="00FA3460"/>
    <w:rsid w:val="00FB196E"/>
    <w:rsid w:val="00FB4D08"/>
    <w:rsid w:val="00FB6B9B"/>
    <w:rsid w:val="00FC23BD"/>
    <w:rsid w:val="00FD02A3"/>
    <w:rsid w:val="00FD197C"/>
    <w:rsid w:val="00FE2F93"/>
    <w:rsid w:val="00FE3F45"/>
    <w:rsid w:val="00FE7044"/>
    <w:rsid w:val="00FE769E"/>
    <w:rsid w:val="00FF60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E7EB6"/>
  <w15:chartTrackingRefBased/>
  <w15:docId w15:val="{D1BE1CA0-7C51-0241-879D-603792CA0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C5D"/>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710ED"/>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8710ED"/>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8710ED"/>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8710ED"/>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8710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0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0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0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0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0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10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10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0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0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0ED"/>
    <w:rPr>
      <w:rFonts w:eastAsiaTheme="majorEastAsia" w:cstheme="majorBidi"/>
      <w:color w:val="272727" w:themeColor="text1" w:themeTint="D8"/>
    </w:rPr>
  </w:style>
  <w:style w:type="paragraph" w:styleId="Title">
    <w:name w:val="Title"/>
    <w:basedOn w:val="Normal"/>
    <w:next w:val="Normal"/>
    <w:link w:val="TitleChar"/>
    <w:uiPriority w:val="10"/>
    <w:qFormat/>
    <w:rsid w:val="008710E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71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0ED"/>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71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0ED"/>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710ED"/>
    <w:rPr>
      <w:i/>
      <w:iCs/>
      <w:color w:val="404040" w:themeColor="text1" w:themeTint="BF"/>
    </w:rPr>
  </w:style>
  <w:style w:type="paragraph" w:styleId="ListParagraph">
    <w:name w:val="List Paragraph"/>
    <w:basedOn w:val="Normal"/>
    <w:uiPriority w:val="34"/>
    <w:qFormat/>
    <w:rsid w:val="008710ED"/>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8710ED"/>
    <w:rPr>
      <w:i/>
      <w:iCs/>
      <w:color w:val="0F4761" w:themeColor="accent1" w:themeShade="BF"/>
    </w:rPr>
  </w:style>
  <w:style w:type="paragraph" w:styleId="IntenseQuote">
    <w:name w:val="Intense Quote"/>
    <w:basedOn w:val="Normal"/>
    <w:next w:val="Normal"/>
    <w:link w:val="IntenseQuoteChar"/>
    <w:uiPriority w:val="30"/>
    <w:qFormat/>
    <w:rsid w:val="008710E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710ED"/>
    <w:rPr>
      <w:i/>
      <w:iCs/>
      <w:color w:val="0F4761" w:themeColor="accent1" w:themeShade="BF"/>
    </w:rPr>
  </w:style>
  <w:style w:type="character" w:styleId="IntenseReference">
    <w:name w:val="Intense Reference"/>
    <w:basedOn w:val="DefaultParagraphFont"/>
    <w:uiPriority w:val="32"/>
    <w:qFormat/>
    <w:rsid w:val="008710ED"/>
    <w:rPr>
      <w:b/>
      <w:bCs/>
      <w:smallCaps/>
      <w:color w:val="0F4761" w:themeColor="accent1" w:themeShade="BF"/>
      <w:spacing w:val="5"/>
    </w:rPr>
  </w:style>
  <w:style w:type="character" w:styleId="Hyperlink">
    <w:name w:val="Hyperlink"/>
    <w:basedOn w:val="DefaultParagraphFont"/>
    <w:uiPriority w:val="99"/>
    <w:unhideWhenUsed/>
    <w:rsid w:val="008710ED"/>
    <w:rPr>
      <w:color w:val="467886" w:themeColor="hyperlink"/>
      <w:u w:val="single"/>
    </w:rPr>
  </w:style>
  <w:style w:type="character" w:styleId="UnresolvedMention">
    <w:name w:val="Unresolved Mention"/>
    <w:basedOn w:val="DefaultParagraphFont"/>
    <w:uiPriority w:val="99"/>
    <w:semiHidden/>
    <w:unhideWhenUsed/>
    <w:rsid w:val="008710ED"/>
    <w:rPr>
      <w:color w:val="605E5C"/>
      <w:shd w:val="clear" w:color="auto" w:fill="E1DFDD"/>
    </w:rPr>
  </w:style>
  <w:style w:type="paragraph" w:styleId="NormalWeb">
    <w:name w:val="Normal (Web)"/>
    <w:basedOn w:val="Normal"/>
    <w:uiPriority w:val="99"/>
    <w:semiHidden/>
    <w:unhideWhenUsed/>
    <w:rsid w:val="001909DE"/>
    <w:pPr>
      <w:spacing w:before="100" w:beforeAutospacing="1" w:after="100" w:afterAutospacing="1"/>
    </w:pPr>
  </w:style>
  <w:style w:type="paragraph" w:styleId="NoSpacing">
    <w:name w:val="No Spacing"/>
    <w:uiPriority w:val="1"/>
    <w:qFormat/>
    <w:rsid w:val="004A6266"/>
  </w:style>
  <w:style w:type="paragraph" w:styleId="Revision">
    <w:name w:val="Revision"/>
    <w:hidden/>
    <w:uiPriority w:val="99"/>
    <w:semiHidden/>
    <w:rsid w:val="006817DE"/>
  </w:style>
  <w:style w:type="paragraph" w:styleId="Caption">
    <w:name w:val="caption"/>
    <w:basedOn w:val="Normal"/>
    <w:next w:val="Normal"/>
    <w:uiPriority w:val="35"/>
    <w:unhideWhenUsed/>
    <w:qFormat/>
    <w:rsid w:val="00D7519C"/>
    <w:pPr>
      <w:spacing w:after="200"/>
    </w:pPr>
    <w:rPr>
      <w:i/>
      <w:iCs/>
      <w:color w:val="0E2841" w:themeColor="text2"/>
      <w:sz w:val="18"/>
      <w:szCs w:val="18"/>
    </w:rPr>
  </w:style>
  <w:style w:type="paragraph" w:styleId="Bibliography">
    <w:name w:val="Bibliography"/>
    <w:basedOn w:val="Normal"/>
    <w:next w:val="Normal"/>
    <w:uiPriority w:val="37"/>
    <w:unhideWhenUsed/>
    <w:rsid w:val="00CD4405"/>
  </w:style>
  <w:style w:type="character" w:styleId="PlaceholderText">
    <w:name w:val="Placeholder Text"/>
    <w:basedOn w:val="DefaultParagraphFont"/>
    <w:uiPriority w:val="99"/>
    <w:semiHidden/>
    <w:rsid w:val="004C6C5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1930824">
      <w:bodyDiv w:val="1"/>
      <w:marLeft w:val="0"/>
      <w:marRight w:val="0"/>
      <w:marTop w:val="0"/>
      <w:marBottom w:val="0"/>
      <w:divBdr>
        <w:top w:val="none" w:sz="0" w:space="0" w:color="auto"/>
        <w:left w:val="none" w:sz="0" w:space="0" w:color="auto"/>
        <w:bottom w:val="none" w:sz="0" w:space="0" w:color="auto"/>
        <w:right w:val="none" w:sz="0" w:space="0" w:color="auto"/>
      </w:divBdr>
    </w:div>
    <w:div w:id="36198672">
      <w:bodyDiv w:val="1"/>
      <w:marLeft w:val="0"/>
      <w:marRight w:val="0"/>
      <w:marTop w:val="0"/>
      <w:marBottom w:val="0"/>
      <w:divBdr>
        <w:top w:val="none" w:sz="0" w:space="0" w:color="auto"/>
        <w:left w:val="none" w:sz="0" w:space="0" w:color="auto"/>
        <w:bottom w:val="none" w:sz="0" w:space="0" w:color="auto"/>
        <w:right w:val="none" w:sz="0" w:space="0" w:color="auto"/>
      </w:divBdr>
    </w:div>
    <w:div w:id="70781604">
      <w:bodyDiv w:val="1"/>
      <w:marLeft w:val="0"/>
      <w:marRight w:val="0"/>
      <w:marTop w:val="0"/>
      <w:marBottom w:val="0"/>
      <w:divBdr>
        <w:top w:val="none" w:sz="0" w:space="0" w:color="auto"/>
        <w:left w:val="none" w:sz="0" w:space="0" w:color="auto"/>
        <w:bottom w:val="none" w:sz="0" w:space="0" w:color="auto"/>
        <w:right w:val="none" w:sz="0" w:space="0" w:color="auto"/>
      </w:divBdr>
    </w:div>
    <w:div w:id="80614513">
      <w:bodyDiv w:val="1"/>
      <w:marLeft w:val="0"/>
      <w:marRight w:val="0"/>
      <w:marTop w:val="0"/>
      <w:marBottom w:val="0"/>
      <w:divBdr>
        <w:top w:val="none" w:sz="0" w:space="0" w:color="auto"/>
        <w:left w:val="none" w:sz="0" w:space="0" w:color="auto"/>
        <w:bottom w:val="none" w:sz="0" w:space="0" w:color="auto"/>
        <w:right w:val="none" w:sz="0" w:space="0" w:color="auto"/>
      </w:divBdr>
    </w:div>
    <w:div w:id="161244615">
      <w:bodyDiv w:val="1"/>
      <w:marLeft w:val="0"/>
      <w:marRight w:val="0"/>
      <w:marTop w:val="0"/>
      <w:marBottom w:val="0"/>
      <w:divBdr>
        <w:top w:val="none" w:sz="0" w:space="0" w:color="auto"/>
        <w:left w:val="none" w:sz="0" w:space="0" w:color="auto"/>
        <w:bottom w:val="none" w:sz="0" w:space="0" w:color="auto"/>
        <w:right w:val="none" w:sz="0" w:space="0" w:color="auto"/>
      </w:divBdr>
    </w:div>
    <w:div w:id="211772857">
      <w:bodyDiv w:val="1"/>
      <w:marLeft w:val="0"/>
      <w:marRight w:val="0"/>
      <w:marTop w:val="0"/>
      <w:marBottom w:val="0"/>
      <w:divBdr>
        <w:top w:val="none" w:sz="0" w:space="0" w:color="auto"/>
        <w:left w:val="none" w:sz="0" w:space="0" w:color="auto"/>
        <w:bottom w:val="none" w:sz="0" w:space="0" w:color="auto"/>
        <w:right w:val="none" w:sz="0" w:space="0" w:color="auto"/>
      </w:divBdr>
    </w:div>
    <w:div w:id="238641721">
      <w:bodyDiv w:val="1"/>
      <w:marLeft w:val="0"/>
      <w:marRight w:val="0"/>
      <w:marTop w:val="0"/>
      <w:marBottom w:val="0"/>
      <w:divBdr>
        <w:top w:val="none" w:sz="0" w:space="0" w:color="auto"/>
        <w:left w:val="none" w:sz="0" w:space="0" w:color="auto"/>
        <w:bottom w:val="none" w:sz="0" w:space="0" w:color="auto"/>
        <w:right w:val="none" w:sz="0" w:space="0" w:color="auto"/>
      </w:divBdr>
    </w:div>
    <w:div w:id="346491743">
      <w:bodyDiv w:val="1"/>
      <w:marLeft w:val="0"/>
      <w:marRight w:val="0"/>
      <w:marTop w:val="0"/>
      <w:marBottom w:val="0"/>
      <w:divBdr>
        <w:top w:val="none" w:sz="0" w:space="0" w:color="auto"/>
        <w:left w:val="none" w:sz="0" w:space="0" w:color="auto"/>
        <w:bottom w:val="none" w:sz="0" w:space="0" w:color="auto"/>
        <w:right w:val="none" w:sz="0" w:space="0" w:color="auto"/>
      </w:divBdr>
    </w:div>
    <w:div w:id="433287388">
      <w:bodyDiv w:val="1"/>
      <w:marLeft w:val="0"/>
      <w:marRight w:val="0"/>
      <w:marTop w:val="0"/>
      <w:marBottom w:val="0"/>
      <w:divBdr>
        <w:top w:val="none" w:sz="0" w:space="0" w:color="auto"/>
        <w:left w:val="none" w:sz="0" w:space="0" w:color="auto"/>
        <w:bottom w:val="none" w:sz="0" w:space="0" w:color="auto"/>
        <w:right w:val="none" w:sz="0" w:space="0" w:color="auto"/>
      </w:divBdr>
    </w:div>
    <w:div w:id="504319021">
      <w:bodyDiv w:val="1"/>
      <w:marLeft w:val="0"/>
      <w:marRight w:val="0"/>
      <w:marTop w:val="0"/>
      <w:marBottom w:val="0"/>
      <w:divBdr>
        <w:top w:val="none" w:sz="0" w:space="0" w:color="auto"/>
        <w:left w:val="none" w:sz="0" w:space="0" w:color="auto"/>
        <w:bottom w:val="none" w:sz="0" w:space="0" w:color="auto"/>
        <w:right w:val="none" w:sz="0" w:space="0" w:color="auto"/>
      </w:divBdr>
    </w:div>
    <w:div w:id="540286166">
      <w:bodyDiv w:val="1"/>
      <w:marLeft w:val="0"/>
      <w:marRight w:val="0"/>
      <w:marTop w:val="0"/>
      <w:marBottom w:val="0"/>
      <w:divBdr>
        <w:top w:val="none" w:sz="0" w:space="0" w:color="auto"/>
        <w:left w:val="none" w:sz="0" w:space="0" w:color="auto"/>
        <w:bottom w:val="none" w:sz="0" w:space="0" w:color="auto"/>
        <w:right w:val="none" w:sz="0" w:space="0" w:color="auto"/>
      </w:divBdr>
    </w:div>
    <w:div w:id="551575780">
      <w:bodyDiv w:val="1"/>
      <w:marLeft w:val="0"/>
      <w:marRight w:val="0"/>
      <w:marTop w:val="0"/>
      <w:marBottom w:val="0"/>
      <w:divBdr>
        <w:top w:val="none" w:sz="0" w:space="0" w:color="auto"/>
        <w:left w:val="none" w:sz="0" w:space="0" w:color="auto"/>
        <w:bottom w:val="none" w:sz="0" w:space="0" w:color="auto"/>
        <w:right w:val="none" w:sz="0" w:space="0" w:color="auto"/>
      </w:divBdr>
    </w:div>
    <w:div w:id="634524645">
      <w:bodyDiv w:val="1"/>
      <w:marLeft w:val="0"/>
      <w:marRight w:val="0"/>
      <w:marTop w:val="0"/>
      <w:marBottom w:val="0"/>
      <w:divBdr>
        <w:top w:val="none" w:sz="0" w:space="0" w:color="auto"/>
        <w:left w:val="none" w:sz="0" w:space="0" w:color="auto"/>
        <w:bottom w:val="none" w:sz="0" w:space="0" w:color="auto"/>
        <w:right w:val="none" w:sz="0" w:space="0" w:color="auto"/>
      </w:divBdr>
    </w:div>
    <w:div w:id="659886699">
      <w:bodyDiv w:val="1"/>
      <w:marLeft w:val="0"/>
      <w:marRight w:val="0"/>
      <w:marTop w:val="0"/>
      <w:marBottom w:val="0"/>
      <w:divBdr>
        <w:top w:val="none" w:sz="0" w:space="0" w:color="auto"/>
        <w:left w:val="none" w:sz="0" w:space="0" w:color="auto"/>
        <w:bottom w:val="none" w:sz="0" w:space="0" w:color="auto"/>
        <w:right w:val="none" w:sz="0" w:space="0" w:color="auto"/>
      </w:divBdr>
    </w:div>
    <w:div w:id="660740612">
      <w:bodyDiv w:val="1"/>
      <w:marLeft w:val="0"/>
      <w:marRight w:val="0"/>
      <w:marTop w:val="0"/>
      <w:marBottom w:val="0"/>
      <w:divBdr>
        <w:top w:val="none" w:sz="0" w:space="0" w:color="auto"/>
        <w:left w:val="none" w:sz="0" w:space="0" w:color="auto"/>
        <w:bottom w:val="none" w:sz="0" w:space="0" w:color="auto"/>
        <w:right w:val="none" w:sz="0" w:space="0" w:color="auto"/>
      </w:divBdr>
    </w:div>
    <w:div w:id="731776266">
      <w:bodyDiv w:val="1"/>
      <w:marLeft w:val="0"/>
      <w:marRight w:val="0"/>
      <w:marTop w:val="0"/>
      <w:marBottom w:val="0"/>
      <w:divBdr>
        <w:top w:val="none" w:sz="0" w:space="0" w:color="auto"/>
        <w:left w:val="none" w:sz="0" w:space="0" w:color="auto"/>
        <w:bottom w:val="none" w:sz="0" w:space="0" w:color="auto"/>
        <w:right w:val="none" w:sz="0" w:space="0" w:color="auto"/>
      </w:divBdr>
    </w:div>
    <w:div w:id="755245918">
      <w:bodyDiv w:val="1"/>
      <w:marLeft w:val="0"/>
      <w:marRight w:val="0"/>
      <w:marTop w:val="0"/>
      <w:marBottom w:val="0"/>
      <w:divBdr>
        <w:top w:val="none" w:sz="0" w:space="0" w:color="auto"/>
        <w:left w:val="none" w:sz="0" w:space="0" w:color="auto"/>
        <w:bottom w:val="none" w:sz="0" w:space="0" w:color="auto"/>
        <w:right w:val="none" w:sz="0" w:space="0" w:color="auto"/>
      </w:divBdr>
    </w:div>
    <w:div w:id="755395316">
      <w:bodyDiv w:val="1"/>
      <w:marLeft w:val="0"/>
      <w:marRight w:val="0"/>
      <w:marTop w:val="0"/>
      <w:marBottom w:val="0"/>
      <w:divBdr>
        <w:top w:val="none" w:sz="0" w:space="0" w:color="auto"/>
        <w:left w:val="none" w:sz="0" w:space="0" w:color="auto"/>
        <w:bottom w:val="none" w:sz="0" w:space="0" w:color="auto"/>
        <w:right w:val="none" w:sz="0" w:space="0" w:color="auto"/>
      </w:divBdr>
    </w:div>
    <w:div w:id="815488851">
      <w:bodyDiv w:val="1"/>
      <w:marLeft w:val="0"/>
      <w:marRight w:val="0"/>
      <w:marTop w:val="0"/>
      <w:marBottom w:val="0"/>
      <w:divBdr>
        <w:top w:val="none" w:sz="0" w:space="0" w:color="auto"/>
        <w:left w:val="none" w:sz="0" w:space="0" w:color="auto"/>
        <w:bottom w:val="none" w:sz="0" w:space="0" w:color="auto"/>
        <w:right w:val="none" w:sz="0" w:space="0" w:color="auto"/>
      </w:divBdr>
    </w:div>
    <w:div w:id="860363369">
      <w:bodyDiv w:val="1"/>
      <w:marLeft w:val="0"/>
      <w:marRight w:val="0"/>
      <w:marTop w:val="0"/>
      <w:marBottom w:val="0"/>
      <w:divBdr>
        <w:top w:val="none" w:sz="0" w:space="0" w:color="auto"/>
        <w:left w:val="none" w:sz="0" w:space="0" w:color="auto"/>
        <w:bottom w:val="none" w:sz="0" w:space="0" w:color="auto"/>
        <w:right w:val="none" w:sz="0" w:space="0" w:color="auto"/>
      </w:divBdr>
    </w:div>
    <w:div w:id="968319245">
      <w:bodyDiv w:val="1"/>
      <w:marLeft w:val="0"/>
      <w:marRight w:val="0"/>
      <w:marTop w:val="0"/>
      <w:marBottom w:val="0"/>
      <w:divBdr>
        <w:top w:val="none" w:sz="0" w:space="0" w:color="auto"/>
        <w:left w:val="none" w:sz="0" w:space="0" w:color="auto"/>
        <w:bottom w:val="none" w:sz="0" w:space="0" w:color="auto"/>
        <w:right w:val="none" w:sz="0" w:space="0" w:color="auto"/>
      </w:divBdr>
    </w:div>
    <w:div w:id="1020546263">
      <w:bodyDiv w:val="1"/>
      <w:marLeft w:val="0"/>
      <w:marRight w:val="0"/>
      <w:marTop w:val="0"/>
      <w:marBottom w:val="0"/>
      <w:divBdr>
        <w:top w:val="none" w:sz="0" w:space="0" w:color="auto"/>
        <w:left w:val="none" w:sz="0" w:space="0" w:color="auto"/>
        <w:bottom w:val="none" w:sz="0" w:space="0" w:color="auto"/>
        <w:right w:val="none" w:sz="0" w:space="0" w:color="auto"/>
      </w:divBdr>
    </w:div>
    <w:div w:id="1022784567">
      <w:bodyDiv w:val="1"/>
      <w:marLeft w:val="0"/>
      <w:marRight w:val="0"/>
      <w:marTop w:val="0"/>
      <w:marBottom w:val="0"/>
      <w:divBdr>
        <w:top w:val="none" w:sz="0" w:space="0" w:color="auto"/>
        <w:left w:val="none" w:sz="0" w:space="0" w:color="auto"/>
        <w:bottom w:val="none" w:sz="0" w:space="0" w:color="auto"/>
        <w:right w:val="none" w:sz="0" w:space="0" w:color="auto"/>
      </w:divBdr>
    </w:div>
    <w:div w:id="1075055983">
      <w:bodyDiv w:val="1"/>
      <w:marLeft w:val="0"/>
      <w:marRight w:val="0"/>
      <w:marTop w:val="0"/>
      <w:marBottom w:val="0"/>
      <w:divBdr>
        <w:top w:val="none" w:sz="0" w:space="0" w:color="auto"/>
        <w:left w:val="none" w:sz="0" w:space="0" w:color="auto"/>
        <w:bottom w:val="none" w:sz="0" w:space="0" w:color="auto"/>
        <w:right w:val="none" w:sz="0" w:space="0" w:color="auto"/>
      </w:divBdr>
    </w:div>
    <w:div w:id="1086339496">
      <w:bodyDiv w:val="1"/>
      <w:marLeft w:val="0"/>
      <w:marRight w:val="0"/>
      <w:marTop w:val="0"/>
      <w:marBottom w:val="0"/>
      <w:divBdr>
        <w:top w:val="none" w:sz="0" w:space="0" w:color="auto"/>
        <w:left w:val="none" w:sz="0" w:space="0" w:color="auto"/>
        <w:bottom w:val="none" w:sz="0" w:space="0" w:color="auto"/>
        <w:right w:val="none" w:sz="0" w:space="0" w:color="auto"/>
      </w:divBdr>
    </w:div>
    <w:div w:id="1161503946">
      <w:bodyDiv w:val="1"/>
      <w:marLeft w:val="0"/>
      <w:marRight w:val="0"/>
      <w:marTop w:val="0"/>
      <w:marBottom w:val="0"/>
      <w:divBdr>
        <w:top w:val="none" w:sz="0" w:space="0" w:color="auto"/>
        <w:left w:val="none" w:sz="0" w:space="0" w:color="auto"/>
        <w:bottom w:val="none" w:sz="0" w:space="0" w:color="auto"/>
        <w:right w:val="none" w:sz="0" w:space="0" w:color="auto"/>
      </w:divBdr>
    </w:div>
    <w:div w:id="1310090557">
      <w:bodyDiv w:val="1"/>
      <w:marLeft w:val="0"/>
      <w:marRight w:val="0"/>
      <w:marTop w:val="0"/>
      <w:marBottom w:val="0"/>
      <w:divBdr>
        <w:top w:val="none" w:sz="0" w:space="0" w:color="auto"/>
        <w:left w:val="none" w:sz="0" w:space="0" w:color="auto"/>
        <w:bottom w:val="none" w:sz="0" w:space="0" w:color="auto"/>
        <w:right w:val="none" w:sz="0" w:space="0" w:color="auto"/>
      </w:divBdr>
    </w:div>
    <w:div w:id="1323390596">
      <w:bodyDiv w:val="1"/>
      <w:marLeft w:val="0"/>
      <w:marRight w:val="0"/>
      <w:marTop w:val="0"/>
      <w:marBottom w:val="0"/>
      <w:divBdr>
        <w:top w:val="none" w:sz="0" w:space="0" w:color="auto"/>
        <w:left w:val="none" w:sz="0" w:space="0" w:color="auto"/>
        <w:bottom w:val="none" w:sz="0" w:space="0" w:color="auto"/>
        <w:right w:val="none" w:sz="0" w:space="0" w:color="auto"/>
      </w:divBdr>
    </w:div>
    <w:div w:id="1336415719">
      <w:bodyDiv w:val="1"/>
      <w:marLeft w:val="0"/>
      <w:marRight w:val="0"/>
      <w:marTop w:val="0"/>
      <w:marBottom w:val="0"/>
      <w:divBdr>
        <w:top w:val="none" w:sz="0" w:space="0" w:color="auto"/>
        <w:left w:val="none" w:sz="0" w:space="0" w:color="auto"/>
        <w:bottom w:val="none" w:sz="0" w:space="0" w:color="auto"/>
        <w:right w:val="none" w:sz="0" w:space="0" w:color="auto"/>
      </w:divBdr>
    </w:div>
    <w:div w:id="1341395003">
      <w:bodyDiv w:val="1"/>
      <w:marLeft w:val="0"/>
      <w:marRight w:val="0"/>
      <w:marTop w:val="0"/>
      <w:marBottom w:val="0"/>
      <w:divBdr>
        <w:top w:val="none" w:sz="0" w:space="0" w:color="auto"/>
        <w:left w:val="none" w:sz="0" w:space="0" w:color="auto"/>
        <w:bottom w:val="none" w:sz="0" w:space="0" w:color="auto"/>
        <w:right w:val="none" w:sz="0" w:space="0" w:color="auto"/>
      </w:divBdr>
    </w:div>
    <w:div w:id="1359620346">
      <w:bodyDiv w:val="1"/>
      <w:marLeft w:val="0"/>
      <w:marRight w:val="0"/>
      <w:marTop w:val="0"/>
      <w:marBottom w:val="0"/>
      <w:divBdr>
        <w:top w:val="none" w:sz="0" w:space="0" w:color="auto"/>
        <w:left w:val="none" w:sz="0" w:space="0" w:color="auto"/>
        <w:bottom w:val="none" w:sz="0" w:space="0" w:color="auto"/>
        <w:right w:val="none" w:sz="0" w:space="0" w:color="auto"/>
      </w:divBdr>
    </w:div>
    <w:div w:id="1393121341">
      <w:bodyDiv w:val="1"/>
      <w:marLeft w:val="0"/>
      <w:marRight w:val="0"/>
      <w:marTop w:val="0"/>
      <w:marBottom w:val="0"/>
      <w:divBdr>
        <w:top w:val="none" w:sz="0" w:space="0" w:color="auto"/>
        <w:left w:val="none" w:sz="0" w:space="0" w:color="auto"/>
        <w:bottom w:val="none" w:sz="0" w:space="0" w:color="auto"/>
        <w:right w:val="none" w:sz="0" w:space="0" w:color="auto"/>
      </w:divBdr>
    </w:div>
    <w:div w:id="1426146466">
      <w:bodyDiv w:val="1"/>
      <w:marLeft w:val="0"/>
      <w:marRight w:val="0"/>
      <w:marTop w:val="0"/>
      <w:marBottom w:val="0"/>
      <w:divBdr>
        <w:top w:val="none" w:sz="0" w:space="0" w:color="auto"/>
        <w:left w:val="none" w:sz="0" w:space="0" w:color="auto"/>
        <w:bottom w:val="none" w:sz="0" w:space="0" w:color="auto"/>
        <w:right w:val="none" w:sz="0" w:space="0" w:color="auto"/>
      </w:divBdr>
    </w:div>
    <w:div w:id="1449202163">
      <w:bodyDiv w:val="1"/>
      <w:marLeft w:val="0"/>
      <w:marRight w:val="0"/>
      <w:marTop w:val="0"/>
      <w:marBottom w:val="0"/>
      <w:divBdr>
        <w:top w:val="none" w:sz="0" w:space="0" w:color="auto"/>
        <w:left w:val="none" w:sz="0" w:space="0" w:color="auto"/>
        <w:bottom w:val="none" w:sz="0" w:space="0" w:color="auto"/>
        <w:right w:val="none" w:sz="0" w:space="0" w:color="auto"/>
      </w:divBdr>
    </w:div>
    <w:div w:id="1455976794">
      <w:bodyDiv w:val="1"/>
      <w:marLeft w:val="0"/>
      <w:marRight w:val="0"/>
      <w:marTop w:val="0"/>
      <w:marBottom w:val="0"/>
      <w:divBdr>
        <w:top w:val="none" w:sz="0" w:space="0" w:color="auto"/>
        <w:left w:val="none" w:sz="0" w:space="0" w:color="auto"/>
        <w:bottom w:val="none" w:sz="0" w:space="0" w:color="auto"/>
        <w:right w:val="none" w:sz="0" w:space="0" w:color="auto"/>
      </w:divBdr>
    </w:div>
    <w:div w:id="1461655090">
      <w:bodyDiv w:val="1"/>
      <w:marLeft w:val="0"/>
      <w:marRight w:val="0"/>
      <w:marTop w:val="0"/>
      <w:marBottom w:val="0"/>
      <w:divBdr>
        <w:top w:val="none" w:sz="0" w:space="0" w:color="auto"/>
        <w:left w:val="none" w:sz="0" w:space="0" w:color="auto"/>
        <w:bottom w:val="none" w:sz="0" w:space="0" w:color="auto"/>
        <w:right w:val="none" w:sz="0" w:space="0" w:color="auto"/>
      </w:divBdr>
    </w:div>
    <w:div w:id="1551451846">
      <w:bodyDiv w:val="1"/>
      <w:marLeft w:val="0"/>
      <w:marRight w:val="0"/>
      <w:marTop w:val="0"/>
      <w:marBottom w:val="0"/>
      <w:divBdr>
        <w:top w:val="none" w:sz="0" w:space="0" w:color="auto"/>
        <w:left w:val="none" w:sz="0" w:space="0" w:color="auto"/>
        <w:bottom w:val="none" w:sz="0" w:space="0" w:color="auto"/>
        <w:right w:val="none" w:sz="0" w:space="0" w:color="auto"/>
      </w:divBdr>
    </w:div>
    <w:div w:id="1561359799">
      <w:bodyDiv w:val="1"/>
      <w:marLeft w:val="0"/>
      <w:marRight w:val="0"/>
      <w:marTop w:val="0"/>
      <w:marBottom w:val="0"/>
      <w:divBdr>
        <w:top w:val="none" w:sz="0" w:space="0" w:color="auto"/>
        <w:left w:val="none" w:sz="0" w:space="0" w:color="auto"/>
        <w:bottom w:val="none" w:sz="0" w:space="0" w:color="auto"/>
        <w:right w:val="none" w:sz="0" w:space="0" w:color="auto"/>
      </w:divBdr>
    </w:div>
    <w:div w:id="1598908791">
      <w:bodyDiv w:val="1"/>
      <w:marLeft w:val="0"/>
      <w:marRight w:val="0"/>
      <w:marTop w:val="0"/>
      <w:marBottom w:val="0"/>
      <w:divBdr>
        <w:top w:val="none" w:sz="0" w:space="0" w:color="auto"/>
        <w:left w:val="none" w:sz="0" w:space="0" w:color="auto"/>
        <w:bottom w:val="none" w:sz="0" w:space="0" w:color="auto"/>
        <w:right w:val="none" w:sz="0" w:space="0" w:color="auto"/>
      </w:divBdr>
    </w:div>
    <w:div w:id="1615625474">
      <w:bodyDiv w:val="1"/>
      <w:marLeft w:val="0"/>
      <w:marRight w:val="0"/>
      <w:marTop w:val="0"/>
      <w:marBottom w:val="0"/>
      <w:divBdr>
        <w:top w:val="none" w:sz="0" w:space="0" w:color="auto"/>
        <w:left w:val="none" w:sz="0" w:space="0" w:color="auto"/>
        <w:bottom w:val="none" w:sz="0" w:space="0" w:color="auto"/>
        <w:right w:val="none" w:sz="0" w:space="0" w:color="auto"/>
      </w:divBdr>
    </w:div>
    <w:div w:id="1701315823">
      <w:bodyDiv w:val="1"/>
      <w:marLeft w:val="0"/>
      <w:marRight w:val="0"/>
      <w:marTop w:val="0"/>
      <w:marBottom w:val="0"/>
      <w:divBdr>
        <w:top w:val="none" w:sz="0" w:space="0" w:color="auto"/>
        <w:left w:val="none" w:sz="0" w:space="0" w:color="auto"/>
        <w:bottom w:val="none" w:sz="0" w:space="0" w:color="auto"/>
        <w:right w:val="none" w:sz="0" w:space="0" w:color="auto"/>
      </w:divBdr>
    </w:div>
    <w:div w:id="1738166535">
      <w:bodyDiv w:val="1"/>
      <w:marLeft w:val="0"/>
      <w:marRight w:val="0"/>
      <w:marTop w:val="0"/>
      <w:marBottom w:val="0"/>
      <w:divBdr>
        <w:top w:val="none" w:sz="0" w:space="0" w:color="auto"/>
        <w:left w:val="none" w:sz="0" w:space="0" w:color="auto"/>
        <w:bottom w:val="none" w:sz="0" w:space="0" w:color="auto"/>
        <w:right w:val="none" w:sz="0" w:space="0" w:color="auto"/>
      </w:divBdr>
    </w:div>
    <w:div w:id="1774590684">
      <w:bodyDiv w:val="1"/>
      <w:marLeft w:val="0"/>
      <w:marRight w:val="0"/>
      <w:marTop w:val="0"/>
      <w:marBottom w:val="0"/>
      <w:divBdr>
        <w:top w:val="none" w:sz="0" w:space="0" w:color="auto"/>
        <w:left w:val="none" w:sz="0" w:space="0" w:color="auto"/>
        <w:bottom w:val="none" w:sz="0" w:space="0" w:color="auto"/>
        <w:right w:val="none" w:sz="0" w:space="0" w:color="auto"/>
      </w:divBdr>
    </w:div>
    <w:div w:id="1777820695">
      <w:bodyDiv w:val="1"/>
      <w:marLeft w:val="0"/>
      <w:marRight w:val="0"/>
      <w:marTop w:val="0"/>
      <w:marBottom w:val="0"/>
      <w:divBdr>
        <w:top w:val="none" w:sz="0" w:space="0" w:color="auto"/>
        <w:left w:val="none" w:sz="0" w:space="0" w:color="auto"/>
        <w:bottom w:val="none" w:sz="0" w:space="0" w:color="auto"/>
        <w:right w:val="none" w:sz="0" w:space="0" w:color="auto"/>
      </w:divBdr>
    </w:div>
    <w:div w:id="1818916787">
      <w:bodyDiv w:val="1"/>
      <w:marLeft w:val="0"/>
      <w:marRight w:val="0"/>
      <w:marTop w:val="0"/>
      <w:marBottom w:val="0"/>
      <w:divBdr>
        <w:top w:val="none" w:sz="0" w:space="0" w:color="auto"/>
        <w:left w:val="none" w:sz="0" w:space="0" w:color="auto"/>
        <w:bottom w:val="none" w:sz="0" w:space="0" w:color="auto"/>
        <w:right w:val="none" w:sz="0" w:space="0" w:color="auto"/>
      </w:divBdr>
    </w:div>
    <w:div w:id="1854108194">
      <w:bodyDiv w:val="1"/>
      <w:marLeft w:val="0"/>
      <w:marRight w:val="0"/>
      <w:marTop w:val="0"/>
      <w:marBottom w:val="0"/>
      <w:divBdr>
        <w:top w:val="none" w:sz="0" w:space="0" w:color="auto"/>
        <w:left w:val="none" w:sz="0" w:space="0" w:color="auto"/>
        <w:bottom w:val="none" w:sz="0" w:space="0" w:color="auto"/>
        <w:right w:val="none" w:sz="0" w:space="0" w:color="auto"/>
      </w:divBdr>
    </w:div>
    <w:div w:id="1898054605">
      <w:bodyDiv w:val="1"/>
      <w:marLeft w:val="0"/>
      <w:marRight w:val="0"/>
      <w:marTop w:val="0"/>
      <w:marBottom w:val="0"/>
      <w:divBdr>
        <w:top w:val="none" w:sz="0" w:space="0" w:color="auto"/>
        <w:left w:val="none" w:sz="0" w:space="0" w:color="auto"/>
        <w:bottom w:val="none" w:sz="0" w:space="0" w:color="auto"/>
        <w:right w:val="none" w:sz="0" w:space="0" w:color="auto"/>
      </w:divBdr>
    </w:div>
    <w:div w:id="1917787954">
      <w:bodyDiv w:val="1"/>
      <w:marLeft w:val="0"/>
      <w:marRight w:val="0"/>
      <w:marTop w:val="0"/>
      <w:marBottom w:val="0"/>
      <w:divBdr>
        <w:top w:val="none" w:sz="0" w:space="0" w:color="auto"/>
        <w:left w:val="none" w:sz="0" w:space="0" w:color="auto"/>
        <w:bottom w:val="none" w:sz="0" w:space="0" w:color="auto"/>
        <w:right w:val="none" w:sz="0" w:space="0" w:color="auto"/>
      </w:divBdr>
    </w:div>
    <w:div w:id="1960798147">
      <w:bodyDiv w:val="1"/>
      <w:marLeft w:val="0"/>
      <w:marRight w:val="0"/>
      <w:marTop w:val="0"/>
      <w:marBottom w:val="0"/>
      <w:divBdr>
        <w:top w:val="none" w:sz="0" w:space="0" w:color="auto"/>
        <w:left w:val="none" w:sz="0" w:space="0" w:color="auto"/>
        <w:bottom w:val="none" w:sz="0" w:space="0" w:color="auto"/>
        <w:right w:val="none" w:sz="0" w:space="0" w:color="auto"/>
      </w:divBdr>
    </w:div>
    <w:div w:id="2022120666">
      <w:bodyDiv w:val="1"/>
      <w:marLeft w:val="0"/>
      <w:marRight w:val="0"/>
      <w:marTop w:val="0"/>
      <w:marBottom w:val="0"/>
      <w:divBdr>
        <w:top w:val="none" w:sz="0" w:space="0" w:color="auto"/>
        <w:left w:val="none" w:sz="0" w:space="0" w:color="auto"/>
        <w:bottom w:val="none" w:sz="0" w:space="0" w:color="auto"/>
        <w:right w:val="none" w:sz="0" w:space="0" w:color="auto"/>
      </w:divBdr>
    </w:div>
    <w:div w:id="2109692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asmina.panovska-griffiths@queens.ox.ac.uk"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Stu26</b:Tag>
    <b:SourceType>JournalArticle</b:SourceType>
    <b:Guid>{A0B9CCCC-9C48-5446-B5FB-E9E05B6E15A9}</b:Guid>
    <b:Title>Adapting HPVsim to model HPV transmission, cervical cancer diagnoses and different public health interventions in high-income countries: modelling study for England</b:Title>
    <b:JournalName>PLoS Computational Biology, IN REVIEW</b:JournalName>
    <b:Year>2026</b:Year>
    <b:Author>
      <b:Author>
        <b:NameList>
          <b:Person>
            <b:Last>Sturman</b:Last>
            <b:First>Fabian</b:First>
          </b:Person>
          <b:Person>
            <b:Last>Keenan</b:Last>
            <b:First>Sophie</b:First>
          </b:Person>
          <b:Person>
            <b:Last>Soldan</b:Last>
            <b:First>Kate</b:First>
          </b:Person>
          <b:Person>
            <b:Last>Stuart</b:Last>
            <b:First>Robyn</b:First>
          </b:Person>
          <b:Person>
            <b:Last>Lythgoe</b:Last>
            <b:First>Katrina</b:First>
          </b:Person>
          <b:Person>
            <b:Last>Panovska-Griffiths</b:Last>
            <b:First>Jasmina</b:First>
          </b:Person>
        </b:NameList>
      </b:Author>
    </b:Author>
    <b:RefOrder>2</b:RefOrder>
  </b:Source>
  <b:Source>
    <b:Tag>NHS26</b:Tag>
    <b:SourceType>InternetSite</b:SourceType>
    <b:Guid>{A1F83331-85EB-1246-965B-A21C6F7AD314}</b:Guid>
    <b:Title>Cancer Registrations Statistics, England</b:Title>
    <b:Author>
      <b:Author>
        <b:Corporate>NHS England</b:Corporate>
      </b:Author>
    </b:Author>
    <b:URL>https://digital.nhs.uk/data-and-information/publications/statistical/cancer-registration-statistics</b:URL>
    <b:YearAccessed>2026</b:YearAccessed>
    <b:MonthAccessed>04</b:MonthAccessed>
    <b:DayAccessed>04</b:DayAccessed>
    <b:RefOrder>6</b:RefOrder>
  </b:Source>
  <b:Source>
    <b:Tag>Mes14</b:Tag>
    <b:SourceType>JournalArticle</b:SourceType>
    <b:Guid>{F45126AF-0951-7948-AFEB-79E5A59F81D4}</b:Guid>
    <b:Title>Type-specific HPV prevalence in invasive cervical cancer in the UK prior to national HPV immunisation programme: baseline for monitoring the effects of immunisation</b:Title>
    <b:JournalName>Journal of Clinical Pathology</b:JournalName>
    <b:Year>2014</b:Year>
    <b:Volume>68</b:Volume>
    <b:Issue>2</b:Issue>
    <b:Author>
      <b:Author>
        <b:NameList>
          <b:Person>
            <b:Last>Mesher</b:Last>
            <b:First>David</b:First>
          </b:Person>
          <b:Person>
            <b:Last>Cuschieri</b:Last>
            <b:First>Kate</b:First>
          </b:Person>
          <b:Person>
            <b:Last>Hubbitts</b:Last>
            <b:First>Sam</b:First>
          </b:Person>
          <b:Person>
            <b:Last>Jamison</b:Last>
            <b:First>Jackie</b:First>
          </b:Person>
          <b:Person>
            <b:Last>Sargent</b:Last>
            <b:First>Alex</b:First>
          </b:Person>
          <b:Person>
            <b:Last>Pollock</b:Last>
            <b:First>Kevin</b:First>
          </b:Person>
          <b:Person>
            <b:Last>Powell</b:Last>
            <b:First>Ned</b:First>
          </b:Person>
          <b:Person>
            <b:Last>Wilson</b:Last>
            <b:First>Robbie</b:First>
          </b:Person>
          <b:Person>
            <b:Last>McCall</b:Last>
            <b:First>Fiona</b:First>
          </b:Person>
          <b:Person>
            <b:Last>Fiander</b:Last>
            <b:First>Alison</b:First>
          </b:Person>
          <b:Person>
            <b:Last>Soldan</b:Last>
            <b:First>Kate</b:First>
          </b:Person>
        </b:NameList>
      </b:Author>
    </b:Author>
    <b:RefOrder>5</b:RefOrder>
  </b:Source>
  <b:Source>
    <b:Tag>Gil25</b:Tag>
    <b:SourceType>JournalArticle</b:SourceType>
    <b:Guid>{18C98324-3C16-994D-A400-D769C9E72F37}</b:Guid>
    <b:Title>Is elimination of cervical cancer in sight in England?</b:Title>
    <b:Year>2025</b:Year>
    <b:JournalName>Preventive Medicine</b:JournalName>
    <b:Volume>191</b:Volume>
    <b:Author>
      <b:Author>
        <b:NameList>
          <b:Person>
            <b:Last>Gilham</b:Last>
            <b:First>Clare</b:First>
          </b:Person>
          <b:Person>
            <b:Last>Peto</b:Last>
            <b:First>Julian</b:First>
          </b:Person>
        </b:NameList>
      </b:Author>
    </b:Author>
    <b:RefOrder>4</b:RefOrder>
  </b:Source>
  <b:Source>
    <b:Tag>Stu261</b:Tag>
    <b:SourceType>JournalArticle</b:SourceType>
    <b:Guid>{5DD25A00-DF44-1045-93A4-ABCF4539B7F8}</b:Guid>
    <b:Title>Adapting the frequency of cervical screening to individual HPV vaccination status: an agent-based modelling study for England</b:Title>
    <b:JournalName>Nature Medicine, IN REVIEW</b:JournalName>
    <b:Year>2026</b:Year>
    <b:Author>
      <b:Author>
        <b:NameList>
          <b:Person>
            <b:Last>Sturman</b:Last>
            <b:First>Fabian</b:First>
          </b:Person>
          <b:Person>
            <b:Last>Keenan</b:Last>
            <b:First>Sophie</b:First>
          </b:Person>
          <b:Person>
            <b:Last>Soldan</b:Last>
            <b:First>Kate</b:First>
          </b:Person>
          <b:Person>
            <b:Last>Stuart</b:Last>
            <b:First>Robyn</b:First>
          </b:Person>
          <b:Person>
            <b:Last>Lythgoe</b:Last>
            <b:First>Katrina</b:First>
          </b:Person>
          <b:Person>
            <b:Last>Panovska-Griffiths</b:Last>
            <b:First>Jasmina</b:First>
          </b:Person>
        </b:NameList>
      </b:Author>
    </b:Author>
    <b:RefOrder>1</b:RefOrder>
  </b:Source>
  <b:Source>
    <b:Tag>Stu</b:Tag>
    <b:SourceType>InternetSite</b:SourceType>
    <b:Guid>{193CBFFF-2FE4-BC4F-80F5-46C1D05298DF}</b:Guid>
    <b:Title>Project Code Repository</b:Title>
    <b:URL>https://github.com/fabiansturman/HPVScreeningProject/</b:URL>
    <b:Author>
      <b:Author>
        <b:NameList>
          <b:Person>
            <b:Last>Sturman</b:Last>
            <b:First>Fabian</b:First>
          </b:Person>
          <b:Person>
            <b:Last>Keenan</b:Last>
            <b:First>Sophie</b:First>
          </b:Person>
          <b:Person>
            <b:Last>Soldan</b:Last>
            <b:First>Kate</b:First>
          </b:Person>
          <b:Person>
            <b:Last>Stuart</b:Last>
            <b:First>Robyn</b:First>
          </b:Person>
          <b:Person>
            <b:Last>Lythgoe</b:Last>
            <b:First>Katrina</b:First>
          </b:Person>
          <b:Person>
            <b:Last>Panovska-Griffiths</b:Last>
            <b:First>Jasmina</b:First>
          </b:Person>
        </b:NameList>
      </b:Author>
    </b:Author>
    <b:RefOrder>3</b:RefOrder>
  </b:Source>
</b:Sources>
</file>

<file path=customXml/itemProps1.xml><?xml version="1.0" encoding="utf-8"?>
<ds:datastoreItem xmlns:ds="http://schemas.openxmlformats.org/officeDocument/2006/customXml" ds:itemID="{BD2A191F-B5A9-1846-A277-1DD2CFB81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10</Pages>
  <Words>3162</Words>
  <Characters>19196</Characters>
  <Application>Microsoft Office Word</Application>
  <DocSecurity>0</DocSecurity>
  <Lines>314</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Sturman</dc:creator>
  <cp:keywords/>
  <dc:description/>
  <cp:lastModifiedBy>Fabian Sturman</cp:lastModifiedBy>
  <cp:revision>16</cp:revision>
  <dcterms:created xsi:type="dcterms:W3CDTF">2026-09-25T19:04:00Z</dcterms:created>
  <dcterms:modified xsi:type="dcterms:W3CDTF">2026-09-26T15:49:00Z</dcterms:modified>
  <cp:category/>
</cp:coreProperties>
</file>