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F8FECB" w14:textId="59D40C7E" w:rsidR="00815E1D" w:rsidRPr="00855381" w:rsidRDefault="008710ED" w:rsidP="008710ED">
      <w:pPr>
        <w:pStyle w:val="Title"/>
        <w:rPr>
          <w:rFonts w:ascii="Aptos" w:hAnsi="Aptos"/>
        </w:rPr>
      </w:pPr>
      <w:r w:rsidRPr="00855381">
        <w:rPr>
          <w:rFonts w:ascii="Aptos" w:hAnsi="Aptos"/>
        </w:rPr>
        <w:t>Supplementary Materials</w:t>
      </w:r>
      <w:r w:rsidR="00FB196E" w:rsidRPr="00855381">
        <w:rPr>
          <w:rFonts w:ascii="Aptos" w:hAnsi="Aptos"/>
        </w:rPr>
        <w:t xml:space="preserve"> Index</w:t>
      </w:r>
    </w:p>
    <w:p w14:paraId="33005CA2" w14:textId="03B1A827" w:rsidR="00FB196E" w:rsidRPr="00855381" w:rsidRDefault="00FB196E" w:rsidP="00FB196E">
      <w:pPr>
        <w:pStyle w:val="Heading1"/>
        <w:rPr>
          <w:rFonts w:ascii="Aptos" w:hAnsi="Aptos"/>
        </w:rPr>
      </w:pPr>
      <w:r w:rsidRPr="00855381">
        <w:rPr>
          <w:rFonts w:ascii="Aptos" w:hAnsi="Aptos"/>
        </w:rPr>
        <w:t>File Directory for Supplementary Materials</w:t>
      </w:r>
    </w:p>
    <w:p w14:paraId="18C115D9" w14:textId="69C3A107" w:rsidR="00FB196E" w:rsidRPr="00855381" w:rsidRDefault="00FB196E" w:rsidP="00FB196E">
      <w:pPr>
        <w:pStyle w:val="ListParagraph"/>
        <w:numPr>
          <w:ilvl w:val="0"/>
          <w:numId w:val="3"/>
        </w:numPr>
        <w:rPr>
          <w:rFonts w:ascii="Aptos" w:hAnsi="Aptos"/>
        </w:rPr>
      </w:pPr>
      <w:r w:rsidRPr="00855381">
        <w:rPr>
          <w:rFonts w:ascii="Aptos" w:hAnsi="Aptos"/>
        </w:rPr>
        <w:t>This file (</w:t>
      </w:r>
      <w:proofErr w:type="spellStart"/>
      <w:r w:rsidRPr="00855381">
        <w:rPr>
          <w:rFonts w:ascii="Aptos" w:hAnsi="Aptos"/>
          <w:i/>
          <w:iCs/>
        </w:rPr>
        <w:t>SM_Index</w:t>
      </w:r>
      <w:proofErr w:type="spellEnd"/>
      <w:r w:rsidRPr="00855381">
        <w:rPr>
          <w:rFonts w:ascii="Aptos" w:hAnsi="Aptos"/>
          <w:i/>
          <w:iCs/>
        </w:rPr>
        <w:t>)</w:t>
      </w:r>
      <w:r w:rsidRPr="00855381">
        <w:rPr>
          <w:rFonts w:ascii="Aptos" w:hAnsi="Aptos"/>
        </w:rPr>
        <w:t>:</w:t>
      </w:r>
    </w:p>
    <w:p w14:paraId="197FD8B8" w14:textId="04099FC5" w:rsidR="00FB196E" w:rsidRPr="00855381" w:rsidRDefault="00FB196E" w:rsidP="00FB196E">
      <w:pPr>
        <w:pStyle w:val="ListParagraph"/>
        <w:numPr>
          <w:ilvl w:val="1"/>
          <w:numId w:val="3"/>
        </w:numPr>
        <w:rPr>
          <w:rFonts w:ascii="Aptos" w:hAnsi="Aptos"/>
        </w:rPr>
      </w:pPr>
      <w:r w:rsidRPr="00855381">
        <w:rPr>
          <w:rFonts w:ascii="Aptos" w:hAnsi="Aptos"/>
        </w:rPr>
        <w:t>Additional notes on method</w:t>
      </w:r>
      <w:r w:rsidR="00AD4C5D" w:rsidRPr="00855381">
        <w:rPr>
          <w:rFonts w:ascii="Aptos" w:hAnsi="Aptos"/>
        </w:rPr>
        <w:t>, results,</w:t>
      </w:r>
      <w:r w:rsidRPr="00855381">
        <w:rPr>
          <w:rFonts w:ascii="Aptos" w:hAnsi="Aptos"/>
        </w:rPr>
        <w:t xml:space="preserve"> and interpretation of results</w:t>
      </w:r>
    </w:p>
    <w:p w14:paraId="00A2F959" w14:textId="3A69EBAD" w:rsidR="00FB196E" w:rsidRPr="00855381" w:rsidRDefault="00FB196E" w:rsidP="00FB196E">
      <w:pPr>
        <w:pStyle w:val="ListParagraph"/>
        <w:numPr>
          <w:ilvl w:val="1"/>
          <w:numId w:val="3"/>
        </w:numPr>
        <w:rPr>
          <w:rFonts w:ascii="Aptos" w:hAnsi="Aptos"/>
        </w:rPr>
      </w:pPr>
      <w:r w:rsidRPr="00855381">
        <w:rPr>
          <w:rFonts w:ascii="Aptos" w:hAnsi="Aptos"/>
        </w:rPr>
        <w:t>Link to source code repository</w:t>
      </w:r>
    </w:p>
    <w:p w14:paraId="1F2418C8" w14:textId="3A6CBA55" w:rsidR="00FB196E" w:rsidRPr="00855381" w:rsidRDefault="00FB196E" w:rsidP="00FB196E">
      <w:pPr>
        <w:pStyle w:val="ListParagraph"/>
        <w:numPr>
          <w:ilvl w:val="1"/>
          <w:numId w:val="3"/>
        </w:numPr>
        <w:rPr>
          <w:rFonts w:ascii="Aptos" w:hAnsi="Aptos"/>
        </w:rPr>
      </w:pPr>
      <w:r w:rsidRPr="00855381">
        <w:rPr>
          <w:rFonts w:ascii="Aptos" w:hAnsi="Aptos"/>
        </w:rPr>
        <w:t xml:space="preserve">Details on sensitivity analyses, including their indices </w:t>
      </w:r>
      <w:proofErr w:type="gramStart"/>
      <w:r w:rsidRPr="00855381">
        <w:rPr>
          <w:rFonts w:ascii="Aptos" w:hAnsi="Aptos"/>
        </w:rPr>
        <w:t>0,…</w:t>
      </w:r>
      <w:proofErr w:type="gramEnd"/>
      <w:r w:rsidRPr="00855381">
        <w:rPr>
          <w:rFonts w:ascii="Aptos" w:hAnsi="Aptos"/>
        </w:rPr>
        <w:t>,6</w:t>
      </w:r>
    </w:p>
    <w:p w14:paraId="368A8AD9" w14:textId="5894A646" w:rsidR="00FB196E" w:rsidRPr="00855381" w:rsidRDefault="00FB196E" w:rsidP="00FB196E">
      <w:pPr>
        <w:pStyle w:val="ListParagraph"/>
        <w:numPr>
          <w:ilvl w:val="0"/>
          <w:numId w:val="3"/>
        </w:numPr>
        <w:rPr>
          <w:rFonts w:ascii="Aptos" w:hAnsi="Aptos"/>
        </w:rPr>
      </w:pPr>
      <w:proofErr w:type="spellStart"/>
      <w:r w:rsidRPr="00855381">
        <w:rPr>
          <w:rFonts w:ascii="Aptos" w:hAnsi="Aptos"/>
          <w:i/>
          <w:iCs/>
        </w:rPr>
        <w:t>SM_Calibration</w:t>
      </w:r>
      <w:proofErr w:type="spellEnd"/>
      <w:r w:rsidRPr="00855381">
        <w:rPr>
          <w:rFonts w:ascii="Aptos" w:hAnsi="Aptos"/>
          <w:i/>
          <w:iCs/>
        </w:rPr>
        <w:t>:</w:t>
      </w:r>
    </w:p>
    <w:p w14:paraId="0F07F682" w14:textId="33AB5331" w:rsidR="00FB196E" w:rsidRPr="00855381" w:rsidRDefault="00FB196E" w:rsidP="00FB196E">
      <w:pPr>
        <w:pStyle w:val="ListParagraph"/>
        <w:numPr>
          <w:ilvl w:val="1"/>
          <w:numId w:val="3"/>
        </w:numPr>
        <w:rPr>
          <w:rFonts w:ascii="Aptos" w:hAnsi="Aptos"/>
        </w:rPr>
      </w:pPr>
      <w:r w:rsidRPr="00855381">
        <w:rPr>
          <w:rFonts w:ascii="Aptos" w:hAnsi="Aptos"/>
        </w:rPr>
        <w:t>Detailed calibration results for each sensitivity analysis</w:t>
      </w:r>
    </w:p>
    <w:p w14:paraId="67F486A2" w14:textId="43EEDE64" w:rsidR="00FB196E" w:rsidRPr="00855381" w:rsidRDefault="00FB196E" w:rsidP="00FB196E">
      <w:pPr>
        <w:pStyle w:val="ListParagraph"/>
        <w:numPr>
          <w:ilvl w:val="0"/>
          <w:numId w:val="3"/>
        </w:numPr>
        <w:rPr>
          <w:rFonts w:ascii="Aptos" w:hAnsi="Aptos"/>
        </w:rPr>
      </w:pPr>
      <w:proofErr w:type="spellStart"/>
      <w:r w:rsidRPr="00855381">
        <w:rPr>
          <w:rFonts w:ascii="Aptos" w:hAnsi="Aptos"/>
          <w:i/>
          <w:iCs/>
        </w:rPr>
        <w:t>SM_</w:t>
      </w:r>
      <w:r w:rsidR="00B74186" w:rsidRPr="00855381">
        <w:rPr>
          <w:rFonts w:ascii="Aptos" w:hAnsi="Aptos"/>
          <w:i/>
          <w:iCs/>
        </w:rPr>
        <w:t>Results</w:t>
      </w:r>
      <w:proofErr w:type="spellEnd"/>
      <w:r w:rsidR="00B74186" w:rsidRPr="00855381">
        <w:rPr>
          <w:rFonts w:ascii="Aptos" w:hAnsi="Aptos"/>
          <w:i/>
          <w:iCs/>
        </w:rPr>
        <w:t>_</w:t>
      </w:r>
      <w:r w:rsidRPr="00855381">
        <w:rPr>
          <w:rFonts w:ascii="Aptos" w:hAnsi="Aptos"/>
          <w:i/>
          <w:iCs/>
        </w:rPr>
        <w:t>{x}</w:t>
      </w:r>
      <w:r w:rsidRPr="00855381">
        <w:rPr>
          <w:rFonts w:ascii="Aptos" w:hAnsi="Aptos"/>
        </w:rPr>
        <w:t xml:space="preserve"> for </w:t>
      </w:r>
      <w:r w:rsidRPr="00855381">
        <w:rPr>
          <w:rFonts w:ascii="Aptos" w:hAnsi="Aptos"/>
          <w:i/>
          <w:iCs/>
        </w:rPr>
        <w:t>x=</w:t>
      </w:r>
      <w:proofErr w:type="gramStart"/>
      <w:r w:rsidR="00604E65" w:rsidRPr="00855381">
        <w:rPr>
          <w:rFonts w:ascii="Aptos" w:hAnsi="Aptos"/>
          <w:i/>
          <w:iCs/>
        </w:rPr>
        <w:t>0</w:t>
      </w:r>
      <w:r w:rsidRPr="00855381">
        <w:rPr>
          <w:rFonts w:ascii="Aptos" w:hAnsi="Aptos"/>
          <w:i/>
          <w:iCs/>
        </w:rPr>
        <w:t>,1,…</w:t>
      </w:r>
      <w:proofErr w:type="gramEnd"/>
      <w:r w:rsidRPr="00855381">
        <w:rPr>
          <w:rFonts w:ascii="Aptos" w:hAnsi="Aptos"/>
          <w:i/>
          <w:iCs/>
        </w:rPr>
        <w:t>,6</w:t>
      </w:r>
    </w:p>
    <w:p w14:paraId="2716F91F" w14:textId="2614F646" w:rsidR="00FB196E" w:rsidRPr="00855381" w:rsidRDefault="00FB196E" w:rsidP="00FB196E">
      <w:pPr>
        <w:pStyle w:val="ListParagraph"/>
        <w:numPr>
          <w:ilvl w:val="1"/>
          <w:numId w:val="3"/>
        </w:numPr>
        <w:rPr>
          <w:rFonts w:ascii="Aptos" w:hAnsi="Aptos"/>
        </w:rPr>
      </w:pPr>
      <w:r w:rsidRPr="00855381">
        <w:rPr>
          <w:rFonts w:ascii="Aptos" w:hAnsi="Aptos"/>
        </w:rPr>
        <w:t xml:space="preserve">Detailed results for </w:t>
      </w:r>
      <w:r w:rsidR="00604E65" w:rsidRPr="00855381">
        <w:rPr>
          <w:rFonts w:ascii="Aptos" w:hAnsi="Aptos"/>
        </w:rPr>
        <w:t xml:space="preserve">base case and </w:t>
      </w:r>
      <w:r w:rsidRPr="00855381">
        <w:rPr>
          <w:rFonts w:ascii="Aptos" w:hAnsi="Aptos"/>
        </w:rPr>
        <w:t xml:space="preserve">each sensitivity analysis </w:t>
      </w:r>
    </w:p>
    <w:p w14:paraId="0D9113AD" w14:textId="7AADFB95" w:rsidR="00BF7C11" w:rsidRPr="00855381" w:rsidRDefault="00BF7C11" w:rsidP="00BF7C11">
      <w:pPr>
        <w:pStyle w:val="ListParagraph"/>
        <w:numPr>
          <w:ilvl w:val="0"/>
          <w:numId w:val="3"/>
        </w:numPr>
        <w:rPr>
          <w:rFonts w:ascii="Aptos" w:hAnsi="Aptos"/>
          <w:i/>
          <w:iCs/>
        </w:rPr>
      </w:pPr>
      <w:proofErr w:type="spellStart"/>
      <w:r w:rsidRPr="00855381">
        <w:rPr>
          <w:rFonts w:ascii="Aptos" w:hAnsi="Aptos"/>
          <w:i/>
          <w:iCs/>
        </w:rPr>
        <w:t>T_Test_Results</w:t>
      </w:r>
      <w:proofErr w:type="spellEnd"/>
    </w:p>
    <w:p w14:paraId="385744CD" w14:textId="77777777" w:rsidR="00AD4C5D" w:rsidRPr="00855381" w:rsidRDefault="00BF7C11" w:rsidP="00AD4C5D">
      <w:pPr>
        <w:pStyle w:val="ListParagraph"/>
        <w:numPr>
          <w:ilvl w:val="1"/>
          <w:numId w:val="3"/>
        </w:numPr>
        <w:rPr>
          <w:rFonts w:ascii="Aptos" w:hAnsi="Aptos"/>
        </w:rPr>
      </w:pPr>
      <w:r w:rsidRPr="00855381">
        <w:rPr>
          <w:rFonts w:ascii="Aptos" w:hAnsi="Aptos"/>
        </w:rPr>
        <w:t>T-Test results for all comparisons in terms of cervical cancer incidence (CCI) and long-term undiagnosed prevalence (LTUP) across all sensitivity analyses in 2040 and 2050.</w:t>
      </w:r>
    </w:p>
    <w:p w14:paraId="23214836" w14:textId="77777777" w:rsidR="00AD4C5D" w:rsidRPr="00855381" w:rsidRDefault="00AD4C5D" w:rsidP="00AD4C5D">
      <w:pPr>
        <w:rPr>
          <w:rFonts w:ascii="Aptos" w:hAnsi="Aptos"/>
        </w:rPr>
      </w:pPr>
    </w:p>
    <w:p w14:paraId="4CE61744" w14:textId="68B92DDC" w:rsidR="00F61CF1" w:rsidRPr="00855381" w:rsidRDefault="00F61CF1" w:rsidP="00AD4C5D">
      <w:pPr>
        <w:pStyle w:val="Heading1"/>
        <w:rPr>
          <w:rFonts w:ascii="Aptos" w:hAnsi="Aptos"/>
        </w:rPr>
      </w:pPr>
      <w:r w:rsidRPr="00855381">
        <w:rPr>
          <w:rFonts w:ascii="Aptos" w:hAnsi="Aptos"/>
        </w:rPr>
        <w:t>Scoping Review</w:t>
      </w:r>
    </w:p>
    <w:p w14:paraId="68D6C5C8" w14:textId="410E8CCF" w:rsidR="00F61CF1" w:rsidRPr="00855381" w:rsidRDefault="00F61CF1" w:rsidP="00F61CF1">
      <w:pPr>
        <w:rPr>
          <w:rFonts w:ascii="Aptos" w:hAnsi="Aptos"/>
        </w:rPr>
      </w:pPr>
      <w:r w:rsidRPr="00855381">
        <w:rPr>
          <w:rFonts w:ascii="Aptos" w:hAnsi="Aptos"/>
        </w:rPr>
        <w:t xml:space="preserve">We searched on PUBMED for </w:t>
      </w:r>
      <w:r w:rsidRPr="00855381">
        <w:rPr>
          <w:rFonts w:ascii="Aptos" w:hAnsi="Aptos"/>
          <w:i/>
          <w:iCs/>
        </w:rPr>
        <w:t>(((cervical cancer) OR (cervical screening)) AND (model*)) AND ((England) OR (</w:t>
      </w:r>
      <w:proofErr w:type="gramStart"/>
      <w:r w:rsidRPr="00855381">
        <w:rPr>
          <w:rFonts w:ascii="Aptos" w:hAnsi="Aptos"/>
          <w:i/>
          <w:iCs/>
        </w:rPr>
        <w:t>united kingdom</w:t>
      </w:r>
      <w:proofErr w:type="gramEnd"/>
      <w:r w:rsidRPr="00855381">
        <w:rPr>
          <w:rFonts w:ascii="Aptos" w:hAnsi="Aptos"/>
          <w:i/>
          <w:iCs/>
        </w:rPr>
        <w:t>) OR (UK)) AND (</w:t>
      </w:r>
      <w:proofErr w:type="spellStart"/>
      <w:r w:rsidRPr="00855381">
        <w:rPr>
          <w:rFonts w:ascii="Aptos" w:hAnsi="Aptos"/>
          <w:i/>
          <w:iCs/>
        </w:rPr>
        <w:t>vaccin</w:t>
      </w:r>
      <w:proofErr w:type="spellEnd"/>
      <w:r w:rsidRPr="00855381">
        <w:rPr>
          <w:rFonts w:ascii="Aptos" w:hAnsi="Aptos"/>
          <w:i/>
          <w:iCs/>
        </w:rPr>
        <w:t>*)</w:t>
      </w:r>
      <w:r w:rsidRPr="00855381">
        <w:rPr>
          <w:rFonts w:ascii="Aptos" w:hAnsi="Aptos"/>
        </w:rPr>
        <w:t>, to find for papers which consider screening in the context of vaccination status within England, with articles from the last 10 years. We repeated this search without the England/</w:t>
      </w:r>
      <w:proofErr w:type="gramStart"/>
      <w:r w:rsidRPr="00855381">
        <w:rPr>
          <w:rFonts w:ascii="Aptos" w:hAnsi="Aptos"/>
        </w:rPr>
        <w:t>united kingdom</w:t>
      </w:r>
      <w:proofErr w:type="gramEnd"/>
      <w:r w:rsidRPr="00855381">
        <w:rPr>
          <w:rFonts w:ascii="Aptos" w:hAnsi="Aptos"/>
        </w:rPr>
        <w:t xml:space="preserve">/UK clause. For found article, we also checked all sources cited by/citing that </w:t>
      </w:r>
      <w:r w:rsidR="00042959" w:rsidRPr="00855381">
        <w:rPr>
          <w:rFonts w:ascii="Aptos" w:hAnsi="Aptos"/>
        </w:rPr>
        <w:t>article</w:t>
      </w:r>
      <w:r w:rsidRPr="00855381">
        <w:rPr>
          <w:rFonts w:ascii="Aptos" w:hAnsi="Aptos"/>
        </w:rPr>
        <w:t>.</w:t>
      </w:r>
    </w:p>
    <w:p w14:paraId="24430A48" w14:textId="77777777" w:rsidR="00964018" w:rsidRPr="00855381" w:rsidRDefault="00964018" w:rsidP="00F61CF1">
      <w:pPr>
        <w:rPr>
          <w:rFonts w:ascii="Aptos" w:hAnsi="Aptos"/>
        </w:rPr>
      </w:pPr>
    </w:p>
    <w:p w14:paraId="5F56D7F5" w14:textId="0C8A7BCF" w:rsidR="00964018" w:rsidRPr="00855381" w:rsidRDefault="00964018" w:rsidP="00964018">
      <w:pPr>
        <w:pStyle w:val="Heading1"/>
        <w:rPr>
          <w:rFonts w:ascii="Aptos" w:hAnsi="Aptos"/>
        </w:rPr>
      </w:pPr>
      <w:r w:rsidRPr="00855381">
        <w:rPr>
          <w:rFonts w:ascii="Aptos" w:hAnsi="Aptos"/>
        </w:rPr>
        <w:t>On interpretation of observed and modelled cervical cancer incidence</w:t>
      </w:r>
    </w:p>
    <w:p w14:paraId="0C7647F4" w14:textId="77777777" w:rsidR="00964018" w:rsidRPr="00855381" w:rsidRDefault="00964018" w:rsidP="00964018">
      <w:pPr>
        <w:rPr>
          <w:rFonts w:ascii="Aptos" w:hAnsi="Aptos"/>
        </w:rPr>
      </w:pPr>
      <w:r w:rsidRPr="00855381">
        <w:rPr>
          <w:rFonts w:ascii="Aptos" w:hAnsi="Aptos"/>
        </w:rPr>
        <w:t>Under changing cervical screening practices, there are three distinct interpretations of `cervical cancer incidence’ (and equivalently, three options for all other cervical cancer metrics): (1) `true’ incidence (the number of individuals with cancer, whether or not the cancer has been observed), (2) observed incidence under continued 5-yearly screening, and (3) observed incidence under reduced screening. The distinction between (1) and (2) is important for accurate calibration of the model (where we need to model true, unobserved, cervical cancer incidence). The distinction between (2) and (3) is needed to rigorously evaluate counterfactuals.</w:t>
      </w:r>
    </w:p>
    <w:p w14:paraId="30B3243F" w14:textId="77777777" w:rsidR="00964018" w:rsidRPr="00855381" w:rsidRDefault="00964018" w:rsidP="00964018">
      <w:pPr>
        <w:rPr>
          <w:rFonts w:ascii="Aptos" w:hAnsi="Aptos"/>
        </w:rPr>
      </w:pPr>
    </w:p>
    <w:p w14:paraId="63825F19" w14:textId="368A21D6" w:rsidR="00964018" w:rsidRPr="00855381" w:rsidRDefault="00964018" w:rsidP="00964018">
      <w:pPr>
        <w:rPr>
          <w:rFonts w:ascii="Aptos" w:hAnsi="Aptos"/>
          <w:b/>
          <w:bCs/>
        </w:rPr>
      </w:pPr>
      <w:r w:rsidRPr="00855381">
        <w:rPr>
          <w:rFonts w:ascii="Aptos" w:hAnsi="Aptos"/>
        </w:rPr>
        <w:t xml:space="preserve">We calibrate against observed new cases of cervical cancer, which implicitly assumes this is the ground truth number of cervical cancers in the population. While it is the case that there will be undiagnosed cancers at any point in time, if we assume that the distribution of ground truth cervical cancer incidence in England changes smoothly over time (i.e. is locally stationary), and that the distribution of when a cervical cancer is diagnosed in an individual’s lifetime also changes little over the 11 years of incidence observations, then this calibration data serves as a good proxy for true cervical cancer incidence. That is, the number of unobserved cancers that are incident between timepoints \(t_1\) and \(t_2\) will be balanced by the number of incident cancers from previous timepoints that were not previously </w:t>
      </w:r>
      <w:proofErr w:type="gramStart"/>
      <w:r w:rsidRPr="00855381">
        <w:rPr>
          <w:rFonts w:ascii="Aptos" w:hAnsi="Aptos"/>
        </w:rPr>
        <w:t>observed, but</w:t>
      </w:r>
      <w:proofErr w:type="gramEnd"/>
      <w:r w:rsidRPr="00855381">
        <w:rPr>
          <w:rFonts w:ascii="Aptos" w:hAnsi="Aptos"/>
        </w:rPr>
        <w:t xml:space="preserve"> were observed in this interval. This assumption is justified in the 11-year interval in which we have calibrated data, which occurs while the vaccine-ineligible </w:t>
      </w:r>
      <w:r w:rsidR="00116E8A">
        <w:rPr>
          <w:rFonts w:ascii="Aptos" w:hAnsi="Aptos"/>
        </w:rPr>
        <w:t>cohort</w:t>
      </w:r>
      <w:r w:rsidRPr="00855381">
        <w:rPr>
          <w:rFonts w:ascii="Aptos" w:hAnsi="Aptos"/>
        </w:rPr>
        <w:t xml:space="preserve"> is highly dominant (at the end of the calibration period, year 2022, the vaccine-eligible </w:t>
      </w:r>
      <w:r w:rsidR="00116E8A">
        <w:rPr>
          <w:rFonts w:ascii="Aptos" w:hAnsi="Aptos"/>
        </w:rPr>
        <w:t>cohort</w:t>
      </w:r>
      <w:r w:rsidRPr="00855381">
        <w:rPr>
          <w:rFonts w:ascii="Aptos" w:hAnsi="Aptos"/>
        </w:rPr>
        <w:t xml:space="preserve"> is at most 27 years old; this is before a significant distribution shift that would violate our assumptions). Further we note that decreasing cervical cancer rates lead to a higher count of </w:t>
      </w:r>
      <w:r w:rsidRPr="00855381">
        <w:rPr>
          <w:rFonts w:ascii="Aptos" w:hAnsi="Aptos"/>
        </w:rPr>
        <w:lastRenderedPageBreak/>
        <w:t>late-diagnosed cancers than missed incidence, meaning any inaccuracy in our calibration will be biased towards overestimation of cervical cancers; this does not change our conclusions when comparing algorithms (relative differences between algorithms’ outcomes remain the same), but does mean any inaccuracy due to discrepancy between (1) and (2) will push towards underestimation of elimination probabilities.</w:t>
      </w:r>
    </w:p>
    <w:p w14:paraId="1B873699" w14:textId="77777777" w:rsidR="00964018" w:rsidRPr="00855381" w:rsidRDefault="00964018" w:rsidP="00964018">
      <w:pPr>
        <w:rPr>
          <w:rFonts w:ascii="Aptos" w:hAnsi="Aptos"/>
        </w:rPr>
      </w:pPr>
    </w:p>
    <w:p w14:paraId="2D46505E" w14:textId="77777777" w:rsidR="00964018" w:rsidRPr="00855381" w:rsidRDefault="00964018" w:rsidP="00964018">
      <w:pPr>
        <w:rPr>
          <w:rFonts w:ascii="Aptos" w:hAnsi="Aptos"/>
        </w:rPr>
      </w:pPr>
      <w:r w:rsidRPr="00855381">
        <w:rPr>
          <w:rFonts w:ascii="Aptos" w:hAnsi="Aptos"/>
        </w:rPr>
        <w:t xml:space="preserve">We avoid the distinction between (2) and (3) by defining cancer incidence in our model as the number of agents with cervical cancer, only making a distinction between diagnosed and undiagnosed cervical cancers in our metrics ‘long-term undiagnosed prevalence’, ‘missed cervical cancer prevalence’ and ‘screens per diagnosis’. For example, this allows us to correctly identify that the complete removal of screening for vaccinated individuals leads to a large increase in cervical cancer incidence for vaccinated individuals (where all these cancers will be `unobserved’ in terms of routine screening, which in this scenario does not cover the vaccinated subpopulation). This ensures that cervical cancer incidence metrics are not biased by different screening intensities. </w:t>
      </w:r>
    </w:p>
    <w:p w14:paraId="51C56AD0" w14:textId="77777777" w:rsidR="00964018" w:rsidRDefault="00964018" w:rsidP="00964018">
      <w:pPr>
        <w:rPr>
          <w:rFonts w:ascii="Aptos" w:hAnsi="Aptos"/>
        </w:rPr>
      </w:pPr>
    </w:p>
    <w:p w14:paraId="660B58DE" w14:textId="6FAB3DF1" w:rsidR="00043EBC" w:rsidRPr="00043EBC" w:rsidRDefault="00043EBC" w:rsidP="00043EBC">
      <w:pPr>
        <w:pStyle w:val="Heading1"/>
        <w:rPr>
          <w:rFonts w:ascii="Aptos" w:hAnsi="Aptos"/>
        </w:rPr>
      </w:pPr>
      <w:r w:rsidRPr="00043EBC">
        <w:rPr>
          <w:rFonts w:ascii="Aptos" w:hAnsi="Aptos"/>
        </w:rPr>
        <w:t xml:space="preserve">On </w:t>
      </w:r>
      <w:r>
        <w:rPr>
          <w:rFonts w:ascii="Aptos" w:hAnsi="Aptos"/>
        </w:rPr>
        <w:t>mixing</w:t>
      </w:r>
    </w:p>
    <w:p w14:paraId="5F4BDDA3" w14:textId="45150517" w:rsidR="00043EBC" w:rsidRPr="00043EBC" w:rsidRDefault="00043EBC" w:rsidP="00043EBC">
      <w:pPr>
        <w:rPr>
          <w:rFonts w:ascii="Aptos" w:hAnsi="Aptos"/>
          <w:lang w:eastAsia="en-US"/>
        </w:rPr>
      </w:pPr>
      <w:r w:rsidRPr="00043EBC">
        <w:rPr>
          <w:rFonts w:ascii="Aptos" w:hAnsi="Aptos"/>
          <w:lang w:eastAsia="en-US"/>
        </w:rPr>
        <w:t>As our model did not account for mixing associativity by vaccine uptake, it overestimated mixing effect between these two subpopulations. By observing negligible cross-effect between screening intervals of the vaccinated and unvaccinated vaccine-eligible subpopulations, even when this cross-effect is overestimated, we can further justify the use of hybrid screening strategies: the optimal screening strategies for vaccinated and unvaccinated vaccine-eligible individuals negligibly interfere with each other.</w:t>
      </w:r>
    </w:p>
    <w:p w14:paraId="1CD38D1D" w14:textId="4ABB3C67" w:rsidR="008710ED" w:rsidRPr="00855381" w:rsidRDefault="008710ED" w:rsidP="008710ED">
      <w:pPr>
        <w:pStyle w:val="Heading1"/>
        <w:rPr>
          <w:rFonts w:ascii="Aptos" w:hAnsi="Aptos"/>
        </w:rPr>
      </w:pPr>
      <w:r w:rsidRPr="00855381">
        <w:rPr>
          <w:rFonts w:ascii="Aptos" w:hAnsi="Aptos"/>
        </w:rPr>
        <w:t>Source Code</w:t>
      </w:r>
    </w:p>
    <w:p w14:paraId="5AC204FD" w14:textId="76276741" w:rsidR="008710ED" w:rsidRPr="00855381" w:rsidRDefault="008710ED" w:rsidP="008710ED">
      <w:pPr>
        <w:rPr>
          <w:rFonts w:ascii="Aptos" w:hAnsi="Aptos"/>
        </w:rPr>
      </w:pPr>
      <w:r w:rsidRPr="00855381">
        <w:rPr>
          <w:rFonts w:ascii="Aptos" w:hAnsi="Aptos"/>
        </w:rPr>
        <w:t xml:space="preserve">See </w:t>
      </w:r>
      <w:hyperlink r:id="rId6" w:history="1">
        <w:r w:rsidRPr="00855381">
          <w:rPr>
            <w:rStyle w:val="Hyperlink"/>
            <w:rFonts w:ascii="Aptos" w:hAnsi="Aptos"/>
          </w:rPr>
          <w:t>https://github.com/fabiansturman/HPVScreeningProject/</w:t>
        </w:r>
      </w:hyperlink>
      <w:r w:rsidRPr="00855381">
        <w:rPr>
          <w:rFonts w:ascii="Aptos" w:hAnsi="Aptos"/>
        </w:rPr>
        <w:t xml:space="preserve"> for code for replication of this project.</w:t>
      </w:r>
    </w:p>
    <w:p w14:paraId="27F1F698" w14:textId="77777777" w:rsidR="008710ED" w:rsidRPr="00855381" w:rsidRDefault="008710ED" w:rsidP="008710ED">
      <w:pPr>
        <w:rPr>
          <w:rFonts w:ascii="Aptos" w:hAnsi="Aptos"/>
        </w:rPr>
      </w:pPr>
    </w:p>
    <w:p w14:paraId="4956A171" w14:textId="49A87130" w:rsidR="008710ED" w:rsidRPr="00855381" w:rsidRDefault="00F025AC" w:rsidP="008710ED">
      <w:pPr>
        <w:pStyle w:val="Heading1"/>
        <w:rPr>
          <w:rFonts w:ascii="Aptos" w:hAnsi="Aptos"/>
        </w:rPr>
      </w:pPr>
      <w:r w:rsidRPr="00855381">
        <w:rPr>
          <w:rFonts w:ascii="Aptos" w:hAnsi="Aptos"/>
        </w:rPr>
        <w:t xml:space="preserve">Model Parameterisation and </w:t>
      </w:r>
      <w:r w:rsidR="008710ED" w:rsidRPr="00855381">
        <w:rPr>
          <w:rFonts w:ascii="Aptos" w:hAnsi="Aptos"/>
        </w:rPr>
        <w:t>Sensitivity Analyses</w:t>
      </w:r>
    </w:p>
    <w:p w14:paraId="6362F79B" w14:textId="5EA22809" w:rsidR="00AD4C5D" w:rsidRPr="00855381" w:rsidRDefault="00AD4C5D" w:rsidP="00AD4C5D">
      <w:pPr>
        <w:rPr>
          <w:rFonts w:ascii="Aptos" w:hAnsi="Aptos"/>
        </w:rPr>
      </w:pPr>
      <w:r w:rsidRPr="00855381">
        <w:rPr>
          <w:rFonts w:ascii="Aptos" w:hAnsi="Aptos"/>
        </w:rPr>
        <w:t xml:space="preserve">Our model parameterisation was informed by our existing work on fitting </w:t>
      </w:r>
      <w:proofErr w:type="spellStart"/>
      <w:r w:rsidRPr="00855381">
        <w:rPr>
          <w:rFonts w:ascii="Aptos" w:hAnsi="Aptos"/>
        </w:rPr>
        <w:t>HPVsim</w:t>
      </w:r>
      <w:proofErr w:type="spellEnd"/>
      <w:r w:rsidRPr="00855381">
        <w:rPr>
          <w:rFonts w:ascii="Aptos" w:hAnsi="Aptos"/>
        </w:rPr>
        <w:t xml:space="preserve"> to the English setting [CITE </w:t>
      </w:r>
      <w:proofErr w:type="spellStart"/>
      <w:r w:rsidRPr="00855381">
        <w:rPr>
          <w:rFonts w:ascii="Aptos" w:hAnsi="Aptos"/>
        </w:rPr>
        <w:t>PLoS</w:t>
      </w:r>
      <w:proofErr w:type="spellEnd"/>
      <w:r w:rsidRPr="00855381">
        <w:rPr>
          <w:rFonts w:ascii="Aptos" w:hAnsi="Aptos"/>
        </w:rPr>
        <w:t xml:space="preserve"> PAPER]. We retain the parameterisation and calibration of </w:t>
      </w:r>
      <w:proofErr w:type="spellStart"/>
      <w:r w:rsidRPr="00855381">
        <w:rPr>
          <w:rFonts w:ascii="Aptos" w:hAnsi="Aptos"/>
        </w:rPr>
        <w:t>HPVsim</w:t>
      </w:r>
      <w:proofErr w:type="spellEnd"/>
      <w:r w:rsidRPr="00855381">
        <w:rPr>
          <w:rFonts w:ascii="Aptos" w:hAnsi="Aptos"/>
        </w:rPr>
        <w:t xml:space="preserve"> as used in that paper for our central </w:t>
      </w:r>
      <w:proofErr w:type="gramStart"/>
      <w:r w:rsidRPr="00855381">
        <w:rPr>
          <w:rFonts w:ascii="Aptos" w:hAnsi="Aptos"/>
        </w:rPr>
        <w:t>analysis, and</w:t>
      </w:r>
      <w:proofErr w:type="gramEnd"/>
      <w:r w:rsidRPr="00855381">
        <w:rPr>
          <w:rFonts w:ascii="Aptos" w:hAnsi="Aptos"/>
        </w:rPr>
        <w:t xml:space="preserve"> additionally perform six sensitivity analyses. </w:t>
      </w:r>
      <w:r w:rsidR="00F025AC" w:rsidRPr="00855381">
        <w:rPr>
          <w:rFonts w:ascii="Aptos" w:hAnsi="Aptos"/>
        </w:rPr>
        <w:t xml:space="preserve">For details other than our sensitivity analyses, refer to [CITE </w:t>
      </w:r>
      <w:proofErr w:type="spellStart"/>
      <w:r w:rsidR="00F025AC" w:rsidRPr="00855381">
        <w:rPr>
          <w:rFonts w:ascii="Aptos" w:hAnsi="Aptos"/>
        </w:rPr>
        <w:t>PLoS</w:t>
      </w:r>
      <w:proofErr w:type="spellEnd"/>
      <w:r w:rsidR="00F025AC" w:rsidRPr="00855381">
        <w:rPr>
          <w:rFonts w:ascii="Aptos" w:hAnsi="Aptos"/>
        </w:rPr>
        <w:t xml:space="preserve"> PAPER].</w:t>
      </w:r>
    </w:p>
    <w:p w14:paraId="0C2D8052" w14:textId="77777777" w:rsidR="00AD4C5D" w:rsidRPr="00855381" w:rsidRDefault="00AD4C5D" w:rsidP="00AD4C5D">
      <w:pPr>
        <w:rPr>
          <w:rFonts w:ascii="Aptos" w:hAnsi="Aptos"/>
        </w:rPr>
      </w:pPr>
    </w:p>
    <w:p w14:paraId="4E6E5CD5" w14:textId="633D1B80" w:rsidR="00AD4C5D" w:rsidRPr="00855381" w:rsidRDefault="00AD4C5D" w:rsidP="00AD4C5D">
      <w:pPr>
        <w:rPr>
          <w:rFonts w:ascii="Aptos" w:hAnsi="Aptos"/>
        </w:rPr>
      </w:pPr>
      <w:r w:rsidRPr="00855381">
        <w:rPr>
          <w:rFonts w:ascii="Aptos" w:hAnsi="Aptos"/>
        </w:rPr>
        <w:t xml:space="preserve">Each sensitivity analysis consists of varying salient model parameters, recalibrating the model to the dataset, validating the calibration, and re-running the full set of projections with the newly parameterised model. This allows the conclusions we draw to be informed by a wide range of possible model </w:t>
      </w:r>
      <w:proofErr w:type="gramStart"/>
      <w:r w:rsidRPr="00855381">
        <w:rPr>
          <w:rFonts w:ascii="Aptos" w:hAnsi="Aptos"/>
        </w:rPr>
        <w:t>parameterisations, and</w:t>
      </w:r>
      <w:proofErr w:type="gramEnd"/>
      <w:r w:rsidRPr="00855381">
        <w:rPr>
          <w:rFonts w:ascii="Aptos" w:hAnsi="Aptos"/>
        </w:rPr>
        <w:t xml:space="preserve"> aims for robustness of policy implications of our paper.</w:t>
      </w:r>
    </w:p>
    <w:p w14:paraId="4E602A26" w14:textId="77777777" w:rsidR="00AD4C5D" w:rsidRPr="00855381" w:rsidRDefault="00AD4C5D" w:rsidP="00AD4C5D">
      <w:pPr>
        <w:rPr>
          <w:rFonts w:ascii="Aptos" w:hAnsi="Aptos"/>
        </w:rPr>
      </w:pPr>
    </w:p>
    <w:p w14:paraId="292B5A33" w14:textId="77777777" w:rsidR="00AD4C5D" w:rsidRDefault="00AD4C5D" w:rsidP="00AD4C5D">
      <w:pPr>
        <w:rPr>
          <w:rFonts w:ascii="Aptos" w:hAnsi="Aptos"/>
          <w:b/>
          <w:bCs/>
          <w:u w:val="single"/>
        </w:rPr>
      </w:pPr>
      <w:r w:rsidRPr="00855381">
        <w:rPr>
          <w:rFonts w:ascii="Aptos" w:hAnsi="Aptos"/>
          <w:b/>
          <w:bCs/>
          <w:u w:val="single"/>
        </w:rPr>
        <w:t>File name suffixes for data from each sensitivity analysis (relevant for filenames in GitHub repository):</w:t>
      </w:r>
    </w:p>
    <w:p w14:paraId="7F301D55" w14:textId="77777777" w:rsidR="00AD4C5D" w:rsidRPr="00855381" w:rsidRDefault="00AD4C5D" w:rsidP="00AD4C5D">
      <w:pPr>
        <w:rPr>
          <w:rFonts w:ascii="Aptos" w:hAnsi="Aptos"/>
        </w:rPr>
      </w:pPr>
      <w:r w:rsidRPr="00855381">
        <w:rPr>
          <w:rFonts w:ascii="Aptos" w:hAnsi="Aptos"/>
          <w:b/>
          <w:bCs/>
        </w:rPr>
        <w:t xml:space="preserve">SA0 </w:t>
      </w:r>
      <w:r w:rsidRPr="00855381">
        <w:rPr>
          <w:rFonts w:ascii="Aptos" w:hAnsi="Aptos"/>
        </w:rPr>
        <w:t>(base case):</w:t>
      </w:r>
    </w:p>
    <w:p w14:paraId="35068B91" w14:textId="3D934BB0" w:rsidR="00AD4C5D" w:rsidRPr="00855381" w:rsidRDefault="00AD4C5D" w:rsidP="00AD4C5D">
      <w:pPr>
        <w:pStyle w:val="ListParagraph"/>
        <w:numPr>
          <w:ilvl w:val="0"/>
          <w:numId w:val="1"/>
        </w:numPr>
        <w:rPr>
          <w:rFonts w:ascii="Aptos" w:hAnsi="Aptos"/>
        </w:rPr>
      </w:pPr>
      <w:r w:rsidRPr="00855381">
        <w:rPr>
          <w:rFonts w:ascii="Aptos" w:hAnsi="Aptos"/>
        </w:rPr>
        <w:t xml:space="preserve">As in </w:t>
      </w:r>
      <w:proofErr w:type="spellStart"/>
      <w:r w:rsidRPr="00855381">
        <w:rPr>
          <w:rFonts w:ascii="Aptos" w:hAnsi="Aptos"/>
        </w:rPr>
        <w:t>PLoS</w:t>
      </w:r>
      <w:proofErr w:type="spellEnd"/>
      <w:r w:rsidRPr="00855381">
        <w:rPr>
          <w:rFonts w:ascii="Aptos" w:hAnsi="Aptos"/>
        </w:rPr>
        <w:t xml:space="preserve"> Methods paper [CITE]</w:t>
      </w:r>
    </w:p>
    <w:p w14:paraId="3C40A7FF" w14:textId="77777777" w:rsidR="00445BD9" w:rsidRPr="00445BD9" w:rsidRDefault="00AD4C5D" w:rsidP="00445BD9">
      <w:pPr>
        <w:pStyle w:val="ListParagraph"/>
        <w:numPr>
          <w:ilvl w:val="0"/>
          <w:numId w:val="1"/>
        </w:numPr>
        <w:rPr>
          <w:rFonts w:ascii="Aptos" w:hAnsi="Aptos"/>
        </w:rPr>
      </w:pPr>
      <w:r w:rsidRPr="00855381">
        <w:rPr>
          <w:rFonts w:ascii="Aptos" w:hAnsi="Aptos"/>
        </w:rPr>
        <w:t>Data file name structure: {</w:t>
      </w:r>
      <w:proofErr w:type="spellStart"/>
      <w:r w:rsidRPr="00855381">
        <w:rPr>
          <w:rFonts w:ascii="Aptos" w:hAnsi="Aptos"/>
        </w:rPr>
        <w:t>alg</w:t>
      </w:r>
      <w:proofErr w:type="spellEnd"/>
      <w:r w:rsidRPr="00855381">
        <w:rPr>
          <w:rFonts w:ascii="Aptos" w:hAnsi="Aptos"/>
        </w:rPr>
        <w:t>}_{</w:t>
      </w:r>
      <w:proofErr w:type="spellStart"/>
      <w:r w:rsidRPr="00855381">
        <w:rPr>
          <w:rFonts w:ascii="Aptos" w:hAnsi="Aptos"/>
        </w:rPr>
        <w:t>vacclevel</w:t>
      </w:r>
      <w:proofErr w:type="spellEnd"/>
      <w:r w:rsidRPr="00855381">
        <w:rPr>
          <w:rFonts w:ascii="Aptos" w:hAnsi="Aptos"/>
        </w:rPr>
        <w:t>}_68_76_55_55_9_9__96_7_13</w:t>
      </w:r>
    </w:p>
    <w:p w14:paraId="48A4DC73" w14:textId="086F98AC" w:rsidR="00AD4C5D" w:rsidRPr="00445BD9" w:rsidRDefault="00AD4C5D" w:rsidP="00445BD9">
      <w:pPr>
        <w:rPr>
          <w:rFonts w:ascii="Aptos" w:hAnsi="Aptos"/>
        </w:rPr>
      </w:pPr>
      <w:r w:rsidRPr="00445BD9">
        <w:rPr>
          <w:rFonts w:ascii="Aptos" w:hAnsi="Aptos"/>
          <w:b/>
          <w:bCs/>
        </w:rPr>
        <w:t>SA1</w:t>
      </w:r>
      <w:r w:rsidRPr="00445BD9">
        <w:rPr>
          <w:rFonts w:ascii="Aptos" w:hAnsi="Aptos"/>
        </w:rPr>
        <w:t xml:space="preserve"> (lower cancer treatment efficacy of 0.65 rather than 0.8):</w:t>
      </w:r>
    </w:p>
    <w:p w14:paraId="55418ED8" w14:textId="6DF4B496" w:rsidR="00AD4C5D" w:rsidRPr="00855381" w:rsidRDefault="00AD4C5D" w:rsidP="00AD4C5D">
      <w:pPr>
        <w:pStyle w:val="ListParagraph"/>
        <w:numPr>
          <w:ilvl w:val="0"/>
          <w:numId w:val="1"/>
        </w:numPr>
        <w:rPr>
          <w:rFonts w:ascii="Aptos" w:hAnsi="Aptos"/>
        </w:rPr>
      </w:pPr>
      <w:r w:rsidRPr="00855381">
        <w:rPr>
          <w:rFonts w:ascii="Aptos" w:hAnsi="Aptos"/>
        </w:rPr>
        <w:t>We consider a lower efficacy of cancer treatment of 65% rather than 80%</w:t>
      </w:r>
    </w:p>
    <w:p w14:paraId="77AA0A01" w14:textId="77777777" w:rsidR="00AD4C5D" w:rsidRPr="00855381" w:rsidRDefault="00AD4C5D" w:rsidP="00AD4C5D">
      <w:pPr>
        <w:pStyle w:val="ListParagraph"/>
        <w:numPr>
          <w:ilvl w:val="0"/>
          <w:numId w:val="1"/>
        </w:numPr>
        <w:rPr>
          <w:rFonts w:ascii="Aptos" w:hAnsi="Aptos"/>
        </w:rPr>
      </w:pPr>
      <w:r w:rsidRPr="00855381">
        <w:rPr>
          <w:rFonts w:ascii="Aptos" w:hAnsi="Aptos"/>
        </w:rPr>
        <w:t>{</w:t>
      </w:r>
      <w:proofErr w:type="spellStart"/>
      <w:r w:rsidRPr="00855381">
        <w:rPr>
          <w:rFonts w:ascii="Aptos" w:hAnsi="Aptos"/>
        </w:rPr>
        <w:t>alg</w:t>
      </w:r>
      <w:proofErr w:type="spellEnd"/>
      <w:r w:rsidRPr="00855381">
        <w:rPr>
          <w:rFonts w:ascii="Aptos" w:hAnsi="Aptos"/>
        </w:rPr>
        <w:t>}_{</w:t>
      </w:r>
      <w:proofErr w:type="spellStart"/>
      <w:r w:rsidRPr="00855381">
        <w:rPr>
          <w:rFonts w:ascii="Aptos" w:hAnsi="Aptos"/>
        </w:rPr>
        <w:t>vacclevel</w:t>
      </w:r>
      <w:proofErr w:type="spellEnd"/>
      <w:r w:rsidRPr="00855381">
        <w:rPr>
          <w:rFonts w:ascii="Aptos" w:hAnsi="Aptos"/>
        </w:rPr>
        <w:t>}_65_68_76_55_55_9_9__96_7_13</w:t>
      </w:r>
    </w:p>
    <w:p w14:paraId="514ECD96" w14:textId="3425E3EC" w:rsidR="00AD4C5D" w:rsidRPr="00855381" w:rsidRDefault="00AD4C5D" w:rsidP="00AD4C5D">
      <w:pPr>
        <w:rPr>
          <w:rFonts w:ascii="Aptos" w:hAnsi="Aptos"/>
        </w:rPr>
      </w:pPr>
      <w:r w:rsidRPr="00855381">
        <w:rPr>
          <w:rFonts w:ascii="Aptos" w:hAnsi="Aptos"/>
          <w:b/>
          <w:bCs/>
        </w:rPr>
        <w:t>SA2</w:t>
      </w:r>
      <w:r w:rsidRPr="00855381">
        <w:rPr>
          <w:rFonts w:ascii="Aptos" w:hAnsi="Aptos"/>
        </w:rPr>
        <w:t xml:space="preserve"> (lower compliance):</w:t>
      </w:r>
    </w:p>
    <w:p w14:paraId="020D085E" w14:textId="250722EA" w:rsidR="00AD4C5D" w:rsidRPr="00855381" w:rsidRDefault="00AD4C5D" w:rsidP="00AD4C5D">
      <w:pPr>
        <w:pStyle w:val="ListParagraph"/>
        <w:numPr>
          <w:ilvl w:val="0"/>
          <w:numId w:val="1"/>
        </w:numPr>
        <w:rPr>
          <w:rFonts w:ascii="Aptos" w:hAnsi="Aptos"/>
        </w:rPr>
      </w:pPr>
      <w:r w:rsidRPr="00855381">
        <w:rPr>
          <w:rFonts w:ascii="Aptos" w:hAnsi="Aptos"/>
        </w:rPr>
        <w:t>We consider lower compliance of agents to screening</w:t>
      </w:r>
    </w:p>
    <w:p w14:paraId="5731CBAF" w14:textId="77777777" w:rsidR="00AD4C5D" w:rsidRPr="00855381" w:rsidRDefault="00AD4C5D" w:rsidP="00AD4C5D">
      <w:pPr>
        <w:pStyle w:val="ListParagraph"/>
        <w:numPr>
          <w:ilvl w:val="0"/>
          <w:numId w:val="1"/>
        </w:numPr>
        <w:rPr>
          <w:rFonts w:ascii="Aptos" w:hAnsi="Aptos"/>
        </w:rPr>
      </w:pPr>
      <w:r w:rsidRPr="00855381">
        <w:rPr>
          <w:rFonts w:ascii="Aptos" w:hAnsi="Aptos"/>
        </w:rPr>
        <w:lastRenderedPageBreak/>
        <w:t>{</w:t>
      </w:r>
      <w:proofErr w:type="spellStart"/>
      <w:r w:rsidRPr="00855381">
        <w:rPr>
          <w:rFonts w:ascii="Aptos" w:hAnsi="Aptos"/>
        </w:rPr>
        <w:t>alg</w:t>
      </w:r>
      <w:proofErr w:type="spellEnd"/>
      <w:r w:rsidRPr="00855381">
        <w:rPr>
          <w:rFonts w:ascii="Aptos" w:hAnsi="Aptos"/>
        </w:rPr>
        <w:t>}_{</w:t>
      </w:r>
      <w:proofErr w:type="spellStart"/>
      <w:r w:rsidRPr="00855381">
        <w:rPr>
          <w:rFonts w:ascii="Aptos" w:hAnsi="Aptos"/>
        </w:rPr>
        <w:t>vacclevel</w:t>
      </w:r>
      <w:proofErr w:type="spellEnd"/>
      <w:r w:rsidRPr="00855381">
        <w:rPr>
          <w:rFonts w:ascii="Aptos" w:hAnsi="Aptos"/>
        </w:rPr>
        <w:t>}_68_76_36_36_8_8__96_7_13</w:t>
      </w:r>
    </w:p>
    <w:p w14:paraId="404016AA" w14:textId="38154485" w:rsidR="00AD4C5D" w:rsidRPr="00855381" w:rsidRDefault="00AD4C5D" w:rsidP="00AD4C5D">
      <w:pPr>
        <w:rPr>
          <w:rFonts w:ascii="Aptos" w:hAnsi="Aptos"/>
        </w:rPr>
      </w:pPr>
      <w:r w:rsidRPr="00855381">
        <w:rPr>
          <w:rFonts w:ascii="Aptos" w:hAnsi="Aptos"/>
          <w:b/>
          <w:bCs/>
        </w:rPr>
        <w:t>SA3</w:t>
      </w:r>
      <w:r w:rsidRPr="00855381">
        <w:rPr>
          <w:rFonts w:ascii="Aptos" w:hAnsi="Aptos"/>
        </w:rPr>
        <w:t xml:space="preserve"> (higher compliance):</w:t>
      </w:r>
    </w:p>
    <w:p w14:paraId="44CE7A8C" w14:textId="763E684E" w:rsidR="00AD4C5D" w:rsidRPr="00855381" w:rsidRDefault="00AD4C5D" w:rsidP="00AD4C5D">
      <w:pPr>
        <w:pStyle w:val="ListParagraph"/>
        <w:numPr>
          <w:ilvl w:val="0"/>
          <w:numId w:val="1"/>
        </w:numPr>
        <w:rPr>
          <w:rFonts w:ascii="Aptos" w:hAnsi="Aptos"/>
        </w:rPr>
      </w:pPr>
      <w:r w:rsidRPr="00855381">
        <w:rPr>
          <w:rFonts w:ascii="Aptos" w:hAnsi="Aptos"/>
        </w:rPr>
        <w:t>We consider higher compliance of agents to screening</w:t>
      </w:r>
    </w:p>
    <w:p w14:paraId="71E46C04" w14:textId="77777777" w:rsidR="00AD4C5D" w:rsidRPr="00855381" w:rsidRDefault="00AD4C5D" w:rsidP="00AD4C5D">
      <w:pPr>
        <w:pStyle w:val="ListParagraph"/>
        <w:numPr>
          <w:ilvl w:val="0"/>
          <w:numId w:val="1"/>
        </w:numPr>
        <w:rPr>
          <w:rFonts w:ascii="Aptos" w:hAnsi="Aptos"/>
        </w:rPr>
      </w:pPr>
      <w:r w:rsidRPr="00855381">
        <w:rPr>
          <w:rFonts w:ascii="Aptos" w:hAnsi="Aptos"/>
        </w:rPr>
        <w:t>{</w:t>
      </w:r>
      <w:proofErr w:type="spellStart"/>
      <w:r w:rsidRPr="00855381">
        <w:rPr>
          <w:rFonts w:ascii="Aptos" w:hAnsi="Aptos"/>
        </w:rPr>
        <w:t>alg</w:t>
      </w:r>
      <w:proofErr w:type="spellEnd"/>
      <w:r w:rsidRPr="00855381">
        <w:rPr>
          <w:rFonts w:ascii="Aptos" w:hAnsi="Aptos"/>
        </w:rPr>
        <w:t>}_{</w:t>
      </w:r>
      <w:proofErr w:type="spellStart"/>
      <w:r w:rsidRPr="00855381">
        <w:rPr>
          <w:rFonts w:ascii="Aptos" w:hAnsi="Aptos"/>
        </w:rPr>
        <w:t>vacclevel</w:t>
      </w:r>
      <w:proofErr w:type="spellEnd"/>
      <w:r w:rsidRPr="00855381">
        <w:rPr>
          <w:rFonts w:ascii="Aptos" w:hAnsi="Aptos"/>
        </w:rPr>
        <w:t>}_8_8_68_68_95_95__96_7_13</w:t>
      </w:r>
    </w:p>
    <w:p w14:paraId="6310C1CC" w14:textId="77777777" w:rsidR="00AD4C5D" w:rsidRPr="00855381" w:rsidRDefault="00AD4C5D" w:rsidP="00AD4C5D">
      <w:pPr>
        <w:rPr>
          <w:rFonts w:ascii="Aptos" w:hAnsi="Aptos"/>
        </w:rPr>
      </w:pPr>
      <w:r w:rsidRPr="00855381">
        <w:rPr>
          <w:rFonts w:ascii="Aptos" w:hAnsi="Aptos"/>
          <w:b/>
          <w:bCs/>
        </w:rPr>
        <w:t>SA4</w:t>
      </w:r>
      <w:r w:rsidRPr="00855381">
        <w:rPr>
          <w:rFonts w:ascii="Aptos" w:hAnsi="Aptos"/>
        </w:rPr>
        <w:t xml:space="preserve"> (vaccine-</w:t>
      </w:r>
      <w:proofErr w:type="spellStart"/>
      <w:r w:rsidRPr="00855381">
        <w:rPr>
          <w:rFonts w:ascii="Aptos" w:hAnsi="Aptos"/>
        </w:rPr>
        <w:t>conferrred</w:t>
      </w:r>
      <w:proofErr w:type="spellEnd"/>
      <w:r w:rsidRPr="00855381">
        <w:rPr>
          <w:rFonts w:ascii="Aptos" w:hAnsi="Aptos"/>
        </w:rPr>
        <w:t xml:space="preserve"> </w:t>
      </w:r>
      <w:proofErr w:type="spellStart"/>
      <w:r w:rsidRPr="00855381">
        <w:rPr>
          <w:rFonts w:ascii="Aptos" w:hAnsi="Aptos"/>
        </w:rPr>
        <w:t>ohr</w:t>
      </w:r>
      <w:proofErr w:type="spellEnd"/>
      <w:r w:rsidRPr="00855381">
        <w:rPr>
          <w:rFonts w:ascii="Aptos" w:hAnsi="Aptos"/>
        </w:rPr>
        <w:t xml:space="preserve"> immunity of 0.1 rather than 0):</w:t>
      </w:r>
    </w:p>
    <w:p w14:paraId="1B917F75" w14:textId="45ECB6D1" w:rsidR="00AD4C5D" w:rsidRPr="00855381" w:rsidRDefault="00AD4C5D" w:rsidP="00AD4C5D">
      <w:pPr>
        <w:pStyle w:val="ListParagraph"/>
        <w:numPr>
          <w:ilvl w:val="0"/>
          <w:numId w:val="1"/>
        </w:numPr>
        <w:rPr>
          <w:rFonts w:ascii="Aptos" w:hAnsi="Aptos"/>
        </w:rPr>
      </w:pPr>
      <w:r w:rsidRPr="00855381">
        <w:rPr>
          <w:rFonts w:ascii="Aptos" w:hAnsi="Aptos"/>
        </w:rPr>
        <w:t xml:space="preserve">As there is uncertainty whether any level of cross-immunity is conferred by the </w:t>
      </w:r>
      <w:proofErr w:type="spellStart"/>
      <w:r w:rsidRPr="00855381">
        <w:rPr>
          <w:rFonts w:ascii="Aptos" w:hAnsi="Aptos"/>
        </w:rPr>
        <w:t>nonavalent</w:t>
      </w:r>
      <w:proofErr w:type="spellEnd"/>
      <w:r w:rsidRPr="00855381">
        <w:rPr>
          <w:rFonts w:ascii="Aptos" w:hAnsi="Aptos"/>
        </w:rPr>
        <w:t xml:space="preserve"> vaccine against non-vaccine </w:t>
      </w:r>
      <w:proofErr w:type="spellStart"/>
      <w:r w:rsidRPr="00855381">
        <w:rPr>
          <w:rFonts w:ascii="Aptos" w:hAnsi="Aptos"/>
        </w:rPr>
        <w:t>ohr</w:t>
      </w:r>
      <w:proofErr w:type="spellEnd"/>
      <w:r w:rsidRPr="00855381">
        <w:rPr>
          <w:rFonts w:ascii="Aptos" w:hAnsi="Aptos"/>
        </w:rPr>
        <w:t xml:space="preserve"> types, we perform a sensitivity analysis where a small amount of cross protection occurs (rather than none, as in our base analysis)</w:t>
      </w:r>
    </w:p>
    <w:p w14:paraId="14E7A1FA" w14:textId="77777777" w:rsidR="00AD4C5D" w:rsidRPr="00855381" w:rsidRDefault="00AD4C5D" w:rsidP="00AD4C5D">
      <w:pPr>
        <w:pStyle w:val="ListParagraph"/>
        <w:numPr>
          <w:ilvl w:val="0"/>
          <w:numId w:val="1"/>
        </w:numPr>
        <w:rPr>
          <w:rFonts w:ascii="Aptos" w:hAnsi="Aptos"/>
        </w:rPr>
      </w:pPr>
      <w:r w:rsidRPr="00855381">
        <w:rPr>
          <w:rFonts w:ascii="Aptos" w:hAnsi="Aptos"/>
        </w:rPr>
        <w:t>{</w:t>
      </w:r>
      <w:proofErr w:type="spellStart"/>
      <w:r w:rsidRPr="00855381">
        <w:rPr>
          <w:rFonts w:ascii="Aptos" w:hAnsi="Aptos"/>
        </w:rPr>
        <w:t>alg</w:t>
      </w:r>
      <w:proofErr w:type="spellEnd"/>
      <w:r w:rsidRPr="00855381">
        <w:rPr>
          <w:rFonts w:ascii="Aptos" w:hAnsi="Aptos"/>
        </w:rPr>
        <w:t>}_{</w:t>
      </w:r>
      <w:proofErr w:type="spellStart"/>
      <w:r w:rsidRPr="00855381">
        <w:rPr>
          <w:rFonts w:ascii="Aptos" w:hAnsi="Aptos"/>
        </w:rPr>
        <w:t>vacclevel</w:t>
      </w:r>
      <w:proofErr w:type="spellEnd"/>
      <w:r w:rsidRPr="00855381">
        <w:rPr>
          <w:rFonts w:ascii="Aptos" w:hAnsi="Aptos"/>
        </w:rPr>
        <w:t>}_68_76_55_55_9_9_1_96_7_13</w:t>
      </w:r>
    </w:p>
    <w:p w14:paraId="153DB8C2" w14:textId="2F52C336" w:rsidR="00AD4C5D" w:rsidRPr="00855381" w:rsidRDefault="00AD4C5D" w:rsidP="00AD4C5D">
      <w:pPr>
        <w:rPr>
          <w:rFonts w:ascii="Aptos" w:hAnsi="Aptos"/>
        </w:rPr>
      </w:pPr>
      <w:r w:rsidRPr="00855381">
        <w:rPr>
          <w:rFonts w:ascii="Aptos" w:hAnsi="Aptos"/>
          <w:b/>
          <w:bCs/>
        </w:rPr>
        <w:t>SA5</w:t>
      </w:r>
      <w:r w:rsidRPr="00855381">
        <w:rPr>
          <w:rFonts w:ascii="Aptos" w:hAnsi="Aptos"/>
        </w:rPr>
        <w:t xml:space="preserve"> (initial HPV prevalence among men decreases with age rather than being broadly constant):</w:t>
      </w:r>
    </w:p>
    <w:p w14:paraId="108454C3" w14:textId="68679446" w:rsidR="003C162E" w:rsidRPr="003C162E" w:rsidRDefault="00AD4C5D" w:rsidP="003C162E">
      <w:pPr>
        <w:pStyle w:val="ListParagraph"/>
        <w:numPr>
          <w:ilvl w:val="0"/>
          <w:numId w:val="1"/>
        </w:numPr>
      </w:pPr>
      <w:r w:rsidRPr="00855381">
        <w:rPr>
          <w:rFonts w:ascii="Aptos" w:hAnsi="Aptos"/>
        </w:rPr>
        <w:t xml:space="preserve">HPV prevalence amongst heterosexual men is less understood than MSM </w:t>
      </w:r>
      <w:proofErr w:type="spellStart"/>
      <w:r w:rsidRPr="00855381">
        <w:rPr>
          <w:rFonts w:ascii="Aptos" w:hAnsi="Aptos"/>
        </w:rPr>
        <w:t>and than</w:t>
      </w:r>
      <w:proofErr w:type="spellEnd"/>
      <w:r w:rsidRPr="00855381">
        <w:rPr>
          <w:rFonts w:ascii="Aptos" w:hAnsi="Aptos"/>
        </w:rPr>
        <w:t xml:space="preserve"> women, so alongside the main considered case (broadly stable HPV prevalence in adult years) we consider a case with decreasing HPV prevalence as men ag</w:t>
      </w:r>
      <w:r w:rsidR="003C162E">
        <w:rPr>
          <w:rFonts w:ascii="Aptos" w:hAnsi="Aptos"/>
        </w:rPr>
        <w:t>e</w:t>
      </w:r>
    </w:p>
    <w:p w14:paraId="7BE5A225" w14:textId="77777777" w:rsidR="00AD4C5D" w:rsidRPr="00855381" w:rsidRDefault="00AD4C5D" w:rsidP="00AD4C5D">
      <w:pPr>
        <w:pStyle w:val="ListParagraph"/>
        <w:numPr>
          <w:ilvl w:val="0"/>
          <w:numId w:val="1"/>
        </w:numPr>
        <w:rPr>
          <w:rFonts w:ascii="Aptos" w:hAnsi="Aptos"/>
        </w:rPr>
      </w:pPr>
      <w:r w:rsidRPr="00855381">
        <w:rPr>
          <w:rFonts w:ascii="Aptos" w:hAnsi="Aptos"/>
        </w:rPr>
        <w:t>{</w:t>
      </w:r>
      <w:proofErr w:type="spellStart"/>
      <w:r w:rsidRPr="00855381">
        <w:rPr>
          <w:rFonts w:ascii="Aptos" w:hAnsi="Aptos"/>
        </w:rPr>
        <w:t>alg</w:t>
      </w:r>
      <w:proofErr w:type="spellEnd"/>
      <w:r w:rsidRPr="00855381">
        <w:rPr>
          <w:rFonts w:ascii="Aptos" w:hAnsi="Aptos"/>
        </w:rPr>
        <w:t>}_{</w:t>
      </w:r>
      <w:proofErr w:type="spellStart"/>
      <w:r w:rsidRPr="00855381">
        <w:rPr>
          <w:rFonts w:ascii="Aptos" w:hAnsi="Aptos"/>
        </w:rPr>
        <w:t>vacclevel</w:t>
      </w:r>
      <w:proofErr w:type="spellEnd"/>
      <w:r w:rsidRPr="00855381">
        <w:rPr>
          <w:rFonts w:ascii="Aptos" w:hAnsi="Aptos"/>
        </w:rPr>
        <w:t>}_68_76_55_55_9_9__96_7_62</w:t>
      </w:r>
    </w:p>
    <w:p w14:paraId="338A6412" w14:textId="77777777" w:rsidR="00AD4C5D" w:rsidRPr="00855381" w:rsidRDefault="00AD4C5D" w:rsidP="00AD4C5D">
      <w:pPr>
        <w:rPr>
          <w:rFonts w:ascii="Aptos" w:hAnsi="Aptos"/>
        </w:rPr>
      </w:pPr>
      <w:r w:rsidRPr="00855381">
        <w:rPr>
          <w:rFonts w:ascii="Aptos" w:hAnsi="Aptos"/>
          <w:b/>
          <w:bCs/>
        </w:rPr>
        <w:t>SA6</w:t>
      </w:r>
      <w:r w:rsidRPr="00855381">
        <w:rPr>
          <w:rFonts w:ascii="Aptos" w:hAnsi="Aptos"/>
        </w:rPr>
        <w:t xml:space="preserve"> (alternative cytology parameterisation):</w:t>
      </w:r>
    </w:p>
    <w:p w14:paraId="08B4ED3F" w14:textId="42BFBEA4" w:rsidR="00AD4C5D" w:rsidRPr="00855381" w:rsidRDefault="00AD4C5D" w:rsidP="00AD4C5D">
      <w:pPr>
        <w:pStyle w:val="ListParagraph"/>
        <w:numPr>
          <w:ilvl w:val="0"/>
          <w:numId w:val="1"/>
        </w:numPr>
        <w:rPr>
          <w:rFonts w:ascii="Aptos" w:hAnsi="Aptos"/>
        </w:rPr>
      </w:pPr>
      <w:r w:rsidRPr="00855381">
        <w:rPr>
          <w:rFonts w:ascii="Aptos" w:hAnsi="Aptos"/>
          <w:color w:val="000000"/>
        </w:rPr>
        <w:t xml:space="preserve">We perform a sensitivity analysis on the cytology parameterisation defined in the initial </w:t>
      </w:r>
      <w:proofErr w:type="spellStart"/>
      <w:r w:rsidRPr="00855381">
        <w:rPr>
          <w:rFonts w:ascii="Aptos" w:hAnsi="Aptos"/>
          <w:color w:val="000000"/>
        </w:rPr>
        <w:t>HPVsim</w:t>
      </w:r>
      <w:proofErr w:type="spellEnd"/>
      <w:r w:rsidRPr="00855381">
        <w:rPr>
          <w:rFonts w:ascii="Aptos" w:hAnsi="Aptos"/>
          <w:color w:val="000000"/>
        </w:rPr>
        <w:t xml:space="preserve"> paper (Appendices, Table G), which assumes slightly lower specificity and higher sensitivity for non-cancer base states (same assumptions for cancer)</w:t>
      </w:r>
    </w:p>
    <w:p w14:paraId="5F2DDF54" w14:textId="77777777" w:rsidR="00AD4C5D" w:rsidRPr="00855381" w:rsidRDefault="00AD4C5D" w:rsidP="00AD4C5D">
      <w:pPr>
        <w:pStyle w:val="ListParagraph"/>
        <w:numPr>
          <w:ilvl w:val="0"/>
          <w:numId w:val="1"/>
        </w:numPr>
        <w:rPr>
          <w:rFonts w:ascii="Aptos" w:hAnsi="Aptos"/>
        </w:rPr>
      </w:pPr>
      <w:r w:rsidRPr="00855381">
        <w:rPr>
          <w:rFonts w:ascii="Aptos" w:hAnsi="Aptos"/>
        </w:rPr>
        <w:t>{</w:t>
      </w:r>
      <w:proofErr w:type="spellStart"/>
      <w:r w:rsidRPr="00855381">
        <w:rPr>
          <w:rFonts w:ascii="Aptos" w:hAnsi="Aptos"/>
        </w:rPr>
        <w:t>alg</w:t>
      </w:r>
      <w:proofErr w:type="spellEnd"/>
      <w:r w:rsidRPr="00855381">
        <w:rPr>
          <w:rFonts w:ascii="Aptos" w:hAnsi="Aptos"/>
        </w:rPr>
        <w:t>}_{</w:t>
      </w:r>
      <w:proofErr w:type="spellStart"/>
      <w:r w:rsidRPr="00855381">
        <w:rPr>
          <w:rFonts w:ascii="Aptos" w:hAnsi="Aptos"/>
        </w:rPr>
        <w:t>vacclevel</w:t>
      </w:r>
      <w:proofErr w:type="spellEnd"/>
      <w:r w:rsidRPr="00855381">
        <w:rPr>
          <w:rFonts w:ascii="Aptos" w:hAnsi="Aptos"/>
        </w:rPr>
        <w:t>}_68_76_55_55_9_9__9_85_13</w:t>
      </w:r>
    </w:p>
    <w:p w14:paraId="121ACCB1" w14:textId="77777777" w:rsidR="00AD4C5D" w:rsidRPr="00855381" w:rsidRDefault="00AD4C5D" w:rsidP="00AD4C5D">
      <w:pPr>
        <w:rPr>
          <w:rFonts w:ascii="Aptos" w:hAnsi="Aptos"/>
        </w:rPr>
      </w:pPr>
    </w:p>
    <w:p w14:paraId="4BD558BF" w14:textId="77777777" w:rsidR="00AD4C5D" w:rsidRPr="00855381" w:rsidRDefault="00AD4C5D" w:rsidP="00AD4C5D">
      <w:pPr>
        <w:rPr>
          <w:rFonts w:ascii="Aptos" w:hAnsi="Aptos"/>
        </w:rPr>
      </w:pPr>
    </w:p>
    <w:p w14:paraId="58738EC3" w14:textId="77777777" w:rsidR="00AD4C5D" w:rsidRPr="00855381" w:rsidRDefault="00AD4C5D" w:rsidP="00AD4C5D">
      <w:pPr>
        <w:rPr>
          <w:rFonts w:ascii="Aptos" w:hAnsi="Aptos"/>
        </w:rPr>
      </w:pPr>
    </w:p>
    <w:p w14:paraId="18A39D8E" w14:textId="3C718A2D" w:rsidR="00314B92" w:rsidRPr="00855381" w:rsidRDefault="00AD4C5D" w:rsidP="00314B92">
      <w:pPr>
        <w:rPr>
          <w:rFonts w:ascii="Aptos" w:hAnsi="Aptos"/>
        </w:rPr>
      </w:pPr>
      <w:r w:rsidRPr="00855381">
        <w:rPr>
          <w:rFonts w:ascii="Aptos" w:hAnsi="Aptos"/>
        </w:rPr>
        <w:t xml:space="preserve">In the table below, </w:t>
      </w:r>
      <w:r w:rsidR="00314B92" w:rsidRPr="00855381">
        <w:rPr>
          <w:rFonts w:ascii="Aptos" w:hAnsi="Aptos"/>
        </w:rPr>
        <w:t xml:space="preserve">SA 2 </w:t>
      </w:r>
      <w:r w:rsidRPr="00855381">
        <w:rPr>
          <w:rFonts w:ascii="Aptos" w:hAnsi="Aptos"/>
        </w:rPr>
        <w:t>refers</w:t>
      </w:r>
      <w:r w:rsidR="00314B92" w:rsidRPr="00855381">
        <w:rPr>
          <w:rFonts w:ascii="Aptos" w:hAnsi="Aptos"/>
        </w:rPr>
        <w:t xml:space="preserve"> to the lower of the two secondary values in each case (low compliance) and SA 3 </w:t>
      </w:r>
      <w:r w:rsidRPr="00855381">
        <w:rPr>
          <w:rFonts w:ascii="Aptos" w:hAnsi="Aptos"/>
        </w:rPr>
        <w:t>refers</w:t>
      </w:r>
      <w:r w:rsidR="00314B92" w:rsidRPr="00855381">
        <w:rPr>
          <w:rFonts w:ascii="Aptos" w:hAnsi="Aptos"/>
        </w:rPr>
        <w:t xml:space="preserve"> to the higher of the two secondary values in each case (high compliance). For consistency in numbering of results, we refer to the base case as SA 0.</w:t>
      </w:r>
    </w:p>
    <w:tbl>
      <w:tblPr>
        <w:tblW w:w="5000" w:type="pct"/>
        <w:tblLook w:val="04A0" w:firstRow="1" w:lastRow="0" w:firstColumn="1" w:lastColumn="0" w:noHBand="0" w:noVBand="1"/>
      </w:tblPr>
      <w:tblGrid>
        <w:gridCol w:w="1056"/>
        <w:gridCol w:w="3402"/>
        <w:gridCol w:w="2669"/>
        <w:gridCol w:w="2637"/>
        <w:gridCol w:w="677"/>
      </w:tblGrid>
      <w:tr w:rsidR="008710ED" w:rsidRPr="00855381" w14:paraId="11A59798" w14:textId="77777777" w:rsidTr="00CD1A12">
        <w:trPr>
          <w:trHeight w:val="340"/>
        </w:trPr>
        <w:tc>
          <w:tcPr>
            <w:tcW w:w="506" w:type="pct"/>
            <w:tcBorders>
              <w:top w:val="single" w:sz="8" w:space="0" w:color="auto"/>
              <w:left w:val="single" w:sz="8" w:space="0" w:color="auto"/>
              <w:bottom w:val="single" w:sz="8" w:space="0" w:color="auto"/>
              <w:right w:val="nil"/>
            </w:tcBorders>
            <w:noWrap/>
            <w:vAlign w:val="bottom"/>
            <w:hideMark/>
          </w:tcPr>
          <w:p w14:paraId="26EB9770" w14:textId="0E51A064"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SA Number</w:t>
            </w:r>
          </w:p>
        </w:tc>
        <w:tc>
          <w:tcPr>
            <w:tcW w:w="1629" w:type="pct"/>
            <w:tcBorders>
              <w:top w:val="single" w:sz="8" w:space="0" w:color="auto"/>
              <w:left w:val="nil"/>
              <w:bottom w:val="single" w:sz="8" w:space="0" w:color="auto"/>
              <w:right w:val="nil"/>
            </w:tcBorders>
            <w:noWrap/>
            <w:vAlign w:val="bottom"/>
            <w:hideMark/>
          </w:tcPr>
          <w:p w14:paraId="371D5D9C"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Parameter</w:t>
            </w:r>
          </w:p>
        </w:tc>
        <w:tc>
          <w:tcPr>
            <w:tcW w:w="1278" w:type="pct"/>
            <w:tcBorders>
              <w:top w:val="single" w:sz="8" w:space="0" w:color="auto"/>
              <w:left w:val="nil"/>
              <w:bottom w:val="single" w:sz="8" w:space="0" w:color="auto"/>
              <w:right w:val="nil"/>
            </w:tcBorders>
            <w:noWrap/>
            <w:vAlign w:val="bottom"/>
            <w:hideMark/>
          </w:tcPr>
          <w:p w14:paraId="7C9CECCE"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Primary Value</w:t>
            </w:r>
          </w:p>
        </w:tc>
        <w:tc>
          <w:tcPr>
            <w:tcW w:w="1263" w:type="pct"/>
            <w:tcBorders>
              <w:top w:val="single" w:sz="8" w:space="0" w:color="auto"/>
              <w:left w:val="nil"/>
              <w:bottom w:val="single" w:sz="8" w:space="0" w:color="auto"/>
              <w:right w:val="nil"/>
            </w:tcBorders>
            <w:noWrap/>
            <w:vAlign w:val="bottom"/>
            <w:hideMark/>
          </w:tcPr>
          <w:p w14:paraId="2B359173"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Secondary Values</w:t>
            </w:r>
          </w:p>
        </w:tc>
        <w:tc>
          <w:tcPr>
            <w:tcW w:w="324" w:type="pct"/>
            <w:tcBorders>
              <w:top w:val="single" w:sz="8" w:space="0" w:color="auto"/>
              <w:left w:val="nil"/>
              <w:bottom w:val="single" w:sz="8" w:space="0" w:color="auto"/>
              <w:right w:val="single" w:sz="12" w:space="0" w:color="auto"/>
            </w:tcBorders>
            <w:noWrap/>
            <w:vAlign w:val="bottom"/>
            <w:hideMark/>
          </w:tcPr>
          <w:p w14:paraId="4119B0EF"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Notes</w:t>
            </w:r>
          </w:p>
        </w:tc>
      </w:tr>
      <w:tr w:rsidR="008710ED" w:rsidRPr="00855381" w14:paraId="019988D6"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18B562BC"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Sensitivity Analysis on Efficacies</w:t>
            </w:r>
          </w:p>
        </w:tc>
      </w:tr>
      <w:tr w:rsidR="008710ED" w:rsidRPr="00855381" w14:paraId="31D201DC" w14:textId="77777777" w:rsidTr="00CD1A12">
        <w:trPr>
          <w:trHeight w:val="320"/>
        </w:trPr>
        <w:tc>
          <w:tcPr>
            <w:tcW w:w="506" w:type="pct"/>
            <w:tcBorders>
              <w:top w:val="nil"/>
              <w:left w:val="single" w:sz="8" w:space="0" w:color="auto"/>
              <w:bottom w:val="nil"/>
              <w:right w:val="nil"/>
            </w:tcBorders>
            <w:noWrap/>
            <w:vAlign w:val="bottom"/>
            <w:hideMark/>
          </w:tcPr>
          <w:p w14:paraId="7A23389B" w14:textId="7392CAAD" w:rsidR="008710ED" w:rsidRPr="00855381" w:rsidRDefault="008710ED" w:rsidP="008710ED">
            <w:pPr>
              <w:rPr>
                <w:rFonts w:ascii="Aptos" w:hAnsi="Aptos"/>
                <w:color w:val="000000"/>
                <w:sz w:val="16"/>
                <w:szCs w:val="16"/>
              </w:rPr>
            </w:pPr>
            <w:r w:rsidRPr="00855381">
              <w:rPr>
                <w:rFonts w:ascii="Aptos" w:hAnsi="Aptos"/>
                <w:color w:val="000000"/>
                <w:sz w:val="16"/>
                <w:szCs w:val="16"/>
              </w:rPr>
              <w:t>1</w:t>
            </w:r>
          </w:p>
        </w:tc>
        <w:tc>
          <w:tcPr>
            <w:tcW w:w="1629" w:type="pct"/>
            <w:tcBorders>
              <w:top w:val="nil"/>
              <w:left w:val="nil"/>
              <w:bottom w:val="nil"/>
              <w:right w:val="nil"/>
            </w:tcBorders>
            <w:noWrap/>
            <w:vAlign w:val="bottom"/>
            <w:hideMark/>
          </w:tcPr>
          <w:p w14:paraId="343F7B5C"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General Cancer Treatment Efficacy</w:t>
            </w:r>
          </w:p>
        </w:tc>
        <w:tc>
          <w:tcPr>
            <w:tcW w:w="1278" w:type="pct"/>
            <w:tcBorders>
              <w:top w:val="nil"/>
              <w:left w:val="nil"/>
              <w:bottom w:val="nil"/>
              <w:right w:val="nil"/>
            </w:tcBorders>
            <w:noWrap/>
            <w:vAlign w:val="bottom"/>
            <w:hideMark/>
          </w:tcPr>
          <w:p w14:paraId="026C50C4"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w:t>
            </w:r>
          </w:p>
        </w:tc>
        <w:tc>
          <w:tcPr>
            <w:tcW w:w="1263" w:type="pct"/>
            <w:tcBorders>
              <w:top w:val="nil"/>
              <w:left w:val="nil"/>
              <w:bottom w:val="nil"/>
              <w:right w:val="nil"/>
            </w:tcBorders>
            <w:noWrap/>
            <w:vAlign w:val="bottom"/>
            <w:hideMark/>
          </w:tcPr>
          <w:p w14:paraId="1063289A"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0.65</w:t>
            </w:r>
          </w:p>
        </w:tc>
        <w:tc>
          <w:tcPr>
            <w:tcW w:w="324" w:type="pct"/>
            <w:tcBorders>
              <w:top w:val="nil"/>
              <w:left w:val="nil"/>
              <w:bottom w:val="nil"/>
              <w:right w:val="single" w:sz="12" w:space="0" w:color="auto"/>
            </w:tcBorders>
            <w:noWrap/>
            <w:vAlign w:val="bottom"/>
            <w:hideMark/>
          </w:tcPr>
          <w:p w14:paraId="471954AB"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 </w:t>
            </w:r>
          </w:p>
        </w:tc>
      </w:tr>
      <w:tr w:rsidR="008710ED" w:rsidRPr="00855381" w14:paraId="3D9F5B55"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0F6F5869" w14:textId="57F7BCFC"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 xml:space="preserve">Sensitivity Analysis on Screening </w:t>
            </w:r>
            <w:r w:rsidR="006A478C" w:rsidRPr="00855381">
              <w:rPr>
                <w:rFonts w:ascii="Aptos" w:hAnsi="Aptos"/>
                <w:b/>
                <w:bCs/>
                <w:i/>
                <w:iCs/>
                <w:color w:val="000000"/>
                <w:sz w:val="16"/>
                <w:szCs w:val="16"/>
              </w:rPr>
              <w:t>Algorithm</w:t>
            </w:r>
            <w:r w:rsidRPr="00855381">
              <w:rPr>
                <w:rFonts w:ascii="Aptos" w:hAnsi="Aptos"/>
                <w:b/>
                <w:bCs/>
                <w:i/>
                <w:iCs/>
                <w:color w:val="000000"/>
                <w:sz w:val="16"/>
                <w:szCs w:val="16"/>
              </w:rPr>
              <w:t xml:space="preserve"> Compliance</w:t>
            </w:r>
          </w:p>
        </w:tc>
      </w:tr>
      <w:tr w:rsidR="008710ED" w:rsidRPr="00855381" w14:paraId="64E53D71" w14:textId="77777777" w:rsidTr="00CD1A12">
        <w:trPr>
          <w:trHeight w:val="320"/>
        </w:trPr>
        <w:tc>
          <w:tcPr>
            <w:tcW w:w="506" w:type="pct"/>
            <w:tcBorders>
              <w:top w:val="nil"/>
              <w:left w:val="single" w:sz="8" w:space="0" w:color="auto"/>
              <w:bottom w:val="nil"/>
              <w:right w:val="nil"/>
            </w:tcBorders>
            <w:noWrap/>
            <w:vAlign w:val="bottom"/>
            <w:hideMark/>
          </w:tcPr>
          <w:p w14:paraId="257FA5A5" w14:textId="46A1443C"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2D0275A5"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primary_screen_prob_under50</w:t>
            </w:r>
          </w:p>
        </w:tc>
        <w:tc>
          <w:tcPr>
            <w:tcW w:w="1278" w:type="pct"/>
            <w:tcBorders>
              <w:top w:val="nil"/>
              <w:left w:val="nil"/>
              <w:bottom w:val="nil"/>
              <w:right w:val="nil"/>
            </w:tcBorders>
            <w:noWrap/>
            <w:vAlign w:val="bottom"/>
            <w:hideMark/>
          </w:tcPr>
          <w:p w14:paraId="52681873"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0.68</w:t>
            </w:r>
          </w:p>
        </w:tc>
        <w:tc>
          <w:tcPr>
            <w:tcW w:w="1263" w:type="pct"/>
            <w:tcBorders>
              <w:top w:val="nil"/>
              <w:left w:val="nil"/>
              <w:bottom w:val="nil"/>
              <w:right w:val="nil"/>
            </w:tcBorders>
            <w:noWrap/>
            <w:vAlign w:val="bottom"/>
            <w:hideMark/>
          </w:tcPr>
          <w:p w14:paraId="7E7EE7FD"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0.68,0.8</w:t>
            </w:r>
          </w:p>
        </w:tc>
        <w:tc>
          <w:tcPr>
            <w:tcW w:w="324" w:type="pct"/>
            <w:vMerge w:val="restart"/>
            <w:tcBorders>
              <w:top w:val="nil"/>
              <w:left w:val="nil"/>
              <w:bottom w:val="nil"/>
              <w:right w:val="single" w:sz="12" w:space="0" w:color="auto"/>
            </w:tcBorders>
            <w:vAlign w:val="bottom"/>
            <w:hideMark/>
          </w:tcPr>
          <w:p w14:paraId="6596CA8C" w14:textId="4BE5BEE7"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 xml:space="preserve"> </w:t>
            </w:r>
          </w:p>
        </w:tc>
      </w:tr>
      <w:tr w:rsidR="008710ED" w:rsidRPr="00855381" w14:paraId="16F15DA1" w14:textId="77777777" w:rsidTr="00CD1A12">
        <w:trPr>
          <w:trHeight w:val="320"/>
        </w:trPr>
        <w:tc>
          <w:tcPr>
            <w:tcW w:w="506" w:type="pct"/>
            <w:tcBorders>
              <w:top w:val="nil"/>
              <w:left w:val="single" w:sz="8" w:space="0" w:color="auto"/>
              <w:bottom w:val="nil"/>
              <w:right w:val="nil"/>
            </w:tcBorders>
            <w:noWrap/>
            <w:vAlign w:val="bottom"/>
            <w:hideMark/>
          </w:tcPr>
          <w:p w14:paraId="4972F70F" w14:textId="7071B6A4"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5A7CE093"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primary_screen_prob_50andover</w:t>
            </w:r>
          </w:p>
        </w:tc>
        <w:tc>
          <w:tcPr>
            <w:tcW w:w="1278" w:type="pct"/>
            <w:tcBorders>
              <w:top w:val="nil"/>
              <w:left w:val="nil"/>
              <w:bottom w:val="nil"/>
              <w:right w:val="nil"/>
            </w:tcBorders>
            <w:noWrap/>
            <w:vAlign w:val="bottom"/>
            <w:hideMark/>
          </w:tcPr>
          <w:p w14:paraId="03C05759"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0.76</w:t>
            </w:r>
          </w:p>
        </w:tc>
        <w:tc>
          <w:tcPr>
            <w:tcW w:w="1263" w:type="pct"/>
            <w:tcBorders>
              <w:top w:val="nil"/>
              <w:left w:val="nil"/>
              <w:bottom w:val="nil"/>
              <w:right w:val="nil"/>
            </w:tcBorders>
            <w:noWrap/>
            <w:vAlign w:val="bottom"/>
            <w:hideMark/>
          </w:tcPr>
          <w:p w14:paraId="04E3B30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0.76,0.8</w:t>
            </w:r>
          </w:p>
        </w:tc>
        <w:tc>
          <w:tcPr>
            <w:tcW w:w="324" w:type="pct"/>
            <w:vMerge/>
            <w:tcBorders>
              <w:top w:val="nil"/>
              <w:left w:val="nil"/>
              <w:bottom w:val="nil"/>
              <w:right w:val="single" w:sz="12" w:space="0" w:color="auto"/>
            </w:tcBorders>
            <w:vAlign w:val="center"/>
            <w:hideMark/>
          </w:tcPr>
          <w:p w14:paraId="2E58924D" w14:textId="77777777" w:rsidR="008710ED" w:rsidRPr="00855381" w:rsidRDefault="008710ED" w:rsidP="008710ED">
            <w:pPr>
              <w:rPr>
                <w:rFonts w:ascii="Aptos" w:hAnsi="Aptos"/>
                <w:color w:val="000000"/>
                <w:sz w:val="16"/>
                <w:szCs w:val="16"/>
              </w:rPr>
            </w:pPr>
          </w:p>
        </w:tc>
      </w:tr>
      <w:tr w:rsidR="008710ED" w:rsidRPr="00855381" w14:paraId="062DA033" w14:textId="77777777" w:rsidTr="00CD1A12">
        <w:trPr>
          <w:trHeight w:val="320"/>
        </w:trPr>
        <w:tc>
          <w:tcPr>
            <w:tcW w:w="506" w:type="pct"/>
            <w:tcBorders>
              <w:top w:val="nil"/>
              <w:left w:val="single" w:sz="8" w:space="0" w:color="auto"/>
              <w:bottom w:val="nil"/>
              <w:right w:val="nil"/>
            </w:tcBorders>
            <w:noWrap/>
            <w:vAlign w:val="bottom"/>
            <w:hideMark/>
          </w:tcPr>
          <w:p w14:paraId="44A1B22B" w14:textId="1220D937"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0A3CFCCF"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secondary_screen_prob</w:t>
            </w:r>
            <w:proofErr w:type="spellEnd"/>
          </w:p>
        </w:tc>
        <w:tc>
          <w:tcPr>
            <w:tcW w:w="1278" w:type="pct"/>
            <w:tcBorders>
              <w:top w:val="nil"/>
              <w:left w:val="nil"/>
              <w:bottom w:val="nil"/>
              <w:right w:val="nil"/>
            </w:tcBorders>
            <w:noWrap/>
            <w:vAlign w:val="bottom"/>
            <w:hideMark/>
          </w:tcPr>
          <w:p w14:paraId="60BB34DD"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w:t>
            </w:r>
          </w:p>
        </w:tc>
        <w:tc>
          <w:tcPr>
            <w:tcW w:w="1263" w:type="pct"/>
            <w:tcBorders>
              <w:top w:val="nil"/>
              <w:left w:val="nil"/>
              <w:bottom w:val="nil"/>
              <w:right w:val="nil"/>
            </w:tcBorders>
            <w:noWrap/>
            <w:vAlign w:val="bottom"/>
            <w:hideMark/>
          </w:tcPr>
          <w:p w14:paraId="08E7EDD0"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0.6,0.9</w:t>
            </w:r>
          </w:p>
        </w:tc>
        <w:tc>
          <w:tcPr>
            <w:tcW w:w="324" w:type="pct"/>
            <w:vMerge/>
            <w:tcBorders>
              <w:top w:val="nil"/>
              <w:left w:val="nil"/>
              <w:bottom w:val="nil"/>
              <w:right w:val="single" w:sz="12" w:space="0" w:color="auto"/>
            </w:tcBorders>
            <w:vAlign w:val="center"/>
            <w:hideMark/>
          </w:tcPr>
          <w:p w14:paraId="449AEAC7" w14:textId="77777777" w:rsidR="008710ED" w:rsidRPr="00855381" w:rsidRDefault="008710ED" w:rsidP="008710ED">
            <w:pPr>
              <w:rPr>
                <w:rFonts w:ascii="Aptos" w:hAnsi="Aptos"/>
                <w:color w:val="000000"/>
                <w:sz w:val="16"/>
                <w:szCs w:val="16"/>
              </w:rPr>
            </w:pPr>
          </w:p>
        </w:tc>
      </w:tr>
      <w:tr w:rsidR="008710ED" w:rsidRPr="00855381" w14:paraId="065B0CD7" w14:textId="77777777" w:rsidTr="00CD1A12">
        <w:trPr>
          <w:trHeight w:val="320"/>
        </w:trPr>
        <w:tc>
          <w:tcPr>
            <w:tcW w:w="506" w:type="pct"/>
            <w:tcBorders>
              <w:top w:val="nil"/>
              <w:left w:val="single" w:sz="8" w:space="0" w:color="auto"/>
              <w:bottom w:val="nil"/>
              <w:right w:val="nil"/>
            </w:tcBorders>
            <w:noWrap/>
            <w:vAlign w:val="bottom"/>
            <w:hideMark/>
          </w:tcPr>
          <w:p w14:paraId="1F677815" w14:textId="745EFB8E"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5F766FE7"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third_screen_prob</w:t>
            </w:r>
            <w:proofErr w:type="spellEnd"/>
          </w:p>
        </w:tc>
        <w:tc>
          <w:tcPr>
            <w:tcW w:w="1278" w:type="pct"/>
            <w:tcBorders>
              <w:top w:val="nil"/>
              <w:left w:val="nil"/>
              <w:bottom w:val="nil"/>
              <w:right w:val="nil"/>
            </w:tcBorders>
            <w:noWrap/>
            <w:vAlign w:val="bottom"/>
            <w:hideMark/>
          </w:tcPr>
          <w:p w14:paraId="5DAFEC8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w:t>
            </w:r>
          </w:p>
        </w:tc>
        <w:tc>
          <w:tcPr>
            <w:tcW w:w="1263" w:type="pct"/>
            <w:tcBorders>
              <w:top w:val="nil"/>
              <w:left w:val="nil"/>
              <w:bottom w:val="nil"/>
              <w:right w:val="nil"/>
            </w:tcBorders>
            <w:noWrap/>
            <w:vAlign w:val="bottom"/>
            <w:hideMark/>
          </w:tcPr>
          <w:p w14:paraId="4112ABD3"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0.6,0.9</w:t>
            </w:r>
          </w:p>
        </w:tc>
        <w:tc>
          <w:tcPr>
            <w:tcW w:w="324" w:type="pct"/>
            <w:vMerge/>
            <w:tcBorders>
              <w:top w:val="nil"/>
              <w:left w:val="nil"/>
              <w:bottom w:val="nil"/>
              <w:right w:val="single" w:sz="12" w:space="0" w:color="auto"/>
            </w:tcBorders>
            <w:vAlign w:val="center"/>
            <w:hideMark/>
          </w:tcPr>
          <w:p w14:paraId="045685E3" w14:textId="77777777" w:rsidR="008710ED" w:rsidRPr="00855381" w:rsidRDefault="008710ED" w:rsidP="008710ED">
            <w:pPr>
              <w:rPr>
                <w:rFonts w:ascii="Aptos" w:hAnsi="Aptos"/>
                <w:color w:val="000000"/>
                <w:sz w:val="16"/>
                <w:szCs w:val="16"/>
              </w:rPr>
            </w:pPr>
          </w:p>
        </w:tc>
      </w:tr>
      <w:tr w:rsidR="008710ED" w:rsidRPr="00855381" w14:paraId="76B31016" w14:textId="77777777" w:rsidTr="00CD1A12">
        <w:trPr>
          <w:trHeight w:val="320"/>
        </w:trPr>
        <w:tc>
          <w:tcPr>
            <w:tcW w:w="506" w:type="pct"/>
            <w:tcBorders>
              <w:top w:val="nil"/>
              <w:left w:val="single" w:sz="8" w:space="0" w:color="auto"/>
              <w:bottom w:val="nil"/>
              <w:right w:val="nil"/>
            </w:tcBorders>
            <w:noWrap/>
            <w:vAlign w:val="bottom"/>
            <w:hideMark/>
          </w:tcPr>
          <w:p w14:paraId="6E08507F" w14:textId="4FA099D7"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50050169"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ablate_prob</w:t>
            </w:r>
            <w:proofErr w:type="spellEnd"/>
          </w:p>
        </w:tc>
        <w:tc>
          <w:tcPr>
            <w:tcW w:w="1278" w:type="pct"/>
            <w:tcBorders>
              <w:top w:val="nil"/>
              <w:left w:val="nil"/>
              <w:bottom w:val="nil"/>
              <w:right w:val="nil"/>
            </w:tcBorders>
            <w:noWrap/>
            <w:vAlign w:val="bottom"/>
            <w:hideMark/>
          </w:tcPr>
          <w:p w14:paraId="6B13FAE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w:t>
            </w:r>
          </w:p>
        </w:tc>
        <w:tc>
          <w:tcPr>
            <w:tcW w:w="1263" w:type="pct"/>
            <w:tcBorders>
              <w:top w:val="nil"/>
              <w:left w:val="nil"/>
              <w:bottom w:val="nil"/>
              <w:right w:val="nil"/>
            </w:tcBorders>
            <w:noWrap/>
            <w:vAlign w:val="bottom"/>
            <w:hideMark/>
          </w:tcPr>
          <w:p w14:paraId="788E3182"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0.8, 0.95</w:t>
            </w:r>
          </w:p>
        </w:tc>
        <w:tc>
          <w:tcPr>
            <w:tcW w:w="324" w:type="pct"/>
            <w:vMerge/>
            <w:tcBorders>
              <w:top w:val="nil"/>
              <w:left w:val="nil"/>
              <w:bottom w:val="nil"/>
              <w:right w:val="single" w:sz="12" w:space="0" w:color="auto"/>
            </w:tcBorders>
            <w:vAlign w:val="center"/>
            <w:hideMark/>
          </w:tcPr>
          <w:p w14:paraId="020E3926" w14:textId="77777777" w:rsidR="008710ED" w:rsidRPr="00855381" w:rsidRDefault="008710ED" w:rsidP="008710ED">
            <w:pPr>
              <w:rPr>
                <w:rFonts w:ascii="Aptos" w:hAnsi="Aptos"/>
                <w:color w:val="000000"/>
                <w:sz w:val="16"/>
                <w:szCs w:val="16"/>
              </w:rPr>
            </w:pPr>
          </w:p>
        </w:tc>
      </w:tr>
      <w:tr w:rsidR="008710ED" w:rsidRPr="00855381" w14:paraId="594E732F" w14:textId="77777777" w:rsidTr="00CD1A12">
        <w:trPr>
          <w:trHeight w:val="320"/>
        </w:trPr>
        <w:tc>
          <w:tcPr>
            <w:tcW w:w="506" w:type="pct"/>
            <w:tcBorders>
              <w:top w:val="nil"/>
              <w:left w:val="single" w:sz="8" w:space="0" w:color="auto"/>
              <w:bottom w:val="nil"/>
              <w:right w:val="nil"/>
            </w:tcBorders>
            <w:noWrap/>
            <w:vAlign w:val="bottom"/>
            <w:hideMark/>
          </w:tcPr>
          <w:p w14:paraId="4E7D1F6B" w14:textId="67EFA5E9"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312B2D34"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generalcancertreatment_prob</w:t>
            </w:r>
            <w:proofErr w:type="spellEnd"/>
          </w:p>
        </w:tc>
        <w:tc>
          <w:tcPr>
            <w:tcW w:w="1278" w:type="pct"/>
            <w:tcBorders>
              <w:top w:val="nil"/>
              <w:left w:val="nil"/>
              <w:bottom w:val="nil"/>
              <w:right w:val="nil"/>
            </w:tcBorders>
            <w:noWrap/>
            <w:vAlign w:val="bottom"/>
            <w:hideMark/>
          </w:tcPr>
          <w:p w14:paraId="6071FBDB"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w:t>
            </w:r>
          </w:p>
        </w:tc>
        <w:tc>
          <w:tcPr>
            <w:tcW w:w="1263" w:type="pct"/>
            <w:tcBorders>
              <w:top w:val="nil"/>
              <w:left w:val="nil"/>
              <w:bottom w:val="nil"/>
              <w:right w:val="nil"/>
            </w:tcBorders>
            <w:noWrap/>
            <w:vAlign w:val="bottom"/>
            <w:hideMark/>
          </w:tcPr>
          <w:p w14:paraId="0FD7E3D8"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0.8,0.95</w:t>
            </w:r>
          </w:p>
        </w:tc>
        <w:tc>
          <w:tcPr>
            <w:tcW w:w="324" w:type="pct"/>
            <w:vMerge/>
            <w:tcBorders>
              <w:top w:val="nil"/>
              <w:left w:val="nil"/>
              <w:bottom w:val="nil"/>
              <w:right w:val="single" w:sz="12" w:space="0" w:color="auto"/>
            </w:tcBorders>
            <w:vAlign w:val="center"/>
            <w:hideMark/>
          </w:tcPr>
          <w:p w14:paraId="684C7C6E" w14:textId="77777777" w:rsidR="008710ED" w:rsidRPr="00855381" w:rsidRDefault="008710ED" w:rsidP="008710ED">
            <w:pPr>
              <w:rPr>
                <w:rFonts w:ascii="Aptos" w:hAnsi="Aptos"/>
                <w:color w:val="000000"/>
                <w:sz w:val="16"/>
                <w:szCs w:val="16"/>
              </w:rPr>
            </w:pPr>
          </w:p>
        </w:tc>
      </w:tr>
      <w:tr w:rsidR="008710ED" w:rsidRPr="00855381" w14:paraId="3B56A677"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31A5A924"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 xml:space="preserve">Sensitivity Analysis on Vaccine-Conferred OHR immunity - written as two cases </w:t>
            </w:r>
            <w:proofErr w:type="spellStart"/>
            <w:r w:rsidRPr="00855381">
              <w:rPr>
                <w:rFonts w:ascii="Aptos" w:hAnsi="Aptos"/>
                <w:b/>
                <w:bCs/>
                <w:i/>
                <w:iCs/>
                <w:color w:val="000000"/>
                <w:sz w:val="16"/>
                <w:szCs w:val="16"/>
              </w:rPr>
              <w:t>explciitly</w:t>
            </w:r>
            <w:proofErr w:type="spellEnd"/>
            <w:r w:rsidRPr="00855381">
              <w:rPr>
                <w:rFonts w:ascii="Aptos" w:hAnsi="Aptos"/>
                <w:b/>
                <w:bCs/>
                <w:i/>
                <w:iCs/>
                <w:color w:val="000000"/>
                <w:sz w:val="16"/>
                <w:szCs w:val="16"/>
              </w:rPr>
              <w:t xml:space="preserve"> in the paper</w:t>
            </w:r>
          </w:p>
        </w:tc>
      </w:tr>
      <w:tr w:rsidR="008710ED" w:rsidRPr="00855381" w14:paraId="22507F73" w14:textId="77777777" w:rsidTr="00CD1A12">
        <w:trPr>
          <w:trHeight w:val="320"/>
        </w:trPr>
        <w:tc>
          <w:tcPr>
            <w:tcW w:w="506" w:type="pct"/>
            <w:tcBorders>
              <w:top w:val="nil"/>
              <w:left w:val="single" w:sz="8" w:space="0" w:color="auto"/>
              <w:bottom w:val="nil"/>
              <w:right w:val="nil"/>
            </w:tcBorders>
            <w:noWrap/>
            <w:vAlign w:val="bottom"/>
            <w:hideMark/>
          </w:tcPr>
          <w:p w14:paraId="063CFBA6" w14:textId="3AD7EAAD" w:rsidR="008710ED" w:rsidRPr="00855381" w:rsidRDefault="00314B92" w:rsidP="008710ED">
            <w:pPr>
              <w:rPr>
                <w:rFonts w:ascii="Aptos" w:hAnsi="Aptos"/>
                <w:color w:val="000000"/>
                <w:sz w:val="16"/>
                <w:szCs w:val="16"/>
              </w:rPr>
            </w:pPr>
            <w:r w:rsidRPr="00855381">
              <w:rPr>
                <w:rFonts w:ascii="Aptos" w:hAnsi="Aptos"/>
                <w:color w:val="000000"/>
                <w:sz w:val="16"/>
                <w:szCs w:val="16"/>
              </w:rPr>
              <w:t>4</w:t>
            </w:r>
          </w:p>
        </w:tc>
        <w:tc>
          <w:tcPr>
            <w:tcW w:w="1629" w:type="pct"/>
            <w:tcBorders>
              <w:top w:val="nil"/>
              <w:left w:val="nil"/>
              <w:bottom w:val="nil"/>
              <w:right w:val="nil"/>
            </w:tcBorders>
            <w:noWrap/>
            <w:vAlign w:val="bottom"/>
            <w:hideMark/>
          </w:tcPr>
          <w:p w14:paraId="6C8ECFAA"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 xml:space="preserve">bivalent </w:t>
            </w:r>
            <w:proofErr w:type="spellStart"/>
            <w:r w:rsidRPr="00855381">
              <w:rPr>
                <w:rFonts w:ascii="Aptos" w:hAnsi="Aptos"/>
                <w:color w:val="000000"/>
                <w:sz w:val="16"/>
                <w:szCs w:val="16"/>
              </w:rPr>
              <w:t>ohr</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rel_imm</w:t>
            </w:r>
            <w:proofErr w:type="spellEnd"/>
          </w:p>
        </w:tc>
        <w:tc>
          <w:tcPr>
            <w:tcW w:w="1278" w:type="pct"/>
            <w:tcBorders>
              <w:top w:val="nil"/>
              <w:left w:val="nil"/>
              <w:bottom w:val="nil"/>
              <w:right w:val="nil"/>
            </w:tcBorders>
            <w:noWrap/>
            <w:vAlign w:val="bottom"/>
            <w:hideMark/>
          </w:tcPr>
          <w:p w14:paraId="3DC1AE16"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w:t>
            </w:r>
          </w:p>
        </w:tc>
        <w:tc>
          <w:tcPr>
            <w:tcW w:w="1263" w:type="pct"/>
            <w:tcBorders>
              <w:top w:val="nil"/>
              <w:left w:val="nil"/>
              <w:bottom w:val="nil"/>
              <w:right w:val="nil"/>
            </w:tcBorders>
            <w:noWrap/>
            <w:vAlign w:val="bottom"/>
            <w:hideMark/>
          </w:tcPr>
          <w:p w14:paraId="4A404919"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0.1</w:t>
            </w:r>
          </w:p>
        </w:tc>
        <w:tc>
          <w:tcPr>
            <w:tcW w:w="324" w:type="pct"/>
            <w:vMerge w:val="restart"/>
            <w:tcBorders>
              <w:top w:val="nil"/>
              <w:left w:val="nil"/>
              <w:bottom w:val="nil"/>
              <w:right w:val="single" w:sz="12" w:space="0" w:color="auto"/>
            </w:tcBorders>
            <w:vAlign w:val="bottom"/>
            <w:hideMark/>
          </w:tcPr>
          <w:p w14:paraId="1F412C62" w14:textId="12036A9B"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 xml:space="preserve"> </w:t>
            </w:r>
          </w:p>
        </w:tc>
      </w:tr>
      <w:tr w:rsidR="008710ED" w:rsidRPr="00855381" w14:paraId="5B54D3EC" w14:textId="77777777" w:rsidTr="00CD1A12">
        <w:trPr>
          <w:trHeight w:val="320"/>
        </w:trPr>
        <w:tc>
          <w:tcPr>
            <w:tcW w:w="506" w:type="pct"/>
            <w:tcBorders>
              <w:top w:val="nil"/>
              <w:left w:val="single" w:sz="8" w:space="0" w:color="auto"/>
              <w:bottom w:val="nil"/>
              <w:right w:val="nil"/>
            </w:tcBorders>
            <w:noWrap/>
            <w:vAlign w:val="bottom"/>
            <w:hideMark/>
          </w:tcPr>
          <w:p w14:paraId="05361C13" w14:textId="6C8D86BA" w:rsidR="008710ED" w:rsidRPr="00855381" w:rsidRDefault="00314B92" w:rsidP="008710ED">
            <w:pPr>
              <w:rPr>
                <w:rFonts w:ascii="Aptos" w:hAnsi="Aptos"/>
                <w:color w:val="000000"/>
                <w:sz w:val="16"/>
                <w:szCs w:val="16"/>
              </w:rPr>
            </w:pPr>
            <w:r w:rsidRPr="00855381">
              <w:rPr>
                <w:rFonts w:ascii="Aptos" w:hAnsi="Aptos"/>
                <w:color w:val="000000"/>
                <w:sz w:val="16"/>
                <w:szCs w:val="16"/>
              </w:rPr>
              <w:t>4</w:t>
            </w:r>
          </w:p>
        </w:tc>
        <w:tc>
          <w:tcPr>
            <w:tcW w:w="1629" w:type="pct"/>
            <w:tcBorders>
              <w:top w:val="nil"/>
              <w:left w:val="nil"/>
              <w:bottom w:val="nil"/>
              <w:right w:val="nil"/>
            </w:tcBorders>
            <w:noWrap/>
            <w:vAlign w:val="bottom"/>
            <w:hideMark/>
          </w:tcPr>
          <w:p w14:paraId="07DFA859"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 xml:space="preserve">quadrivalent </w:t>
            </w:r>
            <w:proofErr w:type="spellStart"/>
            <w:r w:rsidRPr="00855381">
              <w:rPr>
                <w:rFonts w:ascii="Aptos" w:hAnsi="Aptos"/>
                <w:color w:val="000000"/>
                <w:sz w:val="16"/>
                <w:szCs w:val="16"/>
              </w:rPr>
              <w:t>ohr</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rel_imm</w:t>
            </w:r>
            <w:proofErr w:type="spellEnd"/>
          </w:p>
        </w:tc>
        <w:tc>
          <w:tcPr>
            <w:tcW w:w="1278" w:type="pct"/>
            <w:tcBorders>
              <w:top w:val="nil"/>
              <w:left w:val="nil"/>
              <w:bottom w:val="nil"/>
              <w:right w:val="nil"/>
            </w:tcBorders>
            <w:noWrap/>
            <w:vAlign w:val="bottom"/>
            <w:hideMark/>
          </w:tcPr>
          <w:p w14:paraId="2A4A0E96"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w:t>
            </w:r>
          </w:p>
        </w:tc>
        <w:tc>
          <w:tcPr>
            <w:tcW w:w="1263" w:type="pct"/>
            <w:tcBorders>
              <w:top w:val="nil"/>
              <w:left w:val="nil"/>
              <w:bottom w:val="nil"/>
              <w:right w:val="nil"/>
            </w:tcBorders>
            <w:noWrap/>
            <w:vAlign w:val="bottom"/>
            <w:hideMark/>
          </w:tcPr>
          <w:p w14:paraId="761E696E"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0.1</w:t>
            </w:r>
          </w:p>
        </w:tc>
        <w:tc>
          <w:tcPr>
            <w:tcW w:w="324" w:type="pct"/>
            <w:vMerge/>
            <w:tcBorders>
              <w:top w:val="nil"/>
              <w:left w:val="nil"/>
              <w:bottom w:val="nil"/>
              <w:right w:val="single" w:sz="12" w:space="0" w:color="auto"/>
            </w:tcBorders>
            <w:vAlign w:val="center"/>
            <w:hideMark/>
          </w:tcPr>
          <w:p w14:paraId="07BF921B" w14:textId="77777777" w:rsidR="008710ED" w:rsidRPr="00855381" w:rsidRDefault="008710ED" w:rsidP="008710ED">
            <w:pPr>
              <w:rPr>
                <w:rFonts w:ascii="Aptos" w:hAnsi="Aptos"/>
                <w:color w:val="000000"/>
                <w:sz w:val="16"/>
                <w:szCs w:val="16"/>
              </w:rPr>
            </w:pPr>
          </w:p>
        </w:tc>
      </w:tr>
      <w:tr w:rsidR="008710ED" w:rsidRPr="00855381" w14:paraId="7F15964E" w14:textId="77777777" w:rsidTr="00CD1A12">
        <w:trPr>
          <w:trHeight w:val="320"/>
        </w:trPr>
        <w:tc>
          <w:tcPr>
            <w:tcW w:w="506" w:type="pct"/>
            <w:tcBorders>
              <w:top w:val="nil"/>
              <w:left w:val="single" w:sz="8" w:space="0" w:color="auto"/>
              <w:bottom w:val="nil"/>
              <w:right w:val="nil"/>
            </w:tcBorders>
            <w:noWrap/>
            <w:vAlign w:val="bottom"/>
            <w:hideMark/>
          </w:tcPr>
          <w:p w14:paraId="6052F4D3" w14:textId="372A64B8" w:rsidR="008710ED" w:rsidRPr="00855381" w:rsidRDefault="00314B92" w:rsidP="008710ED">
            <w:pPr>
              <w:rPr>
                <w:rFonts w:ascii="Aptos" w:hAnsi="Aptos"/>
                <w:color w:val="000000"/>
                <w:sz w:val="16"/>
                <w:szCs w:val="16"/>
              </w:rPr>
            </w:pPr>
            <w:r w:rsidRPr="00855381">
              <w:rPr>
                <w:rFonts w:ascii="Aptos" w:hAnsi="Aptos"/>
                <w:color w:val="000000"/>
                <w:sz w:val="16"/>
                <w:szCs w:val="16"/>
              </w:rPr>
              <w:t>4</w:t>
            </w:r>
          </w:p>
        </w:tc>
        <w:tc>
          <w:tcPr>
            <w:tcW w:w="1629" w:type="pct"/>
            <w:tcBorders>
              <w:top w:val="nil"/>
              <w:left w:val="nil"/>
              <w:bottom w:val="nil"/>
              <w:right w:val="nil"/>
            </w:tcBorders>
            <w:noWrap/>
            <w:vAlign w:val="bottom"/>
            <w:hideMark/>
          </w:tcPr>
          <w:p w14:paraId="698738AA"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nonavalent</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ohr</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rel_imm</w:t>
            </w:r>
            <w:proofErr w:type="spellEnd"/>
          </w:p>
        </w:tc>
        <w:tc>
          <w:tcPr>
            <w:tcW w:w="1278" w:type="pct"/>
            <w:tcBorders>
              <w:top w:val="nil"/>
              <w:left w:val="nil"/>
              <w:bottom w:val="nil"/>
              <w:right w:val="nil"/>
            </w:tcBorders>
            <w:noWrap/>
            <w:vAlign w:val="bottom"/>
            <w:hideMark/>
          </w:tcPr>
          <w:p w14:paraId="0395AED3"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w:t>
            </w:r>
          </w:p>
        </w:tc>
        <w:tc>
          <w:tcPr>
            <w:tcW w:w="1263" w:type="pct"/>
            <w:tcBorders>
              <w:top w:val="nil"/>
              <w:left w:val="nil"/>
              <w:bottom w:val="nil"/>
              <w:right w:val="nil"/>
            </w:tcBorders>
            <w:noWrap/>
            <w:vAlign w:val="bottom"/>
            <w:hideMark/>
          </w:tcPr>
          <w:p w14:paraId="206078B2"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0.1</w:t>
            </w:r>
          </w:p>
        </w:tc>
        <w:tc>
          <w:tcPr>
            <w:tcW w:w="324" w:type="pct"/>
            <w:vMerge/>
            <w:tcBorders>
              <w:top w:val="nil"/>
              <w:left w:val="nil"/>
              <w:bottom w:val="nil"/>
              <w:right w:val="single" w:sz="12" w:space="0" w:color="auto"/>
            </w:tcBorders>
            <w:vAlign w:val="center"/>
            <w:hideMark/>
          </w:tcPr>
          <w:p w14:paraId="3003064D" w14:textId="77777777" w:rsidR="008710ED" w:rsidRPr="00855381" w:rsidRDefault="008710ED" w:rsidP="008710ED">
            <w:pPr>
              <w:rPr>
                <w:rFonts w:ascii="Aptos" w:hAnsi="Aptos"/>
                <w:color w:val="000000"/>
                <w:sz w:val="16"/>
                <w:szCs w:val="16"/>
              </w:rPr>
            </w:pPr>
          </w:p>
        </w:tc>
      </w:tr>
      <w:tr w:rsidR="008710ED" w:rsidRPr="00855381" w14:paraId="3D1B6AA0"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7A342279"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Sensitivity Analysis on Initial HPV Prevalence among Men</w:t>
            </w:r>
          </w:p>
        </w:tc>
      </w:tr>
      <w:tr w:rsidR="008710ED" w:rsidRPr="00855381" w14:paraId="6D1F1716" w14:textId="77777777" w:rsidTr="00CD1A12">
        <w:trPr>
          <w:trHeight w:val="980"/>
        </w:trPr>
        <w:tc>
          <w:tcPr>
            <w:tcW w:w="506" w:type="pct"/>
            <w:tcBorders>
              <w:top w:val="nil"/>
              <w:left w:val="single" w:sz="8" w:space="0" w:color="auto"/>
              <w:bottom w:val="nil"/>
              <w:right w:val="nil"/>
            </w:tcBorders>
            <w:noWrap/>
            <w:vAlign w:val="bottom"/>
            <w:hideMark/>
          </w:tcPr>
          <w:p w14:paraId="5FD660E7" w14:textId="2D99922D" w:rsidR="008710ED" w:rsidRPr="00855381" w:rsidRDefault="00314B92" w:rsidP="008710ED">
            <w:pPr>
              <w:rPr>
                <w:rFonts w:ascii="Aptos" w:hAnsi="Aptos"/>
                <w:color w:val="000000"/>
                <w:sz w:val="16"/>
                <w:szCs w:val="16"/>
              </w:rPr>
            </w:pPr>
            <w:r w:rsidRPr="00855381">
              <w:rPr>
                <w:rFonts w:ascii="Aptos" w:hAnsi="Aptos"/>
                <w:color w:val="000000"/>
                <w:sz w:val="16"/>
                <w:szCs w:val="16"/>
              </w:rPr>
              <w:t>5</w:t>
            </w:r>
          </w:p>
        </w:tc>
        <w:tc>
          <w:tcPr>
            <w:tcW w:w="1629" w:type="pct"/>
            <w:tcBorders>
              <w:top w:val="nil"/>
              <w:left w:val="nil"/>
              <w:bottom w:val="nil"/>
              <w:right w:val="nil"/>
            </w:tcBorders>
            <w:noWrap/>
            <w:vAlign w:val="bottom"/>
            <w:hideMark/>
          </w:tcPr>
          <w:p w14:paraId="3E506385"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init_hpv_prev</w:t>
            </w:r>
            <w:proofErr w:type="spellEnd"/>
            <w:r w:rsidRPr="00855381">
              <w:rPr>
                <w:rFonts w:ascii="Aptos" w:hAnsi="Aptos"/>
                <w:color w:val="000000"/>
                <w:sz w:val="16"/>
                <w:szCs w:val="16"/>
              </w:rPr>
              <w:t xml:space="preserve"> (m)</w:t>
            </w:r>
          </w:p>
        </w:tc>
        <w:tc>
          <w:tcPr>
            <w:tcW w:w="1278" w:type="pct"/>
            <w:tcBorders>
              <w:top w:val="nil"/>
              <w:left w:val="nil"/>
              <w:bottom w:val="nil"/>
              <w:right w:val="nil"/>
            </w:tcBorders>
            <w:noWrap/>
            <w:vAlign w:val="bottom"/>
            <w:hideMark/>
          </w:tcPr>
          <w:p w14:paraId="2D06CAD9"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0,0.</w:t>
            </w:r>
            <w:proofErr w:type="gramStart"/>
            <w:r w:rsidRPr="00855381">
              <w:rPr>
                <w:rFonts w:ascii="Aptos" w:hAnsi="Aptos"/>
                <w:color w:val="000000"/>
                <w:sz w:val="16"/>
                <w:szCs w:val="16"/>
              </w:rPr>
              <w:t>20,  0.23</w:t>
            </w:r>
            <w:proofErr w:type="gramEnd"/>
            <w:r w:rsidRPr="00855381">
              <w:rPr>
                <w:rFonts w:ascii="Aptos" w:hAnsi="Aptos"/>
                <w:color w:val="000000"/>
                <w:sz w:val="16"/>
                <w:szCs w:val="16"/>
              </w:rPr>
              <w:t>, 0.20, 0.18, 0.25, 0.25</w:t>
            </w:r>
          </w:p>
        </w:tc>
        <w:tc>
          <w:tcPr>
            <w:tcW w:w="1263" w:type="pct"/>
            <w:tcBorders>
              <w:top w:val="nil"/>
              <w:left w:val="nil"/>
              <w:bottom w:val="nil"/>
              <w:right w:val="nil"/>
            </w:tcBorders>
            <w:noWrap/>
            <w:vAlign w:val="bottom"/>
            <w:hideMark/>
          </w:tcPr>
          <w:p w14:paraId="78A09F06"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0,0.25, 0.14, 0.08, 0.06, 0.06, 0.03</w:t>
            </w:r>
          </w:p>
        </w:tc>
        <w:tc>
          <w:tcPr>
            <w:tcW w:w="324" w:type="pct"/>
            <w:tcBorders>
              <w:top w:val="nil"/>
              <w:left w:val="nil"/>
              <w:bottom w:val="nil"/>
              <w:right w:val="single" w:sz="12" w:space="0" w:color="auto"/>
            </w:tcBorders>
            <w:vAlign w:val="bottom"/>
            <w:hideMark/>
          </w:tcPr>
          <w:p w14:paraId="4501B239" w14:textId="0D4D7893" w:rsidR="008710ED" w:rsidRPr="00855381" w:rsidRDefault="008710ED" w:rsidP="008710ED">
            <w:pPr>
              <w:rPr>
                <w:rFonts w:ascii="Aptos" w:hAnsi="Aptos"/>
                <w:color w:val="000000"/>
                <w:sz w:val="16"/>
                <w:szCs w:val="16"/>
              </w:rPr>
            </w:pPr>
            <w:r w:rsidRPr="00855381">
              <w:rPr>
                <w:rFonts w:ascii="Aptos" w:hAnsi="Aptos"/>
                <w:color w:val="000000"/>
                <w:sz w:val="16"/>
                <w:szCs w:val="16"/>
              </w:rPr>
              <w:t xml:space="preserve"> </w:t>
            </w:r>
          </w:p>
        </w:tc>
      </w:tr>
      <w:tr w:rsidR="008710ED" w:rsidRPr="00855381" w14:paraId="22C37C55"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5CC593C9"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Sensitivity Analysis on Cytology Parameterisation</w:t>
            </w:r>
          </w:p>
        </w:tc>
      </w:tr>
      <w:tr w:rsidR="008710ED" w:rsidRPr="00855381" w14:paraId="1EE35F6D" w14:textId="77777777" w:rsidTr="00CD1A12">
        <w:trPr>
          <w:trHeight w:val="320"/>
        </w:trPr>
        <w:tc>
          <w:tcPr>
            <w:tcW w:w="506" w:type="pct"/>
            <w:tcBorders>
              <w:top w:val="nil"/>
              <w:left w:val="single" w:sz="8" w:space="0" w:color="auto"/>
              <w:bottom w:val="nil"/>
              <w:right w:val="nil"/>
            </w:tcBorders>
            <w:noWrap/>
            <w:vAlign w:val="bottom"/>
            <w:hideMark/>
          </w:tcPr>
          <w:p w14:paraId="40859B73" w14:textId="723D49DA" w:rsidR="008710ED" w:rsidRPr="00855381" w:rsidRDefault="00314B92" w:rsidP="008710ED">
            <w:pPr>
              <w:rPr>
                <w:rFonts w:ascii="Aptos" w:hAnsi="Aptos"/>
                <w:color w:val="000000"/>
                <w:sz w:val="16"/>
                <w:szCs w:val="16"/>
              </w:rPr>
            </w:pPr>
            <w:r w:rsidRPr="00855381">
              <w:rPr>
                <w:rFonts w:ascii="Aptos" w:hAnsi="Aptos"/>
                <w:color w:val="000000"/>
                <w:sz w:val="16"/>
                <w:szCs w:val="16"/>
              </w:rPr>
              <w:t>6</w:t>
            </w:r>
          </w:p>
        </w:tc>
        <w:tc>
          <w:tcPr>
            <w:tcW w:w="1629" w:type="pct"/>
            <w:tcBorders>
              <w:top w:val="nil"/>
              <w:left w:val="nil"/>
              <w:bottom w:val="nil"/>
              <w:right w:val="nil"/>
            </w:tcBorders>
            <w:noWrap/>
            <w:vAlign w:val="bottom"/>
            <w:hideMark/>
          </w:tcPr>
          <w:p w14:paraId="60A96B0F" w14:textId="77777777" w:rsidR="008710ED" w:rsidRPr="00855381" w:rsidRDefault="008710ED" w:rsidP="008710ED">
            <w:pPr>
              <w:rPr>
                <w:rFonts w:ascii="Aptos" w:hAnsi="Aptos"/>
                <w:color w:val="000000"/>
                <w:sz w:val="16"/>
                <w:szCs w:val="16"/>
              </w:rPr>
            </w:pPr>
            <w:proofErr w:type="gramStart"/>
            <w:r w:rsidRPr="00855381">
              <w:rPr>
                <w:rFonts w:ascii="Aptos" w:hAnsi="Aptos"/>
                <w:color w:val="000000"/>
                <w:sz w:val="16"/>
                <w:szCs w:val="16"/>
              </w:rPr>
              <w:t>P(</w:t>
            </w:r>
            <w:proofErr w:type="spellStart"/>
            <w:proofErr w:type="gramEnd"/>
            <w:r w:rsidRPr="00855381">
              <w:rPr>
                <w:rFonts w:ascii="Aptos" w:hAnsi="Aptos"/>
                <w:color w:val="000000"/>
                <w:sz w:val="16"/>
                <w:szCs w:val="16"/>
              </w:rPr>
              <w:t>normal|susceptible</w:t>
            </w:r>
            <w:proofErr w:type="spellEnd"/>
            <w:r w:rsidRPr="00855381">
              <w:rPr>
                <w:rFonts w:ascii="Aptos" w:hAnsi="Aptos"/>
                <w:color w:val="000000"/>
                <w:sz w:val="16"/>
                <w:szCs w:val="16"/>
              </w:rPr>
              <w:t>, latent, pre-</w:t>
            </w:r>
            <w:proofErr w:type="spellStart"/>
            <w:r w:rsidRPr="00855381">
              <w:rPr>
                <w:rFonts w:ascii="Aptos" w:hAnsi="Aptos"/>
                <w:color w:val="000000"/>
                <w:sz w:val="16"/>
                <w:szCs w:val="16"/>
              </w:rPr>
              <w:t>cin</w:t>
            </w:r>
            <w:proofErr w:type="spellEnd"/>
            <w:r w:rsidRPr="00855381">
              <w:rPr>
                <w:rFonts w:ascii="Aptos" w:hAnsi="Aptos"/>
                <w:color w:val="000000"/>
                <w:sz w:val="16"/>
                <w:szCs w:val="16"/>
              </w:rPr>
              <w:t xml:space="preserve">), for </w:t>
            </w:r>
            <w:proofErr w:type="spellStart"/>
            <w:r w:rsidRPr="00855381">
              <w:rPr>
                <w:rFonts w:ascii="Aptos" w:hAnsi="Aptos"/>
                <w:color w:val="000000"/>
                <w:sz w:val="16"/>
                <w:szCs w:val="16"/>
              </w:rPr>
              <w:t>lbc</w:t>
            </w:r>
            <w:proofErr w:type="spellEnd"/>
          </w:p>
        </w:tc>
        <w:tc>
          <w:tcPr>
            <w:tcW w:w="1278" w:type="pct"/>
            <w:tcBorders>
              <w:top w:val="nil"/>
              <w:left w:val="nil"/>
              <w:bottom w:val="nil"/>
              <w:right w:val="nil"/>
            </w:tcBorders>
            <w:noWrap/>
            <w:vAlign w:val="bottom"/>
            <w:hideMark/>
          </w:tcPr>
          <w:p w14:paraId="5E7D07F2"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0.96</w:t>
            </w:r>
          </w:p>
        </w:tc>
        <w:tc>
          <w:tcPr>
            <w:tcW w:w="1263" w:type="pct"/>
            <w:tcBorders>
              <w:top w:val="nil"/>
              <w:left w:val="nil"/>
              <w:bottom w:val="nil"/>
              <w:right w:val="nil"/>
            </w:tcBorders>
            <w:noWrap/>
            <w:vAlign w:val="bottom"/>
            <w:hideMark/>
          </w:tcPr>
          <w:p w14:paraId="7DA6C586"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w:t>
            </w:r>
          </w:p>
        </w:tc>
        <w:tc>
          <w:tcPr>
            <w:tcW w:w="324" w:type="pct"/>
            <w:vMerge w:val="restart"/>
            <w:tcBorders>
              <w:top w:val="nil"/>
              <w:left w:val="nil"/>
              <w:bottom w:val="single" w:sz="8" w:space="0" w:color="000000"/>
              <w:right w:val="single" w:sz="12" w:space="0" w:color="auto"/>
            </w:tcBorders>
            <w:vAlign w:val="bottom"/>
            <w:hideMark/>
          </w:tcPr>
          <w:p w14:paraId="01F49421" w14:textId="444E3DAF" w:rsidR="008710ED" w:rsidRPr="00855381" w:rsidRDefault="00314B92" w:rsidP="008710ED">
            <w:pPr>
              <w:jc w:val="center"/>
              <w:rPr>
                <w:rFonts w:ascii="Aptos" w:hAnsi="Aptos"/>
                <w:color w:val="000000"/>
                <w:sz w:val="16"/>
                <w:szCs w:val="16"/>
              </w:rPr>
            </w:pPr>
            <w:r w:rsidRPr="00855381">
              <w:rPr>
                <w:rFonts w:ascii="Aptos" w:hAnsi="Aptos"/>
                <w:color w:val="000000"/>
                <w:sz w:val="16"/>
                <w:szCs w:val="16"/>
              </w:rPr>
              <w:t xml:space="preserve"> </w:t>
            </w:r>
          </w:p>
        </w:tc>
      </w:tr>
      <w:tr w:rsidR="008710ED" w:rsidRPr="00855381" w14:paraId="1A91B674" w14:textId="77777777" w:rsidTr="00CD1A12">
        <w:trPr>
          <w:trHeight w:val="340"/>
        </w:trPr>
        <w:tc>
          <w:tcPr>
            <w:tcW w:w="506" w:type="pct"/>
            <w:tcBorders>
              <w:top w:val="nil"/>
              <w:left w:val="single" w:sz="8" w:space="0" w:color="auto"/>
              <w:bottom w:val="nil"/>
              <w:right w:val="nil"/>
            </w:tcBorders>
            <w:noWrap/>
            <w:vAlign w:val="bottom"/>
            <w:hideMark/>
          </w:tcPr>
          <w:p w14:paraId="13D09D3D" w14:textId="2AFE8075" w:rsidR="008710ED" w:rsidRPr="00855381" w:rsidRDefault="00314B92" w:rsidP="008710ED">
            <w:pPr>
              <w:rPr>
                <w:rFonts w:ascii="Aptos" w:hAnsi="Aptos"/>
                <w:color w:val="000000"/>
                <w:sz w:val="16"/>
                <w:szCs w:val="16"/>
              </w:rPr>
            </w:pPr>
            <w:r w:rsidRPr="00855381">
              <w:rPr>
                <w:rFonts w:ascii="Aptos" w:hAnsi="Aptos"/>
                <w:color w:val="000000"/>
                <w:sz w:val="16"/>
                <w:szCs w:val="16"/>
              </w:rPr>
              <w:t>6</w:t>
            </w:r>
          </w:p>
        </w:tc>
        <w:tc>
          <w:tcPr>
            <w:tcW w:w="1629" w:type="pct"/>
            <w:tcBorders>
              <w:top w:val="nil"/>
              <w:left w:val="nil"/>
              <w:bottom w:val="nil"/>
              <w:right w:val="nil"/>
            </w:tcBorders>
            <w:noWrap/>
            <w:vAlign w:val="bottom"/>
            <w:hideMark/>
          </w:tcPr>
          <w:p w14:paraId="452CDFF6"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w:t>
            </w:r>
            <w:proofErr w:type="spellStart"/>
            <w:r w:rsidRPr="00855381">
              <w:rPr>
                <w:rFonts w:ascii="Aptos" w:hAnsi="Aptos"/>
                <w:color w:val="000000"/>
                <w:sz w:val="16"/>
                <w:szCs w:val="16"/>
              </w:rPr>
              <w:t>abnormal|cin</w:t>
            </w:r>
            <w:proofErr w:type="spellEnd"/>
            <w:r w:rsidRPr="00855381">
              <w:rPr>
                <w:rFonts w:ascii="Aptos" w:hAnsi="Aptos"/>
                <w:color w:val="000000"/>
                <w:sz w:val="16"/>
                <w:szCs w:val="16"/>
              </w:rPr>
              <w:t xml:space="preserve">), for </w:t>
            </w:r>
            <w:proofErr w:type="spellStart"/>
            <w:r w:rsidRPr="00855381">
              <w:rPr>
                <w:rFonts w:ascii="Aptos" w:hAnsi="Aptos"/>
                <w:color w:val="000000"/>
                <w:sz w:val="16"/>
                <w:szCs w:val="16"/>
              </w:rPr>
              <w:t>lbc</w:t>
            </w:r>
            <w:proofErr w:type="spellEnd"/>
          </w:p>
        </w:tc>
        <w:tc>
          <w:tcPr>
            <w:tcW w:w="1278" w:type="pct"/>
            <w:tcBorders>
              <w:top w:val="nil"/>
              <w:left w:val="nil"/>
              <w:bottom w:val="nil"/>
              <w:right w:val="nil"/>
            </w:tcBorders>
            <w:noWrap/>
            <w:vAlign w:val="bottom"/>
            <w:hideMark/>
          </w:tcPr>
          <w:p w14:paraId="6598C00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0.7</w:t>
            </w:r>
          </w:p>
        </w:tc>
        <w:tc>
          <w:tcPr>
            <w:tcW w:w="1263" w:type="pct"/>
            <w:tcBorders>
              <w:top w:val="nil"/>
              <w:left w:val="nil"/>
              <w:bottom w:val="nil"/>
              <w:right w:val="nil"/>
            </w:tcBorders>
            <w:noWrap/>
            <w:vAlign w:val="bottom"/>
            <w:hideMark/>
          </w:tcPr>
          <w:p w14:paraId="300C8AD7"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0.85</w:t>
            </w:r>
          </w:p>
        </w:tc>
        <w:tc>
          <w:tcPr>
            <w:tcW w:w="324" w:type="pct"/>
            <w:vMerge/>
            <w:tcBorders>
              <w:top w:val="nil"/>
              <w:left w:val="nil"/>
              <w:bottom w:val="nil"/>
              <w:right w:val="single" w:sz="12" w:space="0" w:color="auto"/>
            </w:tcBorders>
            <w:vAlign w:val="center"/>
            <w:hideMark/>
          </w:tcPr>
          <w:p w14:paraId="6C3724F5" w14:textId="77777777" w:rsidR="008710ED" w:rsidRPr="00855381" w:rsidRDefault="008710ED" w:rsidP="008710ED">
            <w:pPr>
              <w:rPr>
                <w:rFonts w:ascii="Aptos" w:hAnsi="Aptos"/>
                <w:color w:val="000000"/>
                <w:sz w:val="16"/>
                <w:szCs w:val="16"/>
              </w:rPr>
            </w:pPr>
          </w:p>
        </w:tc>
      </w:tr>
      <w:tr w:rsidR="00CD1A12" w:rsidRPr="00855381" w14:paraId="15F6A03B" w14:textId="77777777" w:rsidTr="00CD1A12">
        <w:trPr>
          <w:trHeight w:val="340"/>
        </w:trPr>
        <w:tc>
          <w:tcPr>
            <w:tcW w:w="506" w:type="pct"/>
            <w:tcBorders>
              <w:top w:val="nil"/>
              <w:left w:val="single" w:sz="8" w:space="0" w:color="auto"/>
              <w:bottom w:val="single" w:sz="8" w:space="0" w:color="auto"/>
              <w:right w:val="nil"/>
            </w:tcBorders>
            <w:noWrap/>
            <w:vAlign w:val="bottom"/>
          </w:tcPr>
          <w:p w14:paraId="76C3A8C5" w14:textId="77777777" w:rsidR="00CD1A12" w:rsidRPr="00855381" w:rsidRDefault="00CD1A12" w:rsidP="008710ED">
            <w:pPr>
              <w:rPr>
                <w:rFonts w:ascii="Aptos" w:hAnsi="Aptos"/>
                <w:color w:val="000000"/>
                <w:sz w:val="16"/>
                <w:szCs w:val="16"/>
              </w:rPr>
            </w:pPr>
          </w:p>
        </w:tc>
        <w:tc>
          <w:tcPr>
            <w:tcW w:w="1629" w:type="pct"/>
            <w:tcBorders>
              <w:top w:val="nil"/>
              <w:left w:val="nil"/>
              <w:bottom w:val="single" w:sz="8" w:space="0" w:color="auto"/>
              <w:right w:val="nil"/>
            </w:tcBorders>
            <w:noWrap/>
            <w:vAlign w:val="bottom"/>
          </w:tcPr>
          <w:p w14:paraId="4B2E9736" w14:textId="77777777" w:rsidR="00CD1A12" w:rsidRPr="00855381" w:rsidRDefault="00CD1A12" w:rsidP="008710ED">
            <w:pPr>
              <w:rPr>
                <w:rFonts w:ascii="Aptos" w:hAnsi="Aptos"/>
                <w:color w:val="000000"/>
                <w:sz w:val="16"/>
                <w:szCs w:val="16"/>
              </w:rPr>
            </w:pPr>
          </w:p>
        </w:tc>
        <w:tc>
          <w:tcPr>
            <w:tcW w:w="1278" w:type="pct"/>
            <w:tcBorders>
              <w:top w:val="nil"/>
              <w:left w:val="nil"/>
              <w:bottom w:val="single" w:sz="8" w:space="0" w:color="auto"/>
              <w:right w:val="nil"/>
            </w:tcBorders>
            <w:noWrap/>
            <w:vAlign w:val="bottom"/>
          </w:tcPr>
          <w:p w14:paraId="556BC004" w14:textId="77777777" w:rsidR="00CD1A12" w:rsidRPr="00855381" w:rsidRDefault="00CD1A12" w:rsidP="008710ED">
            <w:pPr>
              <w:jc w:val="right"/>
              <w:rPr>
                <w:rFonts w:ascii="Aptos" w:hAnsi="Aptos"/>
                <w:color w:val="000000"/>
                <w:sz w:val="16"/>
                <w:szCs w:val="16"/>
              </w:rPr>
            </w:pPr>
          </w:p>
        </w:tc>
        <w:tc>
          <w:tcPr>
            <w:tcW w:w="1263" w:type="pct"/>
            <w:tcBorders>
              <w:top w:val="nil"/>
              <w:left w:val="nil"/>
              <w:bottom w:val="single" w:sz="8" w:space="0" w:color="auto"/>
              <w:right w:val="nil"/>
            </w:tcBorders>
            <w:noWrap/>
            <w:vAlign w:val="bottom"/>
          </w:tcPr>
          <w:p w14:paraId="21B24BA5" w14:textId="77777777" w:rsidR="00CD1A12" w:rsidRPr="00855381" w:rsidRDefault="00CD1A12" w:rsidP="008710ED">
            <w:pPr>
              <w:jc w:val="right"/>
              <w:rPr>
                <w:rFonts w:ascii="Aptos" w:hAnsi="Aptos"/>
                <w:color w:val="000000"/>
                <w:sz w:val="16"/>
                <w:szCs w:val="16"/>
              </w:rPr>
            </w:pPr>
          </w:p>
        </w:tc>
        <w:tc>
          <w:tcPr>
            <w:tcW w:w="324" w:type="pct"/>
            <w:tcBorders>
              <w:top w:val="nil"/>
              <w:left w:val="nil"/>
              <w:bottom w:val="single" w:sz="8" w:space="0" w:color="000000"/>
              <w:right w:val="single" w:sz="12" w:space="0" w:color="auto"/>
            </w:tcBorders>
            <w:vAlign w:val="center"/>
          </w:tcPr>
          <w:p w14:paraId="500CCBE3" w14:textId="77777777" w:rsidR="00CD1A12" w:rsidRPr="00855381" w:rsidRDefault="00CD1A12" w:rsidP="008710ED">
            <w:pPr>
              <w:rPr>
                <w:rFonts w:ascii="Aptos" w:hAnsi="Aptos"/>
                <w:color w:val="000000"/>
                <w:sz w:val="16"/>
                <w:szCs w:val="16"/>
              </w:rPr>
            </w:pPr>
          </w:p>
        </w:tc>
      </w:tr>
    </w:tbl>
    <w:p w14:paraId="573D2EDB" w14:textId="77777777" w:rsidR="00042959" w:rsidRPr="00855381" w:rsidRDefault="00042959" w:rsidP="00CD1A12">
      <w:pPr>
        <w:rPr>
          <w:rFonts w:ascii="Aptos" w:hAnsi="Aptos"/>
          <w:b/>
          <w:bCs/>
          <w:u w:val="single"/>
        </w:rPr>
      </w:pPr>
    </w:p>
    <w:p w14:paraId="211BBD54" w14:textId="77777777" w:rsidR="00A3026E" w:rsidRPr="00855381" w:rsidRDefault="00A3026E" w:rsidP="00A3026E">
      <w:pPr>
        <w:rPr>
          <w:rFonts w:ascii="Aptos" w:hAnsi="Aptos"/>
        </w:rPr>
      </w:pPr>
    </w:p>
    <w:p w14:paraId="3AC8D84E" w14:textId="75C8C4D6" w:rsidR="00A3026E" w:rsidRPr="00855381" w:rsidRDefault="00A3026E" w:rsidP="00A3026E">
      <w:pPr>
        <w:pStyle w:val="Heading1"/>
        <w:rPr>
          <w:rFonts w:ascii="Aptos" w:hAnsi="Aptos"/>
        </w:rPr>
      </w:pPr>
      <w:r w:rsidRPr="00855381">
        <w:rPr>
          <w:rFonts w:ascii="Aptos" w:hAnsi="Aptos"/>
        </w:rPr>
        <w:lastRenderedPageBreak/>
        <w:t>Sensitivity Analysis Result Summary</w:t>
      </w:r>
    </w:p>
    <w:p w14:paraId="6093AB87" w14:textId="0C0904EC" w:rsidR="003A6B31" w:rsidRPr="00855381" w:rsidRDefault="003A6B31" w:rsidP="003A6B31">
      <w:pPr>
        <w:rPr>
          <w:rFonts w:ascii="Aptos" w:hAnsi="Aptos"/>
        </w:rPr>
      </w:pPr>
      <w:r w:rsidRPr="00855381">
        <w:rPr>
          <w:rFonts w:ascii="Aptos" w:hAnsi="Aptos"/>
        </w:rPr>
        <w:t xml:space="preserve">To summarise results over sensitivity analyses, we defined an alternative screening strategy to </w:t>
      </w:r>
      <w:r w:rsidR="007A09E6">
        <w:rPr>
          <w:rFonts w:ascii="Aptos" w:hAnsi="Aptos"/>
        </w:rPr>
        <w:t>lead to</w:t>
      </w:r>
      <w:r w:rsidRPr="00855381">
        <w:rPr>
          <w:rFonts w:ascii="Aptos" w:hAnsi="Aptos"/>
        </w:rPr>
        <w:t xml:space="preserve"> `similar' CCI to baseline if the effect size when comparing CCI between the two counterfactuals (Cohen's d) is </w:t>
      </w:r>
      <w:proofErr w:type="gramStart"/>
      <w:r w:rsidRPr="00855381">
        <w:rPr>
          <w:rFonts w:ascii="Aptos" w:hAnsi="Aptos"/>
        </w:rPr>
        <w:t>\(</w:t>
      </w:r>
      <w:proofErr w:type="gramEnd"/>
      <w:r w:rsidRPr="00855381">
        <w:rPr>
          <w:rFonts w:ascii="Aptos" w:hAnsi="Aptos"/>
        </w:rPr>
        <w:t>\</w:t>
      </w:r>
      <w:proofErr w:type="spellStart"/>
      <w:r w:rsidRPr="00855381">
        <w:rPr>
          <w:rFonts w:ascii="Aptos" w:hAnsi="Aptos"/>
        </w:rPr>
        <w:t>leq</w:t>
      </w:r>
      <w:proofErr w:type="spellEnd"/>
      <w:r w:rsidRPr="00855381">
        <w:rPr>
          <w:rFonts w:ascii="Aptos" w:hAnsi="Aptos"/>
        </w:rPr>
        <w:t xml:space="preserve"> 0.45\) at both 2040 and 2050. This condition that accounts for our high sample size (n=106) which causes even small effect sizes to result in statistical significance. We defined `similar LTUP' identically.</w:t>
      </w:r>
    </w:p>
    <w:p w14:paraId="1C28499D" w14:textId="77777777" w:rsidR="003A6B31" w:rsidRPr="00855381" w:rsidRDefault="003A6B31" w:rsidP="003A6B31">
      <w:pPr>
        <w:rPr>
          <w:rFonts w:ascii="Aptos" w:hAnsi="Aptos"/>
        </w:rPr>
      </w:pPr>
    </w:p>
    <w:p w14:paraId="509CD145" w14:textId="10DE847E" w:rsidR="003A6B31" w:rsidRPr="00855381" w:rsidRDefault="003A6B31" w:rsidP="003A6B31">
      <w:pPr>
        <w:rPr>
          <w:rFonts w:ascii="Aptos" w:hAnsi="Aptos"/>
        </w:rPr>
      </w:pPr>
      <w:r w:rsidRPr="00855381">
        <w:rPr>
          <w:rFonts w:ascii="Aptos" w:hAnsi="Aptos"/>
        </w:rPr>
        <w:t>Over the full population, a reduction in screening intensity for vaccinated individuals to as little as 15-yearly screening (3 LS) resulted in similar CCI and LTUP projections to baseline in all sensitivity analyses. Cohort-</w:t>
      </w:r>
      <w:r w:rsidR="005768B1">
        <w:rPr>
          <w:rFonts w:ascii="Aptos" w:hAnsi="Aptos"/>
        </w:rPr>
        <w:t>dependant</w:t>
      </w:r>
      <w:r w:rsidRPr="00855381">
        <w:rPr>
          <w:rFonts w:ascii="Aptos" w:hAnsi="Aptos"/>
        </w:rPr>
        <w:t xml:space="preserve"> screening could be reduced to 7-yearly across all sensitivity analyses while conserving population-wise similarity in CCI and LTUP projections. Most sensitivity analyses supported reduction of cohort-</w:t>
      </w:r>
      <w:r w:rsidR="005768B1">
        <w:rPr>
          <w:rFonts w:ascii="Aptos" w:hAnsi="Aptos"/>
        </w:rPr>
        <w:t>dependant</w:t>
      </w:r>
      <w:r w:rsidRPr="00855381">
        <w:rPr>
          <w:rFonts w:ascii="Aptos" w:hAnsi="Aptos"/>
        </w:rPr>
        <w:t xml:space="preserve"> screening to 10-yearly (when assessing similarity of CCI and LTUP trajectories at a population level), other than three cases. When we assume higher compliance to initial and </w:t>
      </w:r>
      <w:proofErr w:type="spellStart"/>
      <w:r w:rsidRPr="00855381">
        <w:rPr>
          <w:rFonts w:ascii="Aptos" w:hAnsi="Aptos"/>
        </w:rPr>
        <w:t>followup</w:t>
      </w:r>
      <w:proofErr w:type="spellEnd"/>
      <w:r w:rsidRPr="00855381">
        <w:rPr>
          <w:rFonts w:ascii="Aptos" w:hAnsi="Aptos"/>
        </w:rPr>
        <w:t xml:space="preserve"> screening, any reduction in screening had a larger downstream effect, so with 80-90\% compliance, only smaller reductions in cohort-</w:t>
      </w:r>
      <w:r w:rsidR="005768B1">
        <w:rPr>
          <w:rFonts w:ascii="Aptos" w:hAnsi="Aptos"/>
        </w:rPr>
        <w:t>dependant</w:t>
      </w:r>
      <w:r w:rsidRPr="00855381">
        <w:rPr>
          <w:rFonts w:ascii="Aptos" w:hAnsi="Aptos"/>
        </w:rPr>
        <w:t xml:space="preserve"> screening resulted in similar CCI and LTUP trajectories to baseline on a population level. Similarly, when we assumed higher cytology sensitivity and specificity, screening was more effective at identifying individuals with low- and high-grade lesions, requiring less dramatic reductions in cohort-</w:t>
      </w:r>
      <w:r w:rsidR="005768B1">
        <w:rPr>
          <w:rFonts w:ascii="Aptos" w:hAnsi="Aptos"/>
        </w:rPr>
        <w:t>dependant</w:t>
      </w:r>
      <w:r w:rsidRPr="00855381">
        <w:rPr>
          <w:rFonts w:ascii="Aptos" w:hAnsi="Aptos"/>
        </w:rPr>
        <w:t xml:space="preserve"> screening </w:t>
      </w:r>
      <w:proofErr w:type="gramStart"/>
      <w:r w:rsidRPr="00855381">
        <w:rPr>
          <w:rFonts w:ascii="Aptos" w:hAnsi="Aptos"/>
        </w:rPr>
        <w:t>in order to</w:t>
      </w:r>
      <w:proofErr w:type="gramEnd"/>
      <w:r w:rsidRPr="00855381">
        <w:rPr>
          <w:rFonts w:ascii="Aptos" w:hAnsi="Aptos"/>
        </w:rPr>
        <w:t xml:space="preserve"> conserve trajectories. Finally, if we assume initial HPV infection distribution amongst men decreases with age, rather than a broadly stable rate of HPV infection across adult men, the larger concentration of HPV infection amongst younger sexually active men resulted in only smaller reductions in cohort-</w:t>
      </w:r>
      <w:r w:rsidR="005768B1">
        <w:rPr>
          <w:rFonts w:ascii="Aptos" w:hAnsi="Aptos"/>
        </w:rPr>
        <w:t>dependant</w:t>
      </w:r>
      <w:r w:rsidRPr="00855381">
        <w:rPr>
          <w:rFonts w:ascii="Aptos" w:hAnsi="Aptos"/>
        </w:rPr>
        <w:t xml:space="preserve"> screening </w:t>
      </w:r>
      <w:r w:rsidR="007A09E6">
        <w:rPr>
          <w:rFonts w:ascii="Aptos" w:hAnsi="Aptos"/>
        </w:rPr>
        <w:t>leading to</w:t>
      </w:r>
      <w:r w:rsidRPr="00855381">
        <w:rPr>
          <w:rFonts w:ascii="Aptos" w:hAnsi="Aptos"/>
        </w:rPr>
        <w:t xml:space="preserve"> similar trajectories. </w:t>
      </w:r>
    </w:p>
    <w:p w14:paraId="2B15179D" w14:textId="77777777" w:rsidR="003A6B31" w:rsidRPr="00855381" w:rsidRDefault="003A6B31" w:rsidP="003A6B31">
      <w:pPr>
        <w:rPr>
          <w:rFonts w:ascii="Aptos" w:hAnsi="Aptos"/>
        </w:rPr>
      </w:pPr>
    </w:p>
    <w:p w14:paraId="6337A9D1" w14:textId="39DB7397" w:rsidR="003A6B31" w:rsidRPr="00855381" w:rsidRDefault="003A6B31" w:rsidP="003A6B31">
      <w:pPr>
        <w:rPr>
          <w:rFonts w:ascii="Aptos" w:hAnsi="Aptos"/>
        </w:rPr>
      </w:pPr>
      <w:r w:rsidRPr="00855381">
        <w:rPr>
          <w:rFonts w:ascii="Aptos" w:hAnsi="Aptos"/>
        </w:rPr>
        <w:t xml:space="preserve">When focussing on the vaccinated </w:t>
      </w:r>
      <w:r w:rsidR="00116E8A">
        <w:rPr>
          <w:rFonts w:ascii="Aptos" w:hAnsi="Aptos"/>
        </w:rPr>
        <w:t>sub</w:t>
      </w:r>
      <w:r w:rsidRPr="00855381">
        <w:rPr>
          <w:rFonts w:ascii="Aptos" w:hAnsi="Aptos"/>
        </w:rPr>
        <w:t xml:space="preserve">population, a reduction to 10-yearly screening resulted in similar CCI trajectories in all but one sensitivity analysis (for which only a reduction to 7-yearly screening </w:t>
      </w:r>
      <w:r w:rsidR="007A09E6">
        <w:rPr>
          <w:rFonts w:ascii="Aptos" w:hAnsi="Aptos"/>
        </w:rPr>
        <w:t>led to</w:t>
      </w:r>
      <w:r w:rsidRPr="00855381">
        <w:rPr>
          <w:rFonts w:ascii="Aptos" w:hAnsi="Aptos"/>
        </w:rPr>
        <w:t xml:space="preserve"> similar trajectories</w:t>
      </w:r>
      <w:proofErr w:type="gramStart"/>
      <w:r w:rsidRPr="00855381">
        <w:rPr>
          <w:rFonts w:ascii="Aptos" w:hAnsi="Aptos"/>
        </w:rPr>
        <w:t>), and</w:t>
      </w:r>
      <w:proofErr w:type="gramEnd"/>
      <w:r w:rsidRPr="00855381">
        <w:rPr>
          <w:rFonts w:ascii="Aptos" w:hAnsi="Aptos"/>
        </w:rPr>
        <w:t xml:space="preserve"> resulted in similar LTUP trajectories in the base analysis and two others. As before, when screening compliance or cytology sensitivity/specificity was increased, the negative impact conferred by reductions in screening was greater, and therefore only smaller reductions in screening intensity may be acceptable. We found that CCI and LTUP trajectories at 10-yearly screening of vaccinated individuals were close to baseline </w:t>
      </w:r>
      <w:proofErr w:type="gramStart"/>
      <w:r w:rsidRPr="00855381">
        <w:rPr>
          <w:rFonts w:ascii="Aptos" w:hAnsi="Aptos"/>
        </w:rPr>
        <w:t>at</w:t>
      </w:r>
      <w:proofErr w:type="gramEnd"/>
      <w:r w:rsidRPr="00855381">
        <w:rPr>
          <w:rFonts w:ascii="Aptos" w:hAnsi="Aptos"/>
        </w:rPr>
        <w:t xml:space="preserve"> 2040, but with greater deviation </w:t>
      </w:r>
      <w:proofErr w:type="gramStart"/>
      <w:r w:rsidRPr="00855381">
        <w:rPr>
          <w:rFonts w:ascii="Aptos" w:hAnsi="Aptos"/>
        </w:rPr>
        <w:t>at</w:t>
      </w:r>
      <w:proofErr w:type="gramEnd"/>
      <w:r w:rsidRPr="00855381">
        <w:rPr>
          <w:rFonts w:ascii="Aptos" w:hAnsi="Aptos"/>
        </w:rPr>
        <w:t xml:space="preserve"> 2050 as rates of cervical cancers increased with age. The largest disagreement between sensitivity analyses </w:t>
      </w:r>
      <w:proofErr w:type="spellStart"/>
      <w:r w:rsidRPr="00855381">
        <w:rPr>
          <w:rFonts w:ascii="Aptos" w:hAnsi="Aptos"/>
        </w:rPr>
        <w:t>occured</w:t>
      </w:r>
      <w:proofErr w:type="spellEnd"/>
      <w:r w:rsidRPr="00855381">
        <w:rPr>
          <w:rFonts w:ascii="Aptos" w:hAnsi="Aptos"/>
        </w:rPr>
        <w:t xml:space="preserve"> when projecting LTUP trajectories in vaccinated individuals; re-analyses as the real-world vaccinated </w:t>
      </w:r>
      <w:r w:rsidR="00116E8A">
        <w:rPr>
          <w:rFonts w:ascii="Aptos" w:hAnsi="Aptos"/>
        </w:rPr>
        <w:t>sub</w:t>
      </w:r>
      <w:r w:rsidRPr="00855381">
        <w:rPr>
          <w:rFonts w:ascii="Aptos" w:hAnsi="Aptos"/>
        </w:rPr>
        <w:t>population ages and more data is acquired in this subgroup will allow for greater certainty regarding cancer trajectories. Nonetheless, a more conservative reduction in screening intensity to 7-yearly for vaccinated individuals is supported as equitable by all sensitivity analyses, while the reduction to 10-yearly suggested in our main analysis is supported if we do not assume sharp increases in future compliance or test sensitivity/specificity.</w:t>
      </w:r>
    </w:p>
    <w:p w14:paraId="697A9136" w14:textId="77777777" w:rsidR="003A6B31" w:rsidRPr="00855381" w:rsidRDefault="003A6B31" w:rsidP="003A6B31">
      <w:pPr>
        <w:rPr>
          <w:rFonts w:ascii="Aptos" w:hAnsi="Aptos"/>
        </w:rPr>
      </w:pPr>
    </w:p>
    <w:p w14:paraId="7726D8DC" w14:textId="7182DC5E" w:rsidR="003A6B31" w:rsidRPr="00855381" w:rsidRDefault="003A6B31" w:rsidP="003A6B31">
      <w:pPr>
        <w:rPr>
          <w:rFonts w:ascii="Aptos" w:hAnsi="Aptos"/>
        </w:rPr>
      </w:pPr>
      <w:r w:rsidRPr="00855381">
        <w:rPr>
          <w:rFonts w:ascii="Aptos" w:hAnsi="Aptos"/>
        </w:rPr>
        <w:t xml:space="preserve">When focussing on the unvaccinated vaccine-eligible </w:t>
      </w:r>
      <w:r w:rsidR="00116E8A">
        <w:rPr>
          <w:rFonts w:ascii="Aptos" w:hAnsi="Aptos"/>
        </w:rPr>
        <w:t>sub</w:t>
      </w:r>
      <w:r w:rsidRPr="00855381">
        <w:rPr>
          <w:rFonts w:ascii="Aptos" w:hAnsi="Aptos"/>
        </w:rPr>
        <w:t xml:space="preserve">population, a reduction to 7-yearly screening </w:t>
      </w:r>
      <w:r w:rsidR="007A09E6">
        <w:rPr>
          <w:rFonts w:ascii="Aptos" w:hAnsi="Aptos"/>
        </w:rPr>
        <w:t>led to</w:t>
      </w:r>
      <w:r w:rsidRPr="00855381">
        <w:rPr>
          <w:rFonts w:ascii="Aptos" w:hAnsi="Aptos"/>
        </w:rPr>
        <w:t xml:space="preserve"> similar CCI trajectories in all sensitivity analyses other than when higher compliance or cytology sensitivity/specificity is assumed. A reduction to 7-yearly screening did not </w:t>
      </w:r>
      <w:r w:rsidR="007A09E6">
        <w:rPr>
          <w:rFonts w:ascii="Aptos" w:hAnsi="Aptos"/>
        </w:rPr>
        <w:t>lead to</w:t>
      </w:r>
      <w:r w:rsidRPr="00855381">
        <w:rPr>
          <w:rFonts w:ascii="Aptos" w:hAnsi="Aptos"/>
        </w:rPr>
        <w:t xml:space="preserve"> similar LTUP trajectories (under definition of effect size </w:t>
      </w:r>
      <w:proofErr w:type="gramStart"/>
      <w:r w:rsidRPr="00855381">
        <w:rPr>
          <w:rFonts w:ascii="Aptos" w:hAnsi="Aptos"/>
        </w:rPr>
        <w:t>\(</w:t>
      </w:r>
      <w:proofErr w:type="gramEnd"/>
      <w:r w:rsidRPr="00855381">
        <w:rPr>
          <w:rFonts w:ascii="Aptos" w:hAnsi="Aptos"/>
        </w:rPr>
        <w:t>d \</w:t>
      </w:r>
      <w:proofErr w:type="spellStart"/>
      <w:r w:rsidRPr="00855381">
        <w:rPr>
          <w:rFonts w:ascii="Aptos" w:hAnsi="Aptos"/>
        </w:rPr>
        <w:t>leq</w:t>
      </w:r>
      <w:proofErr w:type="spellEnd"/>
      <w:r w:rsidRPr="00855381">
        <w:rPr>
          <w:rFonts w:ascii="Aptos" w:hAnsi="Aptos"/>
        </w:rPr>
        <w:t xml:space="preserve"> 0.45\) in 2040 and 2050), other than when assuming lower compliance (due to the opposite effect as assuming greater compliance), or when assuming a greater concentration of HPV infection in younger men than older men (likely due to greater herd effect in this case amongst younger individuals, allowing reduced cohort-</w:t>
      </w:r>
      <w:r w:rsidR="005768B1">
        <w:rPr>
          <w:rFonts w:ascii="Aptos" w:hAnsi="Aptos"/>
        </w:rPr>
        <w:t>dependant</w:t>
      </w:r>
      <w:r w:rsidRPr="00855381">
        <w:rPr>
          <w:rFonts w:ascii="Aptos" w:hAnsi="Aptos"/>
        </w:rPr>
        <w:t xml:space="preserve"> screening). As with vaccinated individuals, 7-yearly screening did not greatly increase LTUP </w:t>
      </w:r>
      <w:proofErr w:type="gramStart"/>
      <w:r w:rsidRPr="00855381">
        <w:rPr>
          <w:rFonts w:ascii="Aptos" w:hAnsi="Aptos"/>
        </w:rPr>
        <w:t>at</w:t>
      </w:r>
      <w:proofErr w:type="gramEnd"/>
      <w:r w:rsidRPr="00855381">
        <w:rPr>
          <w:rFonts w:ascii="Aptos" w:hAnsi="Aptos"/>
        </w:rPr>
        <w:t xml:space="preserve"> 2040 across sensitivity </w:t>
      </w:r>
      <w:proofErr w:type="gramStart"/>
      <w:r w:rsidRPr="00855381">
        <w:rPr>
          <w:rFonts w:ascii="Aptos" w:hAnsi="Aptos"/>
        </w:rPr>
        <w:t>analyses, but</w:t>
      </w:r>
      <w:proofErr w:type="gramEnd"/>
      <w:r w:rsidRPr="00855381">
        <w:rPr>
          <w:rFonts w:ascii="Aptos" w:hAnsi="Aptos"/>
        </w:rPr>
        <w:t xml:space="preserve"> does by 2050. This indicates a delay to initial screening may also be considered for vaccine-eligible </w:t>
      </w:r>
      <w:proofErr w:type="gramStart"/>
      <w:r w:rsidRPr="00855381">
        <w:rPr>
          <w:rFonts w:ascii="Aptos" w:hAnsi="Aptos"/>
        </w:rPr>
        <w:t>individuals,</w:t>
      </w:r>
      <w:proofErr w:type="gramEnd"/>
      <w:r w:rsidRPr="00855381">
        <w:rPr>
          <w:rFonts w:ascii="Aptos" w:hAnsi="Aptos"/>
        </w:rPr>
        <w:t xml:space="preserve"> however this is outside of the scope of this study. Despite not </w:t>
      </w:r>
      <w:r w:rsidR="007A09E6">
        <w:rPr>
          <w:rFonts w:ascii="Aptos" w:hAnsi="Aptos"/>
        </w:rPr>
        <w:t>leading to</w:t>
      </w:r>
      <w:r w:rsidRPr="00855381">
        <w:rPr>
          <w:rFonts w:ascii="Aptos" w:hAnsi="Aptos"/>
        </w:rPr>
        <w:t xml:space="preserve"> similar LTUP trajectories amongst unvaccinated vaccine-eligible in all but one sensitivity analysis at 7-yearly screening, effect sizes </w:t>
      </w:r>
      <w:proofErr w:type="gramStart"/>
      <w:r w:rsidRPr="00855381">
        <w:rPr>
          <w:rFonts w:ascii="Aptos" w:hAnsi="Aptos"/>
        </w:rPr>
        <w:t>at</w:t>
      </w:r>
      <w:proofErr w:type="gramEnd"/>
      <w:r w:rsidRPr="00855381">
        <w:rPr>
          <w:rFonts w:ascii="Aptos" w:hAnsi="Aptos"/>
        </w:rPr>
        <w:t xml:space="preserve"> 2050 were not large, and are at most </w:t>
      </w:r>
      <w:proofErr w:type="gramStart"/>
      <w:r w:rsidRPr="00855381">
        <w:rPr>
          <w:rFonts w:ascii="Aptos" w:hAnsi="Aptos"/>
        </w:rPr>
        <w:t>\(</w:t>
      </w:r>
      <w:proofErr w:type="gramEnd"/>
      <w:r w:rsidRPr="00855381">
        <w:rPr>
          <w:rFonts w:ascii="Aptos" w:hAnsi="Aptos"/>
        </w:rPr>
        <w:t>d \</w:t>
      </w:r>
      <w:proofErr w:type="spellStart"/>
      <w:r w:rsidRPr="00855381">
        <w:rPr>
          <w:rFonts w:ascii="Aptos" w:hAnsi="Aptos"/>
        </w:rPr>
        <w:t>leq</w:t>
      </w:r>
      <w:proofErr w:type="spellEnd"/>
      <w:r w:rsidRPr="00855381">
        <w:rPr>
          <w:rFonts w:ascii="Aptos" w:hAnsi="Aptos"/>
        </w:rPr>
        <w:t xml:space="preserve"> 0.55\), </w:t>
      </w:r>
      <w:proofErr w:type="gramStart"/>
      <w:r w:rsidRPr="00855381">
        <w:rPr>
          <w:rFonts w:ascii="Aptos" w:hAnsi="Aptos"/>
        </w:rPr>
        <w:t>\(</w:t>
      </w:r>
      <w:proofErr w:type="gramEnd"/>
      <w:r w:rsidRPr="00855381">
        <w:rPr>
          <w:rFonts w:ascii="Aptos" w:hAnsi="Aptos"/>
        </w:rPr>
        <w:t>|t|\</w:t>
      </w:r>
      <w:proofErr w:type="spellStart"/>
      <w:r w:rsidRPr="00855381">
        <w:rPr>
          <w:rFonts w:ascii="Aptos" w:hAnsi="Aptos"/>
        </w:rPr>
        <w:t>leq</w:t>
      </w:r>
      <w:proofErr w:type="spellEnd"/>
      <w:r w:rsidRPr="00855381">
        <w:rPr>
          <w:rFonts w:ascii="Aptos" w:hAnsi="Aptos"/>
        </w:rPr>
        <w:t xml:space="preserve"> 6.39\) (other than at 60\% vaccine uptake, where d=0.77 (\(|t|=8.86\))). This indicates </w:t>
      </w:r>
      <w:r w:rsidRPr="00855381">
        <w:rPr>
          <w:rFonts w:ascii="Aptos" w:hAnsi="Aptos"/>
        </w:rPr>
        <w:lastRenderedPageBreak/>
        <w:t xml:space="preserve">that while no reduction in screening for unvaccinated vaccine-eligible individuals </w:t>
      </w:r>
      <w:r w:rsidR="007A09E6">
        <w:rPr>
          <w:rFonts w:ascii="Aptos" w:hAnsi="Aptos"/>
        </w:rPr>
        <w:t>leads to</w:t>
      </w:r>
      <w:r w:rsidRPr="00855381">
        <w:rPr>
          <w:rFonts w:ascii="Aptos" w:hAnsi="Aptos"/>
        </w:rPr>
        <w:t xml:space="preserve"> similar LTUP projections to baseline, a modest reduction to 7-yearly screening results in small changes across all sensitivity analyses, while greater reductions (such as 10-yearly screening) causes large increases in long-term undiagnosed cancer prevalence compared to baseline continuation of current screening.</w:t>
      </w:r>
    </w:p>
    <w:p w14:paraId="70355709" w14:textId="0D4375D9" w:rsidR="00A3026E" w:rsidRPr="00855381" w:rsidRDefault="00A3026E" w:rsidP="00A3026E">
      <w:pPr>
        <w:rPr>
          <w:rFonts w:ascii="Aptos" w:hAnsi="Aptos"/>
        </w:rPr>
      </w:pPr>
      <w:r w:rsidRPr="00855381">
        <w:rPr>
          <w:rFonts w:ascii="Aptos" w:hAnsi="Aptos"/>
        </w:rPr>
        <w:t xml:space="preserve">For more details on sensitivity analysis results (including elimination analyses), see specific files; this summarises the core details from the sensitivity analyses. </w:t>
      </w:r>
    </w:p>
    <w:tbl>
      <w:tblPr>
        <w:tblW w:w="0" w:type="auto"/>
        <w:tblLook w:val="04A0" w:firstRow="1" w:lastRow="0" w:firstColumn="1" w:lastColumn="0" w:noHBand="0" w:noVBand="1"/>
      </w:tblPr>
      <w:tblGrid>
        <w:gridCol w:w="593"/>
        <w:gridCol w:w="657"/>
        <w:gridCol w:w="1228"/>
        <w:gridCol w:w="1279"/>
        <w:gridCol w:w="1013"/>
        <w:gridCol w:w="1081"/>
        <w:gridCol w:w="1231"/>
        <w:gridCol w:w="1282"/>
        <w:gridCol w:w="1014"/>
        <w:gridCol w:w="1083"/>
      </w:tblGrid>
      <w:tr w:rsidR="00A3026E" w:rsidRPr="00855381" w14:paraId="066FB182" w14:textId="77777777" w:rsidTr="00A3026E">
        <w:trPr>
          <w:trHeight w:val="320"/>
        </w:trPr>
        <w:tc>
          <w:tcPr>
            <w:tcW w:w="0" w:type="auto"/>
            <w:vMerge w:val="restart"/>
            <w:tcBorders>
              <w:top w:val="nil"/>
              <w:left w:val="nil"/>
              <w:bottom w:val="nil"/>
              <w:right w:val="nil"/>
            </w:tcBorders>
            <w:vAlign w:val="bottom"/>
            <w:hideMark/>
          </w:tcPr>
          <w:p w14:paraId="574C62AD"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Sensitivity Analysis</w:t>
            </w:r>
          </w:p>
        </w:tc>
        <w:tc>
          <w:tcPr>
            <w:tcW w:w="0" w:type="auto"/>
            <w:vMerge w:val="restart"/>
            <w:tcBorders>
              <w:top w:val="nil"/>
              <w:left w:val="nil"/>
              <w:bottom w:val="nil"/>
              <w:right w:val="single" w:sz="4" w:space="0" w:color="auto"/>
            </w:tcBorders>
            <w:vAlign w:val="bottom"/>
            <w:hideMark/>
          </w:tcPr>
          <w:p w14:paraId="287269FB"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Vaccination Uptake</w:t>
            </w:r>
          </w:p>
        </w:tc>
        <w:tc>
          <w:tcPr>
            <w:tcW w:w="0" w:type="auto"/>
            <w:gridSpan w:val="8"/>
            <w:tcBorders>
              <w:top w:val="nil"/>
              <w:left w:val="nil"/>
              <w:bottom w:val="nil"/>
              <w:right w:val="single" w:sz="4" w:space="0" w:color="000000"/>
            </w:tcBorders>
            <w:noWrap/>
            <w:vAlign w:val="bottom"/>
            <w:hideMark/>
          </w:tcPr>
          <w:p w14:paraId="48588193"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Population-wise</w:t>
            </w:r>
          </w:p>
        </w:tc>
      </w:tr>
      <w:tr w:rsidR="00A3026E" w:rsidRPr="00855381" w14:paraId="5AC02E4F" w14:textId="77777777" w:rsidTr="00A3026E">
        <w:trPr>
          <w:trHeight w:val="320"/>
        </w:trPr>
        <w:tc>
          <w:tcPr>
            <w:tcW w:w="0" w:type="auto"/>
            <w:vMerge/>
            <w:tcBorders>
              <w:top w:val="nil"/>
              <w:left w:val="nil"/>
              <w:bottom w:val="nil"/>
              <w:right w:val="nil"/>
            </w:tcBorders>
            <w:vAlign w:val="center"/>
            <w:hideMark/>
          </w:tcPr>
          <w:p w14:paraId="05F9782F"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4E846024" w14:textId="77777777" w:rsidR="00A3026E" w:rsidRPr="00855381" w:rsidRDefault="00A3026E" w:rsidP="00A3026E">
            <w:pPr>
              <w:rPr>
                <w:rFonts w:ascii="Aptos" w:hAnsi="Aptos"/>
                <w:color w:val="000000"/>
                <w:sz w:val="16"/>
                <w:szCs w:val="16"/>
              </w:rPr>
            </w:pPr>
          </w:p>
        </w:tc>
        <w:tc>
          <w:tcPr>
            <w:tcW w:w="0" w:type="auto"/>
            <w:gridSpan w:val="4"/>
            <w:tcBorders>
              <w:top w:val="nil"/>
              <w:left w:val="nil"/>
              <w:bottom w:val="nil"/>
              <w:right w:val="nil"/>
            </w:tcBorders>
            <w:noWrap/>
            <w:vAlign w:val="bottom"/>
            <w:hideMark/>
          </w:tcPr>
          <w:p w14:paraId="4769205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What is the smallest x for which a VxU5A5 algorithm is worse (in either 2040 or 2050) than V5U5A5 in terms of….</w:t>
            </w:r>
          </w:p>
        </w:tc>
        <w:tc>
          <w:tcPr>
            <w:tcW w:w="0" w:type="auto"/>
            <w:gridSpan w:val="4"/>
            <w:tcBorders>
              <w:top w:val="nil"/>
              <w:left w:val="nil"/>
              <w:bottom w:val="nil"/>
              <w:right w:val="single" w:sz="4" w:space="0" w:color="000000"/>
            </w:tcBorders>
            <w:noWrap/>
            <w:vAlign w:val="bottom"/>
            <w:hideMark/>
          </w:tcPr>
          <w:p w14:paraId="270A8C96"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What is the smallest x for which a VxUxA5 algorithm is </w:t>
            </w:r>
            <w:proofErr w:type="gramStart"/>
            <w:r w:rsidRPr="00855381">
              <w:rPr>
                <w:rFonts w:ascii="Aptos" w:hAnsi="Aptos"/>
                <w:color w:val="000000"/>
                <w:sz w:val="16"/>
                <w:szCs w:val="16"/>
              </w:rPr>
              <w:t>worse  (</w:t>
            </w:r>
            <w:proofErr w:type="gramEnd"/>
            <w:r w:rsidRPr="00855381">
              <w:rPr>
                <w:rFonts w:ascii="Aptos" w:hAnsi="Aptos"/>
                <w:color w:val="000000"/>
                <w:sz w:val="16"/>
                <w:szCs w:val="16"/>
              </w:rPr>
              <w:t>in either 2040 or 2050) than V5U5A5 in terms of….</w:t>
            </w:r>
          </w:p>
        </w:tc>
      </w:tr>
      <w:tr w:rsidR="00A3026E" w:rsidRPr="00855381" w14:paraId="0B8E7B13" w14:textId="77777777" w:rsidTr="00A3026E">
        <w:trPr>
          <w:trHeight w:val="320"/>
        </w:trPr>
        <w:tc>
          <w:tcPr>
            <w:tcW w:w="0" w:type="auto"/>
            <w:vMerge/>
            <w:tcBorders>
              <w:top w:val="nil"/>
              <w:left w:val="nil"/>
              <w:bottom w:val="nil"/>
              <w:right w:val="nil"/>
            </w:tcBorders>
            <w:vAlign w:val="center"/>
            <w:hideMark/>
          </w:tcPr>
          <w:p w14:paraId="19BD620C"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11671591" w14:textId="77777777" w:rsidR="00A3026E" w:rsidRPr="00855381" w:rsidRDefault="00A3026E" w:rsidP="00A3026E">
            <w:pPr>
              <w:rPr>
                <w:rFonts w:ascii="Aptos" w:hAnsi="Aptos"/>
                <w:color w:val="000000"/>
                <w:sz w:val="16"/>
                <w:szCs w:val="16"/>
              </w:rPr>
            </w:pPr>
          </w:p>
        </w:tc>
        <w:tc>
          <w:tcPr>
            <w:tcW w:w="0" w:type="auto"/>
            <w:tcBorders>
              <w:top w:val="nil"/>
              <w:left w:val="nil"/>
              <w:bottom w:val="single" w:sz="4" w:space="0" w:color="auto"/>
              <w:right w:val="nil"/>
            </w:tcBorders>
            <w:noWrap/>
            <w:vAlign w:val="bottom"/>
            <w:hideMark/>
          </w:tcPr>
          <w:p w14:paraId="3AB31FC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04D74022"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50C4113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nil"/>
            </w:tcBorders>
            <w:noWrap/>
            <w:vAlign w:val="bottom"/>
            <w:hideMark/>
          </w:tcPr>
          <w:p w14:paraId="0CD58C6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c>
          <w:tcPr>
            <w:tcW w:w="0" w:type="auto"/>
            <w:tcBorders>
              <w:top w:val="nil"/>
              <w:left w:val="nil"/>
              <w:bottom w:val="single" w:sz="4" w:space="0" w:color="auto"/>
              <w:right w:val="nil"/>
            </w:tcBorders>
            <w:noWrap/>
            <w:vAlign w:val="bottom"/>
            <w:hideMark/>
          </w:tcPr>
          <w:p w14:paraId="77772274"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3071A557"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12E0D55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56656988"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r>
      <w:tr w:rsidR="00A3026E" w:rsidRPr="00855381" w14:paraId="523396D6" w14:textId="77777777" w:rsidTr="00A3026E">
        <w:trPr>
          <w:trHeight w:val="320"/>
        </w:trPr>
        <w:tc>
          <w:tcPr>
            <w:tcW w:w="0" w:type="auto"/>
            <w:tcBorders>
              <w:top w:val="nil"/>
              <w:left w:val="nil"/>
              <w:bottom w:val="nil"/>
              <w:right w:val="nil"/>
            </w:tcBorders>
            <w:noWrap/>
            <w:vAlign w:val="bottom"/>
            <w:hideMark/>
          </w:tcPr>
          <w:p w14:paraId="7414344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4625B63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60</w:t>
            </w:r>
          </w:p>
        </w:tc>
        <w:tc>
          <w:tcPr>
            <w:tcW w:w="0" w:type="auto"/>
            <w:tcBorders>
              <w:top w:val="nil"/>
              <w:left w:val="nil"/>
              <w:bottom w:val="nil"/>
              <w:right w:val="nil"/>
            </w:tcBorders>
            <w:noWrap/>
            <w:vAlign w:val="bottom"/>
            <w:hideMark/>
          </w:tcPr>
          <w:p w14:paraId="2FCB7D7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2C9A491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35F34DBA"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51F9A5E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715E2D6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501129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5326DC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0AAAB6C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2400166A" w14:textId="77777777" w:rsidTr="00A3026E">
        <w:trPr>
          <w:trHeight w:val="320"/>
        </w:trPr>
        <w:tc>
          <w:tcPr>
            <w:tcW w:w="0" w:type="auto"/>
            <w:tcBorders>
              <w:top w:val="nil"/>
              <w:left w:val="nil"/>
              <w:bottom w:val="nil"/>
              <w:right w:val="nil"/>
            </w:tcBorders>
            <w:noWrap/>
            <w:vAlign w:val="bottom"/>
            <w:hideMark/>
          </w:tcPr>
          <w:p w14:paraId="202E6AB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2FC068D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383A83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6CD9668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6B4012E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14210B8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52C4AA3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DC1D35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6FD5C3F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76CCA5C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392554BF" w14:textId="77777777" w:rsidTr="00A3026E">
        <w:trPr>
          <w:trHeight w:val="320"/>
        </w:trPr>
        <w:tc>
          <w:tcPr>
            <w:tcW w:w="0" w:type="auto"/>
            <w:tcBorders>
              <w:top w:val="nil"/>
              <w:left w:val="nil"/>
              <w:bottom w:val="nil"/>
              <w:right w:val="nil"/>
            </w:tcBorders>
            <w:noWrap/>
            <w:vAlign w:val="bottom"/>
            <w:hideMark/>
          </w:tcPr>
          <w:p w14:paraId="32689BA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72272F0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90</w:t>
            </w:r>
          </w:p>
        </w:tc>
        <w:tc>
          <w:tcPr>
            <w:tcW w:w="0" w:type="auto"/>
            <w:tcBorders>
              <w:top w:val="nil"/>
              <w:left w:val="nil"/>
              <w:bottom w:val="nil"/>
              <w:right w:val="nil"/>
            </w:tcBorders>
            <w:noWrap/>
            <w:vAlign w:val="bottom"/>
            <w:hideMark/>
          </w:tcPr>
          <w:p w14:paraId="6443FA9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1EF0F44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1CD832F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2D2717A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4FC31BD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0B0ED29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2B2483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1C886F5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5BB71B62" w14:textId="77777777" w:rsidTr="00A3026E">
        <w:trPr>
          <w:trHeight w:val="320"/>
        </w:trPr>
        <w:tc>
          <w:tcPr>
            <w:tcW w:w="0" w:type="auto"/>
            <w:tcBorders>
              <w:top w:val="nil"/>
              <w:left w:val="nil"/>
              <w:bottom w:val="nil"/>
              <w:right w:val="nil"/>
            </w:tcBorders>
            <w:noWrap/>
            <w:vAlign w:val="bottom"/>
            <w:hideMark/>
          </w:tcPr>
          <w:p w14:paraId="6830F6E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w:t>
            </w:r>
          </w:p>
        </w:tc>
        <w:tc>
          <w:tcPr>
            <w:tcW w:w="0" w:type="auto"/>
            <w:tcBorders>
              <w:top w:val="nil"/>
              <w:left w:val="nil"/>
              <w:bottom w:val="nil"/>
              <w:right w:val="single" w:sz="4" w:space="0" w:color="auto"/>
            </w:tcBorders>
            <w:noWrap/>
            <w:vAlign w:val="bottom"/>
            <w:hideMark/>
          </w:tcPr>
          <w:p w14:paraId="397DF69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06A729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7EBB2CB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6DAEB60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628B07A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0AB0B5E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83E656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CC448F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213079A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130B2D20" w14:textId="77777777" w:rsidTr="00A3026E">
        <w:trPr>
          <w:trHeight w:val="320"/>
        </w:trPr>
        <w:tc>
          <w:tcPr>
            <w:tcW w:w="0" w:type="auto"/>
            <w:tcBorders>
              <w:top w:val="nil"/>
              <w:left w:val="nil"/>
              <w:bottom w:val="nil"/>
              <w:right w:val="nil"/>
            </w:tcBorders>
            <w:noWrap/>
            <w:vAlign w:val="bottom"/>
            <w:hideMark/>
          </w:tcPr>
          <w:p w14:paraId="1AA26F2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2</w:t>
            </w:r>
          </w:p>
        </w:tc>
        <w:tc>
          <w:tcPr>
            <w:tcW w:w="0" w:type="auto"/>
            <w:tcBorders>
              <w:top w:val="nil"/>
              <w:left w:val="nil"/>
              <w:bottom w:val="nil"/>
              <w:right w:val="single" w:sz="4" w:space="0" w:color="auto"/>
            </w:tcBorders>
            <w:noWrap/>
            <w:vAlign w:val="bottom"/>
            <w:hideMark/>
          </w:tcPr>
          <w:p w14:paraId="648EB18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513DBF7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48E72B3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6772E2C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3D72024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59CDEA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4B99F96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6D00B83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4FA89FE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09CCFEE4" w14:textId="77777777" w:rsidTr="00A3026E">
        <w:trPr>
          <w:trHeight w:val="320"/>
        </w:trPr>
        <w:tc>
          <w:tcPr>
            <w:tcW w:w="0" w:type="auto"/>
            <w:tcBorders>
              <w:top w:val="nil"/>
              <w:left w:val="nil"/>
              <w:bottom w:val="nil"/>
              <w:right w:val="nil"/>
            </w:tcBorders>
            <w:noWrap/>
            <w:vAlign w:val="bottom"/>
            <w:hideMark/>
          </w:tcPr>
          <w:p w14:paraId="2ECECDB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3</w:t>
            </w:r>
          </w:p>
        </w:tc>
        <w:tc>
          <w:tcPr>
            <w:tcW w:w="0" w:type="auto"/>
            <w:tcBorders>
              <w:top w:val="nil"/>
              <w:left w:val="nil"/>
              <w:bottom w:val="nil"/>
              <w:right w:val="single" w:sz="4" w:space="0" w:color="auto"/>
            </w:tcBorders>
            <w:noWrap/>
            <w:vAlign w:val="bottom"/>
            <w:hideMark/>
          </w:tcPr>
          <w:p w14:paraId="4EB5A11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28F1EC7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640A37E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771041A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45B2C9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76D8ED6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B17E91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F5640C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0AFF939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68D7F1A0" w14:textId="77777777" w:rsidTr="00A3026E">
        <w:trPr>
          <w:trHeight w:val="320"/>
        </w:trPr>
        <w:tc>
          <w:tcPr>
            <w:tcW w:w="0" w:type="auto"/>
            <w:tcBorders>
              <w:top w:val="nil"/>
              <w:left w:val="nil"/>
              <w:bottom w:val="nil"/>
              <w:right w:val="nil"/>
            </w:tcBorders>
            <w:noWrap/>
            <w:vAlign w:val="bottom"/>
            <w:hideMark/>
          </w:tcPr>
          <w:p w14:paraId="185B22C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4</w:t>
            </w:r>
          </w:p>
        </w:tc>
        <w:tc>
          <w:tcPr>
            <w:tcW w:w="0" w:type="auto"/>
            <w:tcBorders>
              <w:top w:val="nil"/>
              <w:left w:val="nil"/>
              <w:bottom w:val="nil"/>
              <w:right w:val="single" w:sz="4" w:space="0" w:color="auto"/>
            </w:tcBorders>
            <w:noWrap/>
            <w:vAlign w:val="bottom"/>
            <w:hideMark/>
          </w:tcPr>
          <w:p w14:paraId="7B53189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DE35E4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56A59D2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2A8A60DF"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19B308F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046C40F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8058EB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1840B86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05F0256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293871C5" w14:textId="77777777" w:rsidTr="00A3026E">
        <w:trPr>
          <w:trHeight w:val="320"/>
        </w:trPr>
        <w:tc>
          <w:tcPr>
            <w:tcW w:w="0" w:type="auto"/>
            <w:tcBorders>
              <w:top w:val="nil"/>
              <w:left w:val="nil"/>
              <w:bottom w:val="nil"/>
              <w:right w:val="nil"/>
            </w:tcBorders>
            <w:noWrap/>
            <w:vAlign w:val="bottom"/>
            <w:hideMark/>
          </w:tcPr>
          <w:p w14:paraId="3F5D88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023A31E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D98F4B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FF1A24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33EB16F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5CDD032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25CDFD6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6A8022C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0C3008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63F781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26333762" w14:textId="77777777" w:rsidTr="00A3026E">
        <w:trPr>
          <w:trHeight w:val="320"/>
        </w:trPr>
        <w:tc>
          <w:tcPr>
            <w:tcW w:w="0" w:type="auto"/>
            <w:tcBorders>
              <w:top w:val="nil"/>
              <w:left w:val="nil"/>
              <w:bottom w:val="single" w:sz="4" w:space="0" w:color="auto"/>
              <w:right w:val="nil"/>
            </w:tcBorders>
            <w:noWrap/>
            <w:vAlign w:val="bottom"/>
            <w:hideMark/>
          </w:tcPr>
          <w:p w14:paraId="75716B0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w:t>
            </w:r>
          </w:p>
        </w:tc>
        <w:tc>
          <w:tcPr>
            <w:tcW w:w="0" w:type="auto"/>
            <w:tcBorders>
              <w:top w:val="nil"/>
              <w:left w:val="nil"/>
              <w:bottom w:val="single" w:sz="4" w:space="0" w:color="auto"/>
              <w:right w:val="single" w:sz="4" w:space="0" w:color="auto"/>
            </w:tcBorders>
            <w:noWrap/>
            <w:vAlign w:val="bottom"/>
            <w:hideMark/>
          </w:tcPr>
          <w:p w14:paraId="1B24E5C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single" w:sz="4" w:space="0" w:color="auto"/>
              <w:right w:val="nil"/>
            </w:tcBorders>
            <w:noWrap/>
            <w:vAlign w:val="bottom"/>
            <w:hideMark/>
          </w:tcPr>
          <w:p w14:paraId="7190007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single" w:sz="4" w:space="0" w:color="auto"/>
              <w:right w:val="nil"/>
            </w:tcBorders>
            <w:noWrap/>
            <w:vAlign w:val="bottom"/>
            <w:hideMark/>
          </w:tcPr>
          <w:p w14:paraId="3C6FF5F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single" w:sz="4" w:space="0" w:color="auto"/>
              <w:right w:val="nil"/>
            </w:tcBorders>
            <w:noWrap/>
            <w:vAlign w:val="bottom"/>
            <w:hideMark/>
          </w:tcPr>
          <w:p w14:paraId="2E3C82F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single" w:sz="4" w:space="0" w:color="auto"/>
              <w:right w:val="single" w:sz="4" w:space="0" w:color="auto"/>
            </w:tcBorders>
            <w:noWrap/>
            <w:vAlign w:val="bottom"/>
            <w:hideMark/>
          </w:tcPr>
          <w:p w14:paraId="6278FCF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single" w:sz="4" w:space="0" w:color="auto"/>
              <w:right w:val="nil"/>
            </w:tcBorders>
            <w:noWrap/>
            <w:vAlign w:val="bottom"/>
            <w:hideMark/>
          </w:tcPr>
          <w:p w14:paraId="568D9B9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1198015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single" w:sz="4" w:space="0" w:color="auto"/>
              <w:right w:val="nil"/>
            </w:tcBorders>
            <w:noWrap/>
            <w:vAlign w:val="bottom"/>
            <w:hideMark/>
          </w:tcPr>
          <w:p w14:paraId="0F77897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single" w:sz="4" w:space="0" w:color="auto"/>
              <w:right w:val="single" w:sz="4" w:space="0" w:color="auto"/>
            </w:tcBorders>
            <w:noWrap/>
            <w:vAlign w:val="bottom"/>
            <w:hideMark/>
          </w:tcPr>
          <w:p w14:paraId="77E1A2E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bl>
    <w:p w14:paraId="165B957B" w14:textId="77A2CD68" w:rsidR="00A3026E" w:rsidRPr="00855381" w:rsidRDefault="00A3026E" w:rsidP="00A3026E">
      <w:pPr>
        <w:rPr>
          <w:rFonts w:ascii="Aptos" w:hAnsi="Aptos"/>
        </w:rPr>
      </w:pPr>
    </w:p>
    <w:tbl>
      <w:tblPr>
        <w:tblW w:w="0" w:type="auto"/>
        <w:tblLook w:val="04A0" w:firstRow="1" w:lastRow="0" w:firstColumn="1" w:lastColumn="0" w:noHBand="0" w:noVBand="1"/>
      </w:tblPr>
      <w:tblGrid>
        <w:gridCol w:w="1231"/>
        <w:gridCol w:w="1312"/>
        <w:gridCol w:w="2127"/>
        <w:gridCol w:w="2222"/>
        <w:gridCol w:w="1720"/>
        <w:gridCol w:w="1849"/>
      </w:tblGrid>
      <w:tr w:rsidR="00A3026E" w:rsidRPr="00855381" w14:paraId="33781BA9" w14:textId="77777777" w:rsidTr="00A3026E">
        <w:trPr>
          <w:trHeight w:val="320"/>
        </w:trPr>
        <w:tc>
          <w:tcPr>
            <w:tcW w:w="0" w:type="auto"/>
            <w:vMerge w:val="restart"/>
            <w:tcBorders>
              <w:top w:val="nil"/>
              <w:left w:val="nil"/>
              <w:bottom w:val="nil"/>
              <w:right w:val="nil"/>
            </w:tcBorders>
            <w:vAlign w:val="bottom"/>
            <w:hideMark/>
          </w:tcPr>
          <w:p w14:paraId="35138A5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Sensitivity Analysis</w:t>
            </w:r>
          </w:p>
        </w:tc>
        <w:tc>
          <w:tcPr>
            <w:tcW w:w="0" w:type="auto"/>
            <w:vMerge w:val="restart"/>
            <w:tcBorders>
              <w:top w:val="nil"/>
              <w:left w:val="nil"/>
              <w:bottom w:val="nil"/>
              <w:right w:val="single" w:sz="4" w:space="0" w:color="auto"/>
            </w:tcBorders>
            <w:vAlign w:val="bottom"/>
            <w:hideMark/>
          </w:tcPr>
          <w:p w14:paraId="49AEFE6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Vaccination Uptake</w:t>
            </w:r>
          </w:p>
        </w:tc>
        <w:tc>
          <w:tcPr>
            <w:tcW w:w="0" w:type="auto"/>
            <w:gridSpan w:val="4"/>
            <w:tcBorders>
              <w:top w:val="nil"/>
              <w:left w:val="nil"/>
              <w:bottom w:val="nil"/>
              <w:right w:val="single" w:sz="4" w:space="0" w:color="000000"/>
            </w:tcBorders>
            <w:noWrap/>
            <w:vAlign w:val="bottom"/>
            <w:hideMark/>
          </w:tcPr>
          <w:p w14:paraId="5962843E" w14:textId="22033B00"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For vaccinated </w:t>
            </w:r>
            <w:r w:rsidR="00116E8A">
              <w:rPr>
                <w:rFonts w:ascii="Aptos" w:hAnsi="Aptos"/>
                <w:color w:val="000000"/>
                <w:sz w:val="16"/>
                <w:szCs w:val="16"/>
              </w:rPr>
              <w:t>sub</w:t>
            </w:r>
            <w:r w:rsidRPr="00855381">
              <w:rPr>
                <w:rFonts w:ascii="Aptos" w:hAnsi="Aptos"/>
                <w:color w:val="000000"/>
                <w:sz w:val="16"/>
                <w:szCs w:val="16"/>
              </w:rPr>
              <w:t>population</w:t>
            </w:r>
          </w:p>
        </w:tc>
      </w:tr>
      <w:tr w:rsidR="00A3026E" w:rsidRPr="00855381" w14:paraId="0CF2A1DD" w14:textId="77777777" w:rsidTr="00A3026E">
        <w:trPr>
          <w:trHeight w:val="320"/>
        </w:trPr>
        <w:tc>
          <w:tcPr>
            <w:tcW w:w="0" w:type="auto"/>
            <w:vMerge/>
            <w:tcBorders>
              <w:top w:val="nil"/>
              <w:left w:val="nil"/>
              <w:bottom w:val="nil"/>
              <w:right w:val="nil"/>
            </w:tcBorders>
            <w:vAlign w:val="center"/>
            <w:hideMark/>
          </w:tcPr>
          <w:p w14:paraId="21C9F3C5"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5B998A15" w14:textId="77777777" w:rsidR="00A3026E" w:rsidRPr="00855381" w:rsidRDefault="00A3026E" w:rsidP="00A3026E">
            <w:pPr>
              <w:rPr>
                <w:rFonts w:ascii="Aptos" w:hAnsi="Aptos"/>
                <w:color w:val="000000"/>
                <w:sz w:val="16"/>
                <w:szCs w:val="16"/>
              </w:rPr>
            </w:pPr>
          </w:p>
        </w:tc>
        <w:tc>
          <w:tcPr>
            <w:tcW w:w="0" w:type="auto"/>
            <w:gridSpan w:val="4"/>
            <w:tcBorders>
              <w:top w:val="nil"/>
              <w:left w:val="nil"/>
              <w:bottom w:val="nil"/>
              <w:right w:val="single" w:sz="4" w:space="0" w:color="000000"/>
            </w:tcBorders>
            <w:noWrap/>
            <w:vAlign w:val="bottom"/>
            <w:hideMark/>
          </w:tcPr>
          <w:p w14:paraId="2C53265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What is the smallest x for which a VxU5A5 algorithm is worse</w:t>
            </w:r>
            <w:proofErr w:type="gramStart"/>
            <w:r w:rsidRPr="00855381">
              <w:rPr>
                <w:rFonts w:ascii="Aptos" w:hAnsi="Aptos"/>
                <w:color w:val="000000"/>
                <w:sz w:val="16"/>
                <w:szCs w:val="16"/>
              </w:rPr>
              <w:t xml:space="preserve">   (</w:t>
            </w:r>
            <w:proofErr w:type="gramEnd"/>
            <w:r w:rsidRPr="00855381">
              <w:rPr>
                <w:rFonts w:ascii="Aptos" w:hAnsi="Aptos"/>
                <w:color w:val="000000"/>
                <w:sz w:val="16"/>
                <w:szCs w:val="16"/>
              </w:rPr>
              <w:t>in either 2040 or 2050) than V5U5A5 in terms of….</w:t>
            </w:r>
          </w:p>
        </w:tc>
      </w:tr>
      <w:tr w:rsidR="00A3026E" w:rsidRPr="00855381" w14:paraId="4CDE69C0" w14:textId="77777777" w:rsidTr="00A3026E">
        <w:trPr>
          <w:trHeight w:val="320"/>
        </w:trPr>
        <w:tc>
          <w:tcPr>
            <w:tcW w:w="0" w:type="auto"/>
            <w:vMerge/>
            <w:tcBorders>
              <w:top w:val="nil"/>
              <w:left w:val="nil"/>
              <w:bottom w:val="nil"/>
              <w:right w:val="nil"/>
            </w:tcBorders>
            <w:vAlign w:val="center"/>
            <w:hideMark/>
          </w:tcPr>
          <w:p w14:paraId="53384EFC"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323B0020" w14:textId="77777777" w:rsidR="00A3026E" w:rsidRPr="00855381" w:rsidRDefault="00A3026E" w:rsidP="00A3026E">
            <w:pPr>
              <w:rPr>
                <w:rFonts w:ascii="Aptos" w:hAnsi="Aptos"/>
                <w:color w:val="000000"/>
                <w:sz w:val="16"/>
                <w:szCs w:val="16"/>
              </w:rPr>
            </w:pPr>
          </w:p>
        </w:tc>
        <w:tc>
          <w:tcPr>
            <w:tcW w:w="0" w:type="auto"/>
            <w:tcBorders>
              <w:top w:val="nil"/>
              <w:left w:val="nil"/>
              <w:bottom w:val="single" w:sz="4" w:space="0" w:color="auto"/>
              <w:right w:val="nil"/>
            </w:tcBorders>
            <w:noWrap/>
            <w:vAlign w:val="bottom"/>
            <w:hideMark/>
          </w:tcPr>
          <w:p w14:paraId="1C8098A7"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0C6D0E05"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4EBF970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2710DC4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r>
      <w:tr w:rsidR="00A3026E" w:rsidRPr="00855381" w14:paraId="0EC1114D" w14:textId="77777777" w:rsidTr="00A3026E">
        <w:trPr>
          <w:trHeight w:val="320"/>
        </w:trPr>
        <w:tc>
          <w:tcPr>
            <w:tcW w:w="0" w:type="auto"/>
            <w:tcBorders>
              <w:top w:val="nil"/>
              <w:left w:val="nil"/>
              <w:bottom w:val="nil"/>
              <w:right w:val="nil"/>
            </w:tcBorders>
            <w:noWrap/>
            <w:vAlign w:val="bottom"/>
            <w:hideMark/>
          </w:tcPr>
          <w:p w14:paraId="0B8BD72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0ECA867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60</w:t>
            </w:r>
          </w:p>
        </w:tc>
        <w:tc>
          <w:tcPr>
            <w:tcW w:w="0" w:type="auto"/>
            <w:tcBorders>
              <w:top w:val="nil"/>
              <w:left w:val="nil"/>
              <w:bottom w:val="nil"/>
              <w:right w:val="nil"/>
            </w:tcBorders>
            <w:noWrap/>
            <w:vAlign w:val="bottom"/>
            <w:hideMark/>
          </w:tcPr>
          <w:p w14:paraId="0A94F75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0FE0BCD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3BB9327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4AD2A99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0A53A01B" w14:textId="77777777" w:rsidTr="00A3026E">
        <w:trPr>
          <w:trHeight w:val="320"/>
        </w:trPr>
        <w:tc>
          <w:tcPr>
            <w:tcW w:w="0" w:type="auto"/>
            <w:tcBorders>
              <w:top w:val="nil"/>
              <w:left w:val="nil"/>
              <w:bottom w:val="nil"/>
              <w:right w:val="nil"/>
            </w:tcBorders>
            <w:noWrap/>
            <w:vAlign w:val="bottom"/>
            <w:hideMark/>
          </w:tcPr>
          <w:p w14:paraId="1FC16B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5A4E6D4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DC2105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68F87B4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1F9EC8D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298C66E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0C7B8AE2" w14:textId="77777777" w:rsidTr="00A3026E">
        <w:trPr>
          <w:trHeight w:val="320"/>
        </w:trPr>
        <w:tc>
          <w:tcPr>
            <w:tcW w:w="0" w:type="auto"/>
            <w:tcBorders>
              <w:top w:val="nil"/>
              <w:left w:val="nil"/>
              <w:bottom w:val="nil"/>
              <w:right w:val="nil"/>
            </w:tcBorders>
            <w:noWrap/>
            <w:vAlign w:val="bottom"/>
            <w:hideMark/>
          </w:tcPr>
          <w:p w14:paraId="4531E18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25A6015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90</w:t>
            </w:r>
          </w:p>
        </w:tc>
        <w:tc>
          <w:tcPr>
            <w:tcW w:w="0" w:type="auto"/>
            <w:tcBorders>
              <w:top w:val="nil"/>
              <w:left w:val="nil"/>
              <w:bottom w:val="nil"/>
              <w:right w:val="nil"/>
            </w:tcBorders>
            <w:noWrap/>
            <w:vAlign w:val="bottom"/>
            <w:hideMark/>
          </w:tcPr>
          <w:p w14:paraId="6C8D2AE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EB4061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B5B355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551B1ED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089DD077" w14:textId="77777777" w:rsidTr="00A3026E">
        <w:trPr>
          <w:trHeight w:val="320"/>
        </w:trPr>
        <w:tc>
          <w:tcPr>
            <w:tcW w:w="0" w:type="auto"/>
            <w:tcBorders>
              <w:top w:val="nil"/>
              <w:left w:val="nil"/>
              <w:bottom w:val="nil"/>
              <w:right w:val="nil"/>
            </w:tcBorders>
            <w:noWrap/>
            <w:vAlign w:val="bottom"/>
            <w:hideMark/>
          </w:tcPr>
          <w:p w14:paraId="7A8BB2F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w:t>
            </w:r>
          </w:p>
        </w:tc>
        <w:tc>
          <w:tcPr>
            <w:tcW w:w="0" w:type="auto"/>
            <w:tcBorders>
              <w:top w:val="nil"/>
              <w:left w:val="nil"/>
              <w:bottom w:val="nil"/>
              <w:right w:val="single" w:sz="4" w:space="0" w:color="auto"/>
            </w:tcBorders>
            <w:noWrap/>
            <w:vAlign w:val="bottom"/>
            <w:hideMark/>
          </w:tcPr>
          <w:p w14:paraId="5C5E077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1E5180F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37CCDBD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91BBB9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47F7CDC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0C2D6C17" w14:textId="77777777" w:rsidTr="00A3026E">
        <w:trPr>
          <w:trHeight w:val="320"/>
        </w:trPr>
        <w:tc>
          <w:tcPr>
            <w:tcW w:w="0" w:type="auto"/>
            <w:tcBorders>
              <w:top w:val="nil"/>
              <w:left w:val="nil"/>
              <w:bottom w:val="nil"/>
              <w:right w:val="nil"/>
            </w:tcBorders>
            <w:noWrap/>
            <w:vAlign w:val="bottom"/>
            <w:hideMark/>
          </w:tcPr>
          <w:p w14:paraId="29532D2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2</w:t>
            </w:r>
          </w:p>
        </w:tc>
        <w:tc>
          <w:tcPr>
            <w:tcW w:w="0" w:type="auto"/>
            <w:tcBorders>
              <w:top w:val="nil"/>
              <w:left w:val="nil"/>
              <w:bottom w:val="nil"/>
              <w:right w:val="single" w:sz="4" w:space="0" w:color="auto"/>
            </w:tcBorders>
            <w:noWrap/>
            <w:vAlign w:val="bottom"/>
            <w:hideMark/>
          </w:tcPr>
          <w:p w14:paraId="76F8661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272802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6DAAA67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6C1F93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1A821A0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r>
      <w:tr w:rsidR="00A3026E" w:rsidRPr="00855381" w14:paraId="58095238" w14:textId="77777777" w:rsidTr="00A3026E">
        <w:trPr>
          <w:trHeight w:val="320"/>
        </w:trPr>
        <w:tc>
          <w:tcPr>
            <w:tcW w:w="0" w:type="auto"/>
            <w:tcBorders>
              <w:top w:val="nil"/>
              <w:left w:val="nil"/>
              <w:bottom w:val="nil"/>
              <w:right w:val="nil"/>
            </w:tcBorders>
            <w:noWrap/>
            <w:vAlign w:val="bottom"/>
            <w:hideMark/>
          </w:tcPr>
          <w:p w14:paraId="4598774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3</w:t>
            </w:r>
          </w:p>
        </w:tc>
        <w:tc>
          <w:tcPr>
            <w:tcW w:w="0" w:type="auto"/>
            <w:tcBorders>
              <w:top w:val="nil"/>
              <w:left w:val="nil"/>
              <w:bottom w:val="nil"/>
              <w:right w:val="single" w:sz="4" w:space="0" w:color="auto"/>
            </w:tcBorders>
            <w:noWrap/>
            <w:vAlign w:val="bottom"/>
            <w:hideMark/>
          </w:tcPr>
          <w:p w14:paraId="0524151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5448EAD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0C6626C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5E97C2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294BB27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23194B02" w14:textId="77777777" w:rsidTr="00A3026E">
        <w:trPr>
          <w:trHeight w:val="320"/>
        </w:trPr>
        <w:tc>
          <w:tcPr>
            <w:tcW w:w="0" w:type="auto"/>
            <w:tcBorders>
              <w:top w:val="nil"/>
              <w:left w:val="nil"/>
              <w:bottom w:val="nil"/>
              <w:right w:val="nil"/>
            </w:tcBorders>
            <w:noWrap/>
            <w:vAlign w:val="bottom"/>
            <w:hideMark/>
          </w:tcPr>
          <w:p w14:paraId="78A41EE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4</w:t>
            </w:r>
          </w:p>
        </w:tc>
        <w:tc>
          <w:tcPr>
            <w:tcW w:w="0" w:type="auto"/>
            <w:tcBorders>
              <w:top w:val="nil"/>
              <w:left w:val="nil"/>
              <w:bottom w:val="nil"/>
              <w:right w:val="single" w:sz="4" w:space="0" w:color="auto"/>
            </w:tcBorders>
            <w:noWrap/>
            <w:vAlign w:val="bottom"/>
            <w:hideMark/>
          </w:tcPr>
          <w:p w14:paraId="4B41BD8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41201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31D8E9D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698F38C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36818D5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1FF34840" w14:textId="77777777" w:rsidTr="00A3026E">
        <w:trPr>
          <w:trHeight w:val="320"/>
        </w:trPr>
        <w:tc>
          <w:tcPr>
            <w:tcW w:w="0" w:type="auto"/>
            <w:tcBorders>
              <w:top w:val="nil"/>
              <w:left w:val="nil"/>
              <w:bottom w:val="nil"/>
              <w:right w:val="nil"/>
            </w:tcBorders>
            <w:noWrap/>
            <w:vAlign w:val="bottom"/>
            <w:hideMark/>
          </w:tcPr>
          <w:p w14:paraId="1C5F48D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0E7B4EE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2B8DEC9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7EBA81C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4115AC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38D35F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3F991000" w14:textId="77777777" w:rsidTr="00A3026E">
        <w:trPr>
          <w:trHeight w:val="320"/>
        </w:trPr>
        <w:tc>
          <w:tcPr>
            <w:tcW w:w="0" w:type="auto"/>
            <w:tcBorders>
              <w:top w:val="nil"/>
              <w:left w:val="nil"/>
              <w:bottom w:val="single" w:sz="4" w:space="0" w:color="auto"/>
              <w:right w:val="nil"/>
            </w:tcBorders>
            <w:noWrap/>
            <w:vAlign w:val="bottom"/>
            <w:hideMark/>
          </w:tcPr>
          <w:p w14:paraId="53278BC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w:t>
            </w:r>
          </w:p>
        </w:tc>
        <w:tc>
          <w:tcPr>
            <w:tcW w:w="0" w:type="auto"/>
            <w:tcBorders>
              <w:top w:val="nil"/>
              <w:left w:val="nil"/>
              <w:bottom w:val="single" w:sz="4" w:space="0" w:color="auto"/>
              <w:right w:val="single" w:sz="4" w:space="0" w:color="auto"/>
            </w:tcBorders>
            <w:noWrap/>
            <w:vAlign w:val="bottom"/>
            <w:hideMark/>
          </w:tcPr>
          <w:p w14:paraId="2F29300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single" w:sz="4" w:space="0" w:color="auto"/>
              <w:right w:val="nil"/>
            </w:tcBorders>
            <w:noWrap/>
            <w:vAlign w:val="bottom"/>
            <w:hideMark/>
          </w:tcPr>
          <w:p w14:paraId="5A251A6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5C726CF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2CCACBC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single" w:sz="4" w:space="0" w:color="auto"/>
              <w:right w:val="single" w:sz="4" w:space="0" w:color="auto"/>
            </w:tcBorders>
            <w:noWrap/>
            <w:vAlign w:val="bottom"/>
            <w:hideMark/>
          </w:tcPr>
          <w:p w14:paraId="7AF90DF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bl>
    <w:p w14:paraId="6B35ECC4" w14:textId="77777777" w:rsidR="00CD1A12" w:rsidRPr="00855381" w:rsidRDefault="00CD1A12" w:rsidP="00152B4D">
      <w:pPr>
        <w:rPr>
          <w:rFonts w:ascii="Aptos" w:hAnsi="Aptos"/>
        </w:rPr>
      </w:pPr>
    </w:p>
    <w:tbl>
      <w:tblPr>
        <w:tblW w:w="0" w:type="auto"/>
        <w:tblLook w:val="04A0" w:firstRow="1" w:lastRow="0" w:firstColumn="1" w:lastColumn="0" w:noHBand="0" w:noVBand="1"/>
      </w:tblPr>
      <w:tblGrid>
        <w:gridCol w:w="1254"/>
        <w:gridCol w:w="1332"/>
        <w:gridCol w:w="2115"/>
        <w:gridCol w:w="2209"/>
        <w:gridCol w:w="1709"/>
        <w:gridCol w:w="1837"/>
      </w:tblGrid>
      <w:tr w:rsidR="00A3026E" w:rsidRPr="00855381" w14:paraId="4DD72422" w14:textId="77777777" w:rsidTr="00A3026E">
        <w:trPr>
          <w:trHeight w:val="320"/>
        </w:trPr>
        <w:tc>
          <w:tcPr>
            <w:tcW w:w="0" w:type="auto"/>
            <w:vMerge w:val="restart"/>
            <w:tcBorders>
              <w:top w:val="single" w:sz="4" w:space="0" w:color="auto"/>
              <w:left w:val="single" w:sz="4" w:space="0" w:color="auto"/>
              <w:bottom w:val="nil"/>
              <w:right w:val="nil"/>
            </w:tcBorders>
            <w:vAlign w:val="bottom"/>
            <w:hideMark/>
          </w:tcPr>
          <w:p w14:paraId="0A85C186"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Sensitivity Analysis</w:t>
            </w:r>
          </w:p>
        </w:tc>
        <w:tc>
          <w:tcPr>
            <w:tcW w:w="0" w:type="auto"/>
            <w:vMerge w:val="restart"/>
            <w:tcBorders>
              <w:top w:val="single" w:sz="4" w:space="0" w:color="auto"/>
              <w:left w:val="nil"/>
              <w:bottom w:val="nil"/>
              <w:right w:val="single" w:sz="4" w:space="0" w:color="auto"/>
            </w:tcBorders>
            <w:vAlign w:val="bottom"/>
            <w:hideMark/>
          </w:tcPr>
          <w:p w14:paraId="485DF664"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Vaccination Uptake</w:t>
            </w:r>
          </w:p>
        </w:tc>
        <w:tc>
          <w:tcPr>
            <w:tcW w:w="0" w:type="auto"/>
            <w:gridSpan w:val="4"/>
            <w:tcBorders>
              <w:top w:val="single" w:sz="4" w:space="0" w:color="auto"/>
              <w:left w:val="nil"/>
              <w:bottom w:val="nil"/>
              <w:right w:val="single" w:sz="4" w:space="0" w:color="000000"/>
            </w:tcBorders>
            <w:noWrap/>
            <w:vAlign w:val="bottom"/>
            <w:hideMark/>
          </w:tcPr>
          <w:p w14:paraId="57C22375" w14:textId="434C1BAC"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For unvaccinated vaccine-eligible </w:t>
            </w:r>
            <w:r w:rsidR="00116E8A">
              <w:rPr>
                <w:rFonts w:ascii="Aptos" w:hAnsi="Aptos"/>
                <w:color w:val="000000"/>
                <w:sz w:val="16"/>
                <w:szCs w:val="16"/>
              </w:rPr>
              <w:t>sub</w:t>
            </w:r>
            <w:r w:rsidRPr="00855381">
              <w:rPr>
                <w:rFonts w:ascii="Aptos" w:hAnsi="Aptos"/>
                <w:color w:val="000000"/>
                <w:sz w:val="16"/>
                <w:szCs w:val="16"/>
              </w:rPr>
              <w:t>population</w:t>
            </w:r>
          </w:p>
        </w:tc>
      </w:tr>
      <w:tr w:rsidR="00A3026E" w:rsidRPr="00855381" w14:paraId="099B8CAE" w14:textId="77777777" w:rsidTr="00A3026E">
        <w:trPr>
          <w:trHeight w:val="320"/>
        </w:trPr>
        <w:tc>
          <w:tcPr>
            <w:tcW w:w="0" w:type="auto"/>
            <w:vMerge/>
            <w:tcBorders>
              <w:top w:val="single" w:sz="4" w:space="0" w:color="auto"/>
              <w:left w:val="single" w:sz="4" w:space="0" w:color="auto"/>
              <w:bottom w:val="nil"/>
              <w:right w:val="nil"/>
            </w:tcBorders>
            <w:vAlign w:val="center"/>
            <w:hideMark/>
          </w:tcPr>
          <w:p w14:paraId="51920404" w14:textId="77777777" w:rsidR="00A3026E" w:rsidRPr="00855381" w:rsidRDefault="00A3026E" w:rsidP="00A3026E">
            <w:pPr>
              <w:rPr>
                <w:rFonts w:ascii="Aptos" w:hAnsi="Aptos"/>
                <w:color w:val="000000"/>
                <w:sz w:val="16"/>
                <w:szCs w:val="16"/>
              </w:rPr>
            </w:pPr>
          </w:p>
        </w:tc>
        <w:tc>
          <w:tcPr>
            <w:tcW w:w="0" w:type="auto"/>
            <w:vMerge/>
            <w:tcBorders>
              <w:top w:val="single" w:sz="4" w:space="0" w:color="auto"/>
              <w:left w:val="nil"/>
              <w:bottom w:val="nil"/>
              <w:right w:val="single" w:sz="4" w:space="0" w:color="auto"/>
            </w:tcBorders>
            <w:vAlign w:val="center"/>
            <w:hideMark/>
          </w:tcPr>
          <w:p w14:paraId="69B0FB39" w14:textId="77777777" w:rsidR="00A3026E" w:rsidRPr="00855381" w:rsidRDefault="00A3026E" w:rsidP="00A3026E">
            <w:pPr>
              <w:rPr>
                <w:rFonts w:ascii="Aptos" w:hAnsi="Aptos"/>
                <w:color w:val="000000"/>
                <w:sz w:val="16"/>
                <w:szCs w:val="16"/>
              </w:rPr>
            </w:pPr>
          </w:p>
        </w:tc>
        <w:tc>
          <w:tcPr>
            <w:tcW w:w="0" w:type="auto"/>
            <w:gridSpan w:val="4"/>
            <w:tcBorders>
              <w:top w:val="nil"/>
              <w:left w:val="nil"/>
              <w:bottom w:val="nil"/>
              <w:right w:val="single" w:sz="4" w:space="0" w:color="000000"/>
            </w:tcBorders>
            <w:noWrap/>
            <w:vAlign w:val="bottom"/>
            <w:hideMark/>
          </w:tcPr>
          <w:p w14:paraId="45A29784"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What is the smallest x for which a VxUxA5 algorithm is </w:t>
            </w:r>
            <w:proofErr w:type="gramStart"/>
            <w:r w:rsidRPr="00855381">
              <w:rPr>
                <w:rFonts w:ascii="Aptos" w:hAnsi="Aptos"/>
                <w:color w:val="000000"/>
                <w:sz w:val="16"/>
                <w:szCs w:val="16"/>
              </w:rPr>
              <w:t>worse  (</w:t>
            </w:r>
            <w:proofErr w:type="gramEnd"/>
            <w:r w:rsidRPr="00855381">
              <w:rPr>
                <w:rFonts w:ascii="Aptos" w:hAnsi="Aptos"/>
                <w:color w:val="000000"/>
                <w:sz w:val="16"/>
                <w:szCs w:val="16"/>
              </w:rPr>
              <w:t>in either 2040 or 2050) than V5U5A5 in terms of….</w:t>
            </w:r>
          </w:p>
        </w:tc>
      </w:tr>
      <w:tr w:rsidR="00A3026E" w:rsidRPr="00855381" w14:paraId="30AF42C2" w14:textId="77777777" w:rsidTr="00A3026E">
        <w:trPr>
          <w:trHeight w:val="320"/>
        </w:trPr>
        <w:tc>
          <w:tcPr>
            <w:tcW w:w="0" w:type="auto"/>
            <w:vMerge/>
            <w:tcBorders>
              <w:top w:val="single" w:sz="4" w:space="0" w:color="auto"/>
              <w:left w:val="single" w:sz="4" w:space="0" w:color="auto"/>
              <w:bottom w:val="nil"/>
              <w:right w:val="nil"/>
            </w:tcBorders>
            <w:vAlign w:val="center"/>
            <w:hideMark/>
          </w:tcPr>
          <w:p w14:paraId="2F70AE01" w14:textId="77777777" w:rsidR="00A3026E" w:rsidRPr="00855381" w:rsidRDefault="00A3026E" w:rsidP="00A3026E">
            <w:pPr>
              <w:rPr>
                <w:rFonts w:ascii="Aptos" w:hAnsi="Aptos"/>
                <w:color w:val="000000"/>
                <w:sz w:val="16"/>
                <w:szCs w:val="16"/>
              </w:rPr>
            </w:pPr>
          </w:p>
        </w:tc>
        <w:tc>
          <w:tcPr>
            <w:tcW w:w="0" w:type="auto"/>
            <w:vMerge/>
            <w:tcBorders>
              <w:top w:val="single" w:sz="4" w:space="0" w:color="auto"/>
              <w:left w:val="nil"/>
              <w:bottom w:val="nil"/>
              <w:right w:val="single" w:sz="4" w:space="0" w:color="auto"/>
            </w:tcBorders>
            <w:vAlign w:val="center"/>
            <w:hideMark/>
          </w:tcPr>
          <w:p w14:paraId="10D01816" w14:textId="77777777" w:rsidR="00A3026E" w:rsidRPr="00855381" w:rsidRDefault="00A3026E" w:rsidP="00A3026E">
            <w:pPr>
              <w:rPr>
                <w:rFonts w:ascii="Aptos" w:hAnsi="Aptos"/>
                <w:color w:val="000000"/>
                <w:sz w:val="16"/>
                <w:szCs w:val="16"/>
              </w:rPr>
            </w:pPr>
          </w:p>
        </w:tc>
        <w:tc>
          <w:tcPr>
            <w:tcW w:w="0" w:type="auto"/>
            <w:tcBorders>
              <w:top w:val="nil"/>
              <w:left w:val="nil"/>
              <w:bottom w:val="single" w:sz="4" w:space="0" w:color="auto"/>
              <w:right w:val="nil"/>
            </w:tcBorders>
            <w:noWrap/>
            <w:vAlign w:val="bottom"/>
            <w:hideMark/>
          </w:tcPr>
          <w:p w14:paraId="1A38AE8E"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0B8D37A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439CF91B"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780D48D0"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r>
      <w:tr w:rsidR="00A3026E" w:rsidRPr="00855381" w14:paraId="2A4532F1" w14:textId="77777777" w:rsidTr="00A3026E">
        <w:trPr>
          <w:trHeight w:val="320"/>
        </w:trPr>
        <w:tc>
          <w:tcPr>
            <w:tcW w:w="0" w:type="auto"/>
            <w:tcBorders>
              <w:top w:val="nil"/>
              <w:left w:val="single" w:sz="4" w:space="0" w:color="auto"/>
              <w:bottom w:val="nil"/>
              <w:right w:val="nil"/>
            </w:tcBorders>
            <w:noWrap/>
            <w:vAlign w:val="bottom"/>
            <w:hideMark/>
          </w:tcPr>
          <w:p w14:paraId="4EA0D53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0B21209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60</w:t>
            </w:r>
          </w:p>
        </w:tc>
        <w:tc>
          <w:tcPr>
            <w:tcW w:w="0" w:type="auto"/>
            <w:tcBorders>
              <w:top w:val="nil"/>
              <w:left w:val="nil"/>
              <w:bottom w:val="nil"/>
              <w:right w:val="nil"/>
            </w:tcBorders>
            <w:noWrap/>
            <w:vAlign w:val="bottom"/>
            <w:hideMark/>
          </w:tcPr>
          <w:p w14:paraId="10EBE06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40C94F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1BB1DB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726F135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7367E465" w14:textId="77777777" w:rsidTr="00A3026E">
        <w:trPr>
          <w:trHeight w:val="320"/>
        </w:trPr>
        <w:tc>
          <w:tcPr>
            <w:tcW w:w="0" w:type="auto"/>
            <w:tcBorders>
              <w:top w:val="nil"/>
              <w:left w:val="single" w:sz="4" w:space="0" w:color="auto"/>
              <w:bottom w:val="nil"/>
              <w:right w:val="nil"/>
            </w:tcBorders>
            <w:noWrap/>
            <w:vAlign w:val="bottom"/>
            <w:hideMark/>
          </w:tcPr>
          <w:p w14:paraId="3BC00EA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51FF2B5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452E2F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17E9AFD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B0C7B1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28DAF7F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351D2CEF" w14:textId="77777777" w:rsidTr="00A3026E">
        <w:trPr>
          <w:trHeight w:val="320"/>
        </w:trPr>
        <w:tc>
          <w:tcPr>
            <w:tcW w:w="0" w:type="auto"/>
            <w:tcBorders>
              <w:top w:val="nil"/>
              <w:left w:val="single" w:sz="4" w:space="0" w:color="auto"/>
              <w:bottom w:val="nil"/>
              <w:right w:val="nil"/>
            </w:tcBorders>
            <w:noWrap/>
            <w:vAlign w:val="bottom"/>
            <w:hideMark/>
          </w:tcPr>
          <w:p w14:paraId="73B1E7D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0B17BAD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90</w:t>
            </w:r>
          </w:p>
        </w:tc>
        <w:tc>
          <w:tcPr>
            <w:tcW w:w="0" w:type="auto"/>
            <w:tcBorders>
              <w:top w:val="nil"/>
              <w:left w:val="nil"/>
              <w:bottom w:val="nil"/>
              <w:right w:val="nil"/>
            </w:tcBorders>
            <w:noWrap/>
            <w:vAlign w:val="bottom"/>
            <w:hideMark/>
          </w:tcPr>
          <w:p w14:paraId="286853B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560DD3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012536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4A157B0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7E1B0DB6" w14:textId="77777777" w:rsidTr="00A3026E">
        <w:trPr>
          <w:trHeight w:val="320"/>
        </w:trPr>
        <w:tc>
          <w:tcPr>
            <w:tcW w:w="0" w:type="auto"/>
            <w:tcBorders>
              <w:top w:val="nil"/>
              <w:left w:val="single" w:sz="4" w:space="0" w:color="auto"/>
              <w:bottom w:val="nil"/>
              <w:right w:val="nil"/>
            </w:tcBorders>
            <w:noWrap/>
            <w:vAlign w:val="bottom"/>
            <w:hideMark/>
          </w:tcPr>
          <w:p w14:paraId="3B51968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w:t>
            </w:r>
          </w:p>
        </w:tc>
        <w:tc>
          <w:tcPr>
            <w:tcW w:w="0" w:type="auto"/>
            <w:tcBorders>
              <w:top w:val="nil"/>
              <w:left w:val="nil"/>
              <w:bottom w:val="nil"/>
              <w:right w:val="single" w:sz="4" w:space="0" w:color="auto"/>
            </w:tcBorders>
            <w:noWrap/>
            <w:vAlign w:val="bottom"/>
            <w:hideMark/>
          </w:tcPr>
          <w:p w14:paraId="4409953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EAEFBD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A00F15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136E52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6201E78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59EC98D8" w14:textId="77777777" w:rsidTr="00A3026E">
        <w:trPr>
          <w:trHeight w:val="320"/>
        </w:trPr>
        <w:tc>
          <w:tcPr>
            <w:tcW w:w="0" w:type="auto"/>
            <w:tcBorders>
              <w:top w:val="nil"/>
              <w:left w:val="single" w:sz="4" w:space="0" w:color="auto"/>
              <w:bottom w:val="nil"/>
              <w:right w:val="nil"/>
            </w:tcBorders>
            <w:noWrap/>
            <w:vAlign w:val="bottom"/>
            <w:hideMark/>
          </w:tcPr>
          <w:p w14:paraId="6EE9F4C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2</w:t>
            </w:r>
          </w:p>
        </w:tc>
        <w:tc>
          <w:tcPr>
            <w:tcW w:w="0" w:type="auto"/>
            <w:tcBorders>
              <w:top w:val="nil"/>
              <w:left w:val="nil"/>
              <w:bottom w:val="nil"/>
              <w:right w:val="single" w:sz="4" w:space="0" w:color="auto"/>
            </w:tcBorders>
            <w:noWrap/>
            <w:vAlign w:val="bottom"/>
            <w:hideMark/>
          </w:tcPr>
          <w:p w14:paraId="205F70B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8733BC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7C7FB7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E07898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6233025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420CF347" w14:textId="77777777" w:rsidTr="00A3026E">
        <w:trPr>
          <w:trHeight w:val="320"/>
        </w:trPr>
        <w:tc>
          <w:tcPr>
            <w:tcW w:w="0" w:type="auto"/>
            <w:tcBorders>
              <w:top w:val="nil"/>
              <w:left w:val="single" w:sz="4" w:space="0" w:color="auto"/>
              <w:bottom w:val="nil"/>
              <w:right w:val="nil"/>
            </w:tcBorders>
            <w:noWrap/>
            <w:vAlign w:val="bottom"/>
            <w:hideMark/>
          </w:tcPr>
          <w:p w14:paraId="64B071E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3</w:t>
            </w:r>
          </w:p>
        </w:tc>
        <w:tc>
          <w:tcPr>
            <w:tcW w:w="0" w:type="auto"/>
            <w:tcBorders>
              <w:top w:val="nil"/>
              <w:left w:val="nil"/>
              <w:bottom w:val="nil"/>
              <w:right w:val="single" w:sz="4" w:space="0" w:color="auto"/>
            </w:tcBorders>
            <w:noWrap/>
            <w:vAlign w:val="bottom"/>
            <w:hideMark/>
          </w:tcPr>
          <w:p w14:paraId="600DB5A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8FEBD9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2FBCB96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62172F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7C436F2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2F44FC32" w14:textId="77777777" w:rsidTr="00A3026E">
        <w:trPr>
          <w:trHeight w:val="320"/>
        </w:trPr>
        <w:tc>
          <w:tcPr>
            <w:tcW w:w="0" w:type="auto"/>
            <w:tcBorders>
              <w:top w:val="nil"/>
              <w:left w:val="single" w:sz="4" w:space="0" w:color="auto"/>
              <w:bottom w:val="nil"/>
              <w:right w:val="nil"/>
            </w:tcBorders>
            <w:noWrap/>
            <w:vAlign w:val="bottom"/>
            <w:hideMark/>
          </w:tcPr>
          <w:p w14:paraId="05DDD43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4</w:t>
            </w:r>
          </w:p>
        </w:tc>
        <w:tc>
          <w:tcPr>
            <w:tcW w:w="0" w:type="auto"/>
            <w:tcBorders>
              <w:top w:val="nil"/>
              <w:left w:val="nil"/>
              <w:bottom w:val="nil"/>
              <w:right w:val="single" w:sz="4" w:space="0" w:color="auto"/>
            </w:tcBorders>
            <w:noWrap/>
            <w:vAlign w:val="bottom"/>
            <w:hideMark/>
          </w:tcPr>
          <w:p w14:paraId="2A2331A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2333935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0CA7CCF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1C6E01B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4344538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3F7DA8BE" w14:textId="77777777" w:rsidTr="00A3026E">
        <w:trPr>
          <w:trHeight w:val="320"/>
        </w:trPr>
        <w:tc>
          <w:tcPr>
            <w:tcW w:w="0" w:type="auto"/>
            <w:tcBorders>
              <w:top w:val="nil"/>
              <w:left w:val="single" w:sz="4" w:space="0" w:color="auto"/>
              <w:bottom w:val="nil"/>
              <w:right w:val="nil"/>
            </w:tcBorders>
            <w:noWrap/>
            <w:vAlign w:val="bottom"/>
            <w:hideMark/>
          </w:tcPr>
          <w:p w14:paraId="048BCCB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0238D44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5933AAA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2E27089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2A804DC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1733F65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71B3188C" w14:textId="77777777" w:rsidTr="00A3026E">
        <w:trPr>
          <w:trHeight w:val="320"/>
        </w:trPr>
        <w:tc>
          <w:tcPr>
            <w:tcW w:w="0" w:type="auto"/>
            <w:tcBorders>
              <w:top w:val="nil"/>
              <w:left w:val="single" w:sz="4" w:space="0" w:color="auto"/>
              <w:bottom w:val="single" w:sz="4" w:space="0" w:color="auto"/>
              <w:right w:val="nil"/>
            </w:tcBorders>
            <w:noWrap/>
            <w:vAlign w:val="bottom"/>
            <w:hideMark/>
          </w:tcPr>
          <w:p w14:paraId="52BF4BA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w:t>
            </w:r>
          </w:p>
        </w:tc>
        <w:tc>
          <w:tcPr>
            <w:tcW w:w="0" w:type="auto"/>
            <w:tcBorders>
              <w:top w:val="nil"/>
              <w:left w:val="nil"/>
              <w:bottom w:val="single" w:sz="4" w:space="0" w:color="auto"/>
              <w:right w:val="single" w:sz="4" w:space="0" w:color="auto"/>
            </w:tcBorders>
            <w:noWrap/>
            <w:vAlign w:val="bottom"/>
            <w:hideMark/>
          </w:tcPr>
          <w:p w14:paraId="0FC61C3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single" w:sz="4" w:space="0" w:color="auto"/>
              <w:right w:val="nil"/>
            </w:tcBorders>
            <w:noWrap/>
            <w:vAlign w:val="bottom"/>
            <w:hideMark/>
          </w:tcPr>
          <w:p w14:paraId="3E35159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158A10C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6CB1A03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single" w:sz="4" w:space="0" w:color="auto"/>
            </w:tcBorders>
            <w:noWrap/>
            <w:vAlign w:val="bottom"/>
            <w:hideMark/>
          </w:tcPr>
          <w:p w14:paraId="755C519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bl>
    <w:p w14:paraId="197C5C67" w14:textId="77777777" w:rsidR="00A3026E" w:rsidRPr="00855381" w:rsidRDefault="00A3026E" w:rsidP="00152B4D">
      <w:pPr>
        <w:rPr>
          <w:rFonts w:ascii="Aptos" w:hAnsi="Aptos"/>
        </w:rPr>
      </w:pPr>
    </w:p>
    <w:p w14:paraId="6EFF1008" w14:textId="7BCE1819" w:rsidR="00A3026E" w:rsidRPr="00855381" w:rsidRDefault="00855381" w:rsidP="00855381">
      <w:pPr>
        <w:pStyle w:val="Heading1"/>
        <w:rPr>
          <w:rFonts w:ascii="Aptos" w:hAnsi="Aptos"/>
        </w:rPr>
      </w:pPr>
      <w:r w:rsidRPr="00855381">
        <w:rPr>
          <w:rFonts w:ascii="Aptos" w:hAnsi="Aptos"/>
        </w:rPr>
        <w:lastRenderedPageBreak/>
        <w:t>Additional Notes on Missed Cervical Cancer Cases</w:t>
      </w:r>
    </w:p>
    <w:p w14:paraId="7BCD7D97" w14:textId="25901954" w:rsidR="00855381" w:rsidRDefault="00855381" w:rsidP="00855381">
      <w:pPr>
        <w:rPr>
          <w:rFonts w:ascii="Aptos" w:hAnsi="Aptos"/>
          <w:lang w:eastAsia="en-US"/>
        </w:rPr>
      </w:pPr>
      <w:r w:rsidRPr="00855381">
        <w:rPr>
          <w:rFonts w:ascii="Aptos" w:hAnsi="Aptos"/>
          <w:lang w:eastAsia="en-US"/>
        </w:rPr>
        <w:t xml:space="preserve">We </w:t>
      </w:r>
      <w:r w:rsidR="001E0469">
        <w:rPr>
          <w:rFonts w:ascii="Aptos" w:hAnsi="Aptos"/>
          <w:lang w:eastAsia="en-US"/>
        </w:rPr>
        <w:t>consider a subpopulation analysis for missed cervical cancers, noting that results align with CCI and LTUP metrics (particularly LTUP, which is a closely related metric).</w:t>
      </w:r>
    </w:p>
    <w:p w14:paraId="3CD52C3E" w14:textId="77777777" w:rsidR="001E0469" w:rsidRDefault="001E0469" w:rsidP="00855381">
      <w:pPr>
        <w:rPr>
          <w:rFonts w:ascii="Aptos" w:hAnsi="Aptos"/>
          <w:lang w:eastAsia="en-US"/>
        </w:rPr>
      </w:pPr>
    </w:p>
    <w:p w14:paraId="3A9621F4" w14:textId="6AFA6156" w:rsidR="001E0469" w:rsidRPr="001E0469" w:rsidRDefault="001E0469" w:rsidP="001E0469">
      <w:pPr>
        <w:rPr>
          <w:rFonts w:ascii="Aptos" w:hAnsi="Aptos"/>
          <w:lang w:eastAsia="en-US"/>
        </w:rPr>
      </w:pPr>
      <w:r w:rsidRPr="001E0469">
        <w:rPr>
          <w:rFonts w:ascii="Aptos" w:hAnsi="Aptos"/>
          <w:lang w:eastAsia="en-US"/>
        </w:rPr>
        <w:t>Focussing on the vaccinated subpopulation only, a reduction in screening from 5- to 7-yearly maintained 7700 (95 \% CI</w:t>
      </w:r>
      <w:proofErr w:type="gramStart"/>
      <w:r w:rsidRPr="001E0469">
        <w:rPr>
          <w:rFonts w:ascii="Aptos" w:hAnsi="Aptos"/>
          <w:lang w:eastAsia="en-US"/>
        </w:rPr>
        <w:t>=(</w:t>
      </w:r>
      <w:proofErr w:type="gramEnd"/>
      <w:r w:rsidRPr="001E0469">
        <w:rPr>
          <w:rFonts w:ascii="Aptos" w:hAnsi="Aptos"/>
          <w:lang w:eastAsia="en-US"/>
        </w:rPr>
        <w:t xml:space="preserve">5700,13700)) missed infections </w:t>
      </w:r>
      <w:proofErr w:type="gramStart"/>
      <w:r w:rsidRPr="001E0469">
        <w:rPr>
          <w:rFonts w:ascii="Aptos" w:hAnsi="Aptos"/>
          <w:lang w:eastAsia="en-US"/>
        </w:rPr>
        <w:t>at</w:t>
      </w:r>
      <w:proofErr w:type="gramEnd"/>
      <w:r w:rsidRPr="001E0469">
        <w:rPr>
          <w:rFonts w:ascii="Aptos" w:hAnsi="Aptos"/>
          <w:lang w:eastAsia="en-US"/>
        </w:rPr>
        <w:t xml:space="preserve"> 2040 and 3700 (95 \% CI</w:t>
      </w:r>
      <w:proofErr w:type="gramStart"/>
      <w:r w:rsidRPr="001E0469">
        <w:rPr>
          <w:rFonts w:ascii="Aptos" w:hAnsi="Aptos"/>
          <w:lang w:eastAsia="en-US"/>
        </w:rPr>
        <w:t>=(</w:t>
      </w:r>
      <w:proofErr w:type="gramEnd"/>
      <w:r w:rsidRPr="001E0469">
        <w:rPr>
          <w:rFonts w:ascii="Aptos" w:hAnsi="Aptos"/>
          <w:lang w:eastAsia="en-US"/>
        </w:rPr>
        <w:t xml:space="preserve">2600,11400)) </w:t>
      </w:r>
      <w:proofErr w:type="gramStart"/>
      <w:r w:rsidRPr="001E0469">
        <w:rPr>
          <w:rFonts w:ascii="Aptos" w:hAnsi="Aptos"/>
          <w:lang w:eastAsia="en-US"/>
        </w:rPr>
        <w:t>at</w:t>
      </w:r>
      <w:proofErr w:type="gramEnd"/>
      <w:r w:rsidRPr="001E0469">
        <w:rPr>
          <w:rFonts w:ascii="Aptos" w:hAnsi="Aptos"/>
          <w:lang w:eastAsia="en-US"/>
        </w:rPr>
        <w:t xml:space="preserve"> 2050, while at 10-yearly screening the number of missed infections increased to 12400 (95 \% CI</w:t>
      </w:r>
      <w:proofErr w:type="gramStart"/>
      <w:r w:rsidRPr="001E0469">
        <w:rPr>
          <w:rFonts w:ascii="Aptos" w:hAnsi="Aptos"/>
          <w:lang w:eastAsia="en-US"/>
        </w:rPr>
        <w:t>=(</w:t>
      </w:r>
      <w:proofErr w:type="gramEnd"/>
      <w:r w:rsidRPr="001E0469">
        <w:rPr>
          <w:rFonts w:ascii="Aptos" w:hAnsi="Aptos"/>
          <w:lang w:eastAsia="en-US"/>
        </w:rPr>
        <w:t>9900,24700)) in 2040 and 7400 (95 \% CI</w:t>
      </w:r>
      <w:proofErr w:type="gramStart"/>
      <w:r w:rsidRPr="001E0469">
        <w:rPr>
          <w:rFonts w:ascii="Aptos" w:hAnsi="Aptos"/>
          <w:lang w:eastAsia="en-US"/>
        </w:rPr>
        <w:t>=(</w:t>
      </w:r>
      <w:proofErr w:type="gramEnd"/>
      <w:r w:rsidRPr="001E0469">
        <w:rPr>
          <w:rFonts w:ascii="Aptos" w:hAnsi="Aptos"/>
          <w:lang w:eastAsia="en-US"/>
        </w:rPr>
        <w:t>5700,21500)) in 2050. A reduction from 5- to 10-yearly screening, however, maintained the number of missed cancers in this subpopulation at &lt;100 in 2040 and 2050, while further reduction to 15-yearly screening increased missed cancers to 200 (95 \% CI</w:t>
      </w:r>
      <w:proofErr w:type="gramStart"/>
      <w:r w:rsidRPr="001E0469">
        <w:rPr>
          <w:rFonts w:ascii="Aptos" w:hAnsi="Aptos"/>
          <w:lang w:eastAsia="en-US"/>
        </w:rPr>
        <w:t>=(</w:t>
      </w:r>
      <w:proofErr w:type="gramEnd"/>
      <w:r w:rsidRPr="001E0469">
        <w:rPr>
          <w:rFonts w:ascii="Aptos" w:hAnsi="Aptos"/>
          <w:lang w:eastAsia="en-US"/>
        </w:rPr>
        <w:t>100,300)) in 2040 and 100 (95 \% CI</w:t>
      </w:r>
      <w:proofErr w:type="gramStart"/>
      <w:r w:rsidRPr="001E0469">
        <w:rPr>
          <w:rFonts w:ascii="Aptos" w:hAnsi="Aptos"/>
          <w:lang w:eastAsia="en-US"/>
        </w:rPr>
        <w:t>=(</w:t>
      </w:r>
      <w:proofErr w:type="gramEnd"/>
      <w:r w:rsidRPr="001E0469">
        <w:rPr>
          <w:rFonts w:ascii="Aptos" w:hAnsi="Aptos"/>
          <w:lang w:eastAsia="en-US"/>
        </w:rPr>
        <w:t>100,200)) in 2050.</w:t>
      </w:r>
    </w:p>
    <w:p w14:paraId="2CA15CEB" w14:textId="77777777" w:rsidR="001E0469" w:rsidRPr="001E0469" w:rsidRDefault="001E0469" w:rsidP="001E0469">
      <w:pPr>
        <w:rPr>
          <w:rFonts w:ascii="Aptos" w:hAnsi="Aptos"/>
          <w:lang w:eastAsia="en-US"/>
        </w:rPr>
      </w:pPr>
    </w:p>
    <w:p w14:paraId="3301E0F3" w14:textId="22750F4A" w:rsidR="001E0469" w:rsidRPr="00855381" w:rsidRDefault="001E0469" w:rsidP="001E0469">
      <w:pPr>
        <w:rPr>
          <w:rFonts w:ascii="Aptos" w:hAnsi="Aptos"/>
          <w:lang w:eastAsia="en-US"/>
        </w:rPr>
      </w:pPr>
      <w:r w:rsidRPr="001E0469">
        <w:rPr>
          <w:rFonts w:ascii="Aptos" w:hAnsi="Aptos"/>
          <w:lang w:eastAsia="en-US"/>
        </w:rPr>
        <w:t>For the unvaccinated vaccine-eligible subpopulation, a reduction from 5- to 7-</w:t>
      </w:r>
      <w:proofErr w:type="gramStart"/>
      <w:r w:rsidRPr="001E0469">
        <w:rPr>
          <w:rFonts w:ascii="Aptos" w:hAnsi="Aptos"/>
          <w:lang w:eastAsia="en-US"/>
        </w:rPr>
        <w:t>yearly  screening</w:t>
      </w:r>
      <w:proofErr w:type="gramEnd"/>
      <w:r w:rsidRPr="001E0469">
        <w:rPr>
          <w:rFonts w:ascii="Aptos" w:hAnsi="Aptos"/>
          <w:lang w:eastAsia="en-US"/>
        </w:rPr>
        <w:t xml:space="preserve"> increased the number of missed infections from 43k (95 \% CI=(37k,58k)) to 55k (95 \% CI=(48k,74k)) in 2040 and from 20k (95 \% CI=(16k,27k)) to 29k (95 \% CI=(23k,37k)) in 2050. Further reduction to 15-yearly screening increased the number of missed infections in this subpopulation to 94k (95 \% CI=(80k,116k)) in 2040 and 49k (95 \% CI=(39k,61k)) in 2050, consistently 55-60\% of the overall HPV prevalence in the subpopulation. Reduction from 5- to 7-yearly screening increased the number of missed cancers from 300 (95 \% CI</w:t>
      </w:r>
      <w:proofErr w:type="gramStart"/>
      <w:r w:rsidRPr="001E0469">
        <w:rPr>
          <w:rFonts w:ascii="Aptos" w:hAnsi="Aptos"/>
          <w:lang w:eastAsia="en-US"/>
        </w:rPr>
        <w:t>=(</w:t>
      </w:r>
      <w:proofErr w:type="gramEnd"/>
      <w:r w:rsidRPr="001E0469">
        <w:rPr>
          <w:rFonts w:ascii="Aptos" w:hAnsi="Aptos"/>
          <w:lang w:eastAsia="en-US"/>
        </w:rPr>
        <w:t>200,300)) to 400 (95 \% CI</w:t>
      </w:r>
      <w:proofErr w:type="gramStart"/>
      <w:r w:rsidRPr="001E0469">
        <w:rPr>
          <w:rFonts w:ascii="Aptos" w:hAnsi="Aptos"/>
          <w:lang w:eastAsia="en-US"/>
        </w:rPr>
        <w:t>=(</w:t>
      </w:r>
      <w:proofErr w:type="gramEnd"/>
      <w:r w:rsidRPr="001E0469">
        <w:rPr>
          <w:rFonts w:ascii="Aptos" w:hAnsi="Aptos"/>
          <w:lang w:eastAsia="en-US"/>
        </w:rPr>
        <w:t>300,400)) in 2040 and from 200 (95 \% CI</w:t>
      </w:r>
      <w:proofErr w:type="gramStart"/>
      <w:r w:rsidRPr="001E0469">
        <w:rPr>
          <w:rFonts w:ascii="Aptos" w:hAnsi="Aptos"/>
          <w:lang w:eastAsia="en-US"/>
        </w:rPr>
        <w:t>=(</w:t>
      </w:r>
      <w:proofErr w:type="gramEnd"/>
      <w:r w:rsidRPr="001E0469">
        <w:rPr>
          <w:rFonts w:ascii="Aptos" w:hAnsi="Aptos"/>
          <w:lang w:eastAsia="en-US"/>
        </w:rPr>
        <w:t>100,200)) to 300 (95 \% CI</w:t>
      </w:r>
      <w:proofErr w:type="gramStart"/>
      <w:r w:rsidRPr="001E0469">
        <w:rPr>
          <w:rFonts w:ascii="Aptos" w:hAnsi="Aptos"/>
          <w:lang w:eastAsia="en-US"/>
        </w:rPr>
        <w:t>=(</w:t>
      </w:r>
      <w:proofErr w:type="gramEnd"/>
      <w:r w:rsidRPr="001E0469">
        <w:rPr>
          <w:rFonts w:ascii="Aptos" w:hAnsi="Aptos"/>
          <w:lang w:eastAsia="en-US"/>
        </w:rPr>
        <w:t xml:space="preserve">200,400)) in 2050. 10-yearly screening </w:t>
      </w:r>
      <w:proofErr w:type="gramStart"/>
      <w:r w:rsidRPr="001E0469">
        <w:rPr>
          <w:rFonts w:ascii="Aptos" w:hAnsi="Aptos"/>
          <w:lang w:eastAsia="en-US"/>
        </w:rPr>
        <w:t>lead</w:t>
      </w:r>
      <w:proofErr w:type="gramEnd"/>
      <w:r w:rsidRPr="001E0469">
        <w:rPr>
          <w:rFonts w:ascii="Aptos" w:hAnsi="Aptos"/>
          <w:lang w:eastAsia="en-US"/>
        </w:rPr>
        <w:t xml:space="preserve"> to notably more missed cancers at 600 (95 \% CI</w:t>
      </w:r>
      <w:proofErr w:type="gramStart"/>
      <w:r w:rsidRPr="001E0469">
        <w:rPr>
          <w:rFonts w:ascii="Aptos" w:hAnsi="Aptos"/>
          <w:lang w:eastAsia="en-US"/>
        </w:rPr>
        <w:t>=(</w:t>
      </w:r>
      <w:proofErr w:type="gramEnd"/>
      <w:r w:rsidRPr="001E0469">
        <w:rPr>
          <w:rFonts w:ascii="Aptos" w:hAnsi="Aptos"/>
          <w:lang w:eastAsia="en-US"/>
        </w:rPr>
        <w:t>500,700)) in 2040 and 500 (95 \% CI</w:t>
      </w:r>
      <w:proofErr w:type="gramStart"/>
      <w:r w:rsidRPr="001E0469">
        <w:rPr>
          <w:rFonts w:ascii="Aptos" w:hAnsi="Aptos"/>
          <w:lang w:eastAsia="en-US"/>
        </w:rPr>
        <w:t>=(</w:t>
      </w:r>
      <w:proofErr w:type="gramEnd"/>
      <w:r w:rsidRPr="001E0469">
        <w:rPr>
          <w:rFonts w:ascii="Aptos" w:hAnsi="Aptos"/>
          <w:lang w:eastAsia="en-US"/>
        </w:rPr>
        <w:t xml:space="preserve">400,600)) in 2050. </w:t>
      </w:r>
    </w:p>
    <w:p w14:paraId="5FD84AD2" w14:textId="66586029" w:rsidR="004A6266" w:rsidRPr="00855381" w:rsidRDefault="004A6266" w:rsidP="004A6266">
      <w:pPr>
        <w:pStyle w:val="Heading1"/>
        <w:rPr>
          <w:rFonts w:ascii="Aptos" w:hAnsi="Aptos"/>
        </w:rPr>
      </w:pPr>
      <w:r w:rsidRPr="00855381">
        <w:rPr>
          <w:rFonts w:ascii="Aptos" w:hAnsi="Aptos"/>
        </w:rPr>
        <w:t>Notes on interpretation of results</w:t>
      </w:r>
    </w:p>
    <w:p w14:paraId="41734E7E" w14:textId="77777777" w:rsidR="004A6266" w:rsidRPr="00855381" w:rsidRDefault="004A6266" w:rsidP="004A6266">
      <w:pPr>
        <w:pStyle w:val="ListParagraph"/>
        <w:numPr>
          <w:ilvl w:val="0"/>
          <w:numId w:val="2"/>
        </w:numPr>
        <w:rPr>
          <w:rFonts w:ascii="Aptos" w:hAnsi="Aptos"/>
        </w:rPr>
      </w:pPr>
      <w:r w:rsidRPr="00855381">
        <w:rPr>
          <w:rFonts w:ascii="Aptos" w:hAnsi="Aptos"/>
        </w:rPr>
        <w:t xml:space="preserve">Simulations end </w:t>
      </w:r>
      <w:proofErr w:type="gramStart"/>
      <w:r w:rsidRPr="00855381">
        <w:rPr>
          <w:rFonts w:ascii="Aptos" w:hAnsi="Aptos"/>
        </w:rPr>
        <w:t>at</w:t>
      </w:r>
      <w:proofErr w:type="gramEnd"/>
      <w:r w:rsidRPr="00855381">
        <w:rPr>
          <w:rFonts w:ascii="Aptos" w:hAnsi="Aptos"/>
        </w:rPr>
        <w:t xml:space="preserve"> </w:t>
      </w:r>
      <w:proofErr w:type="gramStart"/>
      <w:r w:rsidRPr="00855381">
        <w:rPr>
          <w:rFonts w:ascii="Aptos" w:hAnsi="Aptos"/>
        </w:rPr>
        <w:t>2055, and</w:t>
      </w:r>
      <w:proofErr w:type="gramEnd"/>
      <w:r w:rsidRPr="00855381">
        <w:rPr>
          <w:rFonts w:ascii="Aptos" w:hAnsi="Aptos"/>
        </w:rPr>
        <w:t xml:space="preserve"> then have 5-yearly smoothing applied so that post-smoothing, values are reliable until 2050 inclusive. </w:t>
      </w:r>
    </w:p>
    <w:p w14:paraId="7F970B88" w14:textId="77777777" w:rsidR="004A6266" w:rsidRPr="00855381" w:rsidRDefault="004A6266" w:rsidP="004A6266">
      <w:pPr>
        <w:pStyle w:val="ListParagraph"/>
        <w:numPr>
          <w:ilvl w:val="0"/>
          <w:numId w:val="2"/>
        </w:numPr>
        <w:rPr>
          <w:rFonts w:ascii="Aptos" w:hAnsi="Aptos"/>
        </w:rPr>
      </w:pPr>
      <w:r w:rsidRPr="00855381">
        <w:rPr>
          <w:rFonts w:ascii="Aptos" w:hAnsi="Aptos"/>
        </w:rPr>
        <w:t>Elimination years reported as 2055 are to be interpreted as ‘elimination occurs &gt;=2055’.</w:t>
      </w:r>
    </w:p>
    <w:p w14:paraId="60A2542B" w14:textId="77777777" w:rsidR="004A6266" w:rsidRPr="00855381" w:rsidRDefault="004A6266" w:rsidP="004A6266">
      <w:pPr>
        <w:pStyle w:val="ListParagraph"/>
        <w:numPr>
          <w:ilvl w:val="0"/>
          <w:numId w:val="2"/>
        </w:numPr>
        <w:rPr>
          <w:rFonts w:ascii="Aptos" w:hAnsi="Aptos"/>
        </w:rPr>
      </w:pPr>
      <w:r w:rsidRPr="00855381">
        <w:rPr>
          <w:rFonts w:ascii="Aptos" w:hAnsi="Aptos"/>
        </w:rPr>
        <w:t xml:space="preserve">Elimination years for the vaccinated subpopulation reported as 2008 are to be interpreted as ‘elimination is always achieved’ </w:t>
      </w:r>
    </w:p>
    <w:p w14:paraId="4E83E7E3" w14:textId="106290ED" w:rsidR="004A6266" w:rsidRPr="00855381" w:rsidRDefault="004A6266" w:rsidP="004A6266">
      <w:pPr>
        <w:pStyle w:val="ListParagraph"/>
        <w:numPr>
          <w:ilvl w:val="0"/>
          <w:numId w:val="2"/>
        </w:numPr>
        <w:rPr>
          <w:rFonts w:ascii="Aptos" w:hAnsi="Aptos"/>
        </w:rPr>
      </w:pPr>
      <w:r w:rsidRPr="00855381">
        <w:rPr>
          <w:rFonts w:ascii="Aptos" w:hAnsi="Aptos"/>
        </w:rPr>
        <w:t xml:space="preserve">We report grids of 1% </w:t>
      </w:r>
      <w:r w:rsidR="00373259" w:rsidRPr="00855381">
        <w:rPr>
          <w:rFonts w:ascii="Aptos" w:hAnsi="Aptos"/>
        </w:rPr>
        <w:t>significance</w:t>
      </w:r>
      <w:r w:rsidRPr="00855381">
        <w:rPr>
          <w:rFonts w:ascii="Aptos" w:hAnsi="Aptos"/>
        </w:rPr>
        <w:t xml:space="preserve">-level t-tests between algorithms at particular </w:t>
      </w:r>
      <w:proofErr w:type="gramStart"/>
      <w:r w:rsidRPr="00855381">
        <w:rPr>
          <w:rFonts w:ascii="Aptos" w:hAnsi="Aptos"/>
        </w:rPr>
        <w:t>timepoints  (</w:t>
      </w:r>
      <w:proofErr w:type="gramEnd"/>
      <w:r w:rsidRPr="00855381">
        <w:rPr>
          <w:rFonts w:ascii="Aptos" w:hAnsi="Aptos"/>
        </w:rPr>
        <w:t xml:space="preserve">years 2040 and 2050) according to </w:t>
      </w:r>
      <w:proofErr w:type="gramStart"/>
      <w:r w:rsidRPr="00855381">
        <w:rPr>
          <w:rFonts w:ascii="Aptos" w:hAnsi="Aptos"/>
        </w:rPr>
        <w:t>particular metrics</w:t>
      </w:r>
      <w:proofErr w:type="gramEnd"/>
      <w:r w:rsidRPr="00855381">
        <w:rPr>
          <w:rFonts w:ascii="Aptos" w:hAnsi="Aptos"/>
        </w:rPr>
        <w:t xml:space="preserve"> (cancer incidence, long term undiagnosed prevalence). They are to be </w:t>
      </w:r>
      <w:r w:rsidR="00373259" w:rsidRPr="00855381">
        <w:rPr>
          <w:rFonts w:ascii="Aptos" w:hAnsi="Aptos"/>
        </w:rPr>
        <w:t>interpreted</w:t>
      </w:r>
      <w:r w:rsidRPr="00855381">
        <w:rPr>
          <w:rFonts w:ascii="Aptos" w:hAnsi="Aptos"/>
        </w:rPr>
        <w:t xml:space="preserve"> as below</w:t>
      </w:r>
    </w:p>
    <w:p w14:paraId="5A542A82" w14:textId="27947813" w:rsidR="004A6266" w:rsidRPr="00855381" w:rsidRDefault="004A6266" w:rsidP="004A6266">
      <w:pPr>
        <w:pStyle w:val="ListParagraph"/>
        <w:numPr>
          <w:ilvl w:val="1"/>
          <w:numId w:val="2"/>
        </w:numPr>
        <w:rPr>
          <w:rFonts w:ascii="Aptos" w:hAnsi="Aptos"/>
        </w:rPr>
      </w:pPr>
      <w:r w:rsidRPr="00855381">
        <w:rPr>
          <w:rFonts w:ascii="Aptos" w:hAnsi="Aptos"/>
          <w:noProof/>
        </w:rPr>
        <w:drawing>
          <wp:inline distT="0" distB="0" distL="0" distR="0" wp14:anchorId="05CF3192" wp14:editId="79BDF822">
            <wp:extent cx="3543300" cy="2510373"/>
            <wp:effectExtent l="0" t="0" r="0" b="4445"/>
            <wp:docPr id="110961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14117" name="Picture 11096141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9855" cy="2515017"/>
                    </a:xfrm>
                    <a:prstGeom prst="rect">
                      <a:avLst/>
                    </a:prstGeom>
                  </pic:spPr>
                </pic:pic>
              </a:graphicData>
            </a:graphic>
          </wp:inline>
        </w:drawing>
      </w:r>
    </w:p>
    <w:sectPr w:rsidR="004A6266" w:rsidRPr="00855381" w:rsidSect="00152B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24177"/>
    <w:multiLevelType w:val="hybridMultilevel"/>
    <w:tmpl w:val="E9B0A69E"/>
    <w:lvl w:ilvl="0" w:tplc="14FE9C6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32204D"/>
    <w:multiLevelType w:val="hybridMultilevel"/>
    <w:tmpl w:val="A6B84A2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47CB0865"/>
    <w:multiLevelType w:val="hybridMultilevel"/>
    <w:tmpl w:val="9C50140A"/>
    <w:lvl w:ilvl="0" w:tplc="FD788C3E">
      <w:start w:val="2019"/>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7725275">
    <w:abstractNumId w:val="0"/>
  </w:num>
  <w:num w:numId="2" w16cid:durableId="1524978194">
    <w:abstractNumId w:val="1"/>
  </w:num>
  <w:num w:numId="3" w16cid:durableId="58242042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ED"/>
    <w:rsid w:val="0001657F"/>
    <w:rsid w:val="00024414"/>
    <w:rsid w:val="00036947"/>
    <w:rsid w:val="00037C06"/>
    <w:rsid w:val="00042959"/>
    <w:rsid w:val="00043EBC"/>
    <w:rsid w:val="000547BE"/>
    <w:rsid w:val="00056411"/>
    <w:rsid w:val="00057E5D"/>
    <w:rsid w:val="00065F11"/>
    <w:rsid w:val="00066F80"/>
    <w:rsid w:val="00073C15"/>
    <w:rsid w:val="00074704"/>
    <w:rsid w:val="00077E4E"/>
    <w:rsid w:val="00084536"/>
    <w:rsid w:val="00086E2E"/>
    <w:rsid w:val="00090219"/>
    <w:rsid w:val="00091DD1"/>
    <w:rsid w:val="000973AF"/>
    <w:rsid w:val="000A1AF6"/>
    <w:rsid w:val="000A3795"/>
    <w:rsid w:val="000A3F0E"/>
    <w:rsid w:val="000A58F2"/>
    <w:rsid w:val="000B68B7"/>
    <w:rsid w:val="000D0CDE"/>
    <w:rsid w:val="000D7012"/>
    <w:rsid w:val="000F1DE5"/>
    <w:rsid w:val="000F37AC"/>
    <w:rsid w:val="000F37BF"/>
    <w:rsid w:val="0010521C"/>
    <w:rsid w:val="001104F7"/>
    <w:rsid w:val="00112B85"/>
    <w:rsid w:val="001130C4"/>
    <w:rsid w:val="00115D48"/>
    <w:rsid w:val="0011637E"/>
    <w:rsid w:val="00116E8A"/>
    <w:rsid w:val="00120A94"/>
    <w:rsid w:val="00121B3C"/>
    <w:rsid w:val="00131A5F"/>
    <w:rsid w:val="00132E00"/>
    <w:rsid w:val="00133571"/>
    <w:rsid w:val="00136A41"/>
    <w:rsid w:val="0014336F"/>
    <w:rsid w:val="0014467F"/>
    <w:rsid w:val="00150AF7"/>
    <w:rsid w:val="00152B4D"/>
    <w:rsid w:val="001531C4"/>
    <w:rsid w:val="00172BA3"/>
    <w:rsid w:val="0017608A"/>
    <w:rsid w:val="00184205"/>
    <w:rsid w:val="00190359"/>
    <w:rsid w:val="001909DE"/>
    <w:rsid w:val="001964AA"/>
    <w:rsid w:val="00197CAC"/>
    <w:rsid w:val="001A4A08"/>
    <w:rsid w:val="001B524B"/>
    <w:rsid w:val="001C194C"/>
    <w:rsid w:val="001D09D1"/>
    <w:rsid w:val="001D12B2"/>
    <w:rsid w:val="001E0469"/>
    <w:rsid w:val="001E07F7"/>
    <w:rsid w:val="001E09AC"/>
    <w:rsid w:val="001F5335"/>
    <w:rsid w:val="00200A16"/>
    <w:rsid w:val="0020335E"/>
    <w:rsid w:val="002107A4"/>
    <w:rsid w:val="0021233B"/>
    <w:rsid w:val="00213A0C"/>
    <w:rsid w:val="0021564E"/>
    <w:rsid w:val="00217966"/>
    <w:rsid w:val="0022242E"/>
    <w:rsid w:val="00223B23"/>
    <w:rsid w:val="0022663E"/>
    <w:rsid w:val="00232F27"/>
    <w:rsid w:val="00241469"/>
    <w:rsid w:val="002460F1"/>
    <w:rsid w:val="00246E03"/>
    <w:rsid w:val="0027125E"/>
    <w:rsid w:val="00276028"/>
    <w:rsid w:val="00276ADA"/>
    <w:rsid w:val="00277DB5"/>
    <w:rsid w:val="002836B2"/>
    <w:rsid w:val="00297516"/>
    <w:rsid w:val="002A0BC7"/>
    <w:rsid w:val="002A233C"/>
    <w:rsid w:val="002A581C"/>
    <w:rsid w:val="002A785B"/>
    <w:rsid w:val="002B16DB"/>
    <w:rsid w:val="002B4A54"/>
    <w:rsid w:val="002D0216"/>
    <w:rsid w:val="002D67B9"/>
    <w:rsid w:val="002F29F6"/>
    <w:rsid w:val="002F2EC2"/>
    <w:rsid w:val="00312CD9"/>
    <w:rsid w:val="00314B92"/>
    <w:rsid w:val="00314FBB"/>
    <w:rsid w:val="00321009"/>
    <w:rsid w:val="00321AFF"/>
    <w:rsid w:val="00323B6F"/>
    <w:rsid w:val="00327548"/>
    <w:rsid w:val="00335E6A"/>
    <w:rsid w:val="003360CF"/>
    <w:rsid w:val="00341B83"/>
    <w:rsid w:val="00342B12"/>
    <w:rsid w:val="00344743"/>
    <w:rsid w:val="00356913"/>
    <w:rsid w:val="003665FE"/>
    <w:rsid w:val="00366AC5"/>
    <w:rsid w:val="00371120"/>
    <w:rsid w:val="00372D15"/>
    <w:rsid w:val="00373259"/>
    <w:rsid w:val="0038734C"/>
    <w:rsid w:val="00395130"/>
    <w:rsid w:val="003A6B31"/>
    <w:rsid w:val="003A772B"/>
    <w:rsid w:val="003A7CAB"/>
    <w:rsid w:val="003B2BF1"/>
    <w:rsid w:val="003C162E"/>
    <w:rsid w:val="003D3A33"/>
    <w:rsid w:val="003D4049"/>
    <w:rsid w:val="003D6625"/>
    <w:rsid w:val="003D6FAB"/>
    <w:rsid w:val="003E7BEE"/>
    <w:rsid w:val="003F5D43"/>
    <w:rsid w:val="00404F78"/>
    <w:rsid w:val="004060D6"/>
    <w:rsid w:val="00410A93"/>
    <w:rsid w:val="00414023"/>
    <w:rsid w:val="0041413A"/>
    <w:rsid w:val="004169FE"/>
    <w:rsid w:val="004319E5"/>
    <w:rsid w:val="00432C48"/>
    <w:rsid w:val="00436176"/>
    <w:rsid w:val="004423E5"/>
    <w:rsid w:val="004429BF"/>
    <w:rsid w:val="00445BD9"/>
    <w:rsid w:val="0044712D"/>
    <w:rsid w:val="0045586E"/>
    <w:rsid w:val="00456D23"/>
    <w:rsid w:val="00461EA0"/>
    <w:rsid w:val="004725D4"/>
    <w:rsid w:val="00472F06"/>
    <w:rsid w:val="004760DF"/>
    <w:rsid w:val="00476C32"/>
    <w:rsid w:val="00482B88"/>
    <w:rsid w:val="004A6266"/>
    <w:rsid w:val="004A7745"/>
    <w:rsid w:val="004C599A"/>
    <w:rsid w:val="004C6818"/>
    <w:rsid w:val="004C7433"/>
    <w:rsid w:val="004D2DDC"/>
    <w:rsid w:val="004D70CA"/>
    <w:rsid w:val="004E43A2"/>
    <w:rsid w:val="004E5D8E"/>
    <w:rsid w:val="004E74C8"/>
    <w:rsid w:val="004F12EF"/>
    <w:rsid w:val="004F37A3"/>
    <w:rsid w:val="005025F3"/>
    <w:rsid w:val="00502B4B"/>
    <w:rsid w:val="00510541"/>
    <w:rsid w:val="00517812"/>
    <w:rsid w:val="00524720"/>
    <w:rsid w:val="00525BF6"/>
    <w:rsid w:val="00526795"/>
    <w:rsid w:val="00530F42"/>
    <w:rsid w:val="00533CA3"/>
    <w:rsid w:val="00535BE4"/>
    <w:rsid w:val="005406E3"/>
    <w:rsid w:val="00544812"/>
    <w:rsid w:val="00552325"/>
    <w:rsid w:val="00552623"/>
    <w:rsid w:val="00553F32"/>
    <w:rsid w:val="00564282"/>
    <w:rsid w:val="0056559E"/>
    <w:rsid w:val="005724F5"/>
    <w:rsid w:val="005766C2"/>
    <w:rsid w:val="005768B1"/>
    <w:rsid w:val="00592145"/>
    <w:rsid w:val="0059688E"/>
    <w:rsid w:val="00596EDB"/>
    <w:rsid w:val="00597F47"/>
    <w:rsid w:val="005A325F"/>
    <w:rsid w:val="005B188C"/>
    <w:rsid w:val="005C04A5"/>
    <w:rsid w:val="005C237B"/>
    <w:rsid w:val="005C60B9"/>
    <w:rsid w:val="005D7060"/>
    <w:rsid w:val="005E307D"/>
    <w:rsid w:val="005E5A71"/>
    <w:rsid w:val="005E7AF8"/>
    <w:rsid w:val="005F714B"/>
    <w:rsid w:val="00600B18"/>
    <w:rsid w:val="006024B0"/>
    <w:rsid w:val="0060282F"/>
    <w:rsid w:val="00604E65"/>
    <w:rsid w:val="006200A9"/>
    <w:rsid w:val="00623428"/>
    <w:rsid w:val="00625234"/>
    <w:rsid w:val="00627316"/>
    <w:rsid w:val="0062799F"/>
    <w:rsid w:val="006342A9"/>
    <w:rsid w:val="00634F69"/>
    <w:rsid w:val="00635DE0"/>
    <w:rsid w:val="00637DD3"/>
    <w:rsid w:val="00637E3C"/>
    <w:rsid w:val="006438AF"/>
    <w:rsid w:val="0065228E"/>
    <w:rsid w:val="00660C0E"/>
    <w:rsid w:val="00662BDD"/>
    <w:rsid w:val="00666E03"/>
    <w:rsid w:val="006772B3"/>
    <w:rsid w:val="006817DE"/>
    <w:rsid w:val="006841F7"/>
    <w:rsid w:val="00686A59"/>
    <w:rsid w:val="006A18AB"/>
    <w:rsid w:val="006A478C"/>
    <w:rsid w:val="006B12A6"/>
    <w:rsid w:val="006C72DE"/>
    <w:rsid w:val="006D1828"/>
    <w:rsid w:val="006D2651"/>
    <w:rsid w:val="006D50B7"/>
    <w:rsid w:val="006D6E8E"/>
    <w:rsid w:val="006E0C66"/>
    <w:rsid w:val="006F0085"/>
    <w:rsid w:val="006F1C0C"/>
    <w:rsid w:val="00703431"/>
    <w:rsid w:val="00707F63"/>
    <w:rsid w:val="007147DA"/>
    <w:rsid w:val="007151DE"/>
    <w:rsid w:val="00722D33"/>
    <w:rsid w:val="007236C8"/>
    <w:rsid w:val="007253F3"/>
    <w:rsid w:val="007307C3"/>
    <w:rsid w:val="007506EE"/>
    <w:rsid w:val="007601BA"/>
    <w:rsid w:val="007618D7"/>
    <w:rsid w:val="00764963"/>
    <w:rsid w:val="00773F4C"/>
    <w:rsid w:val="00781DE5"/>
    <w:rsid w:val="0079525D"/>
    <w:rsid w:val="00795B82"/>
    <w:rsid w:val="007A09E6"/>
    <w:rsid w:val="007A4268"/>
    <w:rsid w:val="007A4F12"/>
    <w:rsid w:val="007A523F"/>
    <w:rsid w:val="007A664A"/>
    <w:rsid w:val="007C11A4"/>
    <w:rsid w:val="007C2AE0"/>
    <w:rsid w:val="007C7BFA"/>
    <w:rsid w:val="007D5D45"/>
    <w:rsid w:val="007E4B57"/>
    <w:rsid w:val="007E5472"/>
    <w:rsid w:val="007F0288"/>
    <w:rsid w:val="007F1D37"/>
    <w:rsid w:val="00802DFA"/>
    <w:rsid w:val="0081055B"/>
    <w:rsid w:val="00810CA9"/>
    <w:rsid w:val="00811DC7"/>
    <w:rsid w:val="00811F80"/>
    <w:rsid w:val="00815E1D"/>
    <w:rsid w:val="008262CF"/>
    <w:rsid w:val="008364A9"/>
    <w:rsid w:val="008449B9"/>
    <w:rsid w:val="00855381"/>
    <w:rsid w:val="008576FD"/>
    <w:rsid w:val="00857F5E"/>
    <w:rsid w:val="008651B2"/>
    <w:rsid w:val="00867F7C"/>
    <w:rsid w:val="008710ED"/>
    <w:rsid w:val="00875202"/>
    <w:rsid w:val="00882E75"/>
    <w:rsid w:val="00884155"/>
    <w:rsid w:val="008927BF"/>
    <w:rsid w:val="008A4713"/>
    <w:rsid w:val="008A4B6A"/>
    <w:rsid w:val="008A5A6F"/>
    <w:rsid w:val="008A7967"/>
    <w:rsid w:val="008B6E5F"/>
    <w:rsid w:val="008B760A"/>
    <w:rsid w:val="008C09CC"/>
    <w:rsid w:val="008C64F4"/>
    <w:rsid w:val="008D0C8A"/>
    <w:rsid w:val="008D1538"/>
    <w:rsid w:val="008D3358"/>
    <w:rsid w:val="008D3C77"/>
    <w:rsid w:val="008D6D2F"/>
    <w:rsid w:val="008E1B46"/>
    <w:rsid w:val="008E252C"/>
    <w:rsid w:val="008F2F71"/>
    <w:rsid w:val="008F3A1F"/>
    <w:rsid w:val="008F442B"/>
    <w:rsid w:val="009071DB"/>
    <w:rsid w:val="00913276"/>
    <w:rsid w:val="0091488B"/>
    <w:rsid w:val="00926040"/>
    <w:rsid w:val="009266BD"/>
    <w:rsid w:val="00933170"/>
    <w:rsid w:val="009337A0"/>
    <w:rsid w:val="009368AA"/>
    <w:rsid w:val="00942F99"/>
    <w:rsid w:val="00950CD4"/>
    <w:rsid w:val="00950DB9"/>
    <w:rsid w:val="00954D8A"/>
    <w:rsid w:val="00957BD3"/>
    <w:rsid w:val="00962BB6"/>
    <w:rsid w:val="00964018"/>
    <w:rsid w:val="00971827"/>
    <w:rsid w:val="0097495A"/>
    <w:rsid w:val="00990BAC"/>
    <w:rsid w:val="00993704"/>
    <w:rsid w:val="00997EE3"/>
    <w:rsid w:val="009A6671"/>
    <w:rsid w:val="009B351B"/>
    <w:rsid w:val="009B7883"/>
    <w:rsid w:val="009C280E"/>
    <w:rsid w:val="009C5399"/>
    <w:rsid w:val="009C70AB"/>
    <w:rsid w:val="009D327A"/>
    <w:rsid w:val="009D369B"/>
    <w:rsid w:val="009E27DA"/>
    <w:rsid w:val="009F4EF9"/>
    <w:rsid w:val="00A01E03"/>
    <w:rsid w:val="00A01E38"/>
    <w:rsid w:val="00A02967"/>
    <w:rsid w:val="00A042C1"/>
    <w:rsid w:val="00A04BD9"/>
    <w:rsid w:val="00A152ED"/>
    <w:rsid w:val="00A2028B"/>
    <w:rsid w:val="00A204FF"/>
    <w:rsid w:val="00A20877"/>
    <w:rsid w:val="00A24C17"/>
    <w:rsid w:val="00A3026E"/>
    <w:rsid w:val="00A30904"/>
    <w:rsid w:val="00A36C8E"/>
    <w:rsid w:val="00A45461"/>
    <w:rsid w:val="00A455AA"/>
    <w:rsid w:val="00A45AE5"/>
    <w:rsid w:val="00A469A6"/>
    <w:rsid w:val="00A51637"/>
    <w:rsid w:val="00A623B6"/>
    <w:rsid w:val="00A708A2"/>
    <w:rsid w:val="00A7542A"/>
    <w:rsid w:val="00A75994"/>
    <w:rsid w:val="00A80573"/>
    <w:rsid w:val="00A813FC"/>
    <w:rsid w:val="00A8186F"/>
    <w:rsid w:val="00A82DC9"/>
    <w:rsid w:val="00A83429"/>
    <w:rsid w:val="00A86DC8"/>
    <w:rsid w:val="00A86E2B"/>
    <w:rsid w:val="00A92B3A"/>
    <w:rsid w:val="00A957B6"/>
    <w:rsid w:val="00A96CEF"/>
    <w:rsid w:val="00A97151"/>
    <w:rsid w:val="00AA09F3"/>
    <w:rsid w:val="00AA266E"/>
    <w:rsid w:val="00AA3F40"/>
    <w:rsid w:val="00AB06B4"/>
    <w:rsid w:val="00AD2334"/>
    <w:rsid w:val="00AD36D9"/>
    <w:rsid w:val="00AD36DB"/>
    <w:rsid w:val="00AD4C5D"/>
    <w:rsid w:val="00AE5DBB"/>
    <w:rsid w:val="00AE7BF5"/>
    <w:rsid w:val="00AF420B"/>
    <w:rsid w:val="00AF635C"/>
    <w:rsid w:val="00B03DC2"/>
    <w:rsid w:val="00B10754"/>
    <w:rsid w:val="00B1460A"/>
    <w:rsid w:val="00B2167F"/>
    <w:rsid w:val="00B21959"/>
    <w:rsid w:val="00B41351"/>
    <w:rsid w:val="00B42725"/>
    <w:rsid w:val="00B457F5"/>
    <w:rsid w:val="00B45CF0"/>
    <w:rsid w:val="00B528F4"/>
    <w:rsid w:val="00B536C2"/>
    <w:rsid w:val="00B564BF"/>
    <w:rsid w:val="00B60916"/>
    <w:rsid w:val="00B61981"/>
    <w:rsid w:val="00B66F69"/>
    <w:rsid w:val="00B74186"/>
    <w:rsid w:val="00B9083B"/>
    <w:rsid w:val="00BA0995"/>
    <w:rsid w:val="00BA1EA7"/>
    <w:rsid w:val="00BB3E56"/>
    <w:rsid w:val="00BB498B"/>
    <w:rsid w:val="00BB7C38"/>
    <w:rsid w:val="00BC541B"/>
    <w:rsid w:val="00BC5E26"/>
    <w:rsid w:val="00BD5B74"/>
    <w:rsid w:val="00BE6B7F"/>
    <w:rsid w:val="00BF1AB3"/>
    <w:rsid w:val="00BF4983"/>
    <w:rsid w:val="00BF7C11"/>
    <w:rsid w:val="00C10944"/>
    <w:rsid w:val="00C11516"/>
    <w:rsid w:val="00C1569C"/>
    <w:rsid w:val="00C23B2B"/>
    <w:rsid w:val="00C30621"/>
    <w:rsid w:val="00C308ED"/>
    <w:rsid w:val="00C35517"/>
    <w:rsid w:val="00C42E32"/>
    <w:rsid w:val="00C57F06"/>
    <w:rsid w:val="00C60D99"/>
    <w:rsid w:val="00C61F35"/>
    <w:rsid w:val="00C7084F"/>
    <w:rsid w:val="00C73B26"/>
    <w:rsid w:val="00C7509C"/>
    <w:rsid w:val="00C85124"/>
    <w:rsid w:val="00C91695"/>
    <w:rsid w:val="00C94752"/>
    <w:rsid w:val="00CA4AC8"/>
    <w:rsid w:val="00CA5259"/>
    <w:rsid w:val="00CB6491"/>
    <w:rsid w:val="00CB78E9"/>
    <w:rsid w:val="00CC1CA8"/>
    <w:rsid w:val="00CC76C2"/>
    <w:rsid w:val="00CC79A1"/>
    <w:rsid w:val="00CD0CC6"/>
    <w:rsid w:val="00CD1A12"/>
    <w:rsid w:val="00CE3E56"/>
    <w:rsid w:val="00CF0797"/>
    <w:rsid w:val="00CF0EB0"/>
    <w:rsid w:val="00CF1807"/>
    <w:rsid w:val="00CF6FC8"/>
    <w:rsid w:val="00D23E3C"/>
    <w:rsid w:val="00D34AF8"/>
    <w:rsid w:val="00D46AFC"/>
    <w:rsid w:val="00D46B4F"/>
    <w:rsid w:val="00D60621"/>
    <w:rsid w:val="00D63381"/>
    <w:rsid w:val="00D7358D"/>
    <w:rsid w:val="00D76AA5"/>
    <w:rsid w:val="00D812FE"/>
    <w:rsid w:val="00D82838"/>
    <w:rsid w:val="00D863A7"/>
    <w:rsid w:val="00D92A51"/>
    <w:rsid w:val="00D95AC3"/>
    <w:rsid w:val="00DA1FBA"/>
    <w:rsid w:val="00DB1DEA"/>
    <w:rsid w:val="00DB5DAA"/>
    <w:rsid w:val="00DB650A"/>
    <w:rsid w:val="00DC51E7"/>
    <w:rsid w:val="00DD4EE7"/>
    <w:rsid w:val="00DD781D"/>
    <w:rsid w:val="00DE17F3"/>
    <w:rsid w:val="00DE43AE"/>
    <w:rsid w:val="00DE5A84"/>
    <w:rsid w:val="00DE70D2"/>
    <w:rsid w:val="00DE7FFE"/>
    <w:rsid w:val="00DF39E8"/>
    <w:rsid w:val="00DF7DE8"/>
    <w:rsid w:val="00E02C37"/>
    <w:rsid w:val="00E168E9"/>
    <w:rsid w:val="00E232BE"/>
    <w:rsid w:val="00E26C23"/>
    <w:rsid w:val="00E347FB"/>
    <w:rsid w:val="00E356D2"/>
    <w:rsid w:val="00E3600C"/>
    <w:rsid w:val="00E51C78"/>
    <w:rsid w:val="00E52732"/>
    <w:rsid w:val="00E56431"/>
    <w:rsid w:val="00E60A2D"/>
    <w:rsid w:val="00E66216"/>
    <w:rsid w:val="00E70F5B"/>
    <w:rsid w:val="00E713C9"/>
    <w:rsid w:val="00E72196"/>
    <w:rsid w:val="00E7676D"/>
    <w:rsid w:val="00E774D6"/>
    <w:rsid w:val="00E84FA8"/>
    <w:rsid w:val="00E86E6E"/>
    <w:rsid w:val="00EA5DF5"/>
    <w:rsid w:val="00EB63E2"/>
    <w:rsid w:val="00EC4491"/>
    <w:rsid w:val="00ED712C"/>
    <w:rsid w:val="00EE03DF"/>
    <w:rsid w:val="00EE37A0"/>
    <w:rsid w:val="00EF34B5"/>
    <w:rsid w:val="00EF69DC"/>
    <w:rsid w:val="00F00A0F"/>
    <w:rsid w:val="00F0157C"/>
    <w:rsid w:val="00F025AC"/>
    <w:rsid w:val="00F02A39"/>
    <w:rsid w:val="00F06533"/>
    <w:rsid w:val="00F109B1"/>
    <w:rsid w:val="00F12127"/>
    <w:rsid w:val="00F15E7E"/>
    <w:rsid w:val="00F24BA5"/>
    <w:rsid w:val="00F25D5A"/>
    <w:rsid w:val="00F2785D"/>
    <w:rsid w:val="00F33397"/>
    <w:rsid w:val="00F47BC3"/>
    <w:rsid w:val="00F572A2"/>
    <w:rsid w:val="00F61CF1"/>
    <w:rsid w:val="00F647BD"/>
    <w:rsid w:val="00F709E9"/>
    <w:rsid w:val="00F72A74"/>
    <w:rsid w:val="00F807AE"/>
    <w:rsid w:val="00F84D3E"/>
    <w:rsid w:val="00F8670F"/>
    <w:rsid w:val="00FA1DA6"/>
    <w:rsid w:val="00FA21E8"/>
    <w:rsid w:val="00FA3460"/>
    <w:rsid w:val="00FB196E"/>
    <w:rsid w:val="00FB4D08"/>
    <w:rsid w:val="00FB6B9B"/>
    <w:rsid w:val="00FC23BD"/>
    <w:rsid w:val="00FD02A3"/>
    <w:rsid w:val="00FD197C"/>
    <w:rsid w:val="00FE2F93"/>
    <w:rsid w:val="00FE3F45"/>
    <w:rsid w:val="00FE7044"/>
    <w:rsid w:val="00FE769E"/>
    <w:rsid w:val="00FF60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7EB6"/>
  <w15:chartTrackingRefBased/>
  <w15:docId w15:val="{D1BE1CA0-7C51-0241-879D-603792CA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C5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710E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710E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710E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710E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71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0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0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0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0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0ED"/>
    <w:rPr>
      <w:rFonts w:eastAsiaTheme="majorEastAsia" w:cstheme="majorBidi"/>
      <w:color w:val="272727" w:themeColor="text1" w:themeTint="D8"/>
    </w:rPr>
  </w:style>
  <w:style w:type="paragraph" w:styleId="Title">
    <w:name w:val="Title"/>
    <w:basedOn w:val="Normal"/>
    <w:next w:val="Normal"/>
    <w:link w:val="TitleChar"/>
    <w:uiPriority w:val="10"/>
    <w:qFormat/>
    <w:rsid w:val="008710E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7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0ED"/>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7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0ED"/>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710ED"/>
    <w:rPr>
      <w:i/>
      <w:iCs/>
      <w:color w:val="404040" w:themeColor="text1" w:themeTint="BF"/>
    </w:rPr>
  </w:style>
  <w:style w:type="paragraph" w:styleId="ListParagraph">
    <w:name w:val="List Paragraph"/>
    <w:basedOn w:val="Normal"/>
    <w:uiPriority w:val="34"/>
    <w:qFormat/>
    <w:rsid w:val="008710E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710ED"/>
    <w:rPr>
      <w:i/>
      <w:iCs/>
      <w:color w:val="0F4761" w:themeColor="accent1" w:themeShade="BF"/>
    </w:rPr>
  </w:style>
  <w:style w:type="paragraph" w:styleId="IntenseQuote">
    <w:name w:val="Intense Quote"/>
    <w:basedOn w:val="Normal"/>
    <w:next w:val="Normal"/>
    <w:link w:val="IntenseQuoteChar"/>
    <w:uiPriority w:val="30"/>
    <w:qFormat/>
    <w:rsid w:val="008710E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710ED"/>
    <w:rPr>
      <w:i/>
      <w:iCs/>
      <w:color w:val="0F4761" w:themeColor="accent1" w:themeShade="BF"/>
    </w:rPr>
  </w:style>
  <w:style w:type="character" w:styleId="IntenseReference">
    <w:name w:val="Intense Reference"/>
    <w:basedOn w:val="DefaultParagraphFont"/>
    <w:uiPriority w:val="32"/>
    <w:qFormat/>
    <w:rsid w:val="008710ED"/>
    <w:rPr>
      <w:b/>
      <w:bCs/>
      <w:smallCaps/>
      <w:color w:val="0F4761" w:themeColor="accent1" w:themeShade="BF"/>
      <w:spacing w:val="5"/>
    </w:rPr>
  </w:style>
  <w:style w:type="character" w:styleId="Hyperlink">
    <w:name w:val="Hyperlink"/>
    <w:basedOn w:val="DefaultParagraphFont"/>
    <w:uiPriority w:val="99"/>
    <w:unhideWhenUsed/>
    <w:rsid w:val="008710ED"/>
    <w:rPr>
      <w:color w:val="467886" w:themeColor="hyperlink"/>
      <w:u w:val="single"/>
    </w:rPr>
  </w:style>
  <w:style w:type="character" w:styleId="UnresolvedMention">
    <w:name w:val="Unresolved Mention"/>
    <w:basedOn w:val="DefaultParagraphFont"/>
    <w:uiPriority w:val="99"/>
    <w:semiHidden/>
    <w:unhideWhenUsed/>
    <w:rsid w:val="008710ED"/>
    <w:rPr>
      <w:color w:val="605E5C"/>
      <w:shd w:val="clear" w:color="auto" w:fill="E1DFDD"/>
    </w:rPr>
  </w:style>
  <w:style w:type="paragraph" w:styleId="NormalWeb">
    <w:name w:val="Normal (Web)"/>
    <w:basedOn w:val="Normal"/>
    <w:uiPriority w:val="99"/>
    <w:semiHidden/>
    <w:unhideWhenUsed/>
    <w:rsid w:val="001909DE"/>
    <w:pPr>
      <w:spacing w:before="100" w:beforeAutospacing="1" w:after="100" w:afterAutospacing="1"/>
    </w:pPr>
  </w:style>
  <w:style w:type="paragraph" w:styleId="NoSpacing">
    <w:name w:val="No Spacing"/>
    <w:uiPriority w:val="1"/>
    <w:qFormat/>
    <w:rsid w:val="004A6266"/>
  </w:style>
  <w:style w:type="paragraph" w:styleId="Revision">
    <w:name w:val="Revision"/>
    <w:hidden/>
    <w:uiPriority w:val="99"/>
    <w:semiHidden/>
    <w:rsid w:val="00681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abiansturman/HPVScreeningProjec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A26C7-C92F-B04D-B63F-B518CE4FE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2678</Words>
  <Characters>15266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26</cp:revision>
  <dcterms:created xsi:type="dcterms:W3CDTF">2026-07-21T13:20:00Z</dcterms:created>
  <dcterms:modified xsi:type="dcterms:W3CDTF">2026-09-02T13:41:00Z</dcterms:modified>
  <cp:category/>
</cp:coreProperties>
</file>