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1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4"/>
        <w:gridCol w:w="3406"/>
        <w:gridCol w:w="4607"/>
      </w:tblGrid>
      <w:tr w:rsidR="00A30B1E" w:rsidRPr="007B2A93" w:rsidTr="00A30B1E">
        <w:trPr>
          <w:trHeight w:val="555"/>
        </w:trPr>
        <w:tc>
          <w:tcPr>
            <w:tcW w:w="5810" w:type="dxa"/>
            <w:gridSpan w:val="2"/>
          </w:tcPr>
          <w:p w:rsidR="00A30B1E" w:rsidRPr="007B2A93" w:rsidRDefault="00A30B1E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:rsidR="00A30B1E" w:rsidRPr="007B2A93" w:rsidRDefault="00A30B1E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  <w:tc>
          <w:tcPr>
            <w:tcW w:w="4607" w:type="dxa"/>
            <w:vMerge w:val="restart"/>
          </w:tcPr>
          <w:p w:rsidR="00A30B1E" w:rsidRDefault="00A30B1E" w:rsidP="007B2A93">
            <w:pPr>
              <w:spacing w:after="0" w:line="240" w:lineRule="auto"/>
            </w:pPr>
          </w:p>
          <w:p w:rsidR="00A30B1E" w:rsidRDefault="00A30B1E" w:rsidP="007B2A93">
            <w:pPr>
              <w:spacing w:after="0" w:line="240" w:lineRule="auto"/>
              <w:rPr>
                <w:noProof/>
                <w:lang w:eastAsia="fr-FR"/>
              </w:rPr>
            </w:pPr>
          </w:p>
          <w:p w:rsidR="00A30B1E" w:rsidRPr="007B2A93" w:rsidRDefault="00A30B1E" w:rsidP="008D405C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6EFDE4" wp14:editId="380EF65C">
                  <wp:extent cx="942975" cy="942975"/>
                  <wp:effectExtent l="0" t="0" r="9525" b="9525"/>
                  <wp:docPr id="1" name="Image 1" descr="NS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S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B1E" w:rsidRPr="007B2A93" w:rsidTr="00A30B1E">
        <w:trPr>
          <w:trHeight w:val="555"/>
        </w:trPr>
        <w:tc>
          <w:tcPr>
            <w:tcW w:w="2404" w:type="dxa"/>
          </w:tcPr>
          <w:p w:rsidR="00A30B1E" w:rsidRPr="007B2A93" w:rsidRDefault="00A30B1E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3406" w:type="dxa"/>
          </w:tcPr>
          <w:p w:rsidR="00A30B1E" w:rsidRPr="007B2A93" w:rsidRDefault="00A30B1E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  <w:tc>
          <w:tcPr>
            <w:tcW w:w="4607" w:type="dxa"/>
            <w:vMerge/>
          </w:tcPr>
          <w:p w:rsidR="00A30B1E" w:rsidRPr="007B2A93" w:rsidRDefault="00A30B1E" w:rsidP="00F13D3D">
            <w:pPr>
              <w:pStyle w:val="Default"/>
            </w:pPr>
          </w:p>
        </w:tc>
      </w:tr>
      <w:tr w:rsidR="00A30B1E" w:rsidRPr="007B2A93" w:rsidTr="00A30B1E">
        <w:trPr>
          <w:trHeight w:val="555"/>
        </w:trPr>
        <w:tc>
          <w:tcPr>
            <w:tcW w:w="2404" w:type="dxa"/>
          </w:tcPr>
          <w:p w:rsidR="00A30B1E" w:rsidRPr="007B2A93" w:rsidRDefault="00A30B1E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3406" w:type="dxa"/>
          </w:tcPr>
          <w:p w:rsidR="00A30B1E" w:rsidRPr="007B2A93" w:rsidRDefault="00A30B1E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>
              <w:rPr>
                <w:b/>
                <w:bCs/>
                <w:sz w:val="23"/>
                <w:szCs w:val="23"/>
              </w:rPr>
              <w:t>21/22</w:t>
            </w:r>
          </w:p>
        </w:tc>
        <w:tc>
          <w:tcPr>
            <w:tcW w:w="4607" w:type="dxa"/>
            <w:vMerge/>
          </w:tcPr>
          <w:p w:rsidR="00A30B1E" w:rsidRPr="007B2A93" w:rsidRDefault="00A30B1E" w:rsidP="00F13D3D">
            <w:pPr>
              <w:pStyle w:val="Default"/>
            </w:pPr>
          </w:p>
        </w:tc>
      </w:tr>
    </w:tbl>
    <w:p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>
        <w:tc>
          <w:tcPr>
            <w:tcW w:w="4679" w:type="dxa"/>
          </w:tcPr>
          <w:p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A30B1E">
              <w:t xml:space="preserve"> CHEVALIER Fabien</w:t>
            </w:r>
          </w:p>
        </w:tc>
        <w:tc>
          <w:tcPr>
            <w:tcW w:w="4961" w:type="dxa"/>
          </w:tcPr>
          <w:p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:rsidR="00233AE4" w:rsidRPr="00233AE4" w:rsidRDefault="00A30B1E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</w:tr>
    </w:tbl>
    <w:p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>
        <w:tc>
          <w:tcPr>
            <w:tcW w:w="2553" w:type="dxa"/>
          </w:tcPr>
          <w:p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:rsidR="00BF3702" w:rsidRPr="00233AE4" w:rsidRDefault="00A979E4" w:rsidP="00233AE4">
            <w:pPr>
              <w:pStyle w:val="Default"/>
              <w:rPr>
                <w:rFonts w:asciiTheme="minorHAnsi" w:hAnsiTheme="minorHAnsi"/>
              </w:rPr>
            </w:pPr>
            <w:r w:rsidRPr="00A979E4">
              <w:rPr>
                <w:rFonts w:asciiTheme="minorHAnsi" w:hAnsiTheme="minorHAnsi"/>
              </w:rPr>
              <w:t xml:space="preserve">Migration d'une VM cliente sur un nouvel </w:t>
            </w:r>
            <w:proofErr w:type="spellStart"/>
            <w:r w:rsidRPr="00A979E4">
              <w:rPr>
                <w:rFonts w:asciiTheme="minorHAnsi" w:hAnsiTheme="minorHAnsi"/>
              </w:rPr>
              <w:t>HyperViseur</w:t>
            </w:r>
            <w:proofErr w:type="spellEnd"/>
          </w:p>
        </w:tc>
      </w:tr>
      <w:tr w:rsidR="00BF3702" w:rsidRPr="007B2A93">
        <w:tc>
          <w:tcPr>
            <w:tcW w:w="2553" w:type="dxa"/>
          </w:tcPr>
          <w:p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:rsidR="00BF3702" w:rsidRPr="007B2A93" w:rsidRDefault="00A30B1E" w:rsidP="00D36C0D">
            <w:pPr>
              <w:spacing w:after="0" w:line="240" w:lineRule="auto"/>
            </w:pPr>
            <w:r>
              <w:t>Plan de migration des serveurs</w:t>
            </w:r>
          </w:p>
        </w:tc>
      </w:tr>
      <w:tr w:rsidR="00BF3702" w:rsidRPr="007B2A93">
        <w:tc>
          <w:tcPr>
            <w:tcW w:w="2553" w:type="dxa"/>
          </w:tcPr>
          <w:p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:rsidR="00BF3702" w:rsidRPr="007B2A93" w:rsidRDefault="00A30B1E" w:rsidP="007B2A93">
            <w:pPr>
              <w:spacing w:after="0" w:line="240" w:lineRule="auto"/>
            </w:pPr>
            <w:r>
              <w:t>Mi</w:t>
            </w:r>
            <w:r w:rsidR="00A979E4">
              <w:t>grer une machine virtuelle cliente sur une configuration plus récente</w:t>
            </w:r>
            <w:r w:rsidR="00BF31EF">
              <w:t xml:space="preserve"> afin d’en améliorer les performances</w:t>
            </w:r>
          </w:p>
        </w:tc>
      </w:tr>
      <w:tr w:rsidR="00BF3702" w:rsidRPr="007B2A93">
        <w:tc>
          <w:tcPr>
            <w:tcW w:w="2553" w:type="dxa"/>
          </w:tcPr>
          <w:p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:rsidR="00BF3702" w:rsidRPr="00A858B6" w:rsidRDefault="00A30B1E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Bureau NS2B</w:t>
            </w:r>
          </w:p>
        </w:tc>
      </w:tr>
    </w:tbl>
    <w:p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>
        <w:tc>
          <w:tcPr>
            <w:tcW w:w="10349" w:type="dxa"/>
          </w:tcPr>
          <w:p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>
        <w:tc>
          <w:tcPr>
            <w:tcW w:w="10349" w:type="dxa"/>
          </w:tcPr>
          <w:p w:rsidR="00BF3702" w:rsidRPr="007B2A93" w:rsidRDefault="00A979E4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 xml:space="preserve">Migrer une VM d’un </w:t>
            </w:r>
            <w:proofErr w:type="spellStart"/>
            <w:r>
              <w:t>HyperViseur</w:t>
            </w:r>
            <w:proofErr w:type="spellEnd"/>
            <w:r>
              <w:t xml:space="preserve"> à un autre</w:t>
            </w:r>
          </w:p>
        </w:tc>
      </w:tr>
    </w:tbl>
    <w:p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>
        <w:tc>
          <w:tcPr>
            <w:tcW w:w="10349" w:type="dxa"/>
            <w:gridSpan w:val="2"/>
          </w:tcPr>
          <w:p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7B2A93">
        <w:tc>
          <w:tcPr>
            <w:tcW w:w="2553" w:type="dxa"/>
          </w:tcPr>
          <w:p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:rsidR="00BF3702" w:rsidRPr="007B2A93" w:rsidRDefault="00A30B1E" w:rsidP="00AF45C4">
            <w:pPr>
              <w:spacing w:after="0" w:line="240" w:lineRule="auto"/>
            </w:pPr>
            <w:r>
              <w:t xml:space="preserve">VM cliente en production sur </w:t>
            </w:r>
            <w:r w:rsidR="00A979E4">
              <w:t xml:space="preserve">l’ancien </w:t>
            </w:r>
            <w:proofErr w:type="spellStart"/>
            <w:r w:rsidR="00A979E4">
              <w:t>HyperViseur</w:t>
            </w:r>
            <w:proofErr w:type="spellEnd"/>
          </w:p>
        </w:tc>
      </w:tr>
      <w:tr w:rsidR="00BF3702" w:rsidRPr="007B2A93">
        <w:tc>
          <w:tcPr>
            <w:tcW w:w="2553" w:type="dxa"/>
          </w:tcPr>
          <w:p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:rsidR="00BF3702" w:rsidRPr="007B2A93" w:rsidRDefault="00A979E4" w:rsidP="007B2A93">
            <w:pPr>
              <w:spacing w:after="0" w:line="240" w:lineRule="auto"/>
            </w:pPr>
            <w:r>
              <w:t xml:space="preserve">VM cliente en production sur le nouvel </w:t>
            </w:r>
            <w:proofErr w:type="spellStart"/>
            <w:r>
              <w:t>HyperViseur</w:t>
            </w:r>
            <w:proofErr w:type="spellEnd"/>
          </w:p>
        </w:tc>
      </w:tr>
      <w:tr w:rsidR="00BF3702" w:rsidRPr="007B2A93">
        <w:tc>
          <w:tcPr>
            <w:tcW w:w="2553" w:type="dxa"/>
          </w:tcPr>
          <w:p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:rsidR="00BF3702" w:rsidRPr="007B2A93" w:rsidRDefault="00BF31EF" w:rsidP="007B2A93">
            <w:pPr>
              <w:spacing w:after="0" w:line="240" w:lineRule="auto"/>
            </w:pPr>
            <w:r>
              <w:t xml:space="preserve">Windows Server, </w:t>
            </w:r>
            <w:proofErr w:type="spellStart"/>
            <w:r>
              <w:t>HyperV</w:t>
            </w:r>
            <w:proofErr w:type="spellEnd"/>
            <w:r>
              <w:t xml:space="preserve">, </w:t>
            </w:r>
            <w:proofErr w:type="spellStart"/>
            <w:r>
              <w:t>OvhWebCloud</w:t>
            </w:r>
            <w:proofErr w:type="spellEnd"/>
          </w:p>
        </w:tc>
      </w:tr>
    </w:tbl>
    <w:p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:rsidTr="008D405C">
        <w:tc>
          <w:tcPr>
            <w:tcW w:w="10420" w:type="dxa"/>
            <w:gridSpan w:val="2"/>
          </w:tcPr>
          <w:p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:rsidTr="008D405C">
        <w:tc>
          <w:tcPr>
            <w:tcW w:w="2553" w:type="dxa"/>
          </w:tcPr>
          <w:p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:rsidR="00BF3702" w:rsidRPr="007B2A93" w:rsidRDefault="00BF31EF" w:rsidP="007B2A93">
            <w:pPr>
              <w:spacing w:after="0" w:line="240" w:lineRule="auto"/>
            </w:pPr>
            <w:r>
              <w:t>Serveur OVH distant connecté via RDP</w:t>
            </w:r>
          </w:p>
        </w:tc>
      </w:tr>
      <w:tr w:rsidR="00BF3702" w:rsidRPr="007B2A93" w:rsidTr="008D405C">
        <w:tc>
          <w:tcPr>
            <w:tcW w:w="2553" w:type="dxa"/>
          </w:tcPr>
          <w:p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:rsidR="00BF3702" w:rsidRPr="007B2A93" w:rsidRDefault="00BF31EF" w:rsidP="007B2A93">
            <w:pPr>
              <w:spacing w:after="0" w:line="240" w:lineRule="auto"/>
            </w:pPr>
            <w:r>
              <w:t xml:space="preserve">Windows Server et </w:t>
            </w:r>
            <w:proofErr w:type="spellStart"/>
            <w:r>
              <w:t>HyperV</w:t>
            </w:r>
            <w:proofErr w:type="spellEnd"/>
          </w:p>
        </w:tc>
      </w:tr>
      <w:tr w:rsidR="00BF3702" w:rsidRPr="007B2A93" w:rsidTr="008D405C">
        <w:tc>
          <w:tcPr>
            <w:tcW w:w="2553" w:type="dxa"/>
          </w:tcPr>
          <w:p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:rsidR="00BF3702" w:rsidRPr="007B2A93" w:rsidRDefault="00BF31EF" w:rsidP="007B2A93">
            <w:pPr>
              <w:spacing w:after="0" w:line="240" w:lineRule="auto"/>
            </w:pPr>
            <w:r>
              <w:t>1h</w:t>
            </w:r>
          </w:p>
        </w:tc>
      </w:tr>
      <w:tr w:rsidR="00BF3702" w:rsidRPr="007B2A93" w:rsidTr="008D405C">
        <w:tc>
          <w:tcPr>
            <w:tcW w:w="2553" w:type="dxa"/>
          </w:tcPr>
          <w:p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:rsidR="00BF3702" w:rsidRPr="007B2A93" w:rsidRDefault="00BF31EF" w:rsidP="007B2A93">
            <w:pPr>
              <w:spacing w:after="0" w:line="240" w:lineRule="auto"/>
            </w:pPr>
            <w:r>
              <w:t>La machine client migrée doit être mise en place le plus rapidement possible pour éviter d’occasionner trop de « </w:t>
            </w:r>
            <w:proofErr w:type="spellStart"/>
            <w:r>
              <w:t>downtime</w:t>
            </w:r>
            <w:proofErr w:type="spellEnd"/>
            <w:r>
              <w:t> » pour le client.</w:t>
            </w:r>
          </w:p>
        </w:tc>
      </w:tr>
    </w:tbl>
    <w:p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:rsidTr="008D405C">
        <w:tc>
          <w:tcPr>
            <w:tcW w:w="10420" w:type="dxa"/>
            <w:gridSpan w:val="2"/>
          </w:tcPr>
          <w:p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:rsidTr="00D934E9">
        <w:tc>
          <w:tcPr>
            <w:tcW w:w="2553" w:type="dxa"/>
          </w:tcPr>
          <w:p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:rsidR="007073DC" w:rsidRPr="007B2A93" w:rsidRDefault="007073DC" w:rsidP="00D934E9">
            <w:pPr>
              <w:spacing w:after="0" w:line="240" w:lineRule="auto"/>
            </w:pPr>
          </w:p>
        </w:tc>
      </w:tr>
      <w:tr w:rsidR="00BF3702" w:rsidRPr="007B2A93" w:rsidTr="008D405C">
        <w:tc>
          <w:tcPr>
            <w:tcW w:w="2553" w:type="dxa"/>
          </w:tcPr>
          <w:p w:rsidR="00BF3702" w:rsidRPr="007B2A93" w:rsidRDefault="00BF31EF" w:rsidP="0059697F">
            <w:pPr>
              <w:spacing w:after="0" w:line="240" w:lineRule="auto"/>
            </w:pPr>
            <w:r w:rsidRPr="00BF31EF">
              <w:t>Gérer le patrimoine informatique</w:t>
            </w:r>
          </w:p>
        </w:tc>
        <w:tc>
          <w:tcPr>
            <w:tcW w:w="7867" w:type="dxa"/>
          </w:tcPr>
          <w:p w:rsidR="00A858B6" w:rsidRDefault="00BF31EF" w:rsidP="007073DC">
            <w:pPr>
              <w:spacing w:after="0" w:line="240" w:lineRule="auto"/>
            </w:pPr>
            <w:r w:rsidRPr="00BF31EF">
              <w:rPr>
                <w:rFonts w:ascii="Arial Unicode MS" w:eastAsia="Arial Unicode MS" w:hAnsi="Arial Unicode MS" w:cs="Arial Unicode MS" w:hint="eastAsia"/>
              </w:rPr>
              <w:t>▸</w:t>
            </w:r>
            <w:r w:rsidRPr="00BF31EF">
              <w:t>Exploiter des référentiels, normes et standards adoptés par le prestataire informatique</w:t>
            </w:r>
          </w:p>
          <w:p w:rsidR="00BF31EF" w:rsidRDefault="00BF31EF" w:rsidP="007073DC">
            <w:pPr>
              <w:spacing w:after="0" w:line="240" w:lineRule="auto"/>
            </w:pPr>
            <w:r w:rsidRPr="00BF31EF">
              <w:rPr>
                <w:rFonts w:ascii="Arial Unicode MS" w:eastAsia="Arial Unicode MS" w:hAnsi="Arial Unicode MS" w:cs="Arial Unicode MS" w:hint="eastAsia"/>
              </w:rPr>
              <w:t>▸</w:t>
            </w:r>
            <w:r w:rsidRPr="00BF31EF">
              <w:t>Vérifier les conditions de la continuité d’un service informatique</w:t>
            </w:r>
          </w:p>
          <w:p w:rsidR="00BF31EF" w:rsidRPr="007B2A93" w:rsidRDefault="00BF31EF" w:rsidP="007073DC">
            <w:pPr>
              <w:spacing w:after="0" w:line="240" w:lineRule="auto"/>
            </w:pPr>
            <w:r w:rsidRPr="00BF31EF">
              <w:rPr>
                <w:rFonts w:ascii="Arial Unicode MS" w:eastAsia="Arial Unicode MS" w:hAnsi="Arial Unicode MS" w:cs="Arial Unicode MS" w:hint="eastAsia"/>
              </w:rPr>
              <w:t>▸</w:t>
            </w:r>
            <w:r w:rsidRPr="00BF31EF">
              <w:t>Gérer des sauvegardes</w:t>
            </w:r>
          </w:p>
        </w:tc>
      </w:tr>
      <w:tr w:rsidR="00BF31EF" w:rsidRPr="007B2A93" w:rsidTr="008D405C">
        <w:tc>
          <w:tcPr>
            <w:tcW w:w="2553" w:type="dxa"/>
          </w:tcPr>
          <w:p w:rsidR="00BF31EF" w:rsidRPr="00BF31EF" w:rsidRDefault="00BF31EF" w:rsidP="0059697F">
            <w:pPr>
              <w:spacing w:after="0" w:line="240" w:lineRule="auto"/>
            </w:pPr>
            <w:r w:rsidRPr="00BF31EF">
              <w:t>Répondre aux incidents et aux demandes d’assistance et d’évolution</w:t>
            </w:r>
          </w:p>
        </w:tc>
        <w:tc>
          <w:tcPr>
            <w:tcW w:w="7867" w:type="dxa"/>
          </w:tcPr>
          <w:p w:rsidR="00BF31EF" w:rsidRPr="00BF31EF" w:rsidRDefault="00BF31EF" w:rsidP="00BF31E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BF31EF">
              <w:rPr>
                <w:rFonts w:ascii="Arial Unicode MS" w:eastAsia="Arial Unicode MS" w:hAnsi="Arial Unicode MS" w:cs="Arial Unicode MS"/>
              </w:rPr>
              <w:t>▸Traiter des demandes concernant les services réseau et système, applicatifs</w:t>
            </w:r>
          </w:p>
          <w:p w:rsidR="00BF31EF" w:rsidRPr="00BF31EF" w:rsidRDefault="00BF31EF" w:rsidP="00BF31EF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</w:rPr>
            </w:pPr>
            <w:r w:rsidRPr="00BF31EF">
              <w:rPr>
                <w:rFonts w:ascii="Arial Unicode MS" w:eastAsia="Arial Unicode MS" w:hAnsi="Arial Unicode MS" w:cs="Arial Unicode MS"/>
              </w:rPr>
              <w:t>▸Traiter des demandes concernant les applications</w:t>
            </w:r>
          </w:p>
        </w:tc>
      </w:tr>
      <w:tr w:rsidR="00BF31EF" w:rsidRPr="007B2A93" w:rsidTr="008D405C">
        <w:tc>
          <w:tcPr>
            <w:tcW w:w="2553" w:type="dxa"/>
          </w:tcPr>
          <w:p w:rsidR="00BF31EF" w:rsidRPr="00BF31EF" w:rsidRDefault="00BF31EF" w:rsidP="0059697F">
            <w:pPr>
              <w:spacing w:after="0" w:line="240" w:lineRule="auto"/>
            </w:pPr>
            <w:r>
              <w:t>Mettre à disposition des utilisateurs un service informatique</w:t>
            </w:r>
          </w:p>
        </w:tc>
        <w:tc>
          <w:tcPr>
            <w:tcW w:w="7867" w:type="dxa"/>
          </w:tcPr>
          <w:p w:rsidR="00BF31EF" w:rsidRPr="00BF31EF" w:rsidRDefault="00BF31EF" w:rsidP="00BF31E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BF31EF">
              <w:rPr>
                <w:rFonts w:ascii="Arial Unicode MS" w:eastAsia="Arial Unicode MS" w:hAnsi="Arial Unicode MS" w:cs="Arial Unicode MS"/>
              </w:rPr>
              <w:t>▸Réaliser les tests d’intégration et d’acceptation d’un service</w:t>
            </w:r>
          </w:p>
          <w:p w:rsidR="00BF31EF" w:rsidRPr="00BF31EF" w:rsidRDefault="00BF31EF" w:rsidP="00BF31E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BF31EF">
              <w:rPr>
                <w:rFonts w:ascii="Arial Unicode MS" w:eastAsia="Arial Unicode MS" w:hAnsi="Arial Unicode MS" w:cs="Arial Unicode MS"/>
              </w:rPr>
              <w:t>▸Déployer un service</w:t>
            </w:r>
          </w:p>
        </w:tc>
      </w:tr>
      <w:tr w:rsidR="00BF3702" w:rsidRPr="007B2A93" w:rsidTr="008D405C">
        <w:tc>
          <w:tcPr>
            <w:tcW w:w="10420" w:type="dxa"/>
            <w:gridSpan w:val="2"/>
          </w:tcPr>
          <w:p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7B2A93" w:rsidTr="008D405C">
        <w:tc>
          <w:tcPr>
            <w:tcW w:w="10420" w:type="dxa"/>
            <w:gridSpan w:val="2"/>
          </w:tcPr>
          <w:p w:rsidR="00F37D25" w:rsidRDefault="00F37D25" w:rsidP="00F37D25">
            <w:pPr>
              <w:spacing w:after="0" w:line="240" w:lineRule="auto"/>
            </w:pPr>
            <w:bookmarkStart w:id="0" w:name="creationcsv"/>
            <w:bookmarkEnd w:id="0"/>
          </w:p>
          <w:p w:rsidR="00F37D25" w:rsidRDefault="00BF31EF" w:rsidP="00BF31EF">
            <w:pPr>
              <w:spacing w:after="0" w:line="240" w:lineRule="auto"/>
              <w:rPr>
                <w:b/>
              </w:rPr>
            </w:pPr>
            <w:r w:rsidRPr="00BF31EF">
              <w:rPr>
                <w:b/>
              </w:rPr>
              <w:t>I/ Préparation</w:t>
            </w:r>
          </w:p>
          <w:p w:rsidR="00BF31EF" w:rsidRDefault="00A35956" w:rsidP="00BF31EF">
            <w:pPr>
              <w:spacing w:after="0" w:line="240" w:lineRule="auto"/>
            </w:pPr>
            <w:r>
              <w:lastRenderedPageBreak/>
              <w:t>Avant toute chose, on vérifie qu’aucun utilisateur ne soit connecté au serveur :</w:t>
            </w:r>
          </w:p>
          <w:p w:rsidR="00A35956" w:rsidRDefault="00A35956" w:rsidP="00BF31EF">
            <w:pPr>
              <w:spacing w:after="0" w:line="240" w:lineRule="auto"/>
            </w:pPr>
          </w:p>
          <w:p w:rsidR="00A35956" w:rsidRPr="00A35956" w:rsidRDefault="00A35956" w:rsidP="00BF31E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7EA02405" wp14:editId="07BB8EB4">
                  <wp:extent cx="5743575" cy="5153025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7D25" w:rsidRPr="007B2A93" w:rsidRDefault="00F37D25" w:rsidP="00F37D25">
            <w:pPr>
              <w:spacing w:after="0" w:line="240" w:lineRule="auto"/>
            </w:pPr>
          </w:p>
          <w:p w:rsidR="00BF3702" w:rsidRDefault="00A35956" w:rsidP="007B2A93">
            <w:pPr>
              <w:spacing w:after="0" w:line="240" w:lineRule="auto"/>
            </w:pPr>
            <w:r>
              <w:t>Puis on l’éteint :</w:t>
            </w:r>
          </w:p>
          <w:p w:rsidR="00A35956" w:rsidRDefault="00A35956" w:rsidP="007B2A9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3B28889" wp14:editId="6787FB0B">
                  <wp:extent cx="2657475" cy="1496799"/>
                  <wp:effectExtent l="0" t="0" r="0" b="825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574" cy="1500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5956" w:rsidRDefault="00A35956" w:rsidP="007B2A93">
            <w:pPr>
              <w:spacing w:after="0" w:line="240" w:lineRule="auto"/>
            </w:pPr>
          </w:p>
          <w:p w:rsidR="00A35956" w:rsidRDefault="00A35956" w:rsidP="007B2A93">
            <w:pPr>
              <w:spacing w:after="0" w:line="240" w:lineRule="auto"/>
            </w:pPr>
            <w:r>
              <w:object w:dxaOrig="7965" w:dyaOrig="3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1pt;height:144.75pt" o:ole="">
                  <v:imagedata r:id="rId10" o:title=""/>
                </v:shape>
                <o:OLEObject Type="Embed" ProgID="PBrush" ShapeID="_x0000_i1025" DrawAspect="Content" ObjectID="_1704031220" r:id="rId11"/>
              </w:object>
            </w:r>
          </w:p>
          <w:p w:rsidR="00A35956" w:rsidRDefault="00A35956" w:rsidP="007B2A93">
            <w:pPr>
              <w:spacing w:after="0" w:line="240" w:lineRule="auto"/>
            </w:pPr>
            <w:r>
              <w:lastRenderedPageBreak/>
              <w:t>Sur l’</w:t>
            </w:r>
            <w:proofErr w:type="spellStart"/>
            <w:r>
              <w:t>HyperV</w:t>
            </w:r>
            <w:proofErr w:type="spellEnd"/>
            <w:r>
              <w:t>, on éteint le pare-feu attribué au client.</w:t>
            </w:r>
          </w:p>
          <w:p w:rsidR="00A35956" w:rsidRDefault="00A35956" w:rsidP="007B2A93">
            <w:pPr>
              <w:spacing w:after="0" w:line="240" w:lineRule="auto"/>
            </w:pPr>
          </w:p>
          <w:p w:rsidR="00A35956" w:rsidRDefault="00A35956" w:rsidP="007B2A93">
            <w:pPr>
              <w:spacing w:after="0" w:line="240" w:lineRule="auto"/>
              <w:rPr>
                <w:b/>
              </w:rPr>
            </w:pPr>
            <w:r w:rsidRPr="00A35956">
              <w:rPr>
                <w:b/>
              </w:rPr>
              <w:t xml:space="preserve">II/ </w:t>
            </w:r>
            <w:r>
              <w:rPr>
                <w:b/>
              </w:rPr>
              <w:t>Migration</w:t>
            </w:r>
          </w:p>
          <w:p w:rsidR="00A35956" w:rsidRDefault="00A35956" w:rsidP="007B2A93">
            <w:pPr>
              <w:spacing w:after="0" w:line="240" w:lineRule="auto"/>
              <w:rPr>
                <w:b/>
              </w:rPr>
            </w:pPr>
          </w:p>
          <w:p w:rsidR="00A35956" w:rsidRDefault="00A35956" w:rsidP="007B2A93">
            <w:pPr>
              <w:spacing w:after="0" w:line="240" w:lineRule="auto"/>
            </w:pPr>
            <w:r>
              <w:t xml:space="preserve">Ensuite, on accède via l’adresse IP du nouveau serveur </w:t>
            </w:r>
            <w:proofErr w:type="spellStart"/>
            <w:r>
              <w:t>HyperV</w:t>
            </w:r>
            <w:proofErr w:type="spellEnd"/>
            <w:r>
              <w:t xml:space="preserve"> au dossier contenant les VM clients :</w:t>
            </w:r>
          </w:p>
          <w:p w:rsidR="00A35956" w:rsidRDefault="00A35956" w:rsidP="007B2A93">
            <w:pPr>
              <w:spacing w:after="0" w:line="240" w:lineRule="auto"/>
            </w:pPr>
            <w:r>
              <w:object w:dxaOrig="15180" w:dyaOrig="8040">
                <v:shape id="_x0000_i1028" type="#_x0000_t75" style="width:495.75pt;height:262.5pt" o:ole="">
                  <v:imagedata r:id="rId12" o:title=""/>
                </v:shape>
                <o:OLEObject Type="Embed" ProgID="PBrush" ShapeID="_x0000_i1028" DrawAspect="Content" ObjectID="_1704031221" r:id="rId13"/>
              </w:object>
            </w:r>
          </w:p>
          <w:p w:rsidR="008709F8" w:rsidRDefault="008709F8" w:rsidP="007B2A93">
            <w:pPr>
              <w:spacing w:after="0" w:line="240" w:lineRule="auto"/>
            </w:pPr>
          </w:p>
          <w:p w:rsidR="008709F8" w:rsidRDefault="008709F8" w:rsidP="007B2A93">
            <w:pPr>
              <w:spacing w:after="0" w:line="240" w:lineRule="auto"/>
            </w:pPr>
            <w:r>
              <w:t xml:space="preserve">Je vais ici créer le répertoire contenant la VM de notre client et y copier les données de l’ancien </w:t>
            </w:r>
            <w:proofErr w:type="spellStart"/>
            <w:r>
              <w:t>HyperV</w:t>
            </w:r>
            <w:proofErr w:type="spellEnd"/>
            <w:r>
              <w:t>.</w:t>
            </w:r>
          </w:p>
          <w:p w:rsidR="008709F8" w:rsidRDefault="008709F8" w:rsidP="007B2A93">
            <w:pPr>
              <w:spacing w:after="0" w:line="240" w:lineRule="auto"/>
            </w:pPr>
          </w:p>
          <w:p w:rsidR="008709F8" w:rsidRDefault="008709F8" w:rsidP="007B2A93">
            <w:pPr>
              <w:spacing w:after="0" w:line="240" w:lineRule="auto"/>
            </w:pPr>
            <w:r>
              <w:t>Repérer les chemins d’accès des disques dur de la machine virtuelle (ainsi que du pare-feu) :</w:t>
            </w:r>
          </w:p>
          <w:p w:rsidR="008709F8" w:rsidRDefault="008709F8" w:rsidP="007B2A93">
            <w:pPr>
              <w:spacing w:after="0" w:line="240" w:lineRule="auto"/>
            </w:pPr>
          </w:p>
          <w:p w:rsidR="008709F8" w:rsidRDefault="008709F8" w:rsidP="007B2A9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FF9520B" wp14:editId="2FA925A9">
                  <wp:extent cx="6057900" cy="885825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09F8" w:rsidRDefault="008709F8" w:rsidP="007B2A93">
            <w:pPr>
              <w:spacing w:after="0" w:line="240" w:lineRule="auto"/>
            </w:pPr>
          </w:p>
          <w:p w:rsidR="008709F8" w:rsidRDefault="008709F8" w:rsidP="007B2A93">
            <w:pPr>
              <w:spacing w:after="0" w:line="240" w:lineRule="auto"/>
            </w:pPr>
            <w:r>
              <w:t>Puis copier ceux-ci sur le nouveau serveur.</w:t>
            </w:r>
          </w:p>
          <w:p w:rsidR="008709F8" w:rsidRDefault="008709F8" w:rsidP="007B2A93">
            <w:pPr>
              <w:spacing w:after="0" w:line="240" w:lineRule="auto"/>
            </w:pPr>
          </w:p>
          <w:p w:rsidR="008709F8" w:rsidRDefault="008709F8" w:rsidP="007B2A9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749D32D" wp14:editId="38EEBC6A">
                  <wp:extent cx="3724275" cy="2207804"/>
                  <wp:effectExtent l="0" t="0" r="0" b="254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471" cy="221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09F8" w:rsidRPr="008709F8" w:rsidRDefault="008709F8" w:rsidP="008709F8">
            <w:pPr>
              <w:spacing w:after="0" w:line="240" w:lineRule="auto"/>
              <w:rPr>
                <w:b/>
              </w:rPr>
            </w:pPr>
            <w:r w:rsidRPr="008709F8">
              <w:rPr>
                <w:b/>
              </w:rPr>
              <w:t>III/ Configuration IP FAILOVER</w:t>
            </w:r>
          </w:p>
          <w:p w:rsidR="008709F8" w:rsidRDefault="008709F8" w:rsidP="008709F8">
            <w:pPr>
              <w:spacing w:after="0" w:line="240" w:lineRule="auto"/>
            </w:pPr>
          </w:p>
          <w:p w:rsidR="008709F8" w:rsidRDefault="008709F8" w:rsidP="008709F8">
            <w:pPr>
              <w:spacing w:after="0" w:line="240" w:lineRule="auto"/>
            </w:pPr>
            <w:r>
              <w:t xml:space="preserve">Actuellement, l’IP publique pointe toujours vers l’ancien </w:t>
            </w:r>
            <w:proofErr w:type="spellStart"/>
            <w:r>
              <w:t>HyperV</w:t>
            </w:r>
            <w:proofErr w:type="spellEnd"/>
            <w:r>
              <w:t>. Il faut donc la mettre à jour.</w:t>
            </w:r>
          </w:p>
          <w:p w:rsidR="008709F8" w:rsidRDefault="008709F8" w:rsidP="008709F8">
            <w:pPr>
              <w:spacing w:after="0" w:line="240" w:lineRule="auto"/>
            </w:pPr>
          </w:p>
          <w:p w:rsidR="008709F8" w:rsidRDefault="008709F8" w:rsidP="008709F8">
            <w:pPr>
              <w:spacing w:after="0" w:line="240" w:lineRule="auto"/>
            </w:pPr>
            <w:bookmarkStart w:id="1" w:name="_GoBack"/>
            <w:bookmarkEnd w:id="1"/>
          </w:p>
          <w:p w:rsidR="008709F8" w:rsidRPr="00A35956" w:rsidRDefault="008709F8" w:rsidP="008709F8">
            <w:pPr>
              <w:spacing w:after="0" w:line="240" w:lineRule="auto"/>
            </w:pPr>
          </w:p>
        </w:tc>
      </w:tr>
    </w:tbl>
    <w:p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:rsidTr="008D405C">
        <w:tc>
          <w:tcPr>
            <w:tcW w:w="10420" w:type="dxa"/>
          </w:tcPr>
          <w:p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:rsidTr="008D405C">
        <w:tc>
          <w:tcPr>
            <w:tcW w:w="10420" w:type="dxa"/>
          </w:tcPr>
          <w:p w:rsidR="00FD657E" w:rsidRPr="007B2A93" w:rsidRDefault="007073DC" w:rsidP="008D405C">
            <w:pPr>
              <w:spacing w:after="0" w:line="240" w:lineRule="auto"/>
            </w:pPr>
            <w:r>
              <w:t>Enseignements tirés de l’activité, problèmes rencontrés, démarches et solutions.</w:t>
            </w:r>
          </w:p>
        </w:tc>
      </w:tr>
    </w:tbl>
    <w:p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:rsidTr="008D405C">
        <w:tc>
          <w:tcPr>
            <w:tcW w:w="10420" w:type="dxa"/>
          </w:tcPr>
          <w:p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:rsidTr="008D405C">
        <w:tc>
          <w:tcPr>
            <w:tcW w:w="10420" w:type="dxa"/>
          </w:tcPr>
          <w:p w:rsidR="00AF0A26" w:rsidRPr="007B2A93" w:rsidRDefault="00AF0A26" w:rsidP="008D405C">
            <w:pPr>
              <w:spacing w:after="0" w:line="240" w:lineRule="auto"/>
            </w:pPr>
          </w:p>
        </w:tc>
      </w:tr>
    </w:tbl>
    <w:p w:rsidR="00BF3702" w:rsidRDefault="00BF3702" w:rsidP="007C05E6"/>
    <w:sectPr w:rsidR="00BF3702" w:rsidSect="007A7DA5">
      <w:footerReference w:type="default" r:id="rId16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053" w:rsidRDefault="00EA3053" w:rsidP="002E7E90">
      <w:pPr>
        <w:spacing w:after="0" w:line="240" w:lineRule="auto"/>
      </w:pPr>
      <w:r>
        <w:separator/>
      </w:r>
    </w:p>
  </w:endnote>
  <w:endnote w:type="continuationSeparator" w:id="0">
    <w:p w:rsidR="00EA3053" w:rsidRDefault="00EA3053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2663589"/>
      <w:docPartObj>
        <w:docPartGallery w:val="Page Numbers (Bottom of Page)"/>
        <w:docPartUnique/>
      </w:docPartObj>
    </w:sdtPr>
    <w:sdtEndPr/>
    <w:sdtContent>
      <w:p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053" w:rsidRDefault="00EA3053" w:rsidP="002E7E90">
      <w:pPr>
        <w:spacing w:after="0" w:line="240" w:lineRule="auto"/>
      </w:pPr>
      <w:r>
        <w:separator/>
      </w:r>
    </w:p>
  </w:footnote>
  <w:footnote w:type="continuationSeparator" w:id="0">
    <w:p w:rsidR="00EA3053" w:rsidRDefault="00EA3053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39DB"/>
    <w:rsid w:val="0003439F"/>
    <w:rsid w:val="00042A66"/>
    <w:rsid w:val="000B3EA0"/>
    <w:rsid w:val="000B61C2"/>
    <w:rsid w:val="000F7A58"/>
    <w:rsid w:val="00117B96"/>
    <w:rsid w:val="00122DAE"/>
    <w:rsid w:val="00123F78"/>
    <w:rsid w:val="00151E67"/>
    <w:rsid w:val="00172381"/>
    <w:rsid w:val="001F3627"/>
    <w:rsid w:val="00226426"/>
    <w:rsid w:val="00233AE4"/>
    <w:rsid w:val="002576EA"/>
    <w:rsid w:val="00273FB4"/>
    <w:rsid w:val="002A5769"/>
    <w:rsid w:val="002E7E90"/>
    <w:rsid w:val="00327C83"/>
    <w:rsid w:val="00361D47"/>
    <w:rsid w:val="003A3E47"/>
    <w:rsid w:val="003B2559"/>
    <w:rsid w:val="00436ACD"/>
    <w:rsid w:val="00487ED2"/>
    <w:rsid w:val="004B4064"/>
    <w:rsid w:val="005409B8"/>
    <w:rsid w:val="00573398"/>
    <w:rsid w:val="0059697F"/>
    <w:rsid w:val="006264B8"/>
    <w:rsid w:val="0064069C"/>
    <w:rsid w:val="00647401"/>
    <w:rsid w:val="00686323"/>
    <w:rsid w:val="006A3485"/>
    <w:rsid w:val="006D777A"/>
    <w:rsid w:val="006F7FB6"/>
    <w:rsid w:val="007073DC"/>
    <w:rsid w:val="00730414"/>
    <w:rsid w:val="0075414C"/>
    <w:rsid w:val="00764366"/>
    <w:rsid w:val="007920A0"/>
    <w:rsid w:val="007A7DA5"/>
    <w:rsid w:val="007B1C2B"/>
    <w:rsid w:val="007B2A93"/>
    <w:rsid w:val="007C05E6"/>
    <w:rsid w:val="00822641"/>
    <w:rsid w:val="00833C60"/>
    <w:rsid w:val="00840B4C"/>
    <w:rsid w:val="008709F8"/>
    <w:rsid w:val="008D405C"/>
    <w:rsid w:val="008E6939"/>
    <w:rsid w:val="00910C74"/>
    <w:rsid w:val="00912E9B"/>
    <w:rsid w:val="009A1186"/>
    <w:rsid w:val="009D1EEA"/>
    <w:rsid w:val="00A00B8B"/>
    <w:rsid w:val="00A30B1E"/>
    <w:rsid w:val="00A35956"/>
    <w:rsid w:val="00A37639"/>
    <w:rsid w:val="00A551B1"/>
    <w:rsid w:val="00A61258"/>
    <w:rsid w:val="00A838A5"/>
    <w:rsid w:val="00A858B6"/>
    <w:rsid w:val="00A979E4"/>
    <w:rsid w:val="00AC630E"/>
    <w:rsid w:val="00AE2453"/>
    <w:rsid w:val="00AF0A26"/>
    <w:rsid w:val="00AF2360"/>
    <w:rsid w:val="00AF45C4"/>
    <w:rsid w:val="00B111E4"/>
    <w:rsid w:val="00B17840"/>
    <w:rsid w:val="00B36F23"/>
    <w:rsid w:val="00B37570"/>
    <w:rsid w:val="00BF31EF"/>
    <w:rsid w:val="00BF3702"/>
    <w:rsid w:val="00C06BC4"/>
    <w:rsid w:val="00CA14D6"/>
    <w:rsid w:val="00CB06DA"/>
    <w:rsid w:val="00CB074A"/>
    <w:rsid w:val="00CB0A44"/>
    <w:rsid w:val="00D04812"/>
    <w:rsid w:val="00D36C0D"/>
    <w:rsid w:val="00DA21F7"/>
    <w:rsid w:val="00DC64AD"/>
    <w:rsid w:val="00E25A25"/>
    <w:rsid w:val="00E813F9"/>
    <w:rsid w:val="00EA3053"/>
    <w:rsid w:val="00F13D3D"/>
    <w:rsid w:val="00F37D25"/>
    <w:rsid w:val="00F50836"/>
    <w:rsid w:val="00F55E4B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EC0E93"/>
  <w15:docId w15:val="{607A517F-A0D7-44BE-9480-CF3B7D85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2</cp:revision>
  <cp:lastPrinted>2014-09-12T12:31:00Z</cp:lastPrinted>
  <dcterms:created xsi:type="dcterms:W3CDTF">2022-01-18T16:14:00Z</dcterms:created>
  <dcterms:modified xsi:type="dcterms:W3CDTF">2022-01-18T16:14:00Z</dcterms:modified>
</cp:coreProperties>
</file>