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200" w:after="200"/>
        <w:jc w:val="center"/>
      </w:pPr>
      <w:r>
        <w:rPr>
          <w:rFonts w:ascii="Arial" w:cs="Arial" w:eastAsia="Arial" w:hAnsi="Arial"/>
          <w:b/>
          <w:bCs/>
          <w:color w:val="1F4E79"/>
          <w:sz w:val="56"/>
          <w:szCs w:val="56"/>
        </w:rPr>
        <w:t xml:space="preserve">🛡 InfraGuard AI</w:t>
      </w:r>
    </w:p>
    <w:p>
      <w:pPr>
        <w:spacing w:before="100" w:after="100"/>
        <w:jc w:val="center"/>
      </w:pPr>
      <w:r>
        <w:rPr>
          <w:rFonts w:ascii="Arial" w:cs="Arial" w:eastAsia="Arial" w:hAnsi="Arial"/>
          <w:color w:val="2E75B6"/>
          <w:sz w:val="32"/>
          <w:szCs w:val="32"/>
        </w:rPr>
        <w:t xml:space="preserve">AI-Powered Digital Twin Platform for</w:t>
      </w:r>
    </w:p>
    <w:p>
      <w:pPr>
        <w:spacing w:before="100" w:after="400"/>
        <w:jc w:val="center"/>
      </w:pPr>
      <w:r>
        <w:rPr>
          <w:rFonts w:ascii="Arial" w:cs="Arial" w:eastAsia="Arial" w:hAnsi="Arial"/>
          <w:color w:val="2E75B6"/>
          <w:sz w:val="32"/>
          <w:szCs w:val="32"/>
        </w:rPr>
        <w:t xml:space="preserve">IT Infrastructure Failure Prediction</w:t>
      </w:r>
    </w:p>
    <w:p>
      <w:pPr>
        <w:spacing w:before="200" w:after="200"/>
        <w:jc w:val="center"/>
      </w:pPr>
      <w:r>
        <w:rPr>
          <w:rFonts w:ascii="Arial" w:cs="Arial" w:eastAsia="Arial" w:hAnsi="Arial"/>
          <w:color w:val="1F4E79"/>
          <w:sz w:val="24"/>
          <w:szCs w:val="24"/>
        </w:rPr>
        <w:t xml:space="preserve">─────────────────────────────────────────────────</w:t>
      </w:r>
    </w:p>
    <w:p>
      <w:pPr>
        <w:spacing w:before="200"/>
      </w:pPr>
      <w:r>
        <w:t xml:space="preserve"/>
      </w:r>
    </w:p>
    <w:p>
      <w:pPr>
        <w:spacing w:before="200" w:after="100"/>
        <w:jc w:val="center"/>
      </w:pPr>
      <w:r>
        <w:rPr>
          <w:rFonts w:ascii="Arial" w:cs="Arial" w:eastAsia="Arial" w:hAnsi="Arial"/>
          <w:b/>
          <w:bCs/>
          <w:color w:val="333333"/>
          <w:sz w:val="28"/>
          <w:szCs w:val="28"/>
        </w:rPr>
        <w:t xml:space="preserve">Final Year Project Report</w:t>
      </w:r>
    </w:p>
    <w:p>
      <w:pPr>
        <w:spacing w:before="100" w:after="100"/>
        <w:jc w:val="center"/>
      </w:pPr>
      <w:r>
        <w:rPr>
          <w:rFonts w:ascii="Arial" w:cs="Arial" w:eastAsia="Arial" w:hAnsi="Arial"/>
          <w:color w:val="555555"/>
          <w:sz w:val="26"/>
          <w:szCs w:val="26"/>
        </w:rPr>
        <w:t xml:space="preserve">Master of Computer Applications (MCA)</w:t>
      </w:r>
    </w:p>
    <w:p>
      <w:pPr>
        <w:spacing w:before="100" w:after="300"/>
        <w:jc w:val="center"/>
      </w:pPr>
      <w:r>
        <w:rPr>
          <w:rFonts w:ascii="Arial" w:cs="Arial" w:eastAsia="Arial" w:hAnsi="Arial"/>
          <w:i/>
          <w:iCs/>
          <w:color w:val="555555"/>
          <w:sz w:val="24"/>
          <w:szCs w:val="24"/>
        </w:rPr>
        <w:t xml:space="preserve">AI/ML Specialization</w:t>
      </w:r>
    </w:p>
    <w:p>
      <w:pPr>
        <w:spacing w:before="400"/>
      </w:pPr>
      <w:r>
        <w:t xml:space="preserve"/>
      </w:r>
    </w:p>
    <w:p>
      <w:pPr>
        <w:spacing w:before="100" w:after="100"/>
        <w:jc w:val="center"/>
      </w:pPr>
      <w:r>
        <w:rPr>
          <w:rFonts w:ascii="Arial" w:cs="Arial" w:eastAsia="Arial" w:hAnsi="Arial"/>
          <w:color w:val="888888"/>
          <w:sz w:val="22"/>
          <w:szCs w:val="22"/>
        </w:rPr>
        <w:t xml:space="preserve">Submitted by</w:t>
      </w:r>
    </w:p>
    <w:p>
      <w:pPr>
        <w:spacing w:before="100" w:after="200"/>
        <w:jc w:val="center"/>
      </w:pPr>
      <w:r>
        <w:rPr>
          <w:rFonts w:ascii="Arial" w:cs="Arial" w:eastAsia="Arial" w:hAnsi="Arial"/>
          <w:b/>
          <w:bCs/>
          <w:color w:val="1F4E79"/>
          <w:sz w:val="30"/>
          <w:szCs w:val="30"/>
        </w:rPr>
        <w:t xml:space="preserve">FABINAS NAZAR</w:t>
      </w:r>
    </w:p>
    <w:p>
      <w:pPr>
        <w:spacing w:before="300"/>
      </w:pPr>
      <w:r>
        <w:t xml:space="preserve"/>
      </w:r>
    </w:p>
    <w:p>
      <w:pPr>
        <w:spacing w:before="100" w:after="100"/>
        <w:jc w:val="center"/>
      </w:pPr>
      <w:r>
        <w:rPr>
          <w:rFonts w:ascii="Arial" w:cs="Arial" w:eastAsia="Arial" w:hAnsi="Arial"/>
          <w:b/>
          <w:bCs/>
          <w:color w:val="333333"/>
          <w:sz w:val="26"/>
          <w:szCs w:val="26"/>
        </w:rPr>
        <w:t xml:space="preserve">JAIN UNIVERSITY KOCHI</w:t>
      </w:r>
    </w:p>
    <w:p>
      <w:pPr>
        <w:spacing w:before="100" w:after="100"/>
        <w:jc w:val="center"/>
      </w:pPr>
      <w:r>
        <w:rPr>
          <w:rFonts w:ascii="Arial" w:cs="Arial" w:eastAsia="Arial" w:hAnsi="Arial"/>
          <w:color w:val="555555"/>
          <w:sz w:val="24"/>
          <w:szCs w:val="24"/>
        </w:rPr>
        <w:t xml:space="preserve">Department of Computer Science</w:t>
      </w:r>
    </w:p>
    <w:p>
      <w:pPr>
        <w:spacing w:before="100" w:after="100"/>
        <w:jc w:val="center"/>
      </w:pPr>
      <w:r>
        <w:rPr>
          <w:rFonts w:ascii="Arial" w:cs="Arial" w:eastAsia="Arial" w:hAnsi="Arial"/>
          <w:color w:val="555555"/>
          <w:sz w:val="24"/>
          <w:szCs w:val="24"/>
        </w:rPr>
        <w:t xml:space="preserve">March 2026</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Abstract</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InfraGuard AI is a six-tier enterprise-grade infrastructure monitoring platform that implements a Digital Twin of IT infrastructure using machine learning and real-time data collection. The system addresses a critical challenge in modern IT operations — predicting server failures before they occur rather than reacting after the fact.</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platform employs four complementary machine learning models: an Isolation Forest for unsupervised anomaly detection, a Random Forest classifier for failure probability estimation with explainable feature importance, an LSTM neural network for 30-minute time-series forecasting, and an Autoencoder neural network for deep pattern recognition. These four models are combined through a weighted prediction engine to produce a unified risk score for each monitored server.</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system monitors nine nodes simultaneously — one real PC using actual hardware metrics via the psutil library and eight simulated servers with realistic behaviour profiles. A Flask-based REST API backend serves data to a seven-page professional dashboard built with HTML5, CSS3 and JavaScript, featuring live updating charts, an animated Digital Twin network topology map, and an alert management center with four severity levels.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Key features include role-based access control with three user levels, automated PDF and CSV report generation, a simulation mode for demonstrating failure scenarios, and an alert engine with automatic deduplication and auto-resolution. The system collects metrics every three seconds and runs AI predictions every fifteen seconds, storing all data in a SQLite database with six normalized tables.</w:t>
      </w:r>
    </w:p>
    <w:p>
      <w:pPr>
        <w:spacing w:before="100"/>
      </w:pPr>
      <w:r>
        <w:t xml:space="preserve"/>
      </w:r>
    </w:p>
    <w:p>
      <w:pPr>
        <w:spacing w:before="100" w:after="100"/>
        <w:jc w:val="both"/>
      </w:pPr>
      <w:r>
        <w:rPr>
          <w:rFonts w:ascii="Arial" w:cs="Arial" w:eastAsia="Arial" w:hAnsi="Arial"/>
          <w:b w:val="false"/>
          <w:bCs w:val="false"/>
          <w:i/>
          <w:iCs/>
          <w:color w:val="333333"/>
          <w:sz w:val="24"/>
          <w:szCs w:val="24"/>
        </w:rPr>
        <w:t xml:space="preserve">Keywords: Digital Twin, Machine Learning, Infrastructure Monitoring, Anomaly Detection, LSTM, Isolation Forest, Random Forest, Autoencoder, Flask, Real-time Dashboard</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Table of Contents</w:t>
      </w:r>
    </w:p>
    <w:p>
      <w:pPr>
        <w:spacing w:before="100"/>
      </w:pPr>
      <w:r>
        <w:t xml:space="preserve"/>
      </w:r>
    </w:p>
    <w:p>
      <w:pPr>
        <w:tabs>
          <w:tab w:val="right" w:pos="8000"/>
        </w:tabs>
        <w:spacing w:before="80" w:after="80"/>
      </w:pPr>
      <w:r>
        <w:rPr>
          <w:rFonts w:ascii="Arial" w:cs="Arial" w:eastAsia="Arial" w:hAnsi="Arial"/>
          <w:color w:val="333333"/>
          <w:sz w:val="22"/>
          <w:szCs w:val="22"/>
        </w:rPr>
        <w:t xml:space="preserve">1. Introduction</w:t>
      </w:r>
      <w:r>
        <w:rPr>
          <w:rFonts w:ascii="Arial" w:cs="Arial" w:eastAsia="Arial" w:hAnsi="Arial"/>
          <w:color w:val="888888"/>
          <w:sz w:val="22"/>
          <w:szCs w:val="22"/>
        </w:rPr>
        <w:t xml:space="preserve">	4</w:t>
      </w:r>
    </w:p>
    <w:p>
      <w:pPr>
        <w:tabs>
          <w:tab w:val="right" w:pos="8000"/>
        </w:tabs>
        <w:spacing w:before="80" w:after="80"/>
      </w:pPr>
      <w:r>
        <w:rPr>
          <w:rFonts w:ascii="Arial" w:cs="Arial" w:eastAsia="Arial" w:hAnsi="Arial"/>
          <w:color w:val="333333"/>
          <w:sz w:val="22"/>
          <w:szCs w:val="22"/>
        </w:rPr>
        <w:t xml:space="preserve">   1.1 Background and Motivation</w:t>
      </w:r>
      <w:r>
        <w:rPr>
          <w:rFonts w:ascii="Arial" w:cs="Arial" w:eastAsia="Arial" w:hAnsi="Arial"/>
          <w:color w:val="888888"/>
          <w:sz w:val="22"/>
          <w:szCs w:val="22"/>
        </w:rPr>
        <w:t xml:space="preserve">	4</w:t>
      </w:r>
    </w:p>
    <w:p>
      <w:pPr>
        <w:tabs>
          <w:tab w:val="right" w:pos="8000"/>
        </w:tabs>
        <w:spacing w:before="80" w:after="80"/>
      </w:pPr>
      <w:r>
        <w:rPr>
          <w:rFonts w:ascii="Arial" w:cs="Arial" w:eastAsia="Arial" w:hAnsi="Arial"/>
          <w:color w:val="333333"/>
          <w:sz w:val="22"/>
          <w:szCs w:val="22"/>
        </w:rPr>
        <w:t xml:space="preserve">   1.2 Problem Statement</w:t>
      </w:r>
      <w:r>
        <w:rPr>
          <w:rFonts w:ascii="Arial" w:cs="Arial" w:eastAsia="Arial" w:hAnsi="Arial"/>
          <w:color w:val="888888"/>
          <w:sz w:val="22"/>
          <w:szCs w:val="22"/>
        </w:rPr>
        <w:t xml:space="preserve">	4</w:t>
      </w:r>
    </w:p>
    <w:p>
      <w:pPr>
        <w:tabs>
          <w:tab w:val="right" w:pos="8000"/>
        </w:tabs>
        <w:spacing w:before="80" w:after="80"/>
      </w:pPr>
      <w:r>
        <w:rPr>
          <w:rFonts w:ascii="Arial" w:cs="Arial" w:eastAsia="Arial" w:hAnsi="Arial"/>
          <w:color w:val="333333"/>
          <w:sz w:val="22"/>
          <w:szCs w:val="22"/>
        </w:rPr>
        <w:t xml:space="preserve">   1.3 Objectives</w:t>
      </w:r>
      <w:r>
        <w:rPr>
          <w:rFonts w:ascii="Arial" w:cs="Arial" w:eastAsia="Arial" w:hAnsi="Arial"/>
          <w:color w:val="888888"/>
          <w:sz w:val="22"/>
          <w:szCs w:val="22"/>
        </w:rPr>
        <w:t xml:space="preserve">	5</w:t>
      </w:r>
    </w:p>
    <w:p>
      <w:pPr>
        <w:tabs>
          <w:tab w:val="right" w:pos="8000"/>
        </w:tabs>
        <w:spacing w:before="80" w:after="80"/>
      </w:pPr>
      <w:r>
        <w:rPr>
          <w:rFonts w:ascii="Arial" w:cs="Arial" w:eastAsia="Arial" w:hAnsi="Arial"/>
          <w:color w:val="333333"/>
          <w:sz w:val="22"/>
          <w:szCs w:val="22"/>
        </w:rPr>
        <w:t xml:space="preserve">   1.4 Scope of the Project</w:t>
      </w:r>
      <w:r>
        <w:rPr>
          <w:rFonts w:ascii="Arial" w:cs="Arial" w:eastAsia="Arial" w:hAnsi="Arial"/>
          <w:color w:val="888888"/>
          <w:sz w:val="22"/>
          <w:szCs w:val="22"/>
        </w:rPr>
        <w:t xml:space="preserve">	5</w:t>
      </w:r>
    </w:p>
    <w:p>
      <w:pPr>
        <w:tabs>
          <w:tab w:val="right" w:pos="8000"/>
        </w:tabs>
        <w:spacing w:before="80" w:after="80"/>
      </w:pPr>
      <w:r>
        <w:rPr>
          <w:rFonts w:ascii="Arial" w:cs="Arial" w:eastAsia="Arial" w:hAnsi="Arial"/>
          <w:color w:val="333333"/>
          <w:sz w:val="22"/>
          <w:szCs w:val="22"/>
        </w:rPr>
        <w:t xml:space="preserve">2. Literature Review</w:t>
      </w:r>
      <w:r>
        <w:rPr>
          <w:rFonts w:ascii="Arial" w:cs="Arial" w:eastAsia="Arial" w:hAnsi="Arial"/>
          <w:color w:val="888888"/>
          <w:sz w:val="22"/>
          <w:szCs w:val="22"/>
        </w:rPr>
        <w:t xml:space="preserve">	6</w:t>
      </w:r>
    </w:p>
    <w:p>
      <w:pPr>
        <w:tabs>
          <w:tab w:val="right" w:pos="8000"/>
        </w:tabs>
        <w:spacing w:before="80" w:after="80"/>
      </w:pPr>
      <w:r>
        <w:rPr>
          <w:rFonts w:ascii="Arial" w:cs="Arial" w:eastAsia="Arial" w:hAnsi="Arial"/>
          <w:color w:val="333333"/>
          <w:sz w:val="22"/>
          <w:szCs w:val="22"/>
        </w:rPr>
        <w:t xml:space="preserve">3. System Architecture</w:t>
      </w:r>
      <w:r>
        <w:rPr>
          <w:rFonts w:ascii="Arial" w:cs="Arial" w:eastAsia="Arial" w:hAnsi="Arial"/>
          <w:color w:val="888888"/>
          <w:sz w:val="22"/>
          <w:szCs w:val="22"/>
        </w:rPr>
        <w:t xml:space="preserve">	7</w:t>
      </w:r>
    </w:p>
    <w:p>
      <w:pPr>
        <w:tabs>
          <w:tab w:val="right" w:pos="8000"/>
        </w:tabs>
        <w:spacing w:before="80" w:after="80"/>
      </w:pPr>
      <w:r>
        <w:rPr>
          <w:rFonts w:ascii="Arial" w:cs="Arial" w:eastAsia="Arial" w:hAnsi="Arial"/>
          <w:color w:val="333333"/>
          <w:sz w:val="22"/>
          <w:szCs w:val="22"/>
        </w:rPr>
        <w:t xml:space="preserve">   3.1 Six-Tier Architecture Overview</w:t>
      </w:r>
      <w:r>
        <w:rPr>
          <w:rFonts w:ascii="Arial" w:cs="Arial" w:eastAsia="Arial" w:hAnsi="Arial"/>
          <w:color w:val="888888"/>
          <w:sz w:val="22"/>
          <w:szCs w:val="22"/>
        </w:rPr>
        <w:t xml:space="preserve">	7</w:t>
      </w:r>
    </w:p>
    <w:p>
      <w:pPr>
        <w:tabs>
          <w:tab w:val="right" w:pos="8000"/>
        </w:tabs>
        <w:spacing w:before="80" w:after="80"/>
      </w:pPr>
      <w:r>
        <w:rPr>
          <w:rFonts w:ascii="Arial" w:cs="Arial" w:eastAsia="Arial" w:hAnsi="Arial"/>
          <w:color w:val="333333"/>
          <w:sz w:val="22"/>
          <w:szCs w:val="22"/>
        </w:rPr>
        <w:t xml:space="preserve">   3.2 Technology Stack</w:t>
      </w:r>
      <w:r>
        <w:rPr>
          <w:rFonts w:ascii="Arial" w:cs="Arial" w:eastAsia="Arial" w:hAnsi="Arial"/>
          <w:color w:val="888888"/>
          <w:sz w:val="22"/>
          <w:szCs w:val="22"/>
        </w:rPr>
        <w:t xml:space="preserve">	8</w:t>
      </w:r>
    </w:p>
    <w:p>
      <w:pPr>
        <w:tabs>
          <w:tab w:val="right" w:pos="8000"/>
        </w:tabs>
        <w:spacing w:before="80" w:after="80"/>
      </w:pPr>
      <w:r>
        <w:rPr>
          <w:rFonts w:ascii="Arial" w:cs="Arial" w:eastAsia="Arial" w:hAnsi="Arial"/>
          <w:color w:val="333333"/>
          <w:sz w:val="22"/>
          <w:szCs w:val="22"/>
        </w:rPr>
        <w:t xml:space="preserve">4. AI/ML Models</w:t>
      </w:r>
      <w:r>
        <w:rPr>
          <w:rFonts w:ascii="Arial" w:cs="Arial" w:eastAsia="Arial" w:hAnsi="Arial"/>
          <w:color w:val="888888"/>
          <w:sz w:val="22"/>
          <w:szCs w:val="22"/>
        </w:rPr>
        <w:t xml:space="preserve">	9</w:t>
      </w:r>
    </w:p>
    <w:p>
      <w:pPr>
        <w:tabs>
          <w:tab w:val="right" w:pos="8000"/>
        </w:tabs>
        <w:spacing w:before="80" w:after="80"/>
      </w:pPr>
      <w:r>
        <w:rPr>
          <w:rFonts w:ascii="Arial" w:cs="Arial" w:eastAsia="Arial" w:hAnsi="Arial"/>
          <w:color w:val="333333"/>
          <w:sz w:val="22"/>
          <w:szCs w:val="22"/>
        </w:rPr>
        <w:t xml:space="preserve">   4.1 Isolation Forest</w:t>
      </w:r>
      <w:r>
        <w:rPr>
          <w:rFonts w:ascii="Arial" w:cs="Arial" w:eastAsia="Arial" w:hAnsi="Arial"/>
          <w:color w:val="888888"/>
          <w:sz w:val="22"/>
          <w:szCs w:val="22"/>
        </w:rPr>
        <w:t xml:space="preserve">	9</w:t>
      </w:r>
    </w:p>
    <w:p>
      <w:pPr>
        <w:tabs>
          <w:tab w:val="right" w:pos="8000"/>
        </w:tabs>
        <w:spacing w:before="80" w:after="80"/>
      </w:pPr>
      <w:r>
        <w:rPr>
          <w:rFonts w:ascii="Arial" w:cs="Arial" w:eastAsia="Arial" w:hAnsi="Arial"/>
          <w:color w:val="333333"/>
          <w:sz w:val="22"/>
          <w:szCs w:val="22"/>
        </w:rPr>
        <w:t xml:space="preserve">   4.2 Random Forest Classifier</w:t>
      </w:r>
      <w:r>
        <w:rPr>
          <w:rFonts w:ascii="Arial" w:cs="Arial" w:eastAsia="Arial" w:hAnsi="Arial"/>
          <w:color w:val="888888"/>
          <w:sz w:val="22"/>
          <w:szCs w:val="22"/>
        </w:rPr>
        <w:t xml:space="preserve">	10</w:t>
      </w:r>
    </w:p>
    <w:p>
      <w:pPr>
        <w:tabs>
          <w:tab w:val="right" w:pos="8000"/>
        </w:tabs>
        <w:spacing w:before="80" w:after="80"/>
      </w:pPr>
      <w:r>
        <w:rPr>
          <w:rFonts w:ascii="Arial" w:cs="Arial" w:eastAsia="Arial" w:hAnsi="Arial"/>
          <w:color w:val="333333"/>
          <w:sz w:val="22"/>
          <w:szCs w:val="22"/>
        </w:rPr>
        <w:t xml:space="preserve">   4.3 LSTM Neural Network</w:t>
      </w:r>
      <w:r>
        <w:rPr>
          <w:rFonts w:ascii="Arial" w:cs="Arial" w:eastAsia="Arial" w:hAnsi="Arial"/>
          <w:color w:val="888888"/>
          <w:sz w:val="22"/>
          <w:szCs w:val="22"/>
        </w:rPr>
        <w:t xml:space="preserve">	11</w:t>
      </w:r>
    </w:p>
    <w:p>
      <w:pPr>
        <w:tabs>
          <w:tab w:val="right" w:pos="8000"/>
        </w:tabs>
        <w:spacing w:before="80" w:after="80"/>
      </w:pPr>
      <w:r>
        <w:rPr>
          <w:rFonts w:ascii="Arial" w:cs="Arial" w:eastAsia="Arial" w:hAnsi="Arial"/>
          <w:color w:val="333333"/>
          <w:sz w:val="22"/>
          <w:szCs w:val="22"/>
        </w:rPr>
        <w:t xml:space="preserve">   4.4 Autoencoder Neural Network</w:t>
      </w:r>
      <w:r>
        <w:rPr>
          <w:rFonts w:ascii="Arial" w:cs="Arial" w:eastAsia="Arial" w:hAnsi="Arial"/>
          <w:color w:val="888888"/>
          <w:sz w:val="22"/>
          <w:szCs w:val="22"/>
        </w:rPr>
        <w:t xml:space="preserve">	12</w:t>
      </w:r>
    </w:p>
    <w:p>
      <w:pPr>
        <w:tabs>
          <w:tab w:val="right" w:pos="8000"/>
        </w:tabs>
        <w:spacing w:before="80" w:after="80"/>
      </w:pPr>
      <w:r>
        <w:rPr>
          <w:rFonts w:ascii="Arial" w:cs="Arial" w:eastAsia="Arial" w:hAnsi="Arial"/>
          <w:color w:val="333333"/>
          <w:sz w:val="22"/>
          <w:szCs w:val="22"/>
        </w:rPr>
        <w:t xml:space="preserve">   4.5 Prediction Engine</w:t>
      </w:r>
      <w:r>
        <w:rPr>
          <w:rFonts w:ascii="Arial" w:cs="Arial" w:eastAsia="Arial" w:hAnsi="Arial"/>
          <w:color w:val="888888"/>
          <w:sz w:val="22"/>
          <w:szCs w:val="22"/>
        </w:rPr>
        <w:t xml:space="preserve">	13</w:t>
      </w:r>
    </w:p>
    <w:p>
      <w:pPr>
        <w:tabs>
          <w:tab w:val="right" w:pos="8000"/>
        </w:tabs>
        <w:spacing w:before="80" w:after="80"/>
      </w:pPr>
      <w:r>
        <w:rPr>
          <w:rFonts w:ascii="Arial" w:cs="Arial" w:eastAsia="Arial" w:hAnsi="Arial"/>
          <w:color w:val="333333"/>
          <w:sz w:val="22"/>
          <w:szCs w:val="22"/>
        </w:rPr>
        <w:t xml:space="preserve">5. System Implementation</w:t>
      </w:r>
      <w:r>
        <w:rPr>
          <w:rFonts w:ascii="Arial" w:cs="Arial" w:eastAsia="Arial" w:hAnsi="Arial"/>
          <w:color w:val="888888"/>
          <w:sz w:val="22"/>
          <w:szCs w:val="22"/>
        </w:rPr>
        <w:t xml:space="preserve">	14</w:t>
      </w:r>
    </w:p>
    <w:p>
      <w:pPr>
        <w:tabs>
          <w:tab w:val="right" w:pos="8000"/>
        </w:tabs>
        <w:spacing w:before="80" w:after="80"/>
      </w:pPr>
      <w:r>
        <w:rPr>
          <w:rFonts w:ascii="Arial" w:cs="Arial" w:eastAsia="Arial" w:hAnsi="Arial"/>
          <w:color w:val="333333"/>
          <w:sz w:val="22"/>
          <w:szCs w:val="22"/>
        </w:rPr>
        <w:t xml:space="preserve">   5.1 Data Collection Layer</w:t>
      </w:r>
      <w:r>
        <w:rPr>
          <w:rFonts w:ascii="Arial" w:cs="Arial" w:eastAsia="Arial" w:hAnsi="Arial"/>
          <w:color w:val="888888"/>
          <w:sz w:val="22"/>
          <w:szCs w:val="22"/>
        </w:rPr>
        <w:t xml:space="preserve">	14</w:t>
      </w:r>
    </w:p>
    <w:p>
      <w:pPr>
        <w:tabs>
          <w:tab w:val="right" w:pos="8000"/>
        </w:tabs>
        <w:spacing w:before="80" w:after="80"/>
      </w:pPr>
      <w:r>
        <w:rPr>
          <w:rFonts w:ascii="Arial" w:cs="Arial" w:eastAsia="Arial" w:hAnsi="Arial"/>
          <w:color w:val="333333"/>
          <w:sz w:val="22"/>
          <w:szCs w:val="22"/>
        </w:rPr>
        <w:t xml:space="preserve">   5.2 Database Design</w:t>
      </w:r>
      <w:r>
        <w:rPr>
          <w:rFonts w:ascii="Arial" w:cs="Arial" w:eastAsia="Arial" w:hAnsi="Arial"/>
          <w:color w:val="888888"/>
          <w:sz w:val="22"/>
          <w:szCs w:val="22"/>
        </w:rPr>
        <w:t xml:space="preserve">	15</w:t>
      </w:r>
    </w:p>
    <w:p>
      <w:pPr>
        <w:tabs>
          <w:tab w:val="right" w:pos="8000"/>
        </w:tabs>
        <w:spacing w:before="80" w:after="80"/>
      </w:pPr>
      <w:r>
        <w:rPr>
          <w:rFonts w:ascii="Arial" w:cs="Arial" w:eastAsia="Arial" w:hAnsi="Arial"/>
          <w:color w:val="333333"/>
          <w:sz w:val="22"/>
          <w:szCs w:val="22"/>
        </w:rPr>
        <w:t xml:space="preserve">   5.3 Alert Engine</w:t>
      </w:r>
      <w:r>
        <w:rPr>
          <w:rFonts w:ascii="Arial" w:cs="Arial" w:eastAsia="Arial" w:hAnsi="Arial"/>
          <w:color w:val="888888"/>
          <w:sz w:val="22"/>
          <w:szCs w:val="22"/>
        </w:rPr>
        <w:t xml:space="preserve">	16</w:t>
      </w:r>
    </w:p>
    <w:p>
      <w:pPr>
        <w:tabs>
          <w:tab w:val="right" w:pos="8000"/>
        </w:tabs>
        <w:spacing w:before="80" w:after="80"/>
      </w:pPr>
      <w:r>
        <w:rPr>
          <w:rFonts w:ascii="Arial" w:cs="Arial" w:eastAsia="Arial" w:hAnsi="Arial"/>
          <w:color w:val="333333"/>
          <w:sz w:val="22"/>
          <w:szCs w:val="22"/>
        </w:rPr>
        <w:t xml:space="preserve">   5.4 Flask Backend and APIs</w:t>
      </w:r>
      <w:r>
        <w:rPr>
          <w:rFonts w:ascii="Arial" w:cs="Arial" w:eastAsia="Arial" w:hAnsi="Arial"/>
          <w:color w:val="888888"/>
          <w:sz w:val="22"/>
          <w:szCs w:val="22"/>
        </w:rPr>
        <w:t xml:space="preserve">	17</w:t>
      </w:r>
    </w:p>
    <w:p>
      <w:pPr>
        <w:tabs>
          <w:tab w:val="right" w:pos="8000"/>
        </w:tabs>
        <w:spacing w:before="80" w:after="80"/>
      </w:pPr>
      <w:r>
        <w:rPr>
          <w:rFonts w:ascii="Arial" w:cs="Arial" w:eastAsia="Arial" w:hAnsi="Arial"/>
          <w:color w:val="333333"/>
          <w:sz w:val="22"/>
          <w:szCs w:val="22"/>
        </w:rPr>
        <w:t xml:space="preserve">   5.5 Dashboard</w:t>
      </w:r>
      <w:r>
        <w:rPr>
          <w:rFonts w:ascii="Arial" w:cs="Arial" w:eastAsia="Arial" w:hAnsi="Arial"/>
          <w:color w:val="888888"/>
          <w:sz w:val="22"/>
          <w:szCs w:val="22"/>
        </w:rPr>
        <w:t xml:space="preserve">	18</w:t>
      </w:r>
    </w:p>
    <w:p>
      <w:pPr>
        <w:tabs>
          <w:tab w:val="right" w:pos="8000"/>
        </w:tabs>
        <w:spacing w:before="80" w:after="80"/>
      </w:pPr>
      <w:r>
        <w:rPr>
          <w:rFonts w:ascii="Arial" w:cs="Arial" w:eastAsia="Arial" w:hAnsi="Arial"/>
          <w:color w:val="333333"/>
          <w:sz w:val="22"/>
          <w:szCs w:val="22"/>
        </w:rPr>
        <w:t xml:space="preserve">6. Results and Testing</w:t>
      </w:r>
      <w:r>
        <w:rPr>
          <w:rFonts w:ascii="Arial" w:cs="Arial" w:eastAsia="Arial" w:hAnsi="Arial"/>
          <w:color w:val="888888"/>
          <w:sz w:val="22"/>
          <w:szCs w:val="22"/>
        </w:rPr>
        <w:t xml:space="preserve">	19</w:t>
      </w:r>
    </w:p>
    <w:p>
      <w:pPr>
        <w:tabs>
          <w:tab w:val="right" w:pos="8000"/>
        </w:tabs>
        <w:spacing w:before="80" w:after="80"/>
      </w:pPr>
      <w:r>
        <w:rPr>
          <w:rFonts w:ascii="Arial" w:cs="Arial" w:eastAsia="Arial" w:hAnsi="Arial"/>
          <w:color w:val="333333"/>
          <w:sz w:val="22"/>
          <w:szCs w:val="22"/>
        </w:rPr>
        <w:t xml:space="preserve">7. Conclusion and Future Work</w:t>
      </w:r>
      <w:r>
        <w:rPr>
          <w:rFonts w:ascii="Arial" w:cs="Arial" w:eastAsia="Arial" w:hAnsi="Arial"/>
          <w:color w:val="888888"/>
          <w:sz w:val="22"/>
          <w:szCs w:val="22"/>
        </w:rPr>
        <w:t xml:space="preserve">	20</w:t>
      </w:r>
    </w:p>
    <w:p>
      <w:pPr>
        <w:tabs>
          <w:tab w:val="right" w:pos="8000"/>
        </w:tabs>
        <w:spacing w:before="80" w:after="80"/>
      </w:pPr>
      <w:r>
        <w:rPr>
          <w:rFonts w:ascii="Arial" w:cs="Arial" w:eastAsia="Arial" w:hAnsi="Arial"/>
          <w:color w:val="333333"/>
          <w:sz w:val="22"/>
          <w:szCs w:val="22"/>
        </w:rPr>
        <w:t xml:space="preserve">8. References</w:t>
      </w:r>
      <w:r>
        <w:rPr>
          <w:rFonts w:ascii="Arial" w:cs="Arial" w:eastAsia="Arial" w:hAnsi="Arial"/>
          <w:color w:val="888888"/>
          <w:sz w:val="22"/>
          <w:szCs w:val="22"/>
        </w:rPr>
        <w:t xml:space="preserve">	21</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1. Introduction</w:t>
      </w:r>
    </w:p>
    <w:p>
      <w:pPr>
        <w:spacing w:before="100"/>
      </w:pPr>
      <w:r>
        <w:t xml:space="preserve"/>
      </w:r>
    </w:p>
    <w:p>
      <w:pPr>
        <w:pStyle w:val="Heading2"/>
        <w:spacing w:before="300" w:after="150"/>
      </w:pPr>
      <w:r>
        <w:rPr>
          <w:rFonts w:ascii="Arial" w:cs="Arial" w:eastAsia="Arial" w:hAnsi="Arial"/>
          <w:b/>
          <w:bCs/>
          <w:color w:val="2E75B6"/>
          <w:sz w:val="28"/>
          <w:szCs w:val="28"/>
        </w:rPr>
        <w:t xml:space="preserve">1.1 Background and Motivation</w:t>
      </w:r>
    </w:p>
    <w:p>
      <w:pPr>
        <w:spacing w:before="100" w:after="100"/>
        <w:jc w:val="both"/>
      </w:pPr>
      <w:r>
        <w:rPr>
          <w:rFonts w:ascii="Arial" w:cs="Arial" w:eastAsia="Arial" w:hAnsi="Arial"/>
          <w:b w:val="false"/>
          <w:bCs w:val="false"/>
          <w:i w:val="false"/>
          <w:iCs w:val="false"/>
          <w:color w:val="333333"/>
          <w:sz w:val="24"/>
          <w:szCs w:val="24"/>
        </w:rPr>
        <w:t xml:space="preserve">Modern IT infrastructure forms the backbone of every organization. From web servers serving millions of users to database servers storing critical business data, any unexpected failure can result in significant financial losses, reputational damage, and service disruption. According to industry estimates, unplanned downtime costs enterprises an average of $5,600 per minute, making infrastructure reliability a critical business concern.</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Traditional infrastructure monitoring tools such as Nagios, Zabbix and Prometheus rely on static threshold-based alerting — they fire alerts only after a metric has already crossed a predefined limit. This reactive approach means that by the time an alert is raised, the system may already be in a degraded or failed state. There is a clear need for predictive, proactive monitoring that can identify failure patterns before they manifest.</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concept of a Digital Twin — a virtual replica of a physical system that mirrors its real-time state — has emerged as a powerful paradigm for infrastructure monitoring. By combining Digital Twin technology with machine learning, it becomes possible to not only visualize the current state of infrastructure but also predict its future behavior and preemptively address issues.</w:t>
      </w:r>
    </w:p>
    <w:p>
      <w:pPr>
        <w:spacing w:before="100"/>
      </w:pPr>
      <w:r>
        <w:t xml:space="preserve"/>
      </w:r>
    </w:p>
    <w:p>
      <w:pPr>
        <w:pStyle w:val="Heading2"/>
        <w:spacing w:before="300" w:after="150"/>
      </w:pPr>
      <w:r>
        <w:rPr>
          <w:rFonts w:ascii="Arial" w:cs="Arial" w:eastAsia="Arial" w:hAnsi="Arial"/>
          <w:b/>
          <w:bCs/>
          <w:color w:val="2E75B6"/>
          <w:sz w:val="28"/>
          <w:szCs w:val="28"/>
        </w:rPr>
        <w:t xml:space="preserve">1.2 Problem Statement</w:t>
      </w:r>
    </w:p>
    <w:p>
      <w:pPr>
        <w:spacing w:before="100" w:after="100"/>
        <w:jc w:val="both"/>
      </w:pPr>
      <w:r>
        <w:rPr>
          <w:rFonts w:ascii="Arial" w:cs="Arial" w:eastAsia="Arial" w:hAnsi="Arial"/>
          <w:b w:val="false"/>
          <w:bCs w:val="false"/>
          <w:i w:val="false"/>
          <w:iCs w:val="false"/>
          <w:color w:val="333333"/>
          <w:sz w:val="24"/>
          <w:szCs w:val="24"/>
        </w:rPr>
        <w:t xml:space="preserve">The central problem addressed by InfraGuard AI is: How can we predict IT infrastructure failures before they occur and present this information to operations teams in a clear, actionable format?</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Specifically, the project addresses the following challenges:</w:t>
      </w:r>
    </w:p>
    <w:p>
      <w:pPr>
        <w:pStyle w:val="ListParagraph"/>
        <w:numPr>
          <w:ilvl w:val="0"/>
          <w:numId w:val="2"/>
        </w:numPr>
        <w:spacing w:before="60" w:after="60"/>
      </w:pPr>
      <w:r>
        <w:rPr>
          <w:rFonts w:ascii="Arial" w:cs="Arial" w:eastAsia="Arial" w:hAnsi="Arial"/>
          <w:color w:val="333333"/>
          <w:sz w:val="24"/>
          <w:szCs w:val="24"/>
        </w:rPr>
        <w:t xml:space="preserve">Reactive monitoring: Existing tools alert after failures, not before</w:t>
      </w:r>
    </w:p>
    <w:p>
      <w:pPr>
        <w:pStyle w:val="ListParagraph"/>
        <w:numPr>
          <w:ilvl w:val="0"/>
          <w:numId w:val="2"/>
        </w:numPr>
        <w:spacing w:before="60" w:after="60"/>
      </w:pPr>
      <w:r>
        <w:rPr>
          <w:rFonts w:ascii="Arial" w:cs="Arial" w:eastAsia="Arial" w:hAnsi="Arial"/>
          <w:color w:val="333333"/>
          <w:sz w:val="24"/>
          <w:szCs w:val="24"/>
        </w:rPr>
        <w:t xml:space="preserve">Single-metric analysis: Most tools evaluate each metric in isolation rather than detecting multi-metric patterns</w:t>
      </w:r>
    </w:p>
    <w:p>
      <w:pPr>
        <w:pStyle w:val="ListParagraph"/>
        <w:numPr>
          <w:ilvl w:val="0"/>
          <w:numId w:val="2"/>
        </w:numPr>
        <w:spacing w:before="60" w:after="60"/>
      </w:pPr>
      <w:r>
        <w:rPr>
          <w:rFonts w:ascii="Arial" w:cs="Arial" w:eastAsia="Arial" w:hAnsi="Arial"/>
          <w:color w:val="333333"/>
          <w:sz w:val="24"/>
          <w:szCs w:val="24"/>
        </w:rPr>
        <w:t xml:space="preserve">No time dimension: Traditional monitoring does not forecast future metric values</w:t>
      </w:r>
    </w:p>
    <w:p>
      <w:pPr>
        <w:pStyle w:val="ListParagraph"/>
        <w:numPr>
          <w:ilvl w:val="0"/>
          <w:numId w:val="2"/>
        </w:numPr>
        <w:spacing w:before="60" w:after="60"/>
      </w:pPr>
      <w:r>
        <w:rPr>
          <w:rFonts w:ascii="Arial" w:cs="Arial" w:eastAsia="Arial" w:hAnsi="Arial"/>
          <w:color w:val="333333"/>
          <w:sz w:val="24"/>
          <w:szCs w:val="24"/>
        </w:rPr>
        <w:t xml:space="preserve">Alert fatigue: Too many redundant alerts overwhelm operations teams</w:t>
      </w:r>
    </w:p>
    <w:p>
      <w:pPr>
        <w:pStyle w:val="ListParagraph"/>
        <w:numPr>
          <w:ilvl w:val="0"/>
          <w:numId w:val="2"/>
        </w:numPr>
        <w:spacing w:before="60" w:after="60"/>
      </w:pPr>
      <w:r>
        <w:rPr>
          <w:rFonts w:ascii="Arial" w:cs="Arial" w:eastAsia="Arial" w:hAnsi="Arial"/>
          <w:color w:val="333333"/>
          <w:sz w:val="24"/>
          <w:szCs w:val="24"/>
        </w:rPr>
        <w:t xml:space="preserve">Lack of visualization: Infrastructure topology is typically presented as tables rather than visual maps</w:t>
      </w:r>
    </w:p>
    <w:p>
      <w:pPr>
        <w:spacing w:before="100"/>
      </w:pPr>
      <w:r>
        <w:t xml:space="preserve"/>
      </w:r>
    </w:p>
    <w:p>
      <w:pPr>
        <w:pStyle w:val="Heading2"/>
        <w:spacing w:before="300" w:after="150"/>
      </w:pPr>
      <w:r>
        <w:rPr>
          <w:rFonts w:ascii="Arial" w:cs="Arial" w:eastAsia="Arial" w:hAnsi="Arial"/>
          <w:b/>
          <w:bCs/>
          <w:color w:val="2E75B6"/>
          <w:sz w:val="28"/>
          <w:szCs w:val="28"/>
        </w:rPr>
        <w:t xml:space="preserve">1.3 Objectives</w:t>
      </w:r>
    </w:p>
    <w:p>
      <w:pPr>
        <w:spacing w:before="100" w:after="100"/>
        <w:jc w:val="both"/>
      </w:pPr>
      <w:r>
        <w:rPr>
          <w:rFonts w:ascii="Arial" w:cs="Arial" w:eastAsia="Arial" w:hAnsi="Arial"/>
          <w:b w:val="false"/>
          <w:bCs w:val="false"/>
          <w:i w:val="false"/>
          <w:iCs w:val="false"/>
          <w:color w:val="333333"/>
          <w:sz w:val="24"/>
          <w:szCs w:val="24"/>
        </w:rPr>
        <w:t xml:space="preserve">The primary objectives of InfraGuard AI are:</w:t>
      </w:r>
    </w:p>
    <w:p>
      <w:pPr>
        <w:pStyle w:val="ListParagraph"/>
        <w:numPr>
          <w:ilvl w:val="0"/>
          <w:numId w:val="2"/>
        </w:numPr>
        <w:spacing w:before="60" w:after="60"/>
      </w:pPr>
      <w:r>
        <w:rPr>
          <w:rFonts w:ascii="Arial" w:cs="Arial" w:eastAsia="Arial" w:hAnsi="Arial"/>
          <w:color w:val="333333"/>
          <w:sz w:val="24"/>
          <w:szCs w:val="24"/>
        </w:rPr>
        <w:t xml:space="preserve">Implement real-time metric collection from physical and simulated servers</w:t>
      </w:r>
    </w:p>
    <w:p>
      <w:pPr>
        <w:pStyle w:val="ListParagraph"/>
        <w:numPr>
          <w:ilvl w:val="0"/>
          <w:numId w:val="2"/>
        </w:numPr>
        <w:spacing w:before="60" w:after="60"/>
      </w:pPr>
      <w:r>
        <w:rPr>
          <w:rFonts w:ascii="Arial" w:cs="Arial" w:eastAsia="Arial" w:hAnsi="Arial"/>
          <w:color w:val="333333"/>
          <w:sz w:val="24"/>
          <w:szCs w:val="24"/>
        </w:rPr>
        <w:t xml:space="preserve">Deploy four complementary machine learning models for comprehensive failure prediction</w:t>
      </w:r>
    </w:p>
    <w:p>
      <w:pPr>
        <w:pStyle w:val="ListParagraph"/>
        <w:numPr>
          <w:ilvl w:val="0"/>
          <w:numId w:val="2"/>
        </w:numPr>
        <w:spacing w:before="60" w:after="60"/>
      </w:pPr>
      <w:r>
        <w:rPr>
          <w:rFonts w:ascii="Arial" w:cs="Arial" w:eastAsia="Arial" w:hAnsi="Arial"/>
          <w:color w:val="333333"/>
          <w:sz w:val="24"/>
          <w:szCs w:val="24"/>
        </w:rPr>
        <w:t xml:space="preserve">Build an animated Digital Twin visualization of infrastructure topology</w:t>
      </w:r>
    </w:p>
    <w:p>
      <w:pPr>
        <w:pStyle w:val="ListParagraph"/>
        <w:numPr>
          <w:ilvl w:val="0"/>
          <w:numId w:val="2"/>
        </w:numPr>
        <w:spacing w:before="60" w:after="60"/>
      </w:pPr>
      <w:r>
        <w:rPr>
          <w:rFonts w:ascii="Arial" w:cs="Arial" w:eastAsia="Arial" w:hAnsi="Arial"/>
          <w:color w:val="333333"/>
          <w:sz w:val="24"/>
          <w:szCs w:val="24"/>
        </w:rPr>
        <w:t xml:space="preserve">Create a professional seven-page live dashboard accessible via web browser</w:t>
      </w:r>
    </w:p>
    <w:p>
      <w:pPr>
        <w:pStyle w:val="ListParagraph"/>
        <w:numPr>
          <w:ilvl w:val="0"/>
          <w:numId w:val="2"/>
        </w:numPr>
        <w:spacing w:before="60" w:after="60"/>
      </w:pPr>
      <w:r>
        <w:rPr>
          <w:rFonts w:ascii="Arial" w:cs="Arial" w:eastAsia="Arial" w:hAnsi="Arial"/>
          <w:color w:val="333333"/>
          <w:sz w:val="24"/>
          <w:szCs w:val="24"/>
        </w:rPr>
        <w:t xml:space="preserve">Implement a four-tier alert system with deduplication and auto-resolution</w:t>
      </w:r>
    </w:p>
    <w:p>
      <w:pPr>
        <w:pStyle w:val="ListParagraph"/>
        <w:numPr>
          <w:ilvl w:val="0"/>
          <w:numId w:val="2"/>
        </w:numPr>
        <w:spacing w:before="60" w:after="60"/>
      </w:pPr>
      <w:r>
        <w:rPr>
          <w:rFonts w:ascii="Arial" w:cs="Arial" w:eastAsia="Arial" w:hAnsi="Arial"/>
          <w:color w:val="333333"/>
          <w:sz w:val="24"/>
          <w:szCs w:val="24"/>
        </w:rPr>
        <w:t xml:space="preserve">Generate automated PDF health reports and CSV data exports</w:t>
      </w:r>
    </w:p>
    <w:p>
      <w:pPr>
        <w:pStyle w:val="ListParagraph"/>
        <w:numPr>
          <w:ilvl w:val="0"/>
          <w:numId w:val="2"/>
        </w:numPr>
        <w:spacing w:before="60" w:after="60"/>
      </w:pPr>
      <w:r>
        <w:rPr>
          <w:rFonts w:ascii="Arial" w:cs="Arial" w:eastAsia="Arial" w:hAnsi="Arial"/>
          <w:color w:val="333333"/>
          <w:sz w:val="24"/>
          <w:szCs w:val="24"/>
        </w:rPr>
        <w:t xml:space="preserve">Support role-based access control with three user privilege levels</w:t>
      </w:r>
    </w:p>
    <w:p>
      <w:pPr>
        <w:spacing w:before="100"/>
      </w:pPr>
      <w:r>
        <w:t xml:space="preserve"/>
      </w:r>
    </w:p>
    <w:p>
      <w:pPr>
        <w:pStyle w:val="Heading2"/>
        <w:spacing w:before="300" w:after="150"/>
      </w:pPr>
      <w:r>
        <w:rPr>
          <w:rFonts w:ascii="Arial" w:cs="Arial" w:eastAsia="Arial" w:hAnsi="Arial"/>
          <w:b/>
          <w:bCs/>
          <w:color w:val="2E75B6"/>
          <w:sz w:val="28"/>
          <w:szCs w:val="28"/>
        </w:rPr>
        <w:t xml:space="preserve">1.4 Scope of the Project</w:t>
      </w:r>
    </w:p>
    <w:p>
      <w:pPr>
        <w:spacing w:before="100" w:after="100"/>
        <w:jc w:val="both"/>
      </w:pPr>
      <w:r>
        <w:rPr>
          <w:rFonts w:ascii="Arial" w:cs="Arial" w:eastAsia="Arial" w:hAnsi="Arial"/>
          <w:b w:val="false"/>
          <w:bCs w:val="false"/>
          <w:i w:val="false"/>
          <w:iCs w:val="false"/>
          <w:color w:val="333333"/>
          <w:sz w:val="24"/>
          <w:szCs w:val="24"/>
        </w:rPr>
        <w:t xml:space="preserve">InfraGuard AI monitors nine server nodes: one physical PC with real hardware metrics and eight simulated servers representing web servers, application servers, database servers, cache servers, cloud instances, CDN servers and network firewalls. The system collects eight metrics per server: CPU usage, RAM usage, disk usage, network in/out, temperature, process count, response time and error rate. The platform is designed for demonstration and academic purposes, with architecture that mirrors enterprise-grade solutions.</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2. Literature Review</w:t>
      </w:r>
    </w:p>
    <w:p>
      <w:pPr>
        <w:spacing w:before="100"/>
      </w:pPr>
      <w:r>
        <w:t xml:space="preserve"/>
      </w:r>
    </w:p>
    <w:p>
      <w:pPr>
        <w:pStyle w:val="Heading2"/>
        <w:spacing w:before="300" w:after="150"/>
      </w:pPr>
      <w:r>
        <w:rPr>
          <w:rFonts w:ascii="Arial" w:cs="Arial" w:eastAsia="Arial" w:hAnsi="Arial"/>
          <w:b/>
          <w:bCs/>
          <w:color w:val="2E75B6"/>
          <w:sz w:val="28"/>
          <w:szCs w:val="28"/>
        </w:rPr>
        <w:t xml:space="preserve">2.1 Traditional Infrastructure Monitoring</w:t>
      </w:r>
    </w:p>
    <w:p>
      <w:pPr>
        <w:spacing w:before="100" w:after="100"/>
        <w:jc w:val="both"/>
      </w:pPr>
      <w:r>
        <w:rPr>
          <w:rFonts w:ascii="Arial" w:cs="Arial" w:eastAsia="Arial" w:hAnsi="Arial"/>
          <w:b w:val="false"/>
          <w:bCs w:val="false"/>
          <w:i w:val="false"/>
          <w:iCs w:val="false"/>
          <w:color w:val="333333"/>
          <w:sz w:val="24"/>
          <w:szCs w:val="24"/>
        </w:rPr>
        <w:t xml:space="preserve">Early infrastructure monitoring systems such as MRTG (Multi Router Traffic Grapher) introduced the concept of time-series visualization for network metrics. Subsequent tools like Nagios (1999) and Zabbix (2001) established the threshold-based alerting paradigm that remains dominant today. While these tools are mature and widely deployed, their fundamentally reactive nature limits their ability to prevent failures.</w:t>
      </w:r>
    </w:p>
    <w:p>
      <w:pPr>
        <w:spacing w:before="100"/>
      </w:pPr>
      <w:r>
        <w:t xml:space="preserve"/>
      </w:r>
    </w:p>
    <w:p>
      <w:pPr>
        <w:pStyle w:val="Heading2"/>
        <w:spacing w:before="300" w:after="150"/>
      </w:pPr>
      <w:r>
        <w:rPr>
          <w:rFonts w:ascii="Arial" w:cs="Arial" w:eastAsia="Arial" w:hAnsi="Arial"/>
          <w:b/>
          <w:bCs/>
          <w:color w:val="2E75B6"/>
          <w:sz w:val="28"/>
          <w:szCs w:val="28"/>
        </w:rPr>
        <w:t xml:space="preserve">2.2 Machine Learning for Anomaly Detection</w:t>
      </w:r>
    </w:p>
    <w:p>
      <w:pPr>
        <w:spacing w:before="100" w:after="100"/>
        <w:jc w:val="both"/>
      </w:pPr>
      <w:r>
        <w:rPr>
          <w:rFonts w:ascii="Arial" w:cs="Arial" w:eastAsia="Arial" w:hAnsi="Arial"/>
          <w:b w:val="false"/>
          <w:bCs w:val="false"/>
          <w:i w:val="false"/>
          <w:iCs w:val="false"/>
          <w:color w:val="333333"/>
          <w:sz w:val="24"/>
          <w:szCs w:val="24"/>
        </w:rPr>
        <w:t xml:space="preserve">Liu et al. (2008) introduced the Isolation Forest algorithm, demonstrating that anomalies can be detected more efficiently by isolating them rather than profiling normal behavior. The algorithm's O(n log n) complexity and parameter-free nature make it well-suited for real-time infrastructure monitoring. Subsequent work by Breiman (2001) on Random Forests established ensemble methods as among the most reliable classifiers for structured tabular data.</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Hochreiter and Schmidhuber (1997) introduced Long Short-Term Memory networks, specifically designed to capture long-range dependencies in sequential data. LSTM networks have since become the standard approach for time-series forecasting in infrastructure monitoring, capable of learning complex temporal patterns that simpler methods miss.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Hinton and Salakhutdinov (2006) demonstrated that autoencoders could learn compact representations of complex data, with reconstruction error serving as a natural anomaly score. This approach is particularly valuable for detecting subtle, long-term pattern changes that threshold-based methods and even other ML models may miss.</w:t>
      </w:r>
    </w:p>
    <w:p>
      <w:pPr>
        <w:spacing w:before="100"/>
      </w:pPr>
      <w:r>
        <w:t xml:space="preserve"/>
      </w:r>
    </w:p>
    <w:p>
      <w:pPr>
        <w:pStyle w:val="Heading2"/>
        <w:spacing w:before="300" w:after="150"/>
      </w:pPr>
      <w:r>
        <w:rPr>
          <w:rFonts w:ascii="Arial" w:cs="Arial" w:eastAsia="Arial" w:hAnsi="Arial"/>
          <w:b/>
          <w:bCs/>
          <w:color w:val="2E75B6"/>
          <w:sz w:val="28"/>
          <w:szCs w:val="28"/>
        </w:rPr>
        <w:t xml:space="preserve">2.3 Digital Twin Technology</w:t>
      </w:r>
    </w:p>
    <w:p>
      <w:pPr>
        <w:spacing w:before="100" w:after="100"/>
        <w:jc w:val="both"/>
      </w:pPr>
      <w:r>
        <w:rPr>
          <w:rFonts w:ascii="Arial" w:cs="Arial" w:eastAsia="Arial" w:hAnsi="Arial"/>
          <w:b w:val="false"/>
          <w:bCs w:val="false"/>
          <w:i w:val="false"/>
          <w:iCs w:val="false"/>
          <w:color w:val="333333"/>
          <w:sz w:val="24"/>
          <w:szCs w:val="24"/>
        </w:rPr>
        <w:t xml:space="preserve">Grieves (2014) formalized the Digital Twin concept as a virtual replica of a physical system that maintains real-time synchronization with its physical counterpart. In the context of IT infrastructure, a Digital Twin provides operators with an intuitive visual understanding of system state that raw metrics and tables cannot convey. The combination of Digital Twin visualization with ML-based prediction represents an emerging best practice in enterprise infrastructure management.</w:t>
      </w:r>
    </w:p>
    <w:p>
      <w:pPr>
        <w:spacing w:before="100"/>
      </w:pPr>
      <w:r>
        <w:t xml:space="preserve"/>
      </w:r>
    </w:p>
    <w:p>
      <w:pPr>
        <w:pStyle w:val="Heading2"/>
        <w:spacing w:before="300" w:after="150"/>
      </w:pPr>
      <w:r>
        <w:rPr>
          <w:rFonts w:ascii="Arial" w:cs="Arial" w:eastAsia="Arial" w:hAnsi="Arial"/>
          <w:b/>
          <w:bCs/>
          <w:color w:val="2E75B6"/>
          <w:sz w:val="28"/>
          <w:szCs w:val="28"/>
        </w:rPr>
        <w:t xml:space="preserve">2.4 Research Gap</w:t>
      </w:r>
    </w:p>
    <w:p>
      <w:pPr>
        <w:spacing w:before="100" w:after="100"/>
        <w:jc w:val="both"/>
      </w:pPr>
      <w:r>
        <w:rPr>
          <w:rFonts w:ascii="Arial" w:cs="Arial" w:eastAsia="Arial" w:hAnsi="Arial"/>
          <w:b w:val="false"/>
          <w:bCs w:val="false"/>
          <w:i w:val="false"/>
          <w:iCs w:val="false"/>
          <w:color w:val="333333"/>
          <w:sz w:val="24"/>
          <w:szCs w:val="24"/>
        </w:rPr>
        <w:t xml:space="preserve">While commercial tools like Dynatrace and Datadog incorporate ML-based anomaly detection, they are proprietary, expensive, and do not expose their internal models for academic study. Open-source academic implementations typically focus on a single ML approach rather than combining multiple complementary models. InfraGuard AI addresses this gap by implementing four distinct ML approaches, combining them through a weighted prediction engine, and presenting results through a comprehensive Digital Twin dashboard.</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3. System Architecture</w:t>
      </w:r>
    </w:p>
    <w:p>
      <w:pPr>
        <w:spacing w:before="100"/>
      </w:pPr>
      <w:r>
        <w:t xml:space="preserve"/>
      </w:r>
    </w:p>
    <w:p>
      <w:pPr>
        <w:pStyle w:val="Heading2"/>
        <w:spacing w:before="300" w:after="150"/>
      </w:pPr>
      <w:r>
        <w:rPr>
          <w:rFonts w:ascii="Arial" w:cs="Arial" w:eastAsia="Arial" w:hAnsi="Arial"/>
          <w:b/>
          <w:bCs/>
          <w:color w:val="2E75B6"/>
          <w:sz w:val="28"/>
          <w:szCs w:val="28"/>
        </w:rPr>
        <w:t xml:space="preserve">3.1 Six-Tier Architecture Overview</w:t>
      </w:r>
    </w:p>
    <w:p>
      <w:pPr>
        <w:spacing w:before="100" w:after="100"/>
        <w:jc w:val="both"/>
      </w:pPr>
      <w:r>
        <w:rPr>
          <w:rFonts w:ascii="Arial" w:cs="Arial" w:eastAsia="Arial" w:hAnsi="Arial"/>
          <w:b w:val="false"/>
          <w:bCs w:val="false"/>
          <w:i w:val="false"/>
          <w:iCs w:val="false"/>
          <w:color w:val="333333"/>
          <w:sz w:val="24"/>
          <w:szCs w:val="24"/>
        </w:rPr>
        <w:t xml:space="preserve">InfraGuard AI is structured as a six-tier architecture, with each tier having clearly defined responsibilities:</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3526"/>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Components</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1</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Data Collection</w:t>
            </w:r>
          </w:p>
        </w:tc>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psutil, ServerSimulator, CollectionEngine</w:t>
            </w:r>
          </w:p>
        </w:tc>
        <w:tc>
          <w:tcPr>
            <w:tcW w:type="dxa" w:w="3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Gather metrics every 3 seconds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AI/ML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Isolation Forest, Random Forest, LSTM, Autoencoder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Predict failures and detect anomalies</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3</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Alert Engine</w:t>
            </w:r>
          </w:p>
        </w:tc>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AlertEngine, threshold rules</w:t>
            </w:r>
          </w:p>
        </w:tc>
        <w:tc>
          <w:tcPr>
            <w:tcW w:type="dxa" w:w="3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Generate and manage alerts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Flask-Login, session management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Authentication and authorization</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5</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Dashboard</w:t>
            </w:r>
          </w:p>
        </w:tc>
        <w:tc>
          <w:tcPr>
            <w:tcW w:type="dxa" w:w="3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7 HTML pages, Chart.js, Canvas API</w:t>
            </w:r>
          </w:p>
        </w:tc>
        <w:tc>
          <w:tcPr>
            <w:tcW w:type="dxa" w:w="3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Live web interface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Reporting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ReportLab, CSV writer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PDF and CSV generation</w:t>
            </w:r>
          </w:p>
        </w:tc>
      </w:tr>
    </w:tbl>
    <w:p>
      <w:pPr>
        <w:spacing w:before="100"/>
      </w:pPr>
      <w:r>
        <w:t xml:space="preserve"/>
      </w:r>
    </w:p>
    <w:p>
      <w:pPr>
        <w:pStyle w:val="Heading2"/>
        <w:spacing w:before="300" w:after="150"/>
      </w:pPr>
      <w:r>
        <w:rPr>
          <w:rFonts w:ascii="Arial" w:cs="Arial" w:eastAsia="Arial" w:hAnsi="Arial"/>
          <w:b/>
          <w:bCs/>
          <w:color w:val="2E75B6"/>
          <w:sz w:val="28"/>
          <w:szCs w:val="28"/>
        </w:rPr>
        <w:t xml:space="preserve">3.2 Data Flow</w:t>
      </w:r>
    </w:p>
    <w:p>
      <w:pPr>
        <w:spacing w:before="100" w:after="100"/>
        <w:jc w:val="both"/>
      </w:pPr>
      <w:r>
        <w:rPr>
          <w:rFonts w:ascii="Arial" w:cs="Arial" w:eastAsia="Arial" w:hAnsi="Arial"/>
          <w:b w:val="false"/>
          <w:bCs w:val="false"/>
          <w:i w:val="false"/>
          <w:iCs w:val="false"/>
          <w:color w:val="333333"/>
          <w:sz w:val="24"/>
          <w:szCs w:val="24"/>
        </w:rPr>
        <w:t xml:space="preserve">Data flows through the system in the following sequence: The CollectionEngine gathers metrics from all nine servers every three seconds and saves them to the SQLite database while maintaining an in-memory cache. A background prediction loop runs every fifteen seconds, fetching the latest readings and passing them through all four AI models. The PredictionEngine combines the four model outputs into a unified risk score and saves predictions to the database. The AlertEngine checks each server's metrics against configurable thresholds and creates or resolves alerts accordingly. The Flask API layer serves all this data to the dashboard via REST endpoints, which the JavaScript frontend polls every three seconds to update charts and displays.</w:t>
      </w:r>
    </w:p>
    <w:p>
      <w:pPr>
        <w:spacing w:before="100"/>
      </w:pPr>
      <w:r>
        <w:t xml:space="preserve"/>
      </w:r>
    </w:p>
    <w:p>
      <w:pPr>
        <w:pStyle w:val="Heading2"/>
        <w:spacing w:before="300" w:after="150"/>
      </w:pPr>
      <w:r>
        <w:rPr>
          <w:rFonts w:ascii="Arial" w:cs="Arial" w:eastAsia="Arial" w:hAnsi="Arial"/>
          <w:b/>
          <w:bCs/>
          <w:color w:val="2E75B6"/>
          <w:sz w:val="28"/>
          <w:szCs w:val="28"/>
        </w:rPr>
        <w:t xml:space="preserve">3.3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5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4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Backend</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Python + Flask</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3.11 / 3.x</w:t>
            </w:r>
          </w:p>
        </w:tc>
        <w:tc>
          <w:tcPr>
            <w:tcW w:type="dxa" w:w="4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Web server and API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SQLite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3.x</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persistence</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ML Models</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scikit-learn</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1.x</w:t>
            </w:r>
          </w:p>
        </w:tc>
        <w:tc>
          <w:tcPr>
            <w:tcW w:type="dxa" w:w="4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Isolation Forest, Random Forest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Deep Learning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TensorFlow/Keras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2.x</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LSTM, Autoencoder</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Data Collection</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psutil</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5.x</w:t>
            </w:r>
          </w:p>
        </w:tc>
        <w:tc>
          <w:tcPr>
            <w:tcW w:type="dxa" w:w="4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Real PC metrics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Frontend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HTML5 + CSS3 + 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Dashboard interface</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Charts</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Chart.js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4.4.0</w:t>
            </w:r>
          </w:p>
        </w:tc>
        <w:tc>
          <w:tcPr>
            <w:tcW w:type="dxa" w:w="4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Live data visualization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PDF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ReportLab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4.x</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Automated reports</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Authentication</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Flask Sessions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w:t>
            </w:r>
          </w:p>
        </w:tc>
        <w:tc>
          <w:tcPr>
            <w:tcW w:type="dxa" w:w="4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Secure login</w:t>
            </w:r>
          </w:p>
        </w:tc>
      </w:tr>
    </w:tbl>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4. AI/ML Models</w:t>
      </w:r>
    </w:p>
    <w:p>
      <w:pPr>
        <w:spacing w:before="100"/>
      </w:pPr>
      <w:r>
        <w:t xml:space="preserve"/>
      </w:r>
    </w:p>
    <w:p>
      <w:pPr>
        <w:pStyle w:val="Heading2"/>
        <w:spacing w:before="300" w:after="150"/>
      </w:pPr>
      <w:r>
        <w:rPr>
          <w:rFonts w:ascii="Arial" w:cs="Arial" w:eastAsia="Arial" w:hAnsi="Arial"/>
          <w:b/>
          <w:bCs/>
          <w:color w:val="2E75B6"/>
          <w:sz w:val="28"/>
          <w:szCs w:val="28"/>
        </w:rPr>
        <w:t xml:space="preserve">4.1 Isolation Forest</w:t>
      </w:r>
    </w:p>
    <w:p>
      <w:pPr>
        <w:spacing w:before="100" w:after="100"/>
        <w:jc w:val="both"/>
      </w:pPr>
      <w:r>
        <w:rPr>
          <w:rFonts w:ascii="Arial" w:cs="Arial" w:eastAsia="Arial" w:hAnsi="Arial"/>
          <w:b w:val="false"/>
          <w:bCs w:val="false"/>
          <w:i w:val="false"/>
          <w:iCs w:val="false"/>
          <w:color w:val="333333"/>
          <w:sz w:val="24"/>
          <w:szCs w:val="24"/>
        </w:rPr>
        <w:t xml:space="preserve">The Isolation Forest algorithm operates on the principle that anomalies are rare and different from normal observations. By recursively partitioning the feature space using random cuts, it measures how many cuts are needed to isolate each data point. Anomalous points, being different from the majority, require fewer cuts and thus have shorter average path lengths.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In InfraGuard AI, one Isolation Forest model is trained per server on the historical metric readings stored in the database. The model extracts eight features: CPU, RAM, disk, network in, network out, temperature, response time and error rate. A StandardScaler normalizes these features so no single metric dominates due to scale differences. The model uses 100 estimators with a contamination parameter of 0.05, expecting approximately 5% of readings to be anomalous.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sklearn score_samples() output is mapped to a 0.0-1.0 scale where values above 0.6 indicate anomalies and above 0.8 indicate severe anomalies. This model contributes 25% weight to the combined risk score.</w:t>
      </w:r>
    </w:p>
    <w:p>
      <w:pPr>
        <w:spacing w:before="100"/>
      </w:pPr>
      <w:r>
        <w:t xml:space="preserve"/>
      </w:r>
    </w:p>
    <w:p>
      <w:pPr>
        <w:pStyle w:val="Heading2"/>
        <w:spacing w:before="300" w:after="150"/>
      </w:pPr>
      <w:r>
        <w:rPr>
          <w:rFonts w:ascii="Arial" w:cs="Arial" w:eastAsia="Arial" w:hAnsi="Arial"/>
          <w:b/>
          <w:bCs/>
          <w:color w:val="2E75B6"/>
          <w:sz w:val="28"/>
          <w:szCs w:val="28"/>
        </w:rPr>
        <w:t xml:space="preserve">4.2 Random Forest Classifier</w:t>
      </w:r>
    </w:p>
    <w:p>
      <w:pPr>
        <w:spacing w:before="100" w:after="100"/>
        <w:jc w:val="both"/>
      </w:pPr>
      <w:r>
        <w:rPr>
          <w:rFonts w:ascii="Arial" w:cs="Arial" w:eastAsia="Arial" w:hAnsi="Arial"/>
          <w:b w:val="false"/>
          <w:bCs w:val="false"/>
          <w:i w:val="false"/>
          <w:iCs w:val="false"/>
          <w:color w:val="333333"/>
          <w:sz w:val="24"/>
          <w:szCs w:val="24"/>
        </w:rPr>
        <w:t xml:space="preserve">The Random Forest classifier is an ensemble of 100 decision trees, each trained on a random subset of features and data points. The majority vote across all trees determines the final prediction. This ensemble approach reduces overfitting and provides stable, reliable predictions on structured tabular data.</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Since InfraGuard AI operates without labeled failure history, training labels are generated synthetically using threshold rules: readings where CPU exceeds 90%, RAM exceeds 90%, disk exceeds 90%, temperature exceeds 80 degrees, error rate exceeds 8%, or response time exceeds 1800ms are labeled as failure risk. This label generation approach is standard practice for synthetic monitoring datasets.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A key output of the Random Forest model is feature importance — the relative contribution of each metric to the failure prediction. This explainability feature is critical for operations teams who need to understand not just that a server is at risk but which specific metric is causing the concern. The model uses class_weight='balanced' to handle the inherent imbalance between healthy readings (majority) and failure-risk readings (minority). This model contributes 35% weight to the combined risk score, the highest of the four models, due to its reliability on structured tabular data.</w:t>
      </w:r>
    </w:p>
    <w:p>
      <w:pPr>
        <w:spacing w:before="100"/>
      </w:pPr>
      <w:r>
        <w:t xml:space="preserve"/>
      </w:r>
    </w:p>
    <w:p>
      <w:pPr>
        <w:pStyle w:val="Heading2"/>
        <w:spacing w:before="300" w:after="150"/>
      </w:pPr>
      <w:r>
        <w:rPr>
          <w:rFonts w:ascii="Arial" w:cs="Arial" w:eastAsia="Arial" w:hAnsi="Arial"/>
          <w:b/>
          <w:bCs/>
          <w:color w:val="2E75B6"/>
          <w:sz w:val="28"/>
          <w:szCs w:val="28"/>
        </w:rPr>
        <w:t xml:space="preserve">4.3 LSTM Neural Network</w:t>
      </w:r>
    </w:p>
    <w:p>
      <w:pPr>
        <w:spacing w:before="100" w:after="100"/>
        <w:jc w:val="both"/>
      </w:pPr>
      <w:r>
        <w:rPr>
          <w:rFonts w:ascii="Arial" w:cs="Arial" w:eastAsia="Arial" w:hAnsi="Arial"/>
          <w:b w:val="false"/>
          <w:bCs w:val="false"/>
          <w:i w:val="false"/>
          <w:iCs w:val="false"/>
          <w:color w:val="333333"/>
          <w:sz w:val="24"/>
          <w:szCs w:val="24"/>
        </w:rPr>
        <w:t xml:space="preserve">Long Short-Term Memory networks are a specialized type of Recurrent Neural Network designed to capture temporal dependencies in sequential data. Unlike feedforward networks that process each input independently, LSTMs maintain a cell state that carries information across time steps, allowing them to learn long-range patterns.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In InfraGuard AI, the LSTM model uses the last 20 readings as input (the sequence length) to forecast the next reading. The architecture consists of two LSTM layers (64 and 32 units respectively) with dropout regularization (0.2) to prevent overfitting, followed by a dense output layer. Four features are used: CPU, RAM, response time and error rate.</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Forecasting is performed iteratively: the model predicts one step ahead, then that prediction is appended to the input sequence and the oldest reading is dropped, and the process repeats for 10 steps covering 30 minutes. When insufficient training data is available, the model falls back to linear trend projection. The LSTM contributes to the combined score through an urgency function that maps time-to-failure estimates to a 0-1 score — imminent failures (under 10 minutes) score 0.95 while no predicted failure scores 0.05.</w:t>
      </w:r>
    </w:p>
    <w:p>
      <w:pPr>
        <w:spacing w:before="100"/>
      </w:pPr>
      <w:r>
        <w:t xml:space="preserve"/>
      </w:r>
    </w:p>
    <w:p>
      <w:pPr>
        <w:pStyle w:val="Heading2"/>
        <w:spacing w:before="300" w:after="150"/>
      </w:pPr>
      <w:r>
        <w:rPr>
          <w:rFonts w:ascii="Arial" w:cs="Arial" w:eastAsia="Arial" w:hAnsi="Arial"/>
          <w:b/>
          <w:bCs/>
          <w:color w:val="2E75B6"/>
          <w:sz w:val="28"/>
          <w:szCs w:val="28"/>
        </w:rPr>
        <w:t xml:space="preserve">4.4 Autoencoder Neural Network</w:t>
      </w:r>
    </w:p>
    <w:p>
      <w:pPr>
        <w:spacing w:before="100" w:after="100"/>
        <w:jc w:val="both"/>
      </w:pPr>
      <w:r>
        <w:rPr>
          <w:rFonts w:ascii="Arial" w:cs="Arial" w:eastAsia="Arial" w:hAnsi="Arial"/>
          <w:b w:val="false"/>
          <w:bCs w:val="false"/>
          <w:i w:val="false"/>
          <w:iCs w:val="false"/>
          <w:color w:val="333333"/>
          <w:sz w:val="24"/>
          <w:szCs w:val="24"/>
        </w:rPr>
        <w:t xml:space="preserve">An Autoencoder is a neural network trained to compress its input into a lower-dimensional representation (encoding) and then reconstruct the original input from that representation (decoding). When trained exclusively on normal data, the model learns what normal looks like and can reconstruct it accurately. When presented with anomalous data that does not match the learned normal patterns, reconstruction quality degrades and the reconstruction error (measured as mean squared error) increases.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InfraGuard AI Autoencoder has a symmetric architecture: an encoder that compresses 8 input features to 4 (via an intermediate layer of 6), and a decoder that reconstructs 4 values back to 8. The anomaly threshold is calculated automatically as the mean reconstruction error on training data plus two standard deviations — a statistical approach that adapts to each server's unique behavior profile. This model is particularly effective at detecting subtle, gradual degradation that does not trigger threshold alerts and may not appear anomalous to other models in isolation.</w:t>
      </w:r>
    </w:p>
    <w:p>
      <w:pPr>
        <w:spacing w:before="100"/>
      </w:pPr>
      <w:r>
        <w:t xml:space="preserve"/>
      </w:r>
    </w:p>
    <w:p>
      <w:pPr>
        <w:pStyle w:val="Heading2"/>
        <w:spacing w:before="300" w:after="150"/>
      </w:pPr>
      <w:r>
        <w:rPr>
          <w:rFonts w:ascii="Arial" w:cs="Arial" w:eastAsia="Arial" w:hAnsi="Arial"/>
          <w:b/>
          <w:bCs/>
          <w:color w:val="2E75B6"/>
          <w:sz w:val="28"/>
          <w:szCs w:val="28"/>
        </w:rPr>
        <w:t xml:space="preserve">4.5 Prediction Engine</w:t>
      </w:r>
    </w:p>
    <w:p>
      <w:pPr>
        <w:spacing w:before="100" w:after="100"/>
        <w:jc w:val="both"/>
      </w:pPr>
      <w:r>
        <w:rPr>
          <w:rFonts w:ascii="Arial" w:cs="Arial" w:eastAsia="Arial" w:hAnsi="Arial"/>
          <w:b w:val="false"/>
          <w:bCs w:val="false"/>
          <w:i w:val="false"/>
          <w:iCs w:val="false"/>
          <w:color w:val="333333"/>
          <w:sz w:val="24"/>
          <w:szCs w:val="24"/>
        </w:rPr>
        <w:t xml:space="preserve">The PredictionEngine class combines all four model outputs into a single unified risk score using weighted averaging. The weights reflect each model's reliability for structured tabular data and the nature of infrastructure failure prediction:</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5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Random Forest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35%</w:t>
            </w:r>
          </w:p>
        </w:tc>
        <w:tc>
          <w:tcPr>
            <w:tcW w:type="dxa" w:w="53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Most reliable for structured tabular data with clear decision boundaries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Isolation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25%</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Excellent for detecting sudden spikes and novel anomalies</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Autoencoder</w:t>
            </w:r>
          </w:p>
        </w:tc>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20%</w:t>
            </w:r>
          </w:p>
        </w:tc>
        <w:tc>
          <w:tcPr>
            <w:tcW w:type="dxa" w:w="53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Captures subtle pattern changes invisible to other models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LSTM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20%</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Adds temporal dimension, critical for trend-based failures</w:t>
            </w:r>
          </w:p>
        </w:tc>
      </w:tr>
    </w:tbl>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combined score is mapped to risk levels: LOW (0-25%), MEDIUM (25-50%), HIGH (50-75%) and CRITICAL (75-100%). All predictions are saved to the database with full model details for historical analysis and dashboard display.</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5. System Implementation</w:t>
      </w:r>
    </w:p>
    <w:p>
      <w:pPr>
        <w:spacing w:before="100"/>
      </w:pPr>
      <w:r>
        <w:t xml:space="preserve"/>
      </w:r>
    </w:p>
    <w:p>
      <w:pPr>
        <w:pStyle w:val="Heading2"/>
        <w:spacing w:before="300" w:after="150"/>
      </w:pPr>
      <w:r>
        <w:rPr>
          <w:rFonts w:ascii="Arial" w:cs="Arial" w:eastAsia="Arial" w:hAnsi="Arial"/>
          <w:b/>
          <w:bCs/>
          <w:color w:val="2E75B6"/>
          <w:sz w:val="28"/>
          <w:szCs w:val="28"/>
        </w:rPr>
        <w:t xml:space="preserve">5.1 Data Collection Layer</w:t>
      </w:r>
    </w:p>
    <w:p>
      <w:pPr>
        <w:spacing w:before="100" w:after="100"/>
        <w:jc w:val="both"/>
      </w:pPr>
      <w:r>
        <w:rPr>
          <w:rFonts w:ascii="Arial" w:cs="Arial" w:eastAsia="Arial" w:hAnsi="Arial"/>
          <w:b w:val="false"/>
          <w:bCs w:val="false"/>
          <w:i w:val="false"/>
          <w:iCs w:val="false"/>
          <w:color w:val="333333"/>
          <w:sz w:val="24"/>
          <w:szCs w:val="24"/>
        </w:rPr>
        <w:t xml:space="preserve">The data collection layer is implemented in collector.py and consists of two components: a real PC collector and a server simulator.</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real PC collector uses the psutil library to read actual hardware metrics from the Windows machine: CPU usage is measured over a 1-second interval for accuracy, RAM from virtual_memory(), disk usage from disk_usage('C:\\'), network from net_io_counters(), temperature from sensors_temperatures() with a fallback to simulated values if hardware sensors are unavailable, and process count from len(psutil.pids()).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ServerSimulator class gives each server a unique personality through predefined metric ranges per server type. A drift mechanism slowly moves metrics up and down over time using a random walk algorithm, simulating real server behavior. A stress event mechanism randomly triggers metric spikes with 0.5% probability per tick, lasting 20-60 readings, representing traffic spikes, scheduled jobs and other real-world events.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CollectionEngine manages all nine collectors and runs them in a background thread using Python's threading module. The daemon=True flag ensures the thread stops automatically when the main program exits. An in-memory cache stores the latest reading for each server, allowing the dashboard to retrieve current data without a database query.</w:t>
      </w:r>
    </w:p>
    <w:p>
      <w:pPr>
        <w:spacing w:before="100"/>
      </w:pPr>
      <w:r>
        <w:t xml:space="preserve"/>
      </w:r>
    </w:p>
    <w:p>
      <w:pPr>
        <w:pStyle w:val="Heading2"/>
        <w:spacing w:before="300" w:after="150"/>
      </w:pPr>
      <w:r>
        <w:rPr>
          <w:rFonts w:ascii="Arial" w:cs="Arial" w:eastAsia="Arial" w:hAnsi="Arial"/>
          <w:b/>
          <w:bCs/>
          <w:color w:val="2E75B6"/>
          <w:sz w:val="28"/>
          <w:szCs w:val="28"/>
        </w:rPr>
        <w:t xml:space="preserve">5.2 Database Design</w:t>
      </w:r>
    </w:p>
    <w:p>
      <w:pPr>
        <w:spacing w:before="100" w:after="100"/>
        <w:jc w:val="both"/>
      </w:pPr>
      <w:r>
        <w:rPr>
          <w:rFonts w:ascii="Arial" w:cs="Arial" w:eastAsia="Arial" w:hAnsi="Arial"/>
          <w:b w:val="false"/>
          <w:bCs w:val="false"/>
          <w:i w:val="false"/>
          <w:iCs w:val="false"/>
          <w:color w:val="333333"/>
          <w:sz w:val="24"/>
          <w:szCs w:val="24"/>
        </w:rPr>
        <w:t xml:space="preserve">The database is implemented in SQLite with six normalized tables:</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Columns</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users</w:t>
            </w:r>
          </w:p>
        </w:tc>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id, username, password (SHA-256), role, created_at, last_login</w:t>
            </w:r>
          </w:p>
        </w:tc>
        <w:tc>
          <w:tcPr>
            <w:tcW w:type="dxa" w:w="3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Authentication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servers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id, name, type, status, added_at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Server definitions</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metrics</w:t>
            </w:r>
          </w:p>
        </w:tc>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id, server_id, timestamp, cpu, ram, disk, network_in, network_out, temperature, processes, response_time, error_rate</w:t>
            </w:r>
          </w:p>
        </w:tc>
        <w:tc>
          <w:tcPr>
            <w:tcW w:type="dxa" w:w="3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Metric history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alerts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id, server_id, severity, metric, message, value, threshold, status, created_at, resolved_at, acknowledged_by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Alert history</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predictions</w:t>
            </w:r>
          </w:p>
        </w:tc>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id, server_id, timestamp, anomaly_score, failure_probability, risk_level, time_to_failure, forecast_data, model_details</w:t>
            </w:r>
          </w:p>
        </w:tc>
        <w:tc>
          <w:tcPr>
            <w:tcW w:type="dxa" w:w="35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AI outputs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model_accuracy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id, timestamp, model_name, accuracy, details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Model performance</w:t>
            </w:r>
          </w:p>
        </w:tc>
      </w:tr>
    </w:tbl>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INSERT OR IGNORE pattern is used for seeding default data, ensuring initialization is idempotent. SHA-256 password hashing is applied using Python's hashlib module. The row_factory = sqlite3.Row setting allows column access by name rather than index, making code more readable and maintainable.</w:t>
      </w:r>
    </w:p>
    <w:p>
      <w:pPr>
        <w:spacing w:before="100"/>
      </w:pPr>
      <w:r>
        <w:t xml:space="preserve"/>
      </w:r>
    </w:p>
    <w:p>
      <w:pPr>
        <w:pStyle w:val="Heading2"/>
        <w:spacing w:before="300" w:after="150"/>
      </w:pPr>
      <w:r>
        <w:rPr>
          <w:rFonts w:ascii="Arial" w:cs="Arial" w:eastAsia="Arial" w:hAnsi="Arial"/>
          <w:b/>
          <w:bCs/>
          <w:color w:val="2E75B6"/>
          <w:sz w:val="28"/>
          <w:szCs w:val="28"/>
        </w:rPr>
        <w:t xml:space="preserve">5.3 Alert Engine</w:t>
      </w:r>
    </w:p>
    <w:p>
      <w:pPr>
        <w:spacing w:before="100" w:after="100"/>
        <w:jc w:val="both"/>
      </w:pPr>
      <w:r>
        <w:rPr>
          <w:rFonts w:ascii="Arial" w:cs="Arial" w:eastAsia="Arial" w:hAnsi="Arial"/>
          <w:b w:val="false"/>
          <w:bCs w:val="false"/>
          <w:i w:val="false"/>
          <w:iCs w:val="false"/>
          <w:color w:val="333333"/>
          <w:sz w:val="24"/>
          <w:szCs w:val="24"/>
        </w:rPr>
        <w:t xml:space="preserve">The alert engine evaluates six metrics against three severity thresholds each, creating 18 possible alert conditions per server. Alert deduplication is implemented at the database level: before creating a new alert, the engine queries for existing active alerts with the same server and metric combination. If found, the new alert is suppressed. This prevents alert storms where the same condition triggers hundreds of identical notifications.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Auto-resolution is implemented through the auto_resolve_alerts() function, which is called whenever a metric returns to normal. This closes all active alerts for that metric on that server automatically, reflecting the recovered state without requiring manual intervention. The four severity levels use the following thresholds by default, all configurable in config.py:</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Warning</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High</w:t>
            </w:r>
          </w:p>
        </w:tc>
        <w:tc>
          <w:tcPr>
            <w:tcW w:type="dxa" w:w="3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Critical</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CPU Usage</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70%</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85%</w:t>
            </w:r>
          </w:p>
        </w:tc>
        <w:tc>
          <w:tcPr>
            <w:tcW w:type="dxa" w:w="34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95%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RAM Usage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85%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95%</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Disk Usage</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75%</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88%</w:t>
            </w:r>
          </w:p>
        </w:tc>
        <w:tc>
          <w:tcPr>
            <w:tcW w:type="dxa" w:w="34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95%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65°C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75°C</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85°C</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Error Rate</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2%</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5%</w:t>
            </w:r>
          </w:p>
        </w:tc>
        <w:tc>
          <w:tcPr>
            <w:tcW w:type="dxa" w:w="34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Response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500ms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1000ms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2000ms</w:t>
            </w:r>
          </w:p>
        </w:tc>
      </w:tr>
    </w:tbl>
    <w:p>
      <w:pPr>
        <w:spacing w:before="100"/>
      </w:pPr>
      <w:r>
        <w:t xml:space="preserve"/>
      </w:r>
    </w:p>
    <w:p>
      <w:pPr>
        <w:pStyle w:val="Heading2"/>
        <w:spacing w:before="300" w:after="150"/>
      </w:pPr>
      <w:r>
        <w:rPr>
          <w:rFonts w:ascii="Arial" w:cs="Arial" w:eastAsia="Arial" w:hAnsi="Arial"/>
          <w:b/>
          <w:bCs/>
          <w:color w:val="2E75B6"/>
          <w:sz w:val="28"/>
          <w:szCs w:val="28"/>
        </w:rPr>
        <w:t xml:space="preserve">5.4 Flask Backend and APIs</w:t>
      </w:r>
    </w:p>
    <w:p>
      <w:pPr>
        <w:spacing w:before="100" w:after="100"/>
        <w:jc w:val="both"/>
      </w:pPr>
      <w:r>
        <w:rPr>
          <w:rFonts w:ascii="Arial" w:cs="Arial" w:eastAsia="Arial" w:hAnsi="Arial"/>
          <w:b w:val="false"/>
          <w:bCs w:val="false"/>
          <w:i w:val="false"/>
          <w:iCs w:val="false"/>
          <w:color w:val="333333"/>
          <w:sz w:val="24"/>
          <w:szCs w:val="24"/>
        </w:rPr>
        <w:t xml:space="preserve">The Flask application is configured with debug=False and use_reloader=False to support background threads. The application exposes sixteen REST API endpoints organized into six categories: authentication (/api/login, /api/logout, /api/me), metrics (/api/overview, /api/metrics/&lt;id&gt;), alerts (/api/alerts, /api/alerts/&lt;id&gt;/acknowledge, /api/alerts/&lt;id&gt;/resolve), predictions (/api/predictions, /api/predictions/&lt;id&gt;), digital twin (/api/twin), simulation (/api/simulate/failure, /api/simulate/recover), and reports (/api/reports/data, /api/reports/pdf, /api/reports/csv).</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All API endpoints are protected by a custom login_required decorator that checks for a valid session cookie before processing the request. Role-based access control restricts simulation endpoints to admin and engineer roles, and user management endpoints to admin role only.</w:t>
      </w:r>
    </w:p>
    <w:p>
      <w:pPr>
        <w:spacing w:before="100"/>
      </w:pPr>
      <w:r>
        <w:t xml:space="preserve"/>
      </w:r>
    </w:p>
    <w:p>
      <w:pPr>
        <w:pStyle w:val="Heading2"/>
        <w:spacing w:before="300" w:after="150"/>
      </w:pPr>
      <w:r>
        <w:rPr>
          <w:rFonts w:ascii="Arial" w:cs="Arial" w:eastAsia="Arial" w:hAnsi="Arial"/>
          <w:b/>
          <w:bCs/>
          <w:color w:val="2E75B6"/>
          <w:sz w:val="28"/>
          <w:szCs w:val="28"/>
        </w:rPr>
        <w:t xml:space="preserve">5.5 Dashboard</w:t>
      </w:r>
    </w:p>
    <w:p>
      <w:pPr>
        <w:spacing w:before="100" w:after="100"/>
        <w:jc w:val="both"/>
      </w:pPr>
      <w:r>
        <w:rPr>
          <w:rFonts w:ascii="Arial" w:cs="Arial" w:eastAsia="Arial" w:hAnsi="Arial"/>
          <w:b w:val="false"/>
          <w:bCs w:val="false"/>
          <w:i w:val="false"/>
          <w:iCs w:val="false"/>
          <w:color w:val="333333"/>
          <w:sz w:val="24"/>
          <w:szCs w:val="24"/>
        </w:rPr>
        <w:t xml:space="preserve">The dashboard consists of seven HTML pages sharing a common design language: a dark theme with CSS variables for consistent colour application, a fixed sidebar navigation, live data from API polling every three seconds, and Chart.js for data visualization.</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Digital Twin Map is implemented using the HTML5 Canvas 2D API rather than Chart.js, allowing full control over node positioning, connection rendering and animation. Nodes are positioned using percentage-based coordinates that adapt to canvas size. The requestAnimationFrame() loop runs at 60fps, animating data packets along connection lines and pulsing rings around critical nodes. Click interaction is implemented by converting mouse coordinates to canvas coordinates and checking proximity to each node center.</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Server Drilldown page uses four Chart.js line charts updating in real time with animation disabled (update('none')) to prevent visual jitter during rapid updates. Feature importance from the Random Forest model is visualized as horizontal progress bars.</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6. Results and Testing</w:t>
      </w:r>
    </w:p>
    <w:p>
      <w:pPr>
        <w:spacing w:before="100"/>
      </w:pPr>
      <w:r>
        <w:t xml:space="preserve"/>
      </w:r>
    </w:p>
    <w:p>
      <w:pPr>
        <w:pStyle w:val="Heading2"/>
        <w:spacing w:before="300" w:after="150"/>
      </w:pPr>
      <w:r>
        <w:rPr>
          <w:rFonts w:ascii="Arial" w:cs="Arial" w:eastAsia="Arial" w:hAnsi="Arial"/>
          <w:b/>
          <w:bCs/>
          <w:color w:val="2E75B6"/>
          <w:sz w:val="28"/>
          <w:szCs w:val="28"/>
        </w:rPr>
        <w:t xml:space="preserve">6.1 System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Data collection interval</w:t>
            </w:r>
          </w:p>
        </w:tc>
        <w:tc>
          <w:tcPr>
            <w:tcW w:type="dxa" w:w="50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3 seconds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 response time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&lt; 50ms average</w:t>
            </w:r>
          </w:p>
        </w:tc>
      </w:tr>
      <w:tr>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Database write speed</w:t>
            </w:r>
          </w:p>
        </w:tc>
        <w:tc>
          <w:tcPr>
            <w:tcW w:type="dxa" w:w="50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&gt; 50 writes/second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Database read speed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&gt; 50 reads/second</w:t>
            </w:r>
          </w:p>
        </w:tc>
      </w:tr>
      <w:tr>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Prediction cycle</w:t>
            </w:r>
          </w:p>
        </w:tc>
        <w:tc>
          <w:tcPr>
            <w:tcW w:type="dxa" w:w="50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15 seconds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Alert detection latency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&lt; 5 seconds from metric collection</w:t>
            </w:r>
          </w:p>
        </w:tc>
      </w:tr>
      <w:tr>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Dashboard refresh rate</w:t>
            </w:r>
          </w:p>
        </w:tc>
        <w:tc>
          <w:tcPr>
            <w:tcW w:type="dxa" w:w="50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Every 3 seconds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Servers monitored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9 nodes simultaneously</w:t>
            </w:r>
          </w:p>
        </w:tc>
      </w:tr>
      <w:tr>
        <w:tc>
          <w:tcPr>
            <w:tcW w:type="dxa" w:w="4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Metrics per server</w:t>
            </w:r>
          </w:p>
        </w:tc>
        <w:tc>
          <w:tcPr>
            <w:tcW w:type="dxa" w:w="50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8 distinct measurements</w:t>
            </w:r>
          </w:p>
        </w:tc>
      </w:tr>
    </w:tbl>
    <w:p>
      <w:pPr>
        <w:spacing w:before="100"/>
      </w:pPr>
      <w:r>
        <w:t xml:space="preserve"/>
      </w:r>
    </w:p>
    <w:p>
      <w:pPr>
        <w:pStyle w:val="Heading2"/>
        <w:spacing w:before="300" w:after="150"/>
      </w:pPr>
      <w:r>
        <w:rPr>
          <w:rFonts w:ascii="Arial" w:cs="Arial" w:eastAsia="Arial" w:hAnsi="Arial"/>
          <w:b/>
          <w:bCs/>
          <w:color w:val="2E75B6"/>
          <w:sz w:val="28"/>
          <w:szCs w:val="28"/>
        </w:rPr>
        <w:t xml:space="preserve">6.2 AI Model Results</w:t>
      </w:r>
    </w:p>
    <w:p>
      <w:pPr>
        <w:spacing w:before="100" w:after="100"/>
        <w:jc w:val="both"/>
      </w:pPr>
      <w:r>
        <w:rPr>
          <w:rFonts w:ascii="Arial" w:cs="Arial" w:eastAsia="Arial" w:hAnsi="Arial"/>
          <w:b w:val="false"/>
          <w:bCs w:val="false"/>
          <w:i w:val="false"/>
          <w:iCs w:val="false"/>
          <w:color w:val="333333"/>
          <w:sz w:val="24"/>
          <w:szCs w:val="24"/>
        </w:rPr>
        <w:t xml:space="preserve">After sufficient training data accumulation (500+ readings per server), the models produce the following typical outputs for a healthy server:</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8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Healthy Score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Failing Score</w:t>
            </w:r>
          </w:p>
        </w:tc>
        <w:tc>
          <w:tcPr>
            <w:tcW w:type="dxa" w:w="3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Isolation Forest</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0.1-0.3</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0.7-0.95</w:t>
            </w:r>
          </w:p>
        </w:tc>
        <w:tc>
          <w:tcPr>
            <w:tcW w:type="dxa" w:w="38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Correctly distinguishes normal from anomalous readings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Random Forest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85-99%</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Reliably predicts failure probability from threshold violations</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LSTM</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5% urgency</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60-95% urgency</w:t>
            </w:r>
          </w:p>
        </w:tc>
        <w:tc>
          <w:tcPr>
            <w:tcW w:type="dxa" w:w="38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Correctly forecasts stable vs. rising metric trends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Autoencoder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0.1-0.3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0.6-1.0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Detects pattern deviations through reconstruction error</w:t>
            </w:r>
          </w:p>
        </w:tc>
      </w:tr>
    </w:tbl>
    <w:p>
      <w:pPr>
        <w:spacing w:before="100"/>
      </w:pPr>
      <w:r>
        <w:t xml:space="preserve"/>
      </w:r>
    </w:p>
    <w:p>
      <w:pPr>
        <w:pStyle w:val="Heading2"/>
        <w:spacing w:before="300" w:after="150"/>
      </w:pPr>
      <w:r>
        <w:rPr>
          <w:rFonts w:ascii="Arial" w:cs="Arial" w:eastAsia="Arial" w:hAnsi="Arial"/>
          <w:b/>
          <w:bCs/>
          <w:color w:val="2E75B6"/>
          <w:sz w:val="28"/>
          <w:szCs w:val="28"/>
        </w:rPr>
        <w:t xml:space="preserve">6.3 Functional Testing Results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6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Case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Actual Result</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Login with valid credentials</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Redirect to overview</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Redirect to overview</w:t>
            </w:r>
          </w:p>
        </w:tc>
        <w:tc>
          <w:tcPr>
            <w:tcW w:type="dxa" w:w="16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Login with invalid credentials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Error message displayed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Error message displayed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All 7 pages load</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No blank or error pages</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All pages render correctly</w:t>
            </w:r>
          </w:p>
        </w:tc>
        <w:tc>
          <w:tcPr>
            <w:tcW w:type="dxa" w:w="16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Simulate failure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CRITICAL alerts fire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CRITICAL alerts fire in &lt; 5s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Alert auto-resolution</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Alert resolves on recovery</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Alert auto-resolved</w:t>
            </w:r>
          </w:p>
        </w:tc>
        <w:tc>
          <w:tcPr>
            <w:tcW w:type="dxa" w:w="16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PDF report download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PDF downloads correctly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PDF downloads and opens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CSV export</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CSV opens in Excel</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CSV opens with all columns</w:t>
            </w:r>
          </w:p>
        </w:tc>
        <w:tc>
          <w:tcPr>
            <w:tcW w:type="dxa" w:w="16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Live dashboard updates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updates every 3s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updates every 3s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Role-based access</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Viewer cannot simulate</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Access correctly restricted</w:t>
            </w:r>
          </w:p>
        </w:tc>
        <w:tc>
          <w:tcPr>
            <w:tcW w:type="dxa" w:w="16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Digital Twin animation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Nodes animate at 60fps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Smooth animation confirmed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bl>
    <w:p>
      <w:pPr>
        <w:spacing w:before="100"/>
      </w:pPr>
      <w:r>
        <w:t xml:space="preserve"/>
      </w:r>
    </w:p>
    <w:p>
      <w:pPr>
        <w:pStyle w:val="Heading2"/>
        <w:spacing w:before="300" w:after="150"/>
      </w:pPr>
      <w:r>
        <w:rPr>
          <w:rFonts w:ascii="Arial" w:cs="Arial" w:eastAsia="Arial" w:hAnsi="Arial"/>
          <w:b/>
          <w:bCs/>
          <w:color w:val="2E75B6"/>
          <w:sz w:val="28"/>
          <w:szCs w:val="28"/>
        </w:rPr>
        <w:t xml:space="preserve">6.4 Limitations</w:t>
      </w:r>
    </w:p>
    <w:p>
      <w:pPr>
        <w:spacing w:before="100" w:after="100"/>
        <w:jc w:val="both"/>
      </w:pPr>
      <w:r>
        <w:rPr>
          <w:rFonts w:ascii="Arial" w:cs="Arial" w:eastAsia="Arial" w:hAnsi="Arial"/>
          <w:b w:val="false"/>
          <w:bCs w:val="false"/>
          <w:i w:val="false"/>
          <w:iCs w:val="false"/>
          <w:color w:val="333333"/>
          <w:sz w:val="24"/>
          <w:szCs w:val="24"/>
        </w:rPr>
        <w:t xml:space="preserve">The current implementation has several acknowledged limitations. The Random Forest model shows 0% failure probability when all servers are healthy, as it has not been exposed to sufficient failure examples in training data — this resolves naturally as the system accumulates more varied readings over time. The Isolation Forest model may show elevated scores with limited training data (fewer than 100 readings), as it has not established a reliable normal baseline. The simulated servers use random walk-based drift rather than actual server behavior data, which approximates but does not perfectly replicate real infrastructure patterns.</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7. Conclusion and Future Work</w:t>
      </w:r>
    </w:p>
    <w:p>
      <w:pPr>
        <w:spacing w:before="100"/>
      </w:pPr>
      <w:r>
        <w:t xml:space="preserve"/>
      </w:r>
    </w:p>
    <w:p>
      <w:pPr>
        <w:pStyle w:val="Heading2"/>
        <w:spacing w:before="300" w:after="150"/>
      </w:pPr>
      <w:r>
        <w:rPr>
          <w:rFonts w:ascii="Arial" w:cs="Arial" w:eastAsia="Arial" w:hAnsi="Arial"/>
          <w:b/>
          <w:bCs/>
          <w:color w:val="2E75B6"/>
          <w:sz w:val="28"/>
          <w:szCs w:val="28"/>
        </w:rPr>
        <w:t xml:space="preserve">7.1 Conclusion</w:t>
      </w:r>
    </w:p>
    <w:p>
      <w:pPr>
        <w:spacing w:before="100" w:after="100"/>
        <w:jc w:val="both"/>
      </w:pPr>
      <w:r>
        <w:rPr>
          <w:rFonts w:ascii="Arial" w:cs="Arial" w:eastAsia="Arial" w:hAnsi="Arial"/>
          <w:b w:val="false"/>
          <w:bCs w:val="false"/>
          <w:i w:val="false"/>
          <w:iCs w:val="false"/>
          <w:color w:val="333333"/>
          <w:sz w:val="24"/>
          <w:szCs w:val="24"/>
        </w:rPr>
        <w:t xml:space="preserve">InfraGuard AI successfully demonstrates a complete, end-to-end AI-powered infrastructure monitoring platform built entirely in Python. The project achieves all stated objectives: real-time metric collection from nine servers, four complementary ML models for failure prediction, an animated Digital Twin topology visualization, a seven-page professional live dashboard, a four-tier alert system with deduplication and auto-resolution, automated PDF and CSV reporting, and role-based access control.</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The key innovation is the combination of four distinct machine learning approaches — each addressing different failure detection challenges — into a unified weighted prediction engine. This ensemble approach is more robust than any single model, as each model compensates for the weaknesses of the others: Isolation Forest handles sudden spikes that LSTM may miss, LSTM captures gradual trends that Isolation Forest ignores, Autoencoder detects subtle pattern shifts invisible to threshold-based models, and Random Forest provides the most reliable overall failure probability with explainable feature importance.</w:t>
      </w:r>
    </w:p>
    <w:p>
      <w:pPr>
        <w:spacing w:before="100"/>
      </w:pPr>
      <w:r>
        <w:t xml:space="preserve"/>
      </w:r>
    </w:p>
    <w:p>
      <w:pPr>
        <w:pStyle w:val="Heading2"/>
        <w:spacing w:before="300" w:after="150"/>
      </w:pPr>
      <w:r>
        <w:rPr>
          <w:rFonts w:ascii="Arial" w:cs="Arial" w:eastAsia="Arial" w:hAnsi="Arial"/>
          <w:b/>
          <w:bCs/>
          <w:color w:val="2E75B6"/>
          <w:sz w:val="28"/>
          <w:szCs w:val="28"/>
        </w:rPr>
        <w:t xml:space="preserve">7.2 Future Work</w:t>
      </w:r>
    </w:p>
    <w:p>
      <w:pPr>
        <w:spacing w:before="100" w:after="100"/>
        <w:jc w:val="both"/>
      </w:pPr>
      <w:r>
        <w:rPr>
          <w:rFonts w:ascii="Arial" w:cs="Arial" w:eastAsia="Arial" w:hAnsi="Arial"/>
          <w:b w:val="false"/>
          <w:bCs w:val="false"/>
          <w:i w:val="false"/>
          <w:iCs w:val="false"/>
          <w:color w:val="333333"/>
          <w:sz w:val="24"/>
          <w:szCs w:val="24"/>
        </w:rPr>
        <w:t xml:space="preserve">Several directions would enhance InfraGuard AI in future development:</w:t>
      </w:r>
    </w:p>
    <w:p>
      <w:pPr>
        <w:pStyle w:val="ListParagraph"/>
        <w:numPr>
          <w:ilvl w:val="0"/>
          <w:numId w:val="2"/>
        </w:numPr>
        <w:spacing w:before="60" w:after="60"/>
      </w:pPr>
      <w:r>
        <w:rPr>
          <w:rFonts w:ascii="Arial" w:cs="Arial" w:eastAsia="Arial" w:hAnsi="Arial"/>
          <w:color w:val="333333"/>
          <w:sz w:val="24"/>
          <w:szCs w:val="24"/>
        </w:rPr>
        <w:t xml:space="preserve">Email and SMS notifications for critical alerts using SMTP and Twilio integration</w:t>
      </w:r>
    </w:p>
    <w:p>
      <w:pPr>
        <w:pStyle w:val="ListParagraph"/>
        <w:numPr>
          <w:ilvl w:val="0"/>
          <w:numId w:val="2"/>
        </w:numPr>
        <w:spacing w:before="60" w:after="60"/>
      </w:pPr>
      <w:r>
        <w:rPr>
          <w:rFonts w:ascii="Arial" w:cs="Arial" w:eastAsia="Arial" w:hAnsi="Arial"/>
          <w:color w:val="333333"/>
          <w:sz w:val="24"/>
          <w:szCs w:val="24"/>
        </w:rPr>
        <w:t xml:space="preserve">Historical trend analysis with anomaly pattern visualization over time</w:t>
      </w:r>
    </w:p>
    <w:p>
      <w:pPr>
        <w:pStyle w:val="ListParagraph"/>
        <w:numPr>
          <w:ilvl w:val="0"/>
          <w:numId w:val="2"/>
        </w:numPr>
        <w:spacing w:before="60" w:after="60"/>
      </w:pPr>
      <w:r>
        <w:rPr>
          <w:rFonts w:ascii="Arial" w:cs="Arial" w:eastAsia="Arial" w:hAnsi="Arial"/>
          <w:color w:val="333333"/>
          <w:sz w:val="24"/>
          <w:szCs w:val="24"/>
        </w:rPr>
        <w:t xml:space="preserve">Support for real remote server monitoring via SSH and SNMP protocols</w:t>
      </w:r>
    </w:p>
    <w:p>
      <w:pPr>
        <w:pStyle w:val="ListParagraph"/>
        <w:numPr>
          <w:ilvl w:val="0"/>
          <w:numId w:val="2"/>
        </w:numPr>
        <w:spacing w:before="60" w:after="60"/>
      </w:pPr>
      <w:r>
        <w:rPr>
          <w:rFonts w:ascii="Arial" w:cs="Arial" w:eastAsia="Arial" w:hAnsi="Arial"/>
          <w:color w:val="333333"/>
          <w:sz w:val="24"/>
          <w:szCs w:val="24"/>
        </w:rPr>
        <w:t xml:space="preserve">Model accuracy tracking with automatic retraining triggers when accuracy degrades</w:t>
      </w:r>
    </w:p>
    <w:p>
      <w:pPr>
        <w:pStyle w:val="ListParagraph"/>
        <w:numPr>
          <w:ilvl w:val="0"/>
          <w:numId w:val="2"/>
        </w:numPr>
        <w:spacing w:before="60" w:after="60"/>
      </w:pPr>
      <w:r>
        <w:rPr>
          <w:rFonts w:ascii="Arial" w:cs="Arial" w:eastAsia="Arial" w:hAnsi="Arial"/>
          <w:color w:val="333333"/>
          <w:sz w:val="24"/>
          <w:szCs w:val="24"/>
        </w:rPr>
        <w:t xml:space="preserve">Kubernetes and Docker deployment for production-grade scalability</w:t>
      </w:r>
    </w:p>
    <w:p>
      <w:pPr>
        <w:pStyle w:val="ListParagraph"/>
        <w:numPr>
          <w:ilvl w:val="0"/>
          <w:numId w:val="2"/>
        </w:numPr>
        <w:spacing w:before="60" w:after="60"/>
      </w:pPr>
      <w:r>
        <w:rPr>
          <w:rFonts w:ascii="Arial" w:cs="Arial" w:eastAsia="Arial" w:hAnsi="Arial"/>
          <w:color w:val="333333"/>
          <w:sz w:val="24"/>
          <w:szCs w:val="24"/>
        </w:rPr>
        <w:t xml:space="preserve">Natural language alert summaries using a language model API</w:t>
      </w:r>
    </w:p>
    <w:p>
      <w:pPr>
        <w:pStyle w:val="ListParagraph"/>
        <w:numPr>
          <w:ilvl w:val="0"/>
          <w:numId w:val="2"/>
        </w:numPr>
        <w:spacing w:before="60" w:after="60"/>
      </w:pPr>
      <w:r>
        <w:rPr>
          <w:rFonts w:ascii="Arial" w:cs="Arial" w:eastAsia="Arial" w:hAnsi="Arial"/>
          <w:color w:val="333333"/>
          <w:sz w:val="24"/>
          <w:szCs w:val="24"/>
        </w:rPr>
        <w:t xml:space="preserve">Mobile-responsive dashboard design for monitoring on smartphones</w:t>
      </w:r>
    </w:p>
    <w:p>
      <w:pPr>
        <w:pStyle w:val="ListParagraph"/>
        <w:numPr>
          <w:ilvl w:val="0"/>
          <w:numId w:val="2"/>
        </w:numPr>
        <w:spacing w:before="60" w:after="60"/>
      </w:pPr>
      <w:r>
        <w:rPr>
          <w:rFonts w:ascii="Arial" w:cs="Arial" w:eastAsia="Arial" w:hAnsi="Arial"/>
          <w:color w:val="333333"/>
          <w:sz w:val="24"/>
          <w:szCs w:val="24"/>
        </w:rPr>
        <w:t xml:space="preserve">Integration with ticketing systems like Jira for automated incident creation</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8. References</w:t>
      </w:r>
    </w:p>
    <w:p>
      <w:pPr>
        <w:spacing w:before="100"/>
      </w:pPr>
      <w:r>
        <w:t xml:space="preserve"/>
      </w:r>
    </w:p>
    <w:p>
      <w:pPr>
        <w:spacing w:before="100" w:after="100"/>
        <w:jc w:val="both"/>
      </w:pPr>
      <w:r>
        <w:rPr>
          <w:rFonts w:ascii="Arial" w:cs="Arial" w:eastAsia="Arial" w:hAnsi="Arial"/>
          <w:b w:val="false"/>
          <w:bCs w:val="false"/>
          <w:i w:val="false"/>
          <w:iCs w:val="false"/>
          <w:color w:val="333333"/>
          <w:sz w:val="24"/>
          <w:szCs w:val="24"/>
        </w:rPr>
        <w:t xml:space="preserve">[1] Liu, F. T., Ting, K. M., &amp; Zhou, Z. H. (2008). Isolation Forest. Proceedings of the 8th IEEE International Conference on Data Mining.</w:t>
      </w:r>
    </w:p>
    <w:p>
      <w:pPr>
        <w:spacing w:before="100" w:after="100"/>
        <w:jc w:val="both"/>
      </w:pPr>
      <w:r>
        <w:rPr>
          <w:rFonts w:ascii="Arial" w:cs="Arial" w:eastAsia="Arial" w:hAnsi="Arial"/>
          <w:b w:val="false"/>
          <w:bCs w:val="false"/>
          <w:i w:val="false"/>
          <w:iCs w:val="false"/>
          <w:color w:val="333333"/>
          <w:sz w:val="24"/>
          <w:szCs w:val="24"/>
        </w:rPr>
        <w:t xml:space="preserve">[2] Breiman, L. (2001). Random Forests. Machine Learning, 45(1), 5-32.</w:t>
      </w:r>
    </w:p>
    <w:p>
      <w:pPr>
        <w:spacing w:before="100" w:after="100"/>
        <w:jc w:val="both"/>
      </w:pPr>
      <w:r>
        <w:rPr>
          <w:rFonts w:ascii="Arial" w:cs="Arial" w:eastAsia="Arial" w:hAnsi="Arial"/>
          <w:b w:val="false"/>
          <w:bCs w:val="false"/>
          <w:i w:val="false"/>
          <w:iCs w:val="false"/>
          <w:color w:val="333333"/>
          <w:sz w:val="24"/>
          <w:szCs w:val="24"/>
        </w:rPr>
        <w:t xml:space="preserve">[3] Hochreiter, S., &amp; Schmidhuber, J. (1997). Long Short-Term Memory. Neural Computation, 9(8), 1735-1780.</w:t>
      </w:r>
    </w:p>
    <w:p>
      <w:pPr>
        <w:spacing w:before="100" w:after="100"/>
        <w:jc w:val="both"/>
      </w:pPr>
      <w:r>
        <w:rPr>
          <w:rFonts w:ascii="Arial" w:cs="Arial" w:eastAsia="Arial" w:hAnsi="Arial"/>
          <w:b w:val="false"/>
          <w:bCs w:val="false"/>
          <w:i w:val="false"/>
          <w:iCs w:val="false"/>
          <w:color w:val="333333"/>
          <w:sz w:val="24"/>
          <w:szCs w:val="24"/>
        </w:rPr>
        <w:t xml:space="preserve">[4] Hinton, G. E., &amp; Salakhutdinov, R. R. (2006). Reducing the Dimensionality of Data with Neural Networks. Science, 313(5786), 504-507.</w:t>
      </w:r>
    </w:p>
    <w:p>
      <w:pPr>
        <w:spacing w:before="100" w:after="100"/>
        <w:jc w:val="both"/>
      </w:pPr>
      <w:r>
        <w:rPr>
          <w:rFonts w:ascii="Arial" w:cs="Arial" w:eastAsia="Arial" w:hAnsi="Arial"/>
          <w:b w:val="false"/>
          <w:bCs w:val="false"/>
          <w:i w:val="false"/>
          <w:iCs w:val="false"/>
          <w:color w:val="333333"/>
          <w:sz w:val="24"/>
          <w:szCs w:val="24"/>
        </w:rPr>
        <w:t xml:space="preserve">[5] Grieves, M. (2014). Digital Twin: Manufacturing Excellence through Virtual Factory Replication. White Paper.</w:t>
      </w:r>
    </w:p>
    <w:p>
      <w:pPr>
        <w:spacing w:before="100" w:after="100"/>
        <w:jc w:val="both"/>
      </w:pPr>
      <w:r>
        <w:rPr>
          <w:rFonts w:ascii="Arial" w:cs="Arial" w:eastAsia="Arial" w:hAnsi="Arial"/>
          <w:b w:val="false"/>
          <w:bCs w:val="false"/>
          <w:i w:val="false"/>
          <w:iCs w:val="false"/>
          <w:color w:val="333333"/>
          <w:sz w:val="24"/>
          <w:szCs w:val="24"/>
        </w:rPr>
        <w:t xml:space="preserve">[6] Pedregosa, F., et al. (2011). Scikit-learn: Machine Learning in Python. Journal of Machine Learning Research, 12, 2825-2830.</w:t>
      </w:r>
    </w:p>
    <w:p>
      <w:pPr>
        <w:spacing w:before="100" w:after="100"/>
        <w:jc w:val="both"/>
      </w:pPr>
      <w:r>
        <w:rPr>
          <w:rFonts w:ascii="Arial" w:cs="Arial" w:eastAsia="Arial" w:hAnsi="Arial"/>
          <w:b w:val="false"/>
          <w:bCs w:val="false"/>
          <w:i w:val="false"/>
          <w:iCs w:val="false"/>
          <w:color w:val="333333"/>
          <w:sz w:val="24"/>
          <w:szCs w:val="24"/>
        </w:rPr>
        <w:t xml:space="preserve">[7] Abadi, M., et al. (2016). TensorFlow: Large-Scale Machine Learning on Heterogeneous Systems. OSDI 2016.</w:t>
      </w:r>
    </w:p>
    <w:p>
      <w:pPr>
        <w:spacing w:before="100" w:after="100"/>
        <w:jc w:val="both"/>
      </w:pPr>
      <w:r>
        <w:rPr>
          <w:rFonts w:ascii="Arial" w:cs="Arial" w:eastAsia="Arial" w:hAnsi="Arial"/>
          <w:b w:val="false"/>
          <w:bCs w:val="false"/>
          <w:i w:val="false"/>
          <w:iCs w:val="false"/>
          <w:color w:val="333333"/>
          <w:sz w:val="24"/>
          <w:szCs w:val="24"/>
        </w:rPr>
        <w:t xml:space="preserve">[8] Grinberg, M. (2018). Flask Web Development: Developing Web Applications with Python. O'Reilly Media.</w:t>
      </w:r>
    </w:p>
    <w:p>
      <w:pPr>
        <w:spacing w:before="100" w:after="100"/>
        <w:jc w:val="both"/>
      </w:pPr>
      <w:r>
        <w:rPr>
          <w:rFonts w:ascii="Arial" w:cs="Arial" w:eastAsia="Arial" w:hAnsi="Arial"/>
          <w:b w:val="false"/>
          <w:bCs w:val="false"/>
          <w:i w:val="false"/>
          <w:iCs w:val="false"/>
          <w:color w:val="333333"/>
          <w:sz w:val="24"/>
          <w:szCs w:val="24"/>
        </w:rPr>
        <w:t xml:space="preserve">[9] psutil Documentation. (2024). https://psutil.readthedocs.io/</w:t>
      </w:r>
    </w:p>
    <w:p>
      <w:pPr>
        <w:spacing w:before="100" w:after="100"/>
        <w:jc w:val="both"/>
      </w:pPr>
      <w:r>
        <w:rPr>
          <w:rFonts w:ascii="Arial" w:cs="Arial" w:eastAsia="Arial" w:hAnsi="Arial"/>
          <w:b w:val="false"/>
          <w:bCs w:val="false"/>
          <w:i w:val="false"/>
          <w:iCs w:val="false"/>
          <w:color w:val="333333"/>
          <w:sz w:val="24"/>
          <w:szCs w:val="24"/>
        </w:rPr>
        <w:t xml:space="preserve">[10] Chart.js Documentation. (2024). https://www.chartjs.org/docs/</w:t>
      </w:r>
    </w:p>
    <w:sectPr>
      <w:headerReference w:type="default" r:id="rId6"/>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888888"/>
        <w:sz w:val="18"/>
        <w:szCs w:val="18"/>
      </w:rPr>
      <w:t xml:space="preserve">FABINAS NAZAR | MCA Final Year |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pPr>
    <w:r>
      <w:rPr>
        <w:rFonts w:ascii="Arial" w:cs="Arial" w:eastAsia="Arial" w:hAnsi="Arial"/>
        <w:color w:val="1F4E79"/>
        <w:sz w:val="18"/>
        <w:szCs w:val="18"/>
      </w:rPr>
      <w:t xml:space="preserve">InfraGuard AI — Final Year Project Report</w:t>
    </w:r>
    <w:r>
      <w:rPr>
        <w:rFonts w:ascii="Arial" w:cs="Arial" w:eastAsia="Arial" w:hAnsi="Arial"/>
        <w:color w:val="888888"/>
        <w:sz w:val="18"/>
        <w:szCs w:val="18"/>
      </w:rPr>
      <w:t xml:space="preserve">		JAIN UNIVERSITY KOCHI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2026-03-16T18:08:40.361Z</dcterms:created>
  <dcterms:modified xsi:type="dcterms:W3CDTF">2026-03-16T18:08:40.362Z</dcterms:modified>
</cp:coreProperties>
</file>

<file path=docProps/custom.xml><?xml version="1.0" encoding="utf-8"?>
<Properties xmlns="http://schemas.openxmlformats.org/officeDocument/2006/custom-properties" xmlns:vt="http://schemas.openxmlformats.org/officeDocument/2006/docPropsVTypes"/>
</file>