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informativo</w:t>
      </w:r>
      <w:r>
        <w:t xml:space="preserve"> </w:t>
      </w:r>
      <w:r>
        <w:t xml:space="preserve">rmc</w:t>
      </w:r>
      <w:r>
        <w:t xml:space="preserve"> </w:t>
      </w:r>
      <w:r>
        <w:t xml:space="preserve">quarto</w:t>
      </w:r>
    </w:p>
    <w:p>
      <w:pPr>
        <w:pStyle w:val="FirstParagraph"/>
      </w:pPr>
      <w:r>
        <w:t xml:space="preserve">Informativo Mensal</w:t>
      </w:r>
    </w:p>
    <w:bookmarkStart w:id="24" w:name="X1569f08cf240515306904d64341c3c6fc66f1d9"/>
    <w:p>
      <w:pPr>
        <w:pStyle w:val="Ttulo1"/>
      </w:pPr>
      <w:r>
        <w:t xml:space="preserve">Balança Comercial da Região Metropolitana de Campinas</w:t>
      </w:r>
    </w:p>
    <w:p>
      <w:pPr>
        <w:pStyle w:val="FirstParagraph"/>
      </w:pPr>
      <w:r>
        <w:t xml:space="preserve">Volume 7 | N. 10 | 2024</w:t>
      </w:r>
    </w:p>
    <w:p>
      <w:pPr>
        <w:pStyle w:val="BodyText"/>
      </w:pPr>
      <w:r>
        <w:rPr>
          <w:b/>
          <w:bCs/>
        </w:rPr>
        <w:t xml:space="preserve">Responsável:</w:t>
      </w:r>
    </w:p>
    <w:p>
      <w:pPr>
        <w:pStyle w:val="BodyText"/>
      </w:pPr>
      <w:r>
        <w:t xml:space="preserve">Prof. Dr. Paulo Ricardo da Silva Oliveira</w:t>
      </w:r>
    </w:p>
    <w:p>
      <w:pPr>
        <w:pStyle w:val="BodyText"/>
      </w:pPr>
      <w:r>
        <w:rPr>
          <w:b/>
          <w:bCs/>
        </w:rPr>
        <w:t xml:space="preserve">Assistente técnico:</w:t>
      </w:r>
    </w:p>
    <w:p>
      <w:pPr>
        <w:pStyle w:val="BodyText"/>
      </w:pPr>
      <w:r>
        <w:t xml:space="preserve">Fábio De Oliveira Pezzato</w:t>
      </w:r>
    </w:p>
    <w:bookmarkStart w:id="20" w:name="sumário-executivo"/>
    <w:p>
      <w:pPr>
        <w:pStyle w:val="Ttulo2"/>
      </w:pPr>
      <w:r>
        <w:t xml:space="preserve">Sumário Executivo</w:t>
      </w:r>
    </w:p>
    <w:p>
      <w:pPr>
        <w:pStyle w:val="FirstParagraph"/>
      </w:pPr>
      <w:r>
        <w:t xml:space="preserve">Este informativo apresenta e discute os principais dados da balança comercial da RMC para o mês 09/2024. Os dados utilizados nas análises são da base do Ministério do Desenvolvimento, Indústria, Comércio e Serviços. Além dos dados quantitativos, agregados e desagregados por município, apresenta-se a qualificação da pauta de exportação e importação da RMC a partir de cruzamentos dos dados de comércio com os Índices de Complexidade de Produtos (PCI), calculados pelo Observatório de Complexidade Econômica do MIT Media Lab. Por fim, este informativo é concluído com uma previsão do comportamento da balança comercial para o ano de 2023.</w:t>
      </w:r>
    </w:p>
    <w:p>
      <w:pPr>
        <w:pStyle w:val="BodyText"/>
      </w:pPr>
      <w:r>
        <w:t xml:space="preserve">Dentre as informações analisadas, destacam-se:</w:t>
      </w:r>
    </w:p>
    <w:p>
      <w:pPr>
        <w:pStyle w:val="BodyText"/>
      </w:pPr>
      <w:r>
        <w:t xml:space="preserve">Em 09/2024:</w:t>
      </w:r>
    </w:p>
    <w:p>
      <w:pPr>
        <w:numPr>
          <w:ilvl w:val="0"/>
          <w:numId w:val="1001"/>
        </w:numPr>
      </w:pPr>
      <w:r>
        <w:t xml:space="preserve">Aumento de 14,78% nas exportações e aumento de 19,76% nas importações da RMC, resultando em alta de 22,16% no déficit comercial regional;</w:t>
      </w:r>
    </w:p>
    <w:p>
      <w:pPr>
        <w:numPr>
          <w:ilvl w:val="0"/>
          <w:numId w:val="1001"/>
        </w:numPr>
      </w:pPr>
      <w:r>
        <w:t xml:space="preserve">As participações nas importações e exportações do estado de São Paulo (SP) foram de 22,09% e 6,62%, respectivamente, (…);</w:t>
      </w:r>
    </w:p>
    <w:p>
      <w:pPr>
        <w:pStyle w:val="FirstParagraph"/>
      </w:pPr>
      <w:r>
        <w:t xml:space="preserve">Em 12 meses:</w:t>
      </w:r>
    </w:p>
    <w:p>
      <w:pPr>
        <w:numPr>
          <w:ilvl w:val="0"/>
          <w:numId w:val="1002"/>
        </w:numPr>
      </w:pPr>
      <w:r>
        <w:t xml:space="preserve">Diminuição de -9,89% nas exportações e diminuição de -0,51% nas importações da RMC, resultando em alta de 4,54% no déficit comercial regional;</w:t>
      </w:r>
    </w:p>
    <w:p>
      <w:pPr>
        <w:numPr>
          <w:ilvl w:val="0"/>
          <w:numId w:val="1002"/>
        </w:numPr>
      </w:pPr>
      <w:r>
        <w:t xml:space="preserve">Destaca-se o crescimento do valor das exportações de (…), (…) e (…);</w:t>
      </w:r>
    </w:p>
    <w:p>
      <w:pPr>
        <w:numPr>
          <w:ilvl w:val="0"/>
          <w:numId w:val="1002"/>
        </w:numPr>
      </w:pPr>
      <w:r>
        <w:t xml:space="preserve">Destaca-se o crescimento do valor importado de (…), (…) e (…);</w:t>
      </w:r>
    </w:p>
    <w:p>
      <w:pPr>
        <w:numPr>
          <w:ilvl w:val="0"/>
          <w:numId w:val="1002"/>
        </w:numPr>
      </w:pPr>
      <w:r>
        <w:t xml:space="preserve">Houve aumento relativo das exportações para praticamente todos os principais destinos, com destaque para (…);</w:t>
      </w:r>
    </w:p>
    <w:p>
      <w:pPr>
        <w:numPr>
          <w:ilvl w:val="0"/>
          <w:numId w:val="1002"/>
        </w:numPr>
      </w:pPr>
      <w:r>
        <w:t xml:space="preserve">Houve aumento relativo das importações de praticamente todas as principais origens, com destaque para (…).</w:t>
      </w:r>
    </w:p>
    <w:p>
      <w:pPr>
        <w:pStyle w:val="FirstParagraph"/>
      </w:pPr>
      <w:r>
        <w:t xml:space="preserve">Em suma, para além dos problemas estruturais do déficit comercial regional causados pela dependência das importações de insumos externos, as exportações mostram melhora da atividade do setor externo da RMC, em 09/2024, em relação ao mesmo período do ano anterior.</w:t>
      </w:r>
    </w:p>
    <w:p>
      <w:pPr>
        <w:pStyle w:val="BodyText"/>
      </w:pPr>
      <w:r>
        <w:t xml:space="preserve">É importante ressaltar que as estatísticas de volume de comércio, baseadas em valores monetários, podem sofrer impactos inflacionários relevantes no período.</w:t>
      </w:r>
    </w:p>
    <w:bookmarkEnd w:id="20"/>
    <w:bookmarkStart w:id="21" w:name="balança-comercial---092024"/>
    <w:p>
      <w:pPr>
        <w:pStyle w:val="Ttulo2"/>
      </w:pPr>
      <w:r>
        <w:t xml:space="preserve">Balança Comercial - 09/2024</w:t>
      </w:r>
    </w:p>
    <w:p>
      <w:pPr>
        <w:pStyle w:val="FirstParagraph"/>
      </w:pPr>
      <w:r>
        <w:t xml:space="preserve">A Tabela 1 traz os dados da balança comercial da RMC para os meses de setembro entre 2014 e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1 - Balança Comercial da RMC para os meses de setembro (valores em milhões de USD/FOB)</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Mês/Ano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Exp.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Exp. SP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Imp.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Imp. SP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Saldo RMC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Saldo SP</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376,30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1.226,18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-849,88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-3.253,69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333,85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-582,40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-1.035,28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351,46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902,70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-551,24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-29,85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1.253,78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-279,14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454,11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1.158,79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-704,68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-327,34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1.242,69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-1.132,13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298,96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1.137,33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25,33%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-838,37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-477,85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459,52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-402,91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485,13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1.743,56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23,19%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-1.258,43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-983,23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1.234,34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571,90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460,59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1.478,26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-1.017,67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266,65</w:t>
            </w:r>
          </w:p>
        </w:tc>
      </w:tr>
      <w:tr>
        <w:trPr>
          <w:trHeight w:val="360" w:hRule="auto"/>
        </w:trPr>
        footer 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O mês de (…) é tradicionalmente um mês de (…) volatilidade nos valores históricos das exportações, e (…) nível dos valores importados. A partir dos dados da Tabela 1, é possível verificar que as exportações de 09/2024 foram de 460,59 milhões de dólares, apresentando um crescimento de 14,78% em relação ao mesmo período de 2023. Esse valor corresponde (…) para o mês em 10 anos. Além disso, a participação nas exportações do estado de São Paulo foi de 6,62%, indicando que a RMC (…) quando comparado com o mesmo período em 2023.</w:t>
      </w:r>
    </w:p>
    <w:p>
      <w:pPr>
        <w:pStyle w:val="BodyText"/>
      </w:pPr>
      <w:r>
        <w:t xml:space="preserve">As importações totalizaram 1478,26 milhões de dólares, no mesmo período, representando um crescimento de 19,76% em comparação a 09/2023. A participação da RMC nas importações do estado foi de 22,09%, (…). O saldo negativo da balança comercial, -1017,67 milhões de dólares, sofreu aumento de 22,16% em relação ao mesmo período do ano anterior.</w:t>
      </w:r>
    </w:p>
    <w:p>
      <w:pPr>
        <w:pStyle w:val="BodyText"/>
      </w:pPr>
      <w:r>
        <w:t xml:space="preserve">Os principais produtos responsáveis pelo aumento do valor exportado foram (…) (var.), (…) (var.) e (…) (var.). Dentre as quedas, destaca-se (…)</w:t>
      </w:r>
    </w:p>
    <w:p>
      <w:pPr>
        <w:pStyle w:val="BodyText"/>
      </w:pPr>
      <w:r>
        <w:t xml:space="preserve">Nas importações, as principais altas deram-se para (…) (var.), (…) (var.) e (…) (var.). Destaca-se, porém, queda no valor de (…) (var.).</w:t>
      </w:r>
    </w:p>
    <w:p>
      <w:pPr>
        <w:pStyle w:val="BodyText"/>
      </w:pPr>
      <w:r>
        <w:t xml:space="preserve">A Tabela 2 mostra as exportações da RMC para 09/2024, agregadas de acordo com o grau de complexidade dos produtos. Produtos considerados mais complexos são produzidos em países com maior grau de sofisticação tecnológica das estruturas produtivas, portanto, com maiores níveis de produtividade e renda.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2 - Exportações Regionais por Grau de Complexidade Econômica - 09/2024 (valores em milhões de USD/FOB).</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Grau de Complexidade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Exp.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do Total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Exp. 24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do Total 24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 % 23/24</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Baixa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78,07%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Média-baixa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-4,82%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270,54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67,42%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326,23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20,58%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18,72%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375,47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433,85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Houve (…) das exportações em diferentes categorias de complexidade. A de baixa complexidade, teve aumento de 78,07%; a média-baixa complexidade teve queda de -4,82%; média-alta complexidade teve aumento de 20,58%; e a de alta complexidade teve aumento de 18,72%. Contudo, mais de (…) das exportações da região se concentraram em produtos de média-alta e alta complexidade.</w:t>
      </w:r>
    </w:p>
    <w:p>
      <w:pPr>
        <w:pStyle w:val="BodyText"/>
      </w:pPr>
      <w:r>
        <w:t xml:space="preserve">A Tabela 3 mostra as importações da RMC em 09/2024, agregadas de acordo com o grau de complexidade econômica dos produtos importados.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3 - Importações Regionais por Grau de Complexidade Econômica - 09/2024 (valores em milhões de USD/FOB).</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Grau de Complexidade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Imp.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do Total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Imp. 24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do Total 24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 % 23/24</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Baixa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130,66%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Média-baixa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833,37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1044,38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25,32%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258,58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1448,48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Houve (…) dos valores importados em diferentes categorias de complexidade. A categoria de baixa complexidade apresentou crescimento de 130,66%; a de média-baixa, crescimento de 1,59%; a de média-alta, crescimento de 25,32%; e a de alta apresentou crescimento de 10,49%. As importações de bens de média-alta e alta complexidade representaram mais de (…) do valor de todos os produtos importados</w:t>
      </w:r>
    </w:p>
    <w:bookmarkEnd w:id="21"/>
    <w:bookmarkStart w:id="22" w:name="balança-comercial---12-meses"/>
    <w:p>
      <w:pPr>
        <w:pStyle w:val="Ttulo2"/>
      </w:pPr>
      <w:r>
        <w:t xml:space="preserve">Balança Comercial - 12 meses</w:t>
      </w:r>
    </w:p>
    <w:p>
      <w:pPr>
        <w:pStyle w:val="FirstParagraph"/>
      </w:pPr>
      <w:r>
        <w:t xml:space="preserve">A Tabela 4 traz os dados da balança comercial da RMC para os últimos 12 meses.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4 - Balança Comercial Regional 12 meses (valores em milhões de USD/FOB).</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Mês/Ano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Exp.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EXP RMC/SP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das Imp.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 IMP RMC/SP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Saldo RMC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Saldo SP</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OUT/23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480,99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1303,67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-822,68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541,88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NOV/23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1176,53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796,63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DEZ/23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413,42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-712,38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1722,6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JAN/24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1246,97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-864,85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-180,64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FEV/24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340,36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1100,68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-760,32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-200,96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MAR/24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397,03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1196,08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-799,04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436,97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ABR/24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416,02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1338,03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-64,22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MAI/24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-929,99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774,12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JUN/24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406,17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1288,75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-882,58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JUL/24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1449,42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-1068,06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-482,1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AGO/24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405,13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1502,7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-1097,57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-287,46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460,59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1478,26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266,65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4923,7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15556,12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-10632,41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3290,63</w:t>
            </w:r>
          </w:p>
        </w:tc>
      </w:tr>
      <w:tr>
        <w:trPr>
          <w:trHeight w:val="360" w:hRule="auto"/>
        </w:trPr>
        footer 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Ministério de Indústria, Comércio, Serviços e Inovação.</w:t>
            </w:r>
          </w:p>
        </w:tc>
      </w:tr>
    </w:tbl>
    <w:p>
      <w:pPr>
        <w:pStyle w:val="BodyText"/>
      </w:pPr>
      <w:r>
        <w:t xml:space="preserve">As importações atingiram a marca dos 15556,12 milhões de dólares, enquanto as exportações somaram 4923,7 milhões. O desequilíbrio entre importações e exportações rendeu um déficit comercial regional de -10632,41 milhões de dólares – o saldo estadual foi de 3290,63 milhões no mesmo período.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gridSpan w:val="5"/>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5 - Principais produtos exportados pela RMC em 12 meses (valores em milhões de USD/FOB).</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NCM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Produto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Exp.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 % 22/23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Grau de Complexidade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Medicaments (excluding goods of heading 30.02, 30.05 or 30.06) consisting of mixed or unmixed products for therapeutic or prophylactic uses, put up in measured doses (including those in the form of transdermal administration systems) or in forms or packin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Self-propelled bulldozers, angledozers, graders, levellers, scrapers, mechanical shovels, excavators, shovel loaders, tamping machines and road rollers.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8703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Motor cars and other motor vehicles principally designed for the transport of persons (other than those of heading 87.02), including station wagons and racing cars.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224,25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Petroleum oils and oils obtained from bituminous minerals, other than crude; preparations not elsewhere specified or included, containing by weight 70 % or more of petroleum oils or of oils obtained from bituminous minerals, these oils being the basic con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191,69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Média-baixa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8708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Parts and accessories of the motor vehicles of headings 87.01 to 87.05.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191,49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New pneumatic tyres, of rubber.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Other prepared or preserved meat, meat offal or blood.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133,13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Insecticides, rodenticides, fungicides, herbicides, anti-sprouting products and plant-growth regulators, disinfectants and similar products, put up in forms or packings for retail sale or as preparations or articles (for example, sulphur-treated bands, 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Parts suitable for use solely or principally with the engines of heading 84.07 or 84.08.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129,59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Pumps for liquids, whether or not fitted with a measuring device; liquid elevators.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Alta</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A Tabela 5 traz o valor exportado dos principais produtos da pauta regional, em 12 meses, bem como a variação em relação aos 12 meses anteriores. Esses produtos totalizam aproximadamente 37,1% das exportações totais no período. Nota-se que (…).</w:t>
      </w:r>
    </w:p>
    <w:p>
      <w:pPr>
        <w:pStyle w:val="BodyText"/>
      </w:pPr>
      <w:r>
        <w:t xml:space="preserve">A Tabela 6 traz o valor importado dos principais produtos da pauta regional, em 12 meses, bem como a variação em relação ao mesmo período do ano anterior.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gridSpan w:val="5"/>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6 - Principais produtos importados pela RMC em 12 meses (valores em milhões de USD/FOB).</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NCM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Produto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Valor Imp. 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 % 22/23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Grau de Complexidade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Insecticides, rodenticides, fungicides, herbicides, anti-sprouting products and plant-growth regulators, disinfectants and similar products, put up in forms or packings for retail sale or as preparations or articles (for example, sulphur-treated bands, wi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1.846,51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Electronic integrated circuits.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Alta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Telephone sets, including telephones for cellular networks or for other wireless networks; other apparatus for the transmission or reception of voice, images or other data, including apparatus for communication in a wired or wireless network (such as a lo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793,41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Heterocyclic compounds with nitrogen hetero-atom(s)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Blood, antisera, vaccines, toxins and cultures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620,44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Nucleic acids and their salts, whether or not chemically defined; other heterocyclic compounds.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542,99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Alta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Petroleum oils and oils obtained from bituminous minerals, other than crude; preparations not elsewhere specified or included, containing by weight 70 % or more of petroleum oils or of oils obtained from bituminous minerals, these oils being the basic con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496,20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88,88%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Média-baixa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Medicaments (excluding goods of heading 30.02, 30.05 or 30.06) consisting of mixed or unmixed products for therapeutic or prophylactic uses, put up in measured doses (including those in the form of transdermal administration systems) or in forms or packin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464,16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8471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Automatic data processing machines and units thereof; magnetic or optical readers, machines for transcribing data onto data media in coded form and machines for processing such data, not elsewhere specified or included.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426,57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Parts and accessories of the motor vehicles of headings 87.01 to 87.05.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398,07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Média-alta</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Os produtos listados na Tabela 6 totalizam aproximadamente 47,16% das importações realizadas pela RMC no período. Houve aumento nas importações em quase todos os produtos, com exceção de (…)</w:t>
      </w:r>
    </w:p>
    <w:p>
      <w:pPr>
        <w:pStyle w:val="BodyText"/>
      </w:pPr>
      <w:r>
        <w:t xml:space="preserve">Assumindo que as importações estão relacionadas às atividades econômicas das cadeias à frente dos produtos considerados, há indícios de (…). É importante ressaltar que nesse período pode ter tido algum aumento de preços dos insumos importados, podendo elevar o valor das importações também pelo efeito preço.</w:t>
      </w:r>
    </w:p>
    <w:p>
      <w:pPr>
        <w:pStyle w:val="BodyText"/>
      </w:pPr>
      <w:r>
        <w:t xml:space="preserve">A Tabela 7 traz as exportações para os 10 principais destinos da RMC, em 12 meses, bem como a variação das exportações por destino em relação aos 12 meses anteriores.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7 - Destinos das Exportações da RMC (valores em milhões de USD/FOB, acumulado 12 meses).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País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Exportações 12 meses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Participação 12 meses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Variação 12 meses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Estados Unidos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867,47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-13,37%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-17,27%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México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374,58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-3,98%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Alemanha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-10,76%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250,90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-14,41%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Colômbia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235,96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Paraguai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5,39%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8,38%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177,23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Países Baixos (Holanda)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1,25%</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Ministério de Indústria, Comércio, Serviços e Inovação.</w:t>
            </w:r>
          </w:p>
        </w:tc>
      </w:tr>
    </w:tbl>
    <w:p>
      <w:pPr>
        <w:pStyle w:val="BodyText"/>
      </w:pPr>
      <w:r>
        <w:t xml:space="preserve">Houve (…)</w:t>
      </w:r>
    </w:p>
    <w:p>
      <w:pPr>
        <w:pStyle w:val="BodyText"/>
      </w:pPr>
      <w:r>
        <w:t xml:space="preserve">A Tabela 8 traz os dados para as 10 principais origens das importações da RMC, em 12 meses, bem como a variação das importações por origem em relação aos 12 meses anteriores.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Tabela 8 - Origens das Importações da RMC (valores em milhões de USD/FOB, acumulado 12 meses).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País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Importações 12 meses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Participação 12 meses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true"/>
                <w:u w:val="none"/>
                <w:sz w:val="22"/>
                <w:szCs w:val="22"/>
                <w:color w:val="000000"/>
              </w:rPr>
              <w:t xml:space="preserve">Variação 12 meses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3.887,91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24,99%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Estados Unidos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2.142,64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-6,75%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Alemanha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1.068,50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Índia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-7,45%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Coreia do Sul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712,37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Vietnã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Japão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599,58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-6,66%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Rússia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558,07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França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544,14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-1,56%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Suíça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441,78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17,19%</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rial" w:eastAsia="Arial" w:cs="Arial"/>
                <w:i w:val="false"/>
                <w:b w:val="false"/>
                <w:u w:val="none"/>
                <w:sz w:val="22"/>
                <w:szCs w:val="22"/>
                <w:color w:val="000000"/>
              </w:rPr>
              <w:t xml:space="preserve">Fonte: Elaboração Própria com base nos dados do Observatório de Complexidade Econômica e do Ministério de Indústria, Comércio, Serviços e Inovação.</w:t>
            </w:r>
          </w:p>
        </w:tc>
      </w:tr>
    </w:tbl>
    <w:p>
      <w:pPr>
        <w:pStyle w:val="BodyText"/>
      </w:pPr>
      <w:r>
        <w:t xml:space="preserve">Destaca-se (…).</w:t>
      </w:r>
    </w:p>
    <w:p>
      <w:pPr>
        <w:pStyle w:val="BodyText"/>
      </w:pPr>
      <w:r>
        <w:t xml:space="preserve">A Tabela 9 traz os dados da balança comercial para os municípios da RMC, em 12 meses.</w:t>
      </w:r>
    </w:p>
    <w:p>
      <w:pPr>
        <w:pStyle w:val="BodyText"/>
      </w:pPr>
      <w:r>
        <w:t xml:space="preserve">tb9_new %&gt;%</w:t>
      </w:r>
      <w:r>
        <w:t xml:space="preserve"> </w:t>
      </w:r>
      <w:r>
        <w:t xml:space="preserve">flextable() %&gt;%</w:t>
      </w:r>
      <w:r>
        <w:t xml:space="preserve"> </w:t>
      </w:r>
      <w:r>
        <w:t xml:space="preserve">add_header_lines(</w:t>
      </w:r>
      <w:r>
        <w:t xml:space="preserve">“</w:t>
      </w:r>
      <w:r>
        <w:t xml:space="preserve">Tabela 9 - Balança Comercial dos Munícipios da RMC, 12 meses (valores em milhões de USD/FOB).</w:t>
      </w:r>
      <w:r>
        <w:t xml:space="preserve">”</w:t>
      </w:r>
      <w:r>
        <w:t xml:space="preserve">) %&gt;%</w:t>
      </w:r>
      <w:r>
        <w:t xml:space="preserve"> </w:t>
      </w:r>
      <w:r>
        <w:t xml:space="preserve">add_footer_lines(</w:t>
      </w:r>
      <w:r>
        <w:t xml:space="preserve">“</w:t>
      </w:r>
      <w:r>
        <w:t xml:space="preserve">Fonte: Elaboração Própria com base nos dados do Ministério de Indústria, Comércio, Serviços e Inovação.</w:t>
      </w:r>
      <w:r>
        <w:t xml:space="preserve">”</w:t>
      </w:r>
      <w:r>
        <w:t xml:space="preserve">)</w:t>
      </w:r>
    </w:p>
    <w:p>
      <w:pPr>
        <w:pStyle w:val="BodyText"/>
      </w:pPr>
      <w:r>
        <w:t xml:space="preserve">Destaca-se (…).</w:t>
      </w:r>
    </w:p>
    <w:bookmarkEnd w:id="22"/>
    <w:bookmarkStart w:id="23" w:name="previsões-e-perspectivas-para-2024"/>
    <w:p>
      <w:pPr>
        <w:pStyle w:val="Ttulo2"/>
      </w:pPr>
      <w:r>
        <w:t xml:space="preserve">Previsões e perspectivas para 2024</w:t>
      </w:r>
    </w:p>
    <w:p>
      <w:pPr>
        <w:pStyle w:val="FirstParagraph"/>
      </w:pPr>
      <w:r>
        <w:t xml:space="preserve">As análises mais recentes do Observatório PUC-Campinas apontam para um ano de (…) nas importações (…%) e (…) das exportações (…%). Em relação as últimas previsões, nota-se que os dados de exportação do mês (…) indicaram uma (…) na taxa de variação das exportações. A redução das importações pode estar relacionada a queda no valor importado tanto de bens acabados como bens intermediários. Reduções expressivas na importação de bens intermediários indicam, em geral, queda do ritmo da produção industrial.</w:t>
      </w:r>
    </w:p>
    <w:p>
      <w:pPr>
        <w:pStyle w:val="BodyText"/>
      </w:pPr>
      <w:r>
        <w:t xml:space="preserve">tb11 &lt;- sp_trade %&gt;%</w:t>
      </w:r>
      <w:r>
        <w:t xml:space="preserve"> </w:t>
      </w:r>
      <w:r>
        <w:t xml:space="preserve">filter(CO_ANO&gt;=ano_atual-1,CO_MES==mes_num, RMC==1) %&gt;%</w:t>
      </w:r>
      <w:r>
        <w:t xml:space="preserve"> </w:t>
      </w:r>
      <w:r>
        <w:t xml:space="preserve">left_join(pci_db) %&gt;%</w:t>
      </w:r>
      <w:r>
        <w:t xml:space="preserve"> </w:t>
      </w:r>
      <w:r>
        <w:t xml:space="preserve">group_by(SH4,SH4_N, CO_ANO) %&gt;%</w:t>
      </w:r>
      <w:r>
        <w:t xml:space="preserve"> </w:t>
      </w:r>
      <w:r>
        <w:t xml:space="preserve">summarise_at(c(</w:t>
      </w:r>
      <w:r>
        <w:t xml:space="preserve">“</w:t>
      </w:r>
      <w:r>
        <w:t xml:space="preserve">VL_FOB_IMP</w:t>
      </w:r>
      <w:r>
        <w:t xml:space="preserve">”</w:t>
      </w:r>
      <w:r>
        <w:t xml:space="preserve">),sum,na.rm=TRUE) %&gt;%</w:t>
      </w:r>
      <w:r>
        <w:t xml:space="preserve"> </w:t>
      </w:r>
      <w:r>
        <w:t xml:space="preserve">pivot_wider(.,</w:t>
      </w:r>
      <w:r>
        <w:t xml:space="preserve"> </w:t>
      </w:r>
      <w:r>
        <w:t xml:space="preserve">names_from = CO_ANO,</w:t>
      </w:r>
      <w:r>
        <w:t xml:space="preserve"> </w:t>
      </w:r>
      <w:r>
        <w:t xml:space="preserve">values_from = c(</w:t>
      </w:r>
      <w:r>
        <w:rPr>
          <w:rStyle w:val="VerbatimChar"/>
        </w:rPr>
        <w:t xml:space="preserve">VL_FOB_IMP</w:t>
      </w:r>
      <w:r>
        <w:t xml:space="preserve">)) %&gt;%</w:t>
      </w:r>
      <w:r>
        <w:t xml:space="preserve"> </w:t>
      </w:r>
      <w:r>
        <w:t xml:space="preserve">ungroup() %&gt;%</w:t>
      </w:r>
      <w:r>
        <w:t xml:space="preserve"> </w:t>
      </w:r>
      <w:r>
        <w:t xml:space="preserve">mutate(</w:t>
      </w:r>
      <w:r>
        <w:t xml:space="preserve"> </w:t>
      </w:r>
      <w:r>
        <w:rPr>
          <w:rStyle w:val="VerbatimChar"/>
        </w:rPr>
        <w:t xml:space="preserve">Valor Imp. 24</w:t>
      </w:r>
      <w:r>
        <w:t xml:space="preserve">=round(</w:t>
      </w:r>
      <w:r>
        <w:rPr>
          <w:rStyle w:val="VerbatimChar"/>
        </w:rPr>
        <w:t xml:space="preserve">2024</w:t>
      </w:r>
      <w:r>
        <w:t xml:space="preserve">/1000000,2),</w:t>
      </w:r>
      <w:r>
        <w:t xml:space="preserve"> </w:t>
      </w:r>
      <w:r>
        <w:rPr>
          <w:rStyle w:val="VerbatimChar"/>
        </w:rPr>
        <w:t xml:space="preserve">Valor Imp. 23</w:t>
      </w:r>
      <w:r>
        <w:t xml:space="preserve">=round(</w:t>
      </w:r>
      <w:r>
        <w:rPr>
          <w:rStyle w:val="VerbatimChar"/>
        </w:rPr>
        <w:t xml:space="preserve">2023</w:t>
      </w:r>
      <w:r>
        <w:t xml:space="preserve">/1000000,2),</w:t>
      </w:r>
      <w:r>
        <w:t xml:space="preserve"> </w:t>
      </w:r>
      <w:r>
        <w:rPr>
          <w:rStyle w:val="VerbatimChar"/>
        </w:rPr>
        <w:t xml:space="preserve">% Var</w:t>
      </w:r>
      <w:r>
        <w:t xml:space="preserve">=round((</w:t>
      </w:r>
      <w:r>
        <w:rPr>
          <w:rStyle w:val="VerbatimChar"/>
        </w:rPr>
        <w:t xml:space="preserve">2024</w:t>
      </w:r>
      <w:r>
        <w:t xml:space="preserve">-</w:t>
      </w:r>
      <w:r>
        <w:rPr>
          <w:rStyle w:val="VerbatimChar"/>
        </w:rPr>
        <w:t xml:space="preserve">2023</w:t>
      </w:r>
      <w:r>
        <w:t xml:space="preserve">)/</w:t>
      </w:r>
      <w:r>
        <w:rPr>
          <w:rStyle w:val="VerbatimChar"/>
        </w:rPr>
        <w:t xml:space="preserve">2023</w:t>
      </w:r>
      <w:r>
        <w:t xml:space="preserve">,4)) %&gt;%</w:t>
      </w:r>
      <w:r>
        <w:t xml:space="preserve"> </w:t>
      </w:r>
      <w:r>
        <w:t xml:space="preserve">select(-</w:t>
      </w:r>
      <w:r>
        <w:rPr>
          <w:rStyle w:val="VerbatimChar"/>
        </w:rPr>
        <w:t xml:space="preserve">2024</w:t>
      </w:r>
      <w:r>
        <w:t xml:space="preserve">,-</w:t>
      </w:r>
      <w:r>
        <w:rPr>
          <w:rStyle w:val="VerbatimChar"/>
        </w:rPr>
        <w:t xml:space="preserve">2023</w:t>
      </w:r>
      <w:r>
        <w:t xml:space="preserve">)</w:t>
      </w:r>
    </w:p>
    <w:p>
      <w:pPr>
        <w:pStyle w:val="BodyText"/>
      </w:pPr>
      <w:r>
        <w:t xml:space="preserve">tb10 &lt;- sp_trade %&gt;%</w:t>
      </w:r>
      <w:r>
        <w:t xml:space="preserve"> </w:t>
      </w:r>
      <w:r>
        <w:t xml:space="preserve">filter(CO_ANO&gt;=ano_atual-1,CO_MES==mes_num, RMC==1) %&gt;%</w:t>
      </w:r>
      <w:r>
        <w:t xml:space="preserve"> </w:t>
      </w:r>
      <w:r>
        <w:t xml:space="preserve">left_join(pci_db) %&gt;%</w:t>
      </w:r>
      <w:r>
        <w:t xml:space="preserve"> </w:t>
      </w:r>
      <w:r>
        <w:t xml:space="preserve">group_by(SH4,SH4_N, CO_ANO) %&gt;%</w:t>
      </w:r>
      <w:r>
        <w:t xml:space="preserve"> </w:t>
      </w:r>
      <w:r>
        <w:t xml:space="preserve">summarise_at(c(</w:t>
      </w:r>
      <w:r>
        <w:t xml:space="preserve">“</w:t>
      </w:r>
      <w:r>
        <w:t xml:space="preserve">VL_FOB_EXP</w:t>
      </w:r>
      <w:r>
        <w:t xml:space="preserve">”</w:t>
      </w:r>
      <w:r>
        <w:t xml:space="preserve">),sum,na.rm=TRUE) %&gt;%</w:t>
      </w:r>
      <w:r>
        <w:t xml:space="preserve"> </w:t>
      </w:r>
      <w:r>
        <w:t xml:space="preserve">pivot_wider(.,</w:t>
      </w:r>
      <w:r>
        <w:t xml:space="preserve"> </w:t>
      </w:r>
      <w:r>
        <w:t xml:space="preserve">names_from = CO_ANO,</w:t>
      </w:r>
      <w:r>
        <w:t xml:space="preserve"> </w:t>
      </w:r>
      <w:r>
        <w:t xml:space="preserve">values_from = c(</w:t>
      </w:r>
      <w:r>
        <w:rPr>
          <w:rStyle w:val="VerbatimChar"/>
        </w:rPr>
        <w:t xml:space="preserve">VL_FOB_EXP</w:t>
      </w:r>
      <w:r>
        <w:t xml:space="preserve">)) %&gt;%</w:t>
      </w:r>
      <w:r>
        <w:t xml:space="preserve"> </w:t>
      </w:r>
      <w:r>
        <w:t xml:space="preserve">ungroup() %&gt;%</w:t>
      </w:r>
      <w:r>
        <w:t xml:space="preserve"> </w:t>
      </w:r>
      <w:r>
        <w:t xml:space="preserve">mutate(</w:t>
      </w:r>
      <w:r>
        <w:t xml:space="preserve"> </w:t>
      </w:r>
      <w:r>
        <w:rPr>
          <w:rStyle w:val="VerbatimChar"/>
        </w:rPr>
        <w:t xml:space="preserve">Valor Exp. 24</w:t>
      </w:r>
      <w:r>
        <w:t xml:space="preserve">=round(</w:t>
      </w:r>
      <w:r>
        <w:rPr>
          <w:rStyle w:val="VerbatimChar"/>
        </w:rPr>
        <w:t xml:space="preserve">2024</w:t>
      </w:r>
      <w:r>
        <w:t xml:space="preserve">/1000000,2),</w:t>
      </w:r>
      <w:r>
        <w:t xml:space="preserve"> </w:t>
      </w:r>
      <w:r>
        <w:rPr>
          <w:rStyle w:val="VerbatimChar"/>
        </w:rPr>
        <w:t xml:space="preserve">Valor Exp. 23</w:t>
      </w:r>
      <w:r>
        <w:t xml:space="preserve">=round(</w:t>
      </w:r>
      <w:r>
        <w:rPr>
          <w:rStyle w:val="VerbatimChar"/>
        </w:rPr>
        <w:t xml:space="preserve">2023</w:t>
      </w:r>
      <w:r>
        <w:t xml:space="preserve">/1000000,2),</w:t>
      </w:r>
      <w:r>
        <w:t xml:space="preserve"> </w:t>
      </w:r>
      <w:r>
        <w:rPr>
          <w:rStyle w:val="VerbatimChar"/>
        </w:rPr>
        <w:t xml:space="preserve">% Var</w:t>
      </w:r>
      <w:r>
        <w:t xml:space="preserve">=round((</w:t>
      </w:r>
      <w:r>
        <w:rPr>
          <w:rStyle w:val="VerbatimChar"/>
        </w:rPr>
        <w:t xml:space="preserve">2024</w:t>
      </w:r>
      <w:r>
        <w:t xml:space="preserve">-</w:t>
      </w:r>
      <w:r>
        <w:rPr>
          <w:rStyle w:val="VerbatimChar"/>
        </w:rPr>
        <w:t xml:space="preserve">2023</w:t>
      </w:r>
      <w:r>
        <w:t xml:space="preserve">)/</w:t>
      </w:r>
      <w:r>
        <w:rPr>
          <w:rStyle w:val="VerbatimChar"/>
        </w:rPr>
        <w:t xml:space="preserve">2023</w:t>
      </w:r>
      <w:r>
        <w:t xml:space="preserve">,4)) %&gt;%</w:t>
      </w:r>
      <w:r>
        <w:t xml:space="preserve"> </w:t>
      </w:r>
      <w:r>
        <w:t xml:space="preserve">select(-</w:t>
      </w:r>
      <w:r>
        <w:rPr>
          <w:rStyle w:val="VerbatimChar"/>
        </w:rPr>
        <w:t xml:space="preserve">2024</w:t>
      </w:r>
      <w:r>
        <w:t xml:space="preserve">,-</w:t>
      </w:r>
      <w:r>
        <w:rPr>
          <w:rStyle w:val="VerbatimChar"/>
        </w:rPr>
        <w:t xml:space="preserve">2023</w:t>
      </w:r>
      <w:r>
        <w:t xml:space="preserve">)</w:t>
      </w:r>
    </w:p>
    <w:bookmarkEnd w:id="23"/>
    <w:bookmarkEnd w:id="24"/>
    <w:sectPr w:rsidR="001C203D" w:rsidRPr="006455B1" w:rsidSect="00CF32E3">
      <w:headerReference r:id="rId9" w:type="default"/>
      <w:footerReference r:id="rId10" w:type="default"/>
      <w:pgSz w:h="16838" w:w="11906"/>
      <w:pgMar w:bottom="1440" w:footer="708" w:gutter="0" w:header="708"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4199"/>
      <w:docPartObj>
        <w:docPartGallery w:val="Page Numbers (Bottom of Page)"/>
        <w:docPartUnique/>
      </w:docPartObj>
    </w:sdtPr>
    <w:sdtContent>
      <w:p w14:paraId="7C74E6B4" w14:textId="78487ECB" w:rsidR="00C40430" w:rsidRDefault="00810BE3" w:rsidP="00B928ED">
        <w:pPr>
          <w:pStyle w:val="Rodap"/>
          <w:jc w:val="right"/>
        </w:pPr>
        <w:r>
          <w:fldChar w:fldCharType="begin"/>
        </w:r>
        <w:r>
          <w:instrText>PAGE   \* MERGEFORMAT</w:instrText>
        </w:r>
        <w:r>
          <w:fldChar w:fldCharType="separate"/>
        </w:r>
        <w:r>
          <w:t>2</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5C07" w14:textId="7FA2B2CF" w:rsidR="00C40430" w:rsidRPr="006632E6" w:rsidRDefault="00CF32E3" w:rsidP="006632E6">
    <w:pPr>
      <w:jc w:val="right"/>
      <w:rPr>
        <w:rFonts w:cs="Segoe UI"/>
        <w:b/>
        <w:bCs/>
        <w:color w:val="A6A6A6" w:themeColor="background1" w:themeShade="A6"/>
        <w:kern w:val="36"/>
        <w:sz w:val="18"/>
        <w:szCs w:val="18"/>
      </w:rPr>
    </w:pPr>
    <w:r w:rsidRPr="004E1F22">
      <w:rPr>
        <w:rFonts w:cstheme="minorHAnsi"/>
        <w:b/>
        <w:bCs/>
        <w:noProof/>
        <w:color w:val="A6A6A6" w:themeColor="background1" w:themeShade="A6"/>
        <w:sz w:val="18"/>
        <w:szCs w:val="18"/>
      </w:rPr>
      <w:drawing>
        <wp:anchor distT="0" distB="0" distL="114300" distR="114300" simplePos="0" relativeHeight="251658752" behindDoc="0" locked="0" layoutInCell="1" allowOverlap="1" wp14:anchorId="7F7C8903" wp14:editId="6BAB74B6">
          <wp:simplePos x="0" y="0"/>
          <wp:positionH relativeFrom="margin">
            <wp:posOffset>4278630</wp:posOffset>
          </wp:positionH>
          <wp:positionV relativeFrom="page">
            <wp:posOffset>381000</wp:posOffset>
          </wp:positionV>
          <wp:extent cx="289730" cy="276225"/>
          <wp:effectExtent l="0" t="0" r="0" b="0"/>
          <wp:wrapNone/>
          <wp:docPr id="868998107" name="Imagem 868998107" descr="Desenho de uma janela&#10;&#10;Descrição gerada automaticamente com confiança baixa">
            <a:extLst xmlns:a="http://schemas.openxmlformats.org/drawingml/2006/main">
              <a:ext uri="{FF2B5EF4-FFF2-40B4-BE49-F238E27FC236}">
                <a16:creationId xmlns:a16="http://schemas.microsoft.com/office/drawing/2014/main" id="{64C7B411-A39C-4309-1B77-46812FCCB0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241;p26" descr="Desenho de uma janela&#10;&#10;Descrição gerada automaticamente com confiança baixa">
                    <a:extLst>
                      <a:ext uri="{FF2B5EF4-FFF2-40B4-BE49-F238E27FC236}">
                        <a16:creationId xmlns:a16="http://schemas.microsoft.com/office/drawing/2014/main" id="{64C7B411-A39C-4309-1B77-46812FCCB0D2}"/>
                      </a:ext>
                    </a:extLst>
                  </pic:cNvPr>
                  <pic:cNvPicPr preferRelativeResize="0"/>
                </pic:nvPicPr>
                <pic:blipFill rotWithShape="1">
                  <a:blip r:embed="rId1" cstate="print">
                    <a:alphaModFix/>
                    <a:grayscl/>
                    <a:extLst>
                      <a:ext uri="{28A0092B-C50C-407E-A947-70E740481C1C}">
                        <a14:useLocalDpi xmlns:a14="http://schemas.microsoft.com/office/drawing/2010/main" val="0"/>
                      </a:ext>
                    </a:extLst>
                  </a:blip>
                  <a:srcRect b="26270"/>
                  <a:stretch/>
                </pic:blipFill>
                <pic:spPr bwMode="auto">
                  <a:xfrm>
                    <a:off x="0" y="0"/>
                    <a:ext cx="289730" cy="27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7D2B" w:rsidRPr="004E1F22">
      <w:rPr>
        <w:rFonts w:cs="Segoe UI"/>
        <w:b/>
        <w:bCs/>
        <w:color w:val="A6A6A6" w:themeColor="background1" w:themeShade="A6"/>
        <w:kern w:val="36"/>
        <w:sz w:val="18"/>
        <w:szCs w:val="18"/>
      </w:rPr>
      <w:t>Observatório</w:t>
    </w:r>
    <w:r w:rsidR="00107D2B" w:rsidRPr="004E1F22">
      <w:rPr>
        <w:rFonts w:cs="Segoe UI"/>
        <w:b/>
        <w:bCs/>
        <w:color w:val="A6A6A6" w:themeColor="background1" w:themeShade="A6"/>
        <w:kern w:val="36"/>
        <w:szCs w:val="24"/>
      </w:rPr>
      <w:t xml:space="preserve"> </w:t>
    </w:r>
    <w:r w:rsidR="00107D2B" w:rsidRPr="004E1F22">
      <w:rPr>
        <w:rFonts w:cs="Segoe UI"/>
        <w:b/>
        <w:bCs/>
        <w:color w:val="A6A6A6" w:themeColor="background1" w:themeShade="A6"/>
        <w:kern w:val="36"/>
        <w:sz w:val="18"/>
        <w:szCs w:val="18"/>
      </w:rPr>
      <w:t>PUC</w:t>
    </w:r>
    <w:r w:rsidRPr="004E1F22">
      <w:rPr>
        <w:rFonts w:cs="Segoe UI"/>
        <w:b/>
        <w:bCs/>
        <w:color w:val="A6A6A6" w:themeColor="background1" w:themeShade="A6"/>
        <w:kern w:val="36"/>
        <w:sz w:val="18"/>
        <w:szCs w:val="18"/>
      </w:rPr>
      <w:t>-</w:t>
    </w:r>
    <w:r w:rsidR="00107D2B" w:rsidRPr="004E1F22">
      <w:rPr>
        <w:rFonts w:cs="Segoe UI"/>
        <w:b/>
        <w:bCs/>
        <w:color w:val="A6A6A6" w:themeColor="background1" w:themeShade="A6"/>
        <w:kern w:val="36"/>
        <w:sz w:val="18"/>
        <w:szCs w:val="18"/>
      </w:rPr>
      <w:t>C</w:t>
    </w:r>
    <w:r w:rsidR="005A2CF7" w:rsidRPr="004E1F22">
      <w:rPr>
        <w:rFonts w:cs="Segoe UI"/>
        <w:b/>
        <w:bCs/>
        <w:color w:val="A6A6A6" w:themeColor="background1" w:themeShade="A6"/>
        <w:kern w:val="36"/>
        <w:sz w:val="18"/>
        <w:szCs w:val="18"/>
      </w:rPr>
      <w:t>ampinas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474C38"/>
    <w:multiLevelType w:val="multilevel"/>
    <w:tmpl w:val="A226195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
    <w:nsid w:val="10EC6CFC"/>
    <w:multiLevelType w:val="multilevel"/>
    <w:tmpl w:val="A3D6E48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2426408" w:numId="1">
    <w:abstractNumId w:val="0"/>
  </w:num>
  <w:num w16cid:durableId="188694423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fillcolor="none [1944]" spidmax="2071" stroke="f" v:ext="edit">
      <v:fill color="none [1944]" opacity="26214f"/>
      <v:stroke on="f"/>
      <o:colormru colors="#a3a3a3" v:ext="edit"/>
    </o:shapedefaults>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203D"/>
    <w:rsid w:val="000925E2"/>
    <w:rsid w:val="000B2CED"/>
    <w:rsid w:val="000D0760"/>
    <w:rsid w:val="000E48EE"/>
    <w:rsid w:val="000E7F86"/>
    <w:rsid w:val="00107D2B"/>
    <w:rsid w:val="00134D75"/>
    <w:rsid w:val="00144701"/>
    <w:rsid w:val="001B78EB"/>
    <w:rsid w:val="001C02C6"/>
    <w:rsid w:val="001C203D"/>
    <w:rsid w:val="00236DB7"/>
    <w:rsid w:val="00253C05"/>
    <w:rsid w:val="00296125"/>
    <w:rsid w:val="002C5492"/>
    <w:rsid w:val="002F10D4"/>
    <w:rsid w:val="002F28FE"/>
    <w:rsid w:val="00311C6B"/>
    <w:rsid w:val="0032666D"/>
    <w:rsid w:val="00386EE2"/>
    <w:rsid w:val="003D1D69"/>
    <w:rsid w:val="003D25DA"/>
    <w:rsid w:val="003D5043"/>
    <w:rsid w:val="00406F00"/>
    <w:rsid w:val="004214F4"/>
    <w:rsid w:val="00434C0B"/>
    <w:rsid w:val="00440AF0"/>
    <w:rsid w:val="004426D1"/>
    <w:rsid w:val="00456352"/>
    <w:rsid w:val="004E1F22"/>
    <w:rsid w:val="004F35F4"/>
    <w:rsid w:val="00522AF3"/>
    <w:rsid w:val="00596490"/>
    <w:rsid w:val="005A2CF7"/>
    <w:rsid w:val="005D013E"/>
    <w:rsid w:val="006455B1"/>
    <w:rsid w:val="006632E6"/>
    <w:rsid w:val="00663C3F"/>
    <w:rsid w:val="006E32F8"/>
    <w:rsid w:val="006E45D0"/>
    <w:rsid w:val="00744946"/>
    <w:rsid w:val="00790222"/>
    <w:rsid w:val="00810BE3"/>
    <w:rsid w:val="008406D7"/>
    <w:rsid w:val="0085448E"/>
    <w:rsid w:val="00854726"/>
    <w:rsid w:val="00897FA9"/>
    <w:rsid w:val="008B0D9C"/>
    <w:rsid w:val="008F5748"/>
    <w:rsid w:val="009924F9"/>
    <w:rsid w:val="009A7FC0"/>
    <w:rsid w:val="009C319D"/>
    <w:rsid w:val="00A21833"/>
    <w:rsid w:val="00A87942"/>
    <w:rsid w:val="00AB32B3"/>
    <w:rsid w:val="00B00A11"/>
    <w:rsid w:val="00B44C2A"/>
    <w:rsid w:val="00B66180"/>
    <w:rsid w:val="00B81C0C"/>
    <w:rsid w:val="00B928ED"/>
    <w:rsid w:val="00B9641D"/>
    <w:rsid w:val="00BB1A70"/>
    <w:rsid w:val="00C04509"/>
    <w:rsid w:val="00C40430"/>
    <w:rsid w:val="00CB7A78"/>
    <w:rsid w:val="00CF32E3"/>
    <w:rsid w:val="00D239F9"/>
    <w:rsid w:val="00D316DD"/>
    <w:rsid w:val="00D4350F"/>
    <w:rsid w:val="00D72BDA"/>
    <w:rsid w:val="00D75359"/>
    <w:rsid w:val="00DA11B2"/>
    <w:rsid w:val="00DC6A52"/>
    <w:rsid w:val="00E008F0"/>
    <w:rsid w:val="00EF55B9"/>
    <w:rsid w:val="00F36392"/>
    <w:rsid w:val="00F8152C"/>
    <w:rsid w:val="00FA4D76"/>
    <w:rsid w:val="00FD0EDD"/>
  </w:rsids>
  <w:themeFontLang w:val="pt-BR"/>
  <w:clrSchemeMapping w:accent1="accent1" w:accent2="accent2" w:accent3="accent3" w:accent4="accent4" w:accent5="accent5" w:accent6="accent6" w:bg1="light1" w:bg2="light2" w:followedHyperlink="followedHyperlink" w:hyperlink="hyperlink" w:t1="dark1" w:t2="dark2"/>
  <w:shapeDefaults>
    <o:shapedefaults fillcolor="none [1944]" spidmax="2071" stroke="f" v:ext="edit">
      <v:fill color="none [1944]" opacity="26214f"/>
      <v:stroke on="f"/>
      <o:colormru colors="#a3a3a3" v:ext="edi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D1D69"/>
    <w:pPr>
      <w:spacing w:before="120"/>
      <w:jc w:val="both"/>
    </w:pPr>
    <w:rPr>
      <w:rFonts w:ascii="Aptos" w:hAnsi="Aptos"/>
      <w:sz w:val="24"/>
    </w:rPr>
  </w:style>
  <w:style w:styleId="Ttulo1" w:type="paragraph">
    <w:name w:val="heading 1"/>
    <w:basedOn w:val="Normal"/>
    <w:link w:val="Ttulo1Char"/>
    <w:uiPriority w:val="9"/>
    <w:qFormat/>
    <w:rsid w:val="00236DB7"/>
    <w:pPr>
      <w:jc w:val="right"/>
      <w:outlineLvl w:val="0"/>
    </w:pPr>
    <w:rPr>
      <w:rFonts w:cs="Segoe UI"/>
      <w:b/>
      <w:bCs/>
      <w:kern w:val="36"/>
      <w:sz w:val="72"/>
      <w:szCs w:val="72"/>
    </w:rPr>
  </w:style>
  <w:style w:styleId="Ttulo2" w:type="paragraph">
    <w:name w:val="heading 2"/>
    <w:basedOn w:val="Normal"/>
    <w:link w:val="Ttulo2Char"/>
    <w:uiPriority w:val="9"/>
    <w:qFormat/>
    <w:rsid w:val="001C203D"/>
    <w:pPr>
      <w:spacing w:after="100" w:afterAutospacing="1" w:before="100" w:beforeAutospacing="1" w:line="240" w:lineRule="auto"/>
      <w:outlineLvl w:val="1"/>
    </w:pPr>
    <w:rPr>
      <w:rFonts w:ascii="Times New Roman" w:cs="Times New Roman" w:eastAsia="Times New Roman" w:hAnsi="Times New Roman"/>
      <w:b/>
      <w:bCs/>
      <w:kern w:val="0"/>
      <w:sz w:val="36"/>
      <w:szCs w:val="36"/>
      <w:lang w:eastAsia="pt-BR"/>
    </w:rPr>
  </w:style>
  <w:style w:styleId="Ttulo3" w:type="paragraph">
    <w:name w:val="heading 3"/>
    <w:basedOn w:val="Normal"/>
    <w:link w:val="Ttulo3Char"/>
    <w:uiPriority w:val="9"/>
    <w:qFormat/>
    <w:rsid w:val="001C203D"/>
    <w:pPr>
      <w:spacing w:after="100" w:afterAutospacing="1" w:before="100" w:beforeAutospacing="1" w:line="240" w:lineRule="auto"/>
      <w:outlineLvl w:val="2"/>
    </w:pPr>
    <w:rPr>
      <w:rFonts w:ascii="Times New Roman" w:cs="Times New Roman" w:eastAsia="Times New Roman" w:hAnsi="Times New Roman"/>
      <w:b/>
      <w:bCs/>
      <w:kern w:val="0"/>
      <w:sz w:val="27"/>
      <w:szCs w:val="27"/>
      <w:lang w:eastAsia="pt-BR"/>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36DB7"/>
    <w:rPr>
      <w:rFonts w:ascii="Aptos" w:cs="Segoe UI" w:hAnsi="Aptos"/>
      <w:b/>
      <w:bCs/>
      <w:kern w:val="36"/>
      <w:sz w:val="72"/>
      <w:szCs w:val="72"/>
    </w:rPr>
  </w:style>
  <w:style w:customStyle="1" w:styleId="Ttulo2Char" w:type="character">
    <w:name w:val="Título 2 Char"/>
    <w:basedOn w:val="Fontepargpadro"/>
    <w:link w:val="Ttulo2"/>
    <w:uiPriority w:val="9"/>
    <w:rsid w:val="001C203D"/>
    <w:rPr>
      <w:rFonts w:ascii="Times New Roman" w:cs="Times New Roman" w:eastAsia="Times New Roman" w:hAnsi="Times New Roman"/>
      <w:b/>
      <w:bCs/>
      <w:kern w:val="0"/>
      <w:sz w:val="36"/>
      <w:szCs w:val="36"/>
      <w:lang w:eastAsia="pt-BR"/>
    </w:rPr>
  </w:style>
  <w:style w:customStyle="1" w:styleId="Ttulo3Char" w:type="character">
    <w:name w:val="Título 3 Char"/>
    <w:basedOn w:val="Fontepargpadro"/>
    <w:link w:val="Ttulo3"/>
    <w:uiPriority w:val="9"/>
    <w:rsid w:val="001C203D"/>
    <w:rPr>
      <w:rFonts w:ascii="Times New Roman" w:cs="Times New Roman" w:eastAsia="Times New Roman" w:hAnsi="Times New Roman"/>
      <w:b/>
      <w:bCs/>
      <w:kern w:val="0"/>
      <w:sz w:val="27"/>
      <w:szCs w:val="27"/>
      <w:lang w:eastAsia="pt-BR"/>
    </w:rPr>
  </w:style>
  <w:style w:customStyle="1" w:styleId="msonormal0" w:type="paragraph">
    <w:name w:val="msonormal"/>
    <w:basedOn w:val="Normal"/>
    <w:rsid w:val="001C203D"/>
    <w:pPr>
      <w:spacing w:after="100" w:afterAutospacing="1" w:before="100" w:beforeAutospacing="1" w:line="240" w:lineRule="auto"/>
    </w:pPr>
    <w:rPr>
      <w:rFonts w:ascii="Times New Roman" w:cs="Times New Roman" w:eastAsia="Times New Roman" w:hAnsi="Times New Roman"/>
      <w:kern w:val="0"/>
      <w:szCs w:val="24"/>
      <w:lang w:eastAsia="pt-BR"/>
    </w:rPr>
  </w:style>
  <w:style w:styleId="NormalWeb" w:type="paragraph">
    <w:name w:val="Normal (Web)"/>
    <w:basedOn w:val="Normal"/>
    <w:uiPriority w:val="99"/>
    <w:semiHidden/>
    <w:unhideWhenUsed/>
    <w:rsid w:val="001C203D"/>
    <w:pPr>
      <w:spacing w:after="100" w:afterAutospacing="1" w:before="100" w:beforeAutospacing="1" w:line="240" w:lineRule="auto"/>
    </w:pPr>
    <w:rPr>
      <w:rFonts w:ascii="Times New Roman" w:cs="Times New Roman" w:eastAsia="Times New Roman" w:hAnsi="Times New Roman"/>
      <w:kern w:val="0"/>
      <w:szCs w:val="24"/>
      <w:lang w:eastAsia="pt-BR"/>
    </w:rPr>
  </w:style>
  <w:style w:styleId="Pr-formataoHTML" w:type="paragraph">
    <w:name w:val="HTML Preformatted"/>
    <w:basedOn w:val="Normal"/>
    <w:link w:val="Pr-formataoHTMLChar"/>
    <w:uiPriority w:val="99"/>
    <w:semiHidden/>
    <w:unhideWhenUsed/>
    <w:rsid w:val="001C203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after="0" w:line="240" w:lineRule="auto"/>
    </w:pPr>
    <w:rPr>
      <w:rFonts w:ascii="Courier New" w:cs="Courier New" w:eastAsia="Times New Roman" w:hAnsi="Courier New"/>
      <w:kern w:val="0"/>
      <w:sz w:val="20"/>
      <w:szCs w:val="20"/>
      <w:lang w:eastAsia="pt-BR"/>
    </w:rPr>
  </w:style>
  <w:style w:customStyle="1" w:styleId="Pr-formataoHTMLChar" w:type="character">
    <w:name w:val="Pré-formatação HTML Char"/>
    <w:basedOn w:val="Fontepargpadro"/>
    <w:link w:val="Pr-formataoHTML"/>
    <w:uiPriority w:val="99"/>
    <w:semiHidden/>
    <w:rsid w:val="001C203D"/>
    <w:rPr>
      <w:rFonts w:ascii="Courier New" w:cs="Courier New" w:eastAsia="Times New Roman" w:hAnsi="Courier New"/>
      <w:kern w:val="0"/>
      <w:sz w:val="20"/>
      <w:szCs w:val="20"/>
      <w:lang w:eastAsia="pt-BR"/>
    </w:rPr>
  </w:style>
  <w:style w:styleId="CdigoHTML" w:type="character">
    <w:name w:val="HTML Code"/>
    <w:basedOn w:val="Fontepargpadro"/>
    <w:uiPriority w:val="99"/>
    <w:semiHidden/>
    <w:unhideWhenUsed/>
    <w:rsid w:val="001C203D"/>
    <w:rPr>
      <w:rFonts w:ascii="Courier New" w:cs="Courier New" w:eastAsia="Times New Roman" w:hAnsi="Courier New"/>
      <w:sz w:val="20"/>
      <w:szCs w:val="20"/>
    </w:rPr>
  </w:style>
  <w:style w:customStyle="1" w:styleId="hljs-string" w:type="character">
    <w:name w:val="hljs-string"/>
    <w:basedOn w:val="Fontepargpadro"/>
    <w:rsid w:val="001C203D"/>
  </w:style>
  <w:style w:customStyle="1" w:styleId="hljs-number" w:type="character">
    <w:name w:val="hljs-number"/>
    <w:basedOn w:val="Fontepargpadro"/>
    <w:rsid w:val="001C203D"/>
  </w:style>
  <w:style w:customStyle="1" w:styleId="hljs-literal" w:type="character">
    <w:name w:val="hljs-literal"/>
    <w:basedOn w:val="Fontepargpadro"/>
    <w:rsid w:val="001C203D"/>
  </w:style>
  <w:style w:styleId="Textodenotaderodap" w:type="paragraph">
    <w:name w:val="footnote text"/>
    <w:basedOn w:val="Normal"/>
    <w:link w:val="TextodenotaderodapChar"/>
    <w:uiPriority w:val="99"/>
    <w:semiHidden/>
    <w:unhideWhenUsed/>
    <w:rsid w:val="00790222"/>
    <w:pPr>
      <w:spacing w:after="0" w:line="240" w:lineRule="auto"/>
    </w:pPr>
    <w:rPr>
      <w:sz w:val="20"/>
      <w:szCs w:val="20"/>
    </w:rPr>
  </w:style>
  <w:style w:customStyle="1" w:styleId="TextodenotaderodapChar" w:type="character">
    <w:name w:val="Texto de nota de rodapé Char"/>
    <w:basedOn w:val="Fontepargpadro"/>
    <w:link w:val="Textodenotaderodap"/>
    <w:uiPriority w:val="99"/>
    <w:semiHidden/>
    <w:rsid w:val="00790222"/>
    <w:rPr>
      <w:sz w:val="20"/>
      <w:szCs w:val="20"/>
    </w:rPr>
  </w:style>
  <w:style w:styleId="Refdenotaderodap" w:type="character">
    <w:name w:val="footnote reference"/>
    <w:basedOn w:val="Fontepargpadro"/>
    <w:uiPriority w:val="99"/>
    <w:semiHidden/>
    <w:unhideWhenUsed/>
    <w:rsid w:val="00790222"/>
    <w:rPr>
      <w:vertAlign w:val="superscript"/>
    </w:rPr>
  </w:style>
  <w:style w:styleId="Cabealho" w:type="paragraph">
    <w:name w:val="header"/>
    <w:basedOn w:val="Normal"/>
    <w:link w:val="CabealhoChar"/>
    <w:uiPriority w:val="99"/>
    <w:unhideWhenUsed/>
    <w:rsid w:val="00810BE3"/>
    <w:pPr>
      <w:tabs>
        <w:tab w:pos="4252" w:val="center"/>
        <w:tab w:pos="8504" w:val="right"/>
      </w:tabs>
      <w:spacing w:after="0" w:line="240" w:lineRule="auto"/>
    </w:pPr>
  </w:style>
  <w:style w:customStyle="1" w:styleId="CabealhoChar" w:type="character">
    <w:name w:val="Cabeçalho Char"/>
    <w:basedOn w:val="Fontepargpadro"/>
    <w:link w:val="Cabealho"/>
    <w:uiPriority w:val="99"/>
    <w:rsid w:val="00810BE3"/>
  </w:style>
  <w:style w:styleId="Rodap" w:type="paragraph">
    <w:name w:val="footer"/>
    <w:basedOn w:val="Normal"/>
    <w:link w:val="RodapChar"/>
    <w:uiPriority w:val="99"/>
    <w:unhideWhenUsed/>
    <w:rsid w:val="00810BE3"/>
    <w:pPr>
      <w:tabs>
        <w:tab w:pos="4252" w:val="center"/>
        <w:tab w:pos="8504" w:val="right"/>
      </w:tabs>
      <w:spacing w:after="0" w:line="240" w:lineRule="auto"/>
    </w:pPr>
  </w:style>
  <w:style w:customStyle="1" w:styleId="RodapChar" w:type="character">
    <w:name w:val="Rodapé Char"/>
    <w:basedOn w:val="Fontepargpadro"/>
    <w:link w:val="Rodap"/>
    <w:uiPriority w:val="99"/>
    <w:rsid w:val="00810BE3"/>
  </w:style>
  <w:style w:styleId="Subttulo" w:type="paragraph">
    <w:name w:val="Subtitle"/>
    <w:basedOn w:val="Normal"/>
    <w:next w:val="Normal"/>
    <w:link w:val="SubttuloChar"/>
    <w:uiPriority w:val="11"/>
    <w:qFormat/>
    <w:rsid w:val="003D1D69"/>
    <w:pPr>
      <w:pBdr>
        <w:bottom w:color="A3A3A3" w:space="1" w:sz="12" w:val="single"/>
      </w:pBdr>
    </w:pPr>
    <w:rPr>
      <w:rFonts w:cs="Segoe UI" w:eastAsia="Times New Roman"/>
      <w:kern w:val="36"/>
      <w:sz w:val="36"/>
      <w:szCs w:val="36"/>
      <w:lang w:eastAsia="pt-BR"/>
      <w14:ligatures w14:val="none"/>
    </w:rPr>
  </w:style>
  <w:style w:customStyle="1" w:styleId="SubttuloChar" w:type="character">
    <w:name w:val="Subtítulo Char"/>
    <w:basedOn w:val="Fontepargpadro"/>
    <w:link w:val="Subttulo"/>
    <w:uiPriority w:val="11"/>
    <w:rsid w:val="003D1D69"/>
    <w:rPr>
      <w:rFonts w:ascii="Aptos" w:cs="Segoe UI" w:eastAsia="Times New Roman" w:hAnsi="Aptos"/>
      <w:kern w:val="36"/>
      <w:sz w:val="36"/>
      <w:szCs w:val="36"/>
      <w:lang w:eastAsia="pt-BR"/>
      <w14:ligatures w14:val="none"/>
    </w:rPr>
  </w:style>
  <w:style w:styleId="Ttulo" w:type="paragraph">
    <w:name w:val="Title"/>
    <w:basedOn w:val="Normal"/>
    <w:next w:val="Normal"/>
    <w:link w:val="TtuloChar"/>
    <w:uiPriority w:val="10"/>
    <w:qFormat/>
    <w:rsid w:val="00236DB7"/>
    <w:pPr>
      <w:spacing w:after="0" w:line="240" w:lineRule="auto"/>
      <w:contextualSpacing/>
      <w:jc w:val="right"/>
    </w:pPr>
    <w:rPr>
      <w:rFonts w:cstheme="majorBidi" w:eastAsiaTheme="majorEastAsia"/>
      <w:spacing w:val="-10"/>
      <w:kern w:val="28"/>
      <w:sz w:val="56"/>
      <w:szCs w:val="56"/>
    </w:rPr>
  </w:style>
  <w:style w:customStyle="1" w:styleId="TtuloChar" w:type="character">
    <w:name w:val="Título Char"/>
    <w:basedOn w:val="Fontepargpadro"/>
    <w:link w:val="Ttulo"/>
    <w:uiPriority w:val="10"/>
    <w:rsid w:val="00236DB7"/>
    <w:rPr>
      <w:rFonts w:ascii="Aptos" w:cstheme="majorBidi" w:eastAsiaTheme="majorEastAsia" w:hAnsi="Aptos"/>
      <w:spacing w:val="-10"/>
      <w:kern w:val="28"/>
      <w:sz w:val="56"/>
      <w:szCs w:val="56"/>
    </w:rPr>
  </w:style>
  <w:style w:customStyle="1" w:styleId="Negrito18" w:type="paragraph">
    <w:name w:val="Negrito18"/>
    <w:basedOn w:val="Normal"/>
    <w:link w:val="Negrito18Char"/>
    <w:qFormat/>
    <w:rsid w:val="00236DB7"/>
    <w:pPr>
      <w:jc w:val="right"/>
    </w:pPr>
    <w:rPr>
      <w:rFonts w:cstheme="minorHAnsi"/>
      <w:b/>
      <w:bCs/>
      <w:noProof/>
      <w:sz w:val="36"/>
    </w:rPr>
  </w:style>
  <w:style w:customStyle="1" w:styleId="Negrito18Char" w:type="character">
    <w:name w:val="Negrito18 Char"/>
    <w:basedOn w:val="Fontepargpadro"/>
    <w:link w:val="Negrito18"/>
    <w:rsid w:val="00236DB7"/>
    <w:rPr>
      <w:rFonts w:ascii="Aptos" w:cstheme="minorHAnsi" w:hAnsi="Aptos"/>
      <w:b/>
      <w:bCs/>
      <w:noProof/>
      <w:sz w:val="36"/>
    </w:rPr>
  </w:style>
  <w:style w:customStyle="1" w:styleId="Numeracaoinformativo" w:type="paragraph">
    <w:name w:val="Numeracao_informativo"/>
    <w:basedOn w:val="Normal"/>
    <w:link w:val="NumeracaoinformativoChar"/>
    <w:qFormat/>
    <w:rsid w:val="00236DB7"/>
    <w:pPr>
      <w:spacing w:after="100" w:afterAutospacing="1"/>
      <w:jc w:val="right"/>
    </w:pPr>
    <w:rPr>
      <w:rFonts w:cs="Segoe UI"/>
      <w:b/>
      <w:bCs/>
    </w:rPr>
  </w:style>
  <w:style w:customStyle="1" w:styleId="NumeracaoinformativoChar" w:type="character">
    <w:name w:val="Numeracao_informativo Char"/>
    <w:basedOn w:val="Fontepargpadro"/>
    <w:link w:val="Numeracaoinformativo"/>
    <w:rsid w:val="00236DB7"/>
    <w:rPr>
      <w:rFonts w:ascii="Aptos" w:cs="Segoe UI" w:hAnsi="Aptos"/>
      <w:b/>
      <w:bC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86493">
      <w:bodyDiv w:val="1"/>
      <w:marLeft w:val="0"/>
      <w:marRight w:val="0"/>
      <w:marTop w:val="0"/>
      <w:marBottom w:val="0"/>
      <w:divBdr>
        <w:top w:val="none" w:sz="0" w:space="0" w:color="auto"/>
        <w:left w:val="none" w:sz="0" w:space="0" w:color="auto"/>
        <w:bottom w:val="none" w:sz="0" w:space="0" w:color="auto"/>
        <w:right w:val="none" w:sz="0" w:space="0" w:color="auto"/>
      </w:divBdr>
      <w:divsChild>
        <w:div w:id="439909296">
          <w:marLeft w:val="0"/>
          <w:marRight w:val="0"/>
          <w:marTop w:val="0"/>
          <w:marBottom w:val="0"/>
          <w:divBdr>
            <w:top w:val="none" w:sz="0" w:space="0" w:color="auto"/>
            <w:left w:val="none" w:sz="0" w:space="0" w:color="auto"/>
            <w:bottom w:val="none" w:sz="0" w:space="0" w:color="auto"/>
            <w:right w:val="none" w:sz="0" w:space="0" w:color="auto"/>
          </w:divBdr>
        </w:div>
        <w:div w:id="713311243">
          <w:marLeft w:val="0"/>
          <w:marRight w:val="0"/>
          <w:marTop w:val="0"/>
          <w:marBottom w:val="0"/>
          <w:divBdr>
            <w:top w:val="none" w:sz="0" w:space="0" w:color="auto"/>
            <w:left w:val="none" w:sz="0" w:space="0" w:color="auto"/>
            <w:bottom w:val="none" w:sz="0" w:space="0" w:color="auto"/>
            <w:right w:val="none" w:sz="0" w:space="0" w:color="auto"/>
          </w:divBdr>
        </w:div>
        <w:div w:id="1086653266">
          <w:marLeft w:val="0"/>
          <w:marRight w:val="0"/>
          <w:marTop w:val="0"/>
          <w:marBottom w:val="0"/>
          <w:divBdr>
            <w:top w:val="none" w:sz="0" w:space="0" w:color="auto"/>
            <w:left w:val="none" w:sz="0" w:space="0" w:color="auto"/>
            <w:bottom w:val="none" w:sz="0" w:space="0" w:color="auto"/>
            <w:right w:val="none" w:sz="0" w:space="0" w:color="auto"/>
          </w:divBdr>
        </w:div>
        <w:div w:id="1507402662">
          <w:marLeft w:val="0"/>
          <w:marRight w:val="0"/>
          <w:marTop w:val="0"/>
          <w:marBottom w:val="0"/>
          <w:divBdr>
            <w:top w:val="none" w:sz="0" w:space="0" w:color="auto"/>
            <w:left w:val="none" w:sz="0" w:space="0" w:color="auto"/>
            <w:bottom w:val="none" w:sz="0" w:space="0" w:color="auto"/>
            <w:right w:val="none" w:sz="0" w:space="0" w:color="auto"/>
          </w:divBdr>
          <w:divsChild>
            <w:div w:id="498235653">
              <w:marLeft w:val="0"/>
              <w:marRight w:val="0"/>
              <w:marTop w:val="0"/>
              <w:marBottom w:val="0"/>
              <w:divBdr>
                <w:top w:val="none" w:sz="0" w:space="0" w:color="auto"/>
                <w:left w:val="none" w:sz="0" w:space="0" w:color="auto"/>
                <w:bottom w:val="none" w:sz="0" w:space="0" w:color="auto"/>
                <w:right w:val="none" w:sz="0" w:space="0" w:color="auto"/>
              </w:divBdr>
              <w:divsChild>
                <w:div w:id="11561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1</Pages>
  <Words>2597</Words>
  <Characters>14027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informativo rmc quarto</dc:title>
  <dc:creator/>
  <cp:keywords/>
  <dcterms:created xsi:type="dcterms:W3CDTF">2024-10-16T17:00:09Z</dcterms:created>
  <dcterms:modified xsi:type="dcterms:W3CDTF">2024-10-16T17:00:09Z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