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F5D0" w14:textId="189B540C" w:rsidR="00107D2B" w:rsidRDefault="00406F00" w:rsidP="00236DB7">
      <w:pPr>
        <w:pStyle w:val="Negrito18"/>
      </w:pPr>
      <w:bookmarkStart w:id="0" w:name="_Hlk144297570"/>
      <w:r w:rsidRPr="00014908">
        <w:drawing>
          <wp:anchor distT="0" distB="0" distL="114300" distR="114300" simplePos="0" relativeHeight="251658240" behindDoc="0" locked="1" layoutInCell="1" allowOverlap="1" wp14:anchorId="76D0AEE3" wp14:editId="48DE628A">
            <wp:simplePos x="0" y="0"/>
            <wp:positionH relativeFrom="page">
              <wp:posOffset>513080</wp:posOffset>
            </wp:positionH>
            <wp:positionV relativeFrom="margin">
              <wp:posOffset>349885</wp:posOffset>
            </wp:positionV>
            <wp:extent cx="1000760" cy="960755"/>
            <wp:effectExtent l="0" t="0" r="0" b="0"/>
            <wp:wrapNone/>
            <wp:docPr id="187617456" name="Imagem 187617456" descr="Desenho de uma janela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64C7B411-A39C-4309-1B77-46812FCCB0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241;p26" descr="Desenho de uma janela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64C7B411-A39C-4309-1B77-46812FCCB0D2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8" cstate="print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32"/>
                    <a:stretch/>
                  </pic:blipFill>
                  <pic:spPr bwMode="auto">
                    <a:xfrm>
                      <a:off x="0" y="0"/>
                      <a:ext cx="10007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Theme="minorHAnsi" w:hAnsiTheme="minorHAnsi" w:cstheme="minorBidi"/>
          <w:sz w:val="22"/>
        </w:rPr>
        <w:pict w14:anchorId="1E17795B">
          <v:group id="Agrupar 13" o:spid="_x0000_s2068" style="position:absolute;left:0;text-align:left;margin-left:21.25pt;margin-top:-35.45pt;width:113.4pt;height:226.75pt;z-index:251660288;mso-position-horizontal-relative:page;mso-position-vertical-relative:page" coordsize="14401,28797">
            <v:roundrect id="Retângulo: Cantos Arredondados 9" o:spid="_x0000_s2069" style="position:absolute;width:14401;height:28797;visibility:visible;mso-wrap-style:square;v-text-anchor:top" arcsize="10923f" fillcolor="#a3a3a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2" o:spid="_x0000_s2070" type="#_x0000_t75" alt="Desenho de uma janela&#10;&#10;Descrição gerada automaticamente com confiança baixa" style="position:absolute;left:2381;top:17049;width:10007;height:9608;visibility:visible;mso-wrap-style:square" filled="t" fillcolor="#a3a3a3">
              <v:imagedata r:id="rId9" o:title="Desenho de uma janela&#10;&#10;Descrição gerada automaticamente com confiança baixa" cropbottom="16733f" grayscale="t" bilevel="t"/>
            </v:shape>
            <w10:wrap anchorx="page" anchory="page"/>
            <w10:anchorlock/>
          </v:group>
        </w:pict>
      </w:r>
      <w:r w:rsidR="00A87942" w:rsidRPr="00107D2B">
        <w:t>Informativo Mensal</w:t>
      </w:r>
      <w:r w:rsidR="00107D2B">
        <w:t xml:space="preserve">  </w:t>
      </w:r>
    </w:p>
    <w:p w14:paraId="72C64EF8" w14:textId="52FB0227" w:rsidR="00B81C0C" w:rsidRPr="00B81C0C" w:rsidRDefault="00A87942" w:rsidP="00B81C0C">
      <w:pPr>
        <w:jc w:val="right"/>
        <w:rPr>
          <w:rFonts w:cs="Segoe UI"/>
          <w:b/>
          <w:bCs/>
          <w:kern w:val="36"/>
          <w:sz w:val="72"/>
          <w:szCs w:val="72"/>
        </w:rPr>
      </w:pPr>
      <w:r w:rsidRPr="00236DB7">
        <w:rPr>
          <w:rStyle w:val="Ttulo1Char"/>
        </w:rPr>
        <w:t xml:space="preserve">Atividade </w:t>
      </w:r>
      <w:r w:rsidR="00107D2B" w:rsidRPr="00236DB7">
        <w:rPr>
          <w:rStyle w:val="Ttulo1Char"/>
        </w:rPr>
        <w:t>do Comércio Internacional</w:t>
      </w:r>
      <w:r w:rsidRPr="00522AF3">
        <w:rPr>
          <w:rFonts w:cs="Segoe UI"/>
          <w:b/>
          <w:bCs/>
          <w:kern w:val="36"/>
          <w:sz w:val="72"/>
          <w:szCs w:val="72"/>
        </w:rPr>
        <w:t xml:space="preserve"> na Região Metropolitana de Campina</w:t>
      </w:r>
      <w:r w:rsidR="000925E2" w:rsidRPr="00522AF3">
        <w:rPr>
          <w:rFonts w:cs="Segoe UI"/>
          <w:b/>
          <w:bCs/>
          <w:kern w:val="36"/>
          <w:sz w:val="72"/>
          <w:szCs w:val="72"/>
        </w:rPr>
        <w:t>s</w:t>
      </w:r>
    </w:p>
    <w:p w14:paraId="3D1D7778" w14:textId="5B737214" w:rsidR="000925E2" w:rsidRDefault="00A87942" w:rsidP="00236DB7">
      <w:pPr>
        <w:pStyle w:val="Numeracaoinformativo"/>
      </w:pPr>
      <w:r w:rsidRPr="006455B1">
        <w:t xml:space="preserve">Volume </w:t>
      </w:r>
      <w:r w:rsidR="000E7F86">
        <w:t>6</w:t>
      </w:r>
      <w:r w:rsidRPr="006455B1">
        <w:t xml:space="preserve"> | Agosto | 2023</w:t>
      </w:r>
    </w:p>
    <w:p w14:paraId="1E199150" w14:textId="1C3B00EB" w:rsidR="00B81C0C" w:rsidRDefault="00B81C0C" w:rsidP="00B81C0C">
      <w:pPr>
        <w:spacing w:after="100" w:afterAutospacing="1"/>
        <w:jc w:val="right"/>
        <w:rPr>
          <w:rFonts w:cs="Segoe UI"/>
          <w:b/>
          <w:bCs/>
        </w:rPr>
      </w:pPr>
    </w:p>
    <w:p w14:paraId="6AA43109" w14:textId="346F7F88" w:rsidR="00A87942" w:rsidRPr="006455B1" w:rsidRDefault="00A87942" w:rsidP="00B81C0C">
      <w:pPr>
        <w:spacing w:after="100" w:afterAutospacing="1"/>
        <w:rPr>
          <w:rFonts w:cs="Segoe UI"/>
          <w:b/>
          <w:bCs/>
        </w:rPr>
      </w:pPr>
      <w:r w:rsidRPr="006455B1">
        <w:rPr>
          <w:rFonts w:cs="Segoe UI"/>
          <w:b/>
          <w:bCs/>
        </w:rPr>
        <w:t xml:space="preserve">Responsável: </w:t>
      </w:r>
    </w:p>
    <w:p w14:paraId="31FB4EE7" w14:textId="171AB57D" w:rsidR="000B2CED" w:rsidRPr="006455B1" w:rsidRDefault="00A87942" w:rsidP="00B81C0C">
      <w:pPr>
        <w:spacing w:after="100" w:afterAutospacing="1"/>
        <w:rPr>
          <w:rFonts w:cs="Segoe UI"/>
        </w:rPr>
      </w:pPr>
      <w:r w:rsidRPr="006455B1">
        <w:rPr>
          <w:rFonts w:cs="Segoe UI"/>
        </w:rPr>
        <w:t>Prof. Dr. Paulo Ricardo da Silva Oliveira</w:t>
      </w:r>
    </w:p>
    <w:p w14:paraId="4487340A" w14:textId="7EB9199C" w:rsidR="00A87942" w:rsidRPr="006455B1" w:rsidRDefault="00A87942" w:rsidP="00B81C0C">
      <w:pPr>
        <w:spacing w:after="100" w:afterAutospacing="1"/>
        <w:rPr>
          <w:rFonts w:cs="Segoe UI"/>
          <w:b/>
          <w:bCs/>
        </w:rPr>
      </w:pPr>
      <w:r w:rsidRPr="006455B1">
        <w:rPr>
          <w:rFonts w:cs="Segoe UI"/>
          <w:b/>
          <w:bCs/>
        </w:rPr>
        <w:t>Assistente técnico:</w:t>
      </w:r>
    </w:p>
    <w:p w14:paraId="11E43A2E" w14:textId="77777777" w:rsidR="00A87942" w:rsidRPr="006455B1" w:rsidRDefault="00A87942" w:rsidP="00B81C0C">
      <w:pPr>
        <w:spacing w:after="100" w:afterAutospacing="1"/>
        <w:rPr>
          <w:rFonts w:cs="Segoe UI"/>
          <w:b/>
          <w:bCs/>
        </w:rPr>
      </w:pPr>
      <w:r w:rsidRPr="006455B1">
        <w:rPr>
          <w:rFonts w:cs="Segoe UI"/>
        </w:rPr>
        <w:t>João Lucas Alves da Silva</w:t>
      </w:r>
    </w:p>
    <w:bookmarkEnd w:id="0"/>
    <w:p w14:paraId="45462E1E" w14:textId="77777777" w:rsidR="00A87942" w:rsidRPr="006455B1" w:rsidRDefault="00A87942" w:rsidP="00A87942">
      <w:pPr>
        <w:rPr>
          <w:rFonts w:cstheme="minorHAnsi"/>
        </w:rPr>
      </w:pPr>
    </w:p>
    <w:p w14:paraId="450B51F8" w14:textId="77777777" w:rsidR="00386EE2" w:rsidRPr="003D1D69" w:rsidRDefault="001C203D" w:rsidP="003D1D69">
      <w:pPr>
        <w:pStyle w:val="Subttulo"/>
      </w:pPr>
      <w:r w:rsidRPr="003D1D69">
        <w:t>Sumário Executiv</w:t>
      </w:r>
      <w:r w:rsidR="00386EE2" w:rsidRPr="003D1D69">
        <w:t>o</w:t>
      </w:r>
    </w:p>
    <w:p w14:paraId="673B866D" w14:textId="43B655EE" w:rsidR="001C203D" w:rsidRPr="003D25DA" w:rsidRDefault="001C203D" w:rsidP="00386EE2">
      <w:pPr>
        <w:rPr>
          <w:rFonts w:eastAsia="Times New Roman" w:cs="Segoe UI"/>
          <w:b/>
          <w:bCs/>
          <w:kern w:val="36"/>
          <w:sz w:val="36"/>
          <w:szCs w:val="36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Este informativo apresenta e discute os principais dados da balança comercial da RMC para o mês 07/2023. Os dados utilizados nas análises são da base do Ministério do Desenvolvimento, Indústria, Comércio e Serviços. Além dos dados quantitativos, agregados e desagregados por município, apresenta-se a qualificação da pauta de exportação e importação da RMC a partir de cruzamentos dos dados de comércio com os Índices de Complexidade de Produtos (PCI), calculados pelo Observatório de Complexidade Econômica do MIT Media Lab. Por fim, este informativo é concluído com uma previsão do comportamento da balança comercial para o ano de 2023.</w:t>
      </w:r>
    </w:p>
    <w:p w14:paraId="71A0E261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Dentre as informações analisadas, destacam-se:</w:t>
      </w:r>
    </w:p>
    <w:p w14:paraId="44199AD3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Em 07/2023:</w:t>
      </w:r>
    </w:p>
    <w:p w14:paraId="25556699" w14:textId="77777777" w:rsidR="001C203D" w:rsidRPr="003D25DA" w:rsidRDefault="001C203D" w:rsidP="001C203D">
      <w:pPr>
        <w:numPr>
          <w:ilvl w:val="0"/>
          <w:numId w:val="1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Diminuição de -2,62% nas exportações e diminuição de -30,21% nas importações da RMC, resultando em queda de -40,25% no déficit comercial regional;</w:t>
      </w:r>
    </w:p>
    <w:p w14:paraId="584DBC2B" w14:textId="75C63EFF" w:rsidR="001C203D" w:rsidRPr="003D25DA" w:rsidRDefault="001C203D" w:rsidP="001C203D">
      <w:pPr>
        <w:numPr>
          <w:ilvl w:val="0"/>
          <w:numId w:val="1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As participações nas importações e exportações do estado de São Paulo (SP) foram de 20,15% e 6,82%, respectivamente,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respectivamente representando uma redução na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lastRenderedPageBreak/>
        <w:t>participação da RMC tanto nas importações quanto nas exportações do estado em relação ao mesmo período do ano anterior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;</w:t>
      </w:r>
    </w:p>
    <w:p w14:paraId="3938AD7D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Em 12 meses:</w:t>
      </w:r>
    </w:p>
    <w:p w14:paraId="4E647584" w14:textId="77777777" w:rsidR="001C203D" w:rsidRPr="003D25DA" w:rsidRDefault="001C203D" w:rsidP="001C203D">
      <w:pPr>
        <w:numPr>
          <w:ilvl w:val="0"/>
          <w:numId w:val="2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Aumento de 4,55% nas exportações e diminuição de -2,73% nas importações da RMC, resultando em queda de -6,1% no déficit comercial regional;</w:t>
      </w:r>
    </w:p>
    <w:p w14:paraId="7EFD3260" w14:textId="72C6E3FE" w:rsidR="001C203D" w:rsidRPr="003D25DA" w:rsidRDefault="001C203D" w:rsidP="001C203D">
      <w:pPr>
        <w:numPr>
          <w:ilvl w:val="0"/>
          <w:numId w:val="2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Destaca-se o crescimento do valor das exportações de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>tratores, medicamentos e partes e acessórios de motores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;</w:t>
      </w:r>
    </w:p>
    <w:p w14:paraId="52827C84" w14:textId="6AFFC1C0" w:rsidR="001C203D" w:rsidRPr="003D25DA" w:rsidRDefault="001C203D" w:rsidP="001C203D">
      <w:pPr>
        <w:numPr>
          <w:ilvl w:val="0"/>
          <w:numId w:val="2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Destaca-se o crescimento do valor importado de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compostos heterocíclicos de nitrogênio, ácidos nucleicos e seus sais e sangue humano e animal para uso terapêutico e vacinas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;</w:t>
      </w:r>
    </w:p>
    <w:p w14:paraId="72EFC6AA" w14:textId="4A943989" w:rsidR="001C203D" w:rsidRPr="003D25DA" w:rsidRDefault="001C203D" w:rsidP="001C203D">
      <w:pPr>
        <w:numPr>
          <w:ilvl w:val="0"/>
          <w:numId w:val="2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Houve aumento relativo das exportações para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>apenas metade de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todos os principais destinos, com destaque para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Estados Unidos, México e Paraguai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;</w:t>
      </w:r>
    </w:p>
    <w:p w14:paraId="73A56B7B" w14:textId="767B061B" w:rsidR="001C203D" w:rsidRPr="003D25DA" w:rsidRDefault="001C203D" w:rsidP="001C203D">
      <w:pPr>
        <w:numPr>
          <w:ilvl w:val="0"/>
          <w:numId w:val="2"/>
        </w:num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Houve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>queda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relativ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>a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das importações de praticamente todas as principais origens, com destaque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positivo 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para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Alemanha e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</w:t>
      </w:r>
      <w:r w:rsidR="00F36392" w:rsidRPr="003D25DA">
        <w:rPr>
          <w:rFonts w:eastAsia="Times New Roman" w:cs="Segoe UI"/>
          <w:kern w:val="0"/>
          <w:szCs w:val="24"/>
          <w:lang w:eastAsia="pt-BR"/>
          <w14:ligatures w14:val="none"/>
        </w:rPr>
        <w:t>México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.</w:t>
      </w:r>
    </w:p>
    <w:p w14:paraId="2C19341D" w14:textId="24C0FE0B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Em suma, para além dos problemas estruturais do déficit comercial regional causados pela dependência das importações de insumos externos, as exportações mostram piora da atividade do setor externo da RMC, em 07/2023, em relação ao mesmo período do ano anterior. </w:t>
      </w:r>
    </w:p>
    <w:p w14:paraId="5DF0FBB3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É importante ressaltar que as estatísticas de volume de comércio, baseadas em valores monetários, podem sofrer impactos inflacionários relevantes no período.</w:t>
      </w:r>
    </w:p>
    <w:p w14:paraId="4DA9B00E" w14:textId="77777777" w:rsidR="001C02C6" w:rsidRPr="00B81C0C" w:rsidRDefault="001C02C6" w:rsidP="001C203D">
      <w:pPr>
        <w:spacing w:after="150" w:line="240" w:lineRule="auto"/>
        <w:rPr>
          <w:rFonts w:eastAsia="Times New Roman" w:cs="Segoe UI"/>
          <w:kern w:val="0"/>
          <w:lang w:eastAsia="pt-BR"/>
          <w14:ligatures w14:val="none"/>
        </w:rPr>
      </w:pPr>
    </w:p>
    <w:p w14:paraId="00F4E097" w14:textId="77777777" w:rsidR="001C203D" w:rsidRPr="004426D1" w:rsidRDefault="001C203D" w:rsidP="003D1D69">
      <w:pPr>
        <w:pStyle w:val="Subttulo"/>
      </w:pPr>
      <w:r w:rsidRPr="004426D1">
        <w:t>Balança Comercial 07/2023</w:t>
      </w:r>
    </w:p>
    <w:p w14:paraId="4D58BD2C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A Tabela 1 traz os dados da balança comercial da RMC para os meses de julho entre 2013 e 2023.</w:t>
      </w:r>
    </w:p>
    <w:p w14:paraId="0F1C744F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74"/>
        <w:gridCol w:w="1088"/>
        <w:gridCol w:w="1089"/>
        <w:gridCol w:w="1228"/>
        <w:gridCol w:w="21"/>
        <w:gridCol w:w="1158"/>
        <w:gridCol w:w="14"/>
        <w:gridCol w:w="1233"/>
        <w:gridCol w:w="1232"/>
      </w:tblGrid>
      <w:tr w:rsidR="001C203D" w:rsidRPr="006455B1" w14:paraId="167CBF2D" w14:textId="77777777" w:rsidTr="000925E2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E234A" w14:textId="1961B2A1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1 - Balança Comercial da RMC para os meses de julho (valores em milhões de USD/FOB).</w:t>
            </w:r>
            <w:r w:rsidR="00B00A11" w:rsidRPr="006455B1">
              <w:rPr>
                <w:rStyle w:val="Refdenotaderodap"/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footnoteReference w:id="1"/>
            </w:r>
          </w:p>
        </w:tc>
      </w:tr>
      <w:tr w:rsidR="001C203D" w:rsidRPr="006455B1" w14:paraId="3FDA4E7E" w14:textId="77777777" w:rsidTr="000925E2">
        <w:trPr>
          <w:tblHeader/>
          <w:jc w:val="center"/>
        </w:trPr>
        <w:tc>
          <w:tcPr>
            <w:tcW w:w="1454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BEED66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Mês/Ano</w:t>
            </w:r>
          </w:p>
        </w:tc>
        <w:tc>
          <w:tcPr>
            <w:tcW w:w="109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A649E8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Exp.</w:t>
            </w:r>
          </w:p>
        </w:tc>
        <w:tc>
          <w:tcPr>
            <w:tcW w:w="114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6E19AF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Exp. SP</w:t>
            </w:r>
          </w:p>
        </w:tc>
        <w:tc>
          <w:tcPr>
            <w:tcW w:w="120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BFE3A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Imp.</w:t>
            </w:r>
          </w:p>
        </w:tc>
        <w:tc>
          <w:tcPr>
            <w:tcW w:w="1184" w:type="dxa"/>
            <w:gridSpan w:val="3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B4E4FE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Imp. SP</w:t>
            </w:r>
          </w:p>
        </w:tc>
        <w:tc>
          <w:tcPr>
            <w:tcW w:w="121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C1A9A9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Saldo RMC</w:t>
            </w:r>
          </w:p>
        </w:tc>
        <w:tc>
          <w:tcPr>
            <w:tcW w:w="120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967383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Saldo SP</w:t>
            </w:r>
          </w:p>
        </w:tc>
      </w:tr>
      <w:tr w:rsidR="001C203D" w:rsidRPr="006455B1" w14:paraId="7B05E10D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212D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JUL/13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883A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419,72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E86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7,61%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3EE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1446,35</w:t>
            </w:r>
          </w:p>
        </w:tc>
        <w:tc>
          <w:tcPr>
            <w:tcW w:w="112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50C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15,16%</w:t>
            </w:r>
          </w:p>
        </w:tc>
        <w:tc>
          <w:tcPr>
            <w:tcW w:w="1233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FBDD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-1026,63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3530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-4025,21</w:t>
            </w:r>
          </w:p>
        </w:tc>
      </w:tr>
      <w:tr w:rsidR="001C203D" w:rsidRPr="006455B1" w14:paraId="760F28D0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ACE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JUL/14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EE0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421,69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4FB3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8,17%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5B52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1318,99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3B35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17,29%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164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-897,31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A38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-2469,45</w:t>
            </w:r>
          </w:p>
        </w:tc>
      </w:tr>
      <w:tr w:rsidR="001C203D" w:rsidRPr="006455B1" w14:paraId="6068239D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DAB4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JUL/15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7D9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358,20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004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7,26%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6DDD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1208,40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95B7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21,6%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6E6A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-850,20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C843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-660,30</w:t>
            </w:r>
          </w:p>
        </w:tc>
      </w:tr>
      <w:tr w:rsidR="001C203D" w:rsidRPr="006455B1" w14:paraId="3DCAFE11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B39B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JUL/16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3039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300,96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DA25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94E9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949,60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A2F5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22,18%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7B12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-648,64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82C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16,53</w:t>
            </w:r>
          </w:p>
        </w:tc>
      </w:tr>
      <w:tr w:rsidR="001C203D" w:rsidRPr="006455B1" w14:paraId="4FBFAC5D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194D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JUL/17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8AF1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348,87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1BFC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7,09%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7E90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1114,42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64F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22,5%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629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-765,55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24F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-34,24</w:t>
            </w:r>
          </w:p>
        </w:tc>
      </w:tr>
      <w:tr w:rsidR="001C203D" w:rsidRPr="006455B1" w14:paraId="1B5FB73C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45D4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JUL/18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C33E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343,74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10CF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6,44%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A97C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1194,27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5EE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21,15%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C809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-850,52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05A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-308,15</w:t>
            </w:r>
          </w:p>
        </w:tc>
      </w:tr>
      <w:tr w:rsidR="001C203D" w:rsidRPr="006455B1" w14:paraId="6A1B9312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5362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JUL/19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BA0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403,14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C976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9,22%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923B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1324,68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AA8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22,2%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D97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-921,54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4F7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-1594,60</w:t>
            </w:r>
          </w:p>
        </w:tc>
      </w:tr>
      <w:tr w:rsidR="001C203D" w:rsidRPr="006455B1" w14:paraId="4797B187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609A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JUL/20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C5B8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300,96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1A8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7,68%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AD0B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1041,24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E47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24,32%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210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-740,28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8A9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-365,90</w:t>
            </w:r>
          </w:p>
        </w:tc>
      </w:tr>
      <w:tr w:rsidR="001C203D" w:rsidRPr="006455B1" w14:paraId="493FB4D4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5D6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JUL/21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5748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408,68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46FE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9,04%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4E8D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1394,07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5AC1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23,58%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E85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-985,39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FA4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-1390,74</w:t>
            </w:r>
          </w:p>
        </w:tc>
      </w:tr>
      <w:tr w:rsidR="001C203D" w:rsidRPr="006455B1" w14:paraId="43F98349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16C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JUL/22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FAD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477,70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280B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7,62%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1B7E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1790,43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8688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23,38%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E5CC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-1312,73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938E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-1391,85</w:t>
            </w:r>
          </w:p>
        </w:tc>
      </w:tr>
      <w:tr w:rsidR="001C203D" w:rsidRPr="006455B1" w14:paraId="5AB9E107" w14:textId="77777777" w:rsidTr="000925E2">
        <w:trPr>
          <w:jc w:val="center"/>
        </w:trPr>
        <w:tc>
          <w:tcPr>
            <w:tcW w:w="133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E614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JUL/23</w:t>
            </w:r>
          </w:p>
        </w:tc>
        <w:tc>
          <w:tcPr>
            <w:tcW w:w="1219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6F83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465,18</w:t>
            </w:r>
          </w:p>
        </w:tc>
        <w:tc>
          <w:tcPr>
            <w:tcW w:w="11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D803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6,82%</w:t>
            </w:r>
          </w:p>
        </w:tc>
        <w:tc>
          <w:tcPr>
            <w:tcW w:w="12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CB23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1249,56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CF77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20,15%</w:t>
            </w:r>
          </w:p>
        </w:tc>
        <w:tc>
          <w:tcPr>
            <w:tcW w:w="121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D644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-784,38</w:t>
            </w:r>
          </w:p>
        </w:tc>
        <w:tc>
          <w:tcPr>
            <w:tcW w:w="12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8A1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615,64</w:t>
            </w:r>
          </w:p>
        </w:tc>
      </w:tr>
    </w:tbl>
    <w:p w14:paraId="29A93BF5" w14:textId="5C6DFE91" w:rsidR="001C203D" w:rsidRPr="006455B1" w:rsidRDefault="001C203D" w:rsidP="001C203D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Observatório de Complexidade Econômica e do Ministério de Indústria, Comércio, Serviços e Inovação.</w:t>
      </w:r>
    </w:p>
    <w:p w14:paraId="1F84E2E6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</w:p>
    <w:p w14:paraId="6B400989" w14:textId="0DFEA912" w:rsidR="002F28FE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O mês de</w:t>
      </w:r>
      <w:r w:rsidR="0059649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julho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é tradicionalmente um mês de </w:t>
      </w:r>
      <w:r w:rsidR="0059649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relativamente grandes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valores históricos das exportações, e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alto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nível dos valores importados</w:t>
      </w:r>
      <w:r w:rsidR="0059649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, acompanhado de alta volatilidade.</w:t>
      </w:r>
    </w:p>
    <w:p w14:paraId="513DA3D2" w14:textId="273CF12A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A partir dos dados da Tabela 1, é possível verificar que as exportações de 07/2023 foram de 465,18 milhões de dólares, apresentando um decrescimento de -2,62% em relação ao mesmo período de 2022. Esse valor corresponde 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>ao segundo melhor valor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para o mês em 10 anos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>, atrás apenas de 2021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. Além disso, a participação nas exportações do estado de São Paulo foi de 6,82%, indicando que a RMC 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>retraiu significantemente sua participação nas exportações do estado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quando comparado com o mesmo período em 2022.</w:t>
      </w:r>
    </w:p>
    <w:p w14:paraId="44C29A83" w14:textId="203823F5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As importações totalizaram 1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>,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24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b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ilh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>ão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de dólares, no mesmo período, representando um decrescimento de -30,21% em comparação a 07/2022. A participação da RMC nas importações do estado foi de 20,15%, </w:t>
      </w:r>
      <w:r w:rsidR="002F28FE" w:rsidRPr="003D25DA">
        <w:rPr>
          <w:rFonts w:eastAsia="Times New Roman" w:cs="Segoe UI"/>
          <w:kern w:val="0"/>
          <w:szCs w:val="24"/>
          <w:lang w:eastAsia="pt-BR"/>
          <w14:ligatures w14:val="none"/>
        </w:rPr>
        <w:t>indicando uma queda na participação das importações do estado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. O saldo negativo da balança comercial, -784,38 milhões de dólares, sofreu queda de -40,25% em relação ao mesmo período do ano anterior.</w:t>
      </w:r>
    </w:p>
    <w:p w14:paraId="78AE6AA7" w14:textId="681B37FB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Os principais produtos responsáveis pela redução do valor exportado foram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automóveis de passageiros (exceto vans e veículos maiores)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-31,96%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),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polímeros de etileno 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-75,34%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) e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óleos de petróleo ou de minerais betuminosos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-9,79%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). Dentre as altas, destaca-se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tratores (var. 5,88%), medicamentos (var. 7,49%) e partes e acessórios de veículos (var. 8,28%).</w:t>
      </w:r>
    </w:p>
    <w:p w14:paraId="563E8B6B" w14:textId="47BAEE2A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Nas importações, as principais quedas deram-se para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agroquímicos 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-55,33%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),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compostos heterocíclicos de nitrogênio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-22,19%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) e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outros compostos orgânicos-inorgânicos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-97,50%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). Destaca-se, porém, alta no valor de 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>sangue humano e animal para usos terapêuticos e vacinas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(var.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75,06%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)</w:t>
      </w:r>
      <w:r w:rsidR="009A7FC0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e de medicamentos (var. 64,30%).</w:t>
      </w:r>
    </w:p>
    <w:p w14:paraId="028A30BF" w14:textId="321A32B3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A Tabela 2 mostra as exportações da RMC para 07/2023, agregadas de acordo com o grau de complexidade dos produtos.</w:t>
      </w:r>
      <w:r w:rsidR="00B00A11" w:rsidRPr="003D25DA">
        <w:rPr>
          <w:rStyle w:val="Refdenotaderodap"/>
          <w:rFonts w:eastAsia="Times New Roman" w:cs="Segoe UI"/>
          <w:kern w:val="0"/>
          <w:szCs w:val="24"/>
          <w:lang w:eastAsia="pt-BR"/>
          <w14:ligatures w14:val="none"/>
        </w:rPr>
        <w:footnoteReference w:id="2"/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Produtos considerados mais complexos são produzidos em países com maior grau de sofisticação tecnológica das estruturas produtivas, portanto, com maiores níveis de produtividade e renda.</w:t>
      </w:r>
    </w:p>
    <w:p w14:paraId="05017208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235"/>
        <w:gridCol w:w="1203"/>
        <w:gridCol w:w="87"/>
        <w:gridCol w:w="1152"/>
        <w:gridCol w:w="1251"/>
        <w:gridCol w:w="1237"/>
      </w:tblGrid>
      <w:tr w:rsidR="001C203D" w:rsidRPr="006455B1" w14:paraId="6C8C29A4" w14:textId="77777777" w:rsidTr="000925E2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CB08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2 - Exportações Regionais por Grau de Complexidade Econômica - 07/2023 (valores em milhões de USD/FOB).</w:t>
            </w:r>
          </w:p>
        </w:tc>
      </w:tr>
      <w:tr w:rsidR="00D316DD" w:rsidRPr="006455B1" w14:paraId="13989E2A" w14:textId="77777777" w:rsidTr="000925E2">
        <w:trPr>
          <w:tblHeader/>
          <w:jc w:val="center"/>
        </w:trPr>
        <w:tc>
          <w:tcPr>
            <w:tcW w:w="239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26752C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Grau de Complexidade</w:t>
            </w:r>
          </w:p>
        </w:tc>
        <w:tc>
          <w:tcPr>
            <w:tcW w:w="129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A0C99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das Exp. 22</w:t>
            </w:r>
          </w:p>
        </w:tc>
        <w:tc>
          <w:tcPr>
            <w:tcW w:w="113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722DD6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do Total 22</w:t>
            </w:r>
          </w:p>
        </w:tc>
        <w:tc>
          <w:tcPr>
            <w:tcW w:w="1274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5545EE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das Exp. 23</w:t>
            </w:r>
          </w:p>
        </w:tc>
        <w:tc>
          <w:tcPr>
            <w:tcW w:w="122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689779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do Total 23</w:t>
            </w:r>
          </w:p>
        </w:tc>
        <w:tc>
          <w:tcPr>
            <w:tcW w:w="118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7D8E5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Var. % 22/23</w:t>
            </w:r>
          </w:p>
        </w:tc>
      </w:tr>
      <w:tr w:rsidR="009924F9" w:rsidRPr="006455B1" w14:paraId="4CCCFCEE" w14:textId="77777777" w:rsidTr="000925E2">
        <w:trPr>
          <w:trHeight w:val="363"/>
          <w:jc w:val="center"/>
        </w:trPr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63F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Baixa</w:t>
            </w:r>
          </w:p>
        </w:tc>
        <w:tc>
          <w:tcPr>
            <w:tcW w:w="12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0934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10,21</w:t>
            </w:r>
          </w:p>
        </w:tc>
        <w:tc>
          <w:tcPr>
            <w:tcW w:w="130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E4D9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2,14%</w:t>
            </w:r>
          </w:p>
        </w:tc>
        <w:tc>
          <w:tcPr>
            <w:tcW w:w="11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F13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5,98</w:t>
            </w:r>
          </w:p>
        </w:tc>
        <w:tc>
          <w:tcPr>
            <w:tcW w:w="122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DC67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1,28%</w:t>
            </w:r>
          </w:p>
        </w:tc>
        <w:tc>
          <w:tcPr>
            <w:tcW w:w="11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AA0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-41,43%</w:t>
            </w:r>
          </w:p>
        </w:tc>
      </w:tr>
      <w:tr w:rsidR="00D316DD" w:rsidRPr="006455B1" w14:paraId="1129F9B1" w14:textId="77777777" w:rsidTr="000925E2">
        <w:trPr>
          <w:jc w:val="center"/>
        </w:trPr>
        <w:tc>
          <w:tcPr>
            <w:tcW w:w="23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01D7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Média-baixa</w:t>
            </w:r>
          </w:p>
        </w:tc>
        <w:tc>
          <w:tcPr>
            <w:tcW w:w="12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814E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61,43</w:t>
            </w:r>
          </w:p>
        </w:tc>
        <w:tc>
          <w:tcPr>
            <w:tcW w:w="130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5FF3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12,86%</w:t>
            </w:r>
          </w:p>
        </w:tc>
        <w:tc>
          <w:tcPr>
            <w:tcW w:w="110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988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73,74</w:t>
            </w:r>
          </w:p>
        </w:tc>
        <w:tc>
          <w:tcPr>
            <w:tcW w:w="122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7D4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15,85%</w:t>
            </w:r>
          </w:p>
        </w:tc>
        <w:tc>
          <w:tcPr>
            <w:tcW w:w="11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0383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20,04%</w:t>
            </w:r>
          </w:p>
        </w:tc>
      </w:tr>
      <w:tr w:rsidR="009924F9" w:rsidRPr="006455B1" w14:paraId="17830A25" w14:textId="77777777" w:rsidTr="000925E2">
        <w:trPr>
          <w:jc w:val="center"/>
        </w:trPr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CAF0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Média-alta</w:t>
            </w:r>
          </w:p>
        </w:tc>
        <w:tc>
          <w:tcPr>
            <w:tcW w:w="12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799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358,49</w:t>
            </w:r>
          </w:p>
        </w:tc>
        <w:tc>
          <w:tcPr>
            <w:tcW w:w="130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EFC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75,05%</w:t>
            </w:r>
          </w:p>
        </w:tc>
        <w:tc>
          <w:tcPr>
            <w:tcW w:w="11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E1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329,18</w:t>
            </w:r>
          </w:p>
        </w:tc>
        <w:tc>
          <w:tcPr>
            <w:tcW w:w="122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964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70,76%</w:t>
            </w:r>
          </w:p>
        </w:tc>
        <w:tc>
          <w:tcPr>
            <w:tcW w:w="11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AFF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-8,18%</w:t>
            </w:r>
          </w:p>
        </w:tc>
      </w:tr>
      <w:tr w:rsidR="00D316DD" w:rsidRPr="006455B1" w14:paraId="31C11580" w14:textId="77777777" w:rsidTr="000925E2">
        <w:trPr>
          <w:jc w:val="center"/>
        </w:trPr>
        <w:tc>
          <w:tcPr>
            <w:tcW w:w="23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8F38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Alta</w:t>
            </w:r>
          </w:p>
        </w:tc>
        <w:tc>
          <w:tcPr>
            <w:tcW w:w="12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248F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44,74</w:t>
            </w:r>
          </w:p>
        </w:tc>
        <w:tc>
          <w:tcPr>
            <w:tcW w:w="130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6394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9,37%</w:t>
            </w:r>
          </w:p>
        </w:tc>
        <w:tc>
          <w:tcPr>
            <w:tcW w:w="110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FEA7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45,31</w:t>
            </w:r>
          </w:p>
        </w:tc>
        <w:tc>
          <w:tcPr>
            <w:tcW w:w="122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31F1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9,74%</w:t>
            </w:r>
          </w:p>
        </w:tc>
        <w:tc>
          <w:tcPr>
            <w:tcW w:w="11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B935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1,27%</w:t>
            </w:r>
          </w:p>
        </w:tc>
      </w:tr>
      <w:tr w:rsidR="009924F9" w:rsidRPr="006455B1" w14:paraId="5F3E6483" w14:textId="77777777" w:rsidTr="000925E2">
        <w:trPr>
          <w:jc w:val="center"/>
        </w:trPr>
        <w:tc>
          <w:tcPr>
            <w:tcW w:w="23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2AA9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12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1E1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464,66</w:t>
            </w:r>
          </w:p>
        </w:tc>
        <w:tc>
          <w:tcPr>
            <w:tcW w:w="1305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6C55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  <w:tc>
          <w:tcPr>
            <w:tcW w:w="110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D5E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448,23</w:t>
            </w:r>
          </w:p>
        </w:tc>
        <w:tc>
          <w:tcPr>
            <w:tcW w:w="122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69CB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  <w:tc>
          <w:tcPr>
            <w:tcW w:w="11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7E3E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</w:tr>
    </w:tbl>
    <w:p w14:paraId="24D07F4F" w14:textId="6DB0BAA9" w:rsidR="001C203D" w:rsidRPr="006455B1" w:rsidRDefault="001C203D" w:rsidP="001C203D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Observatório de Complexidade Econômica e do Ministério de Indústria, Comércio, Serviços e Inovação.</w:t>
      </w:r>
    </w:p>
    <w:p w14:paraId="13A42891" w14:textId="77777777" w:rsidR="001C203D" w:rsidRPr="006455B1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p w14:paraId="5E992AD8" w14:textId="19E58654" w:rsidR="001C203D" w:rsidRPr="006455B1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Houve 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aumento e queda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das exportações em diferentes categorias de complexidade. A de baixa complexidade, teve queda de -41,43%; a média-baixa complexidade teve aumento de 20,04%; média-alta complexidade teve queda de -8,18%; e a de alta complexidade teve aumento de 1,27%. Contudo, mais de 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80% 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das exportações da região se concentraram em produtos de média-alta e alta complexidade.</w:t>
      </w:r>
    </w:p>
    <w:p w14:paraId="5F5F657A" w14:textId="33EF6AD9" w:rsidR="001C203D" w:rsidRDefault="001C203D" w:rsidP="00D316D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A Tabela 3 mostra as importações da RMC em 07/2023, agregadas de acordo com o grau de complexidade econômica dos produtos importados.</w:t>
      </w:r>
    </w:p>
    <w:p w14:paraId="02078AF0" w14:textId="77777777" w:rsidR="00897FA9" w:rsidRPr="006455B1" w:rsidRDefault="00897FA9" w:rsidP="00D316D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232"/>
        <w:gridCol w:w="1120"/>
        <w:gridCol w:w="1232"/>
        <w:gridCol w:w="1382"/>
        <w:gridCol w:w="1557"/>
      </w:tblGrid>
      <w:tr w:rsidR="001C203D" w:rsidRPr="006455B1" w14:paraId="41B15D5D" w14:textId="77777777" w:rsidTr="000925E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4E5D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3 - Importações Regionais por Grau de Complexidade Econômica - 07/2023 (valores em milhões de USD/FOB).</w:t>
            </w:r>
          </w:p>
        </w:tc>
      </w:tr>
      <w:tr w:rsidR="00D316DD" w:rsidRPr="006455B1" w14:paraId="05E116C4" w14:textId="77777777" w:rsidTr="000925E2">
        <w:trPr>
          <w:tblHeader/>
          <w:jc w:val="center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579BD7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Grau de Complexidade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0265E3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das Imp. 22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0BAD0C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do Total 22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FAA1AB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das Imp. 23</w:t>
            </w:r>
          </w:p>
        </w:tc>
        <w:tc>
          <w:tcPr>
            <w:tcW w:w="126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8DDCA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do Total 23</w:t>
            </w:r>
          </w:p>
        </w:tc>
        <w:tc>
          <w:tcPr>
            <w:tcW w:w="142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01387D" w14:textId="77777777" w:rsidR="001C203D" w:rsidRPr="006455B1" w:rsidRDefault="001C203D" w:rsidP="00D316D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Var. % 22/23</w:t>
            </w:r>
          </w:p>
        </w:tc>
      </w:tr>
      <w:tr w:rsidR="001C203D" w:rsidRPr="006455B1" w14:paraId="2BB5662E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3114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Baixa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AB3D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4,49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6A9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0,25%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100B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4,4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4899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0,35%</w:t>
            </w:r>
          </w:p>
        </w:tc>
        <w:tc>
          <w:tcPr>
            <w:tcW w:w="14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AF3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-2%</w:t>
            </w:r>
          </w:p>
        </w:tc>
      </w:tr>
      <w:tr w:rsidR="00D316DD" w:rsidRPr="006455B1" w14:paraId="688B28C6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B88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Média-baixa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916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128,01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CFC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7,15%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FBC3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104,11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4694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8,33%</w:t>
            </w:r>
          </w:p>
        </w:tc>
        <w:tc>
          <w:tcPr>
            <w:tcW w:w="14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8178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-18,67%</w:t>
            </w:r>
          </w:p>
        </w:tc>
      </w:tr>
      <w:tr w:rsidR="001C203D" w:rsidRPr="006455B1" w14:paraId="5A17611F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1D8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Média-alta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B51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1311,68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FAA9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73,26%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331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878,33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55AE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70,29%</w:t>
            </w:r>
          </w:p>
        </w:tc>
        <w:tc>
          <w:tcPr>
            <w:tcW w:w="14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CACA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-33,04%</w:t>
            </w:r>
          </w:p>
        </w:tc>
      </w:tr>
      <w:tr w:rsidR="00D316DD" w:rsidRPr="006455B1" w14:paraId="1F0CA510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CAC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169C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325,07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381D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18,16%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9FD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241,13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3A4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19,3%</w:t>
            </w:r>
          </w:p>
        </w:tc>
        <w:tc>
          <w:tcPr>
            <w:tcW w:w="14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56AB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-25,82%</w:t>
            </w:r>
          </w:p>
        </w:tc>
      </w:tr>
      <w:tr w:rsidR="001C203D" w:rsidRPr="006455B1" w14:paraId="24B58201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067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F12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1764,76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2A8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A44D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1223,57</w:t>
            </w:r>
          </w:p>
        </w:tc>
        <w:tc>
          <w:tcPr>
            <w:tcW w:w="126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0530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  <w:tc>
          <w:tcPr>
            <w:tcW w:w="14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531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</w:tr>
    </w:tbl>
    <w:p w14:paraId="523C7338" w14:textId="77777777" w:rsidR="00D316DD" w:rsidRPr="006455B1" w:rsidRDefault="00D316DD" w:rsidP="001C203D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Observatório de Complexidade Econômica e do Ministério de Indústria, Comércio, Serviços e Inovação.</w:t>
      </w:r>
    </w:p>
    <w:p w14:paraId="172EDB54" w14:textId="77777777" w:rsidR="00D316DD" w:rsidRPr="006455B1" w:rsidRDefault="00D316D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p w14:paraId="38459F67" w14:textId="42B130BB" w:rsidR="001C203D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Houve 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queda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dos valores importados em 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todas as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categorias de complexidade. A categoria de baixa complexidade apresentou decrescimento de -2%; a de média-baixa, decrescimento de -18,67%; a de média-alta, decrescimento de -33,04%; e a de alta apresentou queda de -25,82%. As importações de bens de média-alta e alta complexidade representaram mais de 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89%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do valor de todos os produtos importados</w:t>
      </w:r>
      <w:r w:rsidR="00D316DD" w:rsidRPr="006455B1">
        <w:rPr>
          <w:rFonts w:eastAsia="Times New Roman" w:cs="Segoe UI"/>
          <w:kern w:val="0"/>
          <w:szCs w:val="24"/>
          <w:lang w:eastAsia="pt-BR"/>
          <w14:ligatures w14:val="none"/>
        </w:rPr>
        <w:t>.</w:t>
      </w:r>
    </w:p>
    <w:p w14:paraId="3A3F3E0D" w14:textId="77777777" w:rsidR="001C02C6" w:rsidRPr="006455B1" w:rsidRDefault="001C02C6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p w14:paraId="6200F9AC" w14:textId="77777777" w:rsidR="001C203D" w:rsidRPr="004426D1" w:rsidRDefault="001C203D" w:rsidP="003D1D69">
      <w:pPr>
        <w:pStyle w:val="Subttulo"/>
      </w:pPr>
      <w:r w:rsidRPr="004426D1">
        <w:t>Balança Comercial 12 meses</w:t>
      </w:r>
    </w:p>
    <w:p w14:paraId="5A7731B8" w14:textId="77777777" w:rsidR="001C203D" w:rsidRDefault="001C203D" w:rsidP="001C203D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  <w:t>A Tabela 4 traz os dados da balança comercial da RMC para os últimos 12 meses.</w:t>
      </w:r>
    </w:p>
    <w:p w14:paraId="7071AA63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276"/>
        <w:gridCol w:w="1276"/>
        <w:gridCol w:w="141"/>
        <w:gridCol w:w="1133"/>
      </w:tblGrid>
      <w:tr w:rsidR="001C203D" w:rsidRPr="006455B1" w14:paraId="123E569B" w14:textId="77777777" w:rsidTr="000925E2">
        <w:trPr>
          <w:tblHeader/>
          <w:jc w:val="center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51D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4 - Balança Comercial Regional 12 meses (valores em milhões de USD/FOB).</w:t>
            </w:r>
          </w:p>
        </w:tc>
      </w:tr>
      <w:tr w:rsidR="00D316DD" w:rsidRPr="006455B1" w14:paraId="18D21E06" w14:textId="77777777" w:rsidTr="000925E2">
        <w:trPr>
          <w:tblHeader/>
          <w:jc w:val="center"/>
        </w:trPr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8D3B11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Mês/Ano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1FF54F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das Exp.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12B489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EXP RMC/SP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A4C7A2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das Imp.</w:t>
            </w:r>
          </w:p>
        </w:tc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8B5FD9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IMP RMC/SP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E90B68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Saldo RMC</w:t>
            </w:r>
          </w:p>
        </w:tc>
        <w:tc>
          <w:tcPr>
            <w:tcW w:w="113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676D20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Saldo SP</w:t>
            </w:r>
          </w:p>
        </w:tc>
      </w:tr>
      <w:tr w:rsidR="00D316DD" w:rsidRPr="006455B1" w14:paraId="3D6751E7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84E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AGO/22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558A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542,63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6C42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7,57%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E82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1850,67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E28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21,56%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C390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-1308,05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9A7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-1412,32</w:t>
            </w:r>
          </w:p>
        </w:tc>
      </w:tr>
      <w:tr w:rsidR="00D316DD" w:rsidRPr="006455B1" w14:paraId="6C982BEA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DD00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SET/22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17BF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485,13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CF7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7,42%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D7B3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1743,56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D15D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23,19%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CF8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-1258,43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22B6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-983,23</w:t>
            </w:r>
          </w:p>
        </w:tc>
      </w:tr>
      <w:tr w:rsidR="00D316DD" w:rsidRPr="006455B1" w14:paraId="23603360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A90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OUT/22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E5C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473,05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CEFA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7,72%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331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1747,27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719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24,42%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7F5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-1274,23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D519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-1025,17</w:t>
            </w:r>
          </w:p>
        </w:tc>
      </w:tr>
      <w:tr w:rsidR="00D316DD" w:rsidRPr="006455B1" w14:paraId="523E4B2D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FA6B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NOV/22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BA73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447,71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3ED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7,26%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C7B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1465,03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C244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22,91%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964A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-1017,32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595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-226,62</w:t>
            </w:r>
          </w:p>
        </w:tc>
      </w:tr>
      <w:tr w:rsidR="00D316DD" w:rsidRPr="006455B1" w14:paraId="5F26DD93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DEC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DEZ/22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C710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413,8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9B88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6,4%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8940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1299,98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452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20,53%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0D1F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-886,18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DB8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134,79</w:t>
            </w:r>
          </w:p>
        </w:tc>
      </w:tr>
      <w:tr w:rsidR="00D316DD" w:rsidRPr="006455B1" w14:paraId="50EF205D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F433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JAN/23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932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431,69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3B3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7,98%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AB24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1293,12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2D0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21,08%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3A3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-861,43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80D3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-725,33</w:t>
            </w:r>
          </w:p>
        </w:tc>
      </w:tr>
      <w:tr w:rsidR="00D316DD" w:rsidRPr="006455B1" w14:paraId="0B9B0A11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6A8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FEV/23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6F3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376,47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923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8,25%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5199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989,96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CEF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19,15%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4AA4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-613,49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549C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-605,5</w:t>
            </w:r>
          </w:p>
        </w:tc>
      </w:tr>
      <w:tr w:rsidR="00D316DD" w:rsidRPr="006455B1" w14:paraId="68AF5082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DF44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MAR/23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260A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509,73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23EF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7,49%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60C8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1333,13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801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19,86%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FBF6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-823,4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FA73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94,85</w:t>
            </w:r>
          </w:p>
        </w:tc>
      </w:tr>
      <w:tr w:rsidR="00D316DD" w:rsidRPr="006455B1" w14:paraId="578BEE30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06F6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ABR/23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BD0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465,97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5892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7,84%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AB8E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1211,58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4C18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20,56%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012D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-745,61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4C3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46,64</w:t>
            </w:r>
          </w:p>
        </w:tc>
      </w:tr>
      <w:tr w:rsidR="00D316DD" w:rsidRPr="006455B1" w14:paraId="71515000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D8C3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MAI/23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8FF9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523,89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1DCA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7,71%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AF79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1192,77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93E8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18,83%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F01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-668,88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6EEB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461,59</w:t>
            </w:r>
          </w:p>
        </w:tc>
      </w:tr>
      <w:tr w:rsidR="00D316DD" w:rsidRPr="006455B1" w14:paraId="22173B74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7088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JUN/23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039D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482,9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58B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7,32%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3A1D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1146,32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F5B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19,82%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6543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-663,42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9503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815,06</w:t>
            </w:r>
          </w:p>
        </w:tc>
      </w:tr>
      <w:tr w:rsidR="00D316DD" w:rsidRPr="006455B1" w14:paraId="65AF716E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931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JUL/23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73A1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465,18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27E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6,82%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099B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1249,56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4EDC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20,15%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3846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-784,38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C10D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615,64</w:t>
            </w:r>
          </w:p>
        </w:tc>
      </w:tr>
      <w:tr w:rsidR="00D316DD" w:rsidRPr="006455B1" w14:paraId="6CE5B79C" w14:textId="77777777" w:rsidTr="000925E2">
        <w:trPr>
          <w:jc w:val="center"/>
        </w:trPr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F7AE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Total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BBA7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5618,15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A9A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E32F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16522,95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637C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58AB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-10904,82</w:t>
            </w:r>
          </w:p>
        </w:tc>
        <w:tc>
          <w:tcPr>
            <w:tcW w:w="1274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6FFF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-2809,6</w:t>
            </w:r>
          </w:p>
        </w:tc>
      </w:tr>
    </w:tbl>
    <w:p w14:paraId="3AB0CC77" w14:textId="77777777" w:rsidR="00D316DD" w:rsidRPr="006455B1" w:rsidRDefault="00D316DD" w:rsidP="000925E2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Ministério de Indústria, Comércio, Serviços e Inovação.</w:t>
      </w:r>
    </w:p>
    <w:p w14:paraId="533C3BF8" w14:textId="77777777" w:rsidR="00D316DD" w:rsidRPr="006455B1" w:rsidRDefault="00D316D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p w14:paraId="7F1E889D" w14:textId="6632812E" w:rsidR="001C203D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As importações atingiram a marca dos 16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,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52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b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ilhões de dólares, enquanto as exportações somaram 5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,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61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b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ilhões. O desequilíbrio entre importações e exportações rendeu um déficit comercial regional de -10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,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90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b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ilhões de dólares – o déficit estadual foi de -2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>,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80</w:t>
      </w:r>
      <w:r w:rsidR="002F28FE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b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ilhões no mesmo período.</w:t>
      </w:r>
    </w:p>
    <w:p w14:paraId="5444E2C6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544"/>
        <w:gridCol w:w="1134"/>
        <w:gridCol w:w="1249"/>
        <w:gridCol w:w="1726"/>
      </w:tblGrid>
      <w:tr w:rsidR="001C203D" w:rsidRPr="006455B1" w14:paraId="354CE2E8" w14:textId="77777777" w:rsidTr="000925E2">
        <w:trPr>
          <w:tblHeader/>
          <w:jc w:val="center"/>
        </w:trPr>
        <w:tc>
          <w:tcPr>
            <w:tcW w:w="8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BF2C2" w14:textId="3C8B315B" w:rsidR="001C203D" w:rsidRPr="006455B1" w:rsidRDefault="001C203D" w:rsidP="00790222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5 - Principais produtos exportados pela RMC em 12 meses (valores em milhões de USD/FOB).</w:t>
            </w:r>
            <w:r w:rsidR="00790222" w:rsidRPr="006455B1">
              <w:rPr>
                <w:rStyle w:val="Refdenotaderodap"/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footnoteReference w:id="3"/>
            </w:r>
          </w:p>
        </w:tc>
      </w:tr>
      <w:tr w:rsidR="001C203D" w:rsidRPr="006455B1" w14:paraId="7828F72E" w14:textId="77777777" w:rsidTr="000925E2">
        <w:trPr>
          <w:tblHeader/>
          <w:jc w:val="center"/>
        </w:trPr>
        <w:tc>
          <w:tcPr>
            <w:tcW w:w="85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A99D5F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NCM</w:t>
            </w:r>
          </w:p>
        </w:tc>
        <w:tc>
          <w:tcPr>
            <w:tcW w:w="354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071D1A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Produto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F45540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Exp. 22</w:t>
            </w:r>
          </w:p>
        </w:tc>
        <w:tc>
          <w:tcPr>
            <w:tcW w:w="1249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7733D1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Var. % 21/22</w:t>
            </w:r>
          </w:p>
        </w:tc>
        <w:tc>
          <w:tcPr>
            <w:tcW w:w="172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0BC247" w14:textId="77777777" w:rsidR="001C203D" w:rsidRPr="006455B1" w:rsidRDefault="001C203D" w:rsidP="009C319D">
            <w:pPr>
              <w:spacing w:after="300" w:line="240" w:lineRule="auto"/>
              <w:jc w:val="left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Grau de Complexidade</w:t>
            </w:r>
          </w:p>
        </w:tc>
      </w:tr>
      <w:tr w:rsidR="00790222" w:rsidRPr="006455B1" w14:paraId="0DB45625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F944C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8429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0919BA" w14:textId="3669D222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val="en-US"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Tratores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CC08C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400,84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39BBF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40,24%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A9C8A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689BEE45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8528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3004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5646D1" w14:textId="1D9FE3C6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Medicamentos (exceto antissoros e vacinas)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7A05D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330,59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FBA7E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10,54%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26224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7F7B1336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BC2F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8703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103F3A" w14:textId="704A87F7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Automóveis de passageiros (exceto vans e ônibus maiores)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59FB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242,31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6B7B8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-11,18%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2D6E6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2295B85B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D00C5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8708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334CAD" w14:textId="4F1719F0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Partes e acessórios de veículos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14ACA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224,35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ED4DE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29,38%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905F0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27E038F6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51AC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2710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2032C9" w14:textId="07C0B3B8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Óleos de petróleo ou de minerais betuminosos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3A2A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212,54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91B60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84,16%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BFB9A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Média-baixa</w:t>
            </w:r>
          </w:p>
        </w:tc>
      </w:tr>
      <w:tr w:rsidR="00790222" w:rsidRPr="006455B1" w14:paraId="45AD0EBF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5EC23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4011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70F272" w14:textId="5BD405FA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val="en-US"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Pneus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209A9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195,02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950D0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8,99%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E3326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4461E27A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B9C57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8409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497F1D" w14:textId="5036E4E9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val="en-US"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Partes de motores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E3647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175,97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2B37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-11,43%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7CC9F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64645BC4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3FAE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3808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A9DC7D" w14:textId="32040771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val="en-US"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Agroquímicos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7F01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142,14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109CD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22,48%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1DF67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4B0AA0E2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5706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8414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485CE" w14:textId="56057A85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Bombas, compressores, ventiladores e exaustores de ar ou de vácuo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DF6CC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112,50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A41C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-31%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A243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2D068601" w14:textId="77777777" w:rsidTr="000925E2">
        <w:trPr>
          <w:jc w:val="center"/>
        </w:trPr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CEF3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1602</w:t>
            </w:r>
          </w:p>
        </w:tc>
        <w:tc>
          <w:tcPr>
            <w:tcW w:w="354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22536" w14:textId="6FAB3AF5" w:rsidR="00790222" w:rsidRPr="006455B1" w:rsidRDefault="00790222" w:rsidP="0079022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Preparações e conservações de carne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2F82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112,13</w:t>
            </w:r>
          </w:p>
        </w:tc>
        <w:tc>
          <w:tcPr>
            <w:tcW w:w="12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4C1E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-22,79%</w:t>
            </w:r>
          </w:p>
        </w:tc>
        <w:tc>
          <w:tcPr>
            <w:tcW w:w="17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DF615" w14:textId="77777777" w:rsidR="00790222" w:rsidRPr="006455B1" w:rsidRDefault="00790222" w:rsidP="0079022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</w:tbl>
    <w:p w14:paraId="5EE531EF" w14:textId="77777777" w:rsidR="00790222" w:rsidRPr="006455B1" w:rsidRDefault="00790222" w:rsidP="00790222">
      <w:pPr>
        <w:spacing w:after="30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Observatório de Complexidade Econômica e do Ministério de Indústria, Comércio, Serviços e Inovação.</w:t>
      </w:r>
    </w:p>
    <w:p w14:paraId="6141A53D" w14:textId="77777777" w:rsidR="00790222" w:rsidRPr="006455B1" w:rsidRDefault="00790222" w:rsidP="001C203D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</w:p>
    <w:p w14:paraId="6220FAD1" w14:textId="1AD6218C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A Tabela 5 traz o valor exportado dos principais produtos da pauta regional, em 12 meses, bem como a variação em relação aos 12 meses anteriores. Esses produtos totalizam 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lastRenderedPageBreak/>
        <w:t>aproximadamente 38,24% das exportações totais no período. Nota-se que</w:t>
      </w:r>
      <w:r w:rsidR="00B00A11" w:rsidRPr="003D25DA">
        <w:rPr>
          <w:rFonts w:eastAsia="Times New Roman" w:cs="Segoe UI"/>
          <w:kern w:val="0"/>
          <w:szCs w:val="24"/>
          <w:lang w:eastAsia="pt-BR"/>
          <w14:ligatures w14:val="none"/>
        </w:rPr>
        <w:t xml:space="preserve">, exceto para automóveis de passageiros, partes de motores, </w:t>
      </w:r>
      <w:r w:rsidR="00B00A11" w:rsidRPr="003D25DA">
        <w:rPr>
          <w:rFonts w:cs="Segoe UI"/>
          <w:szCs w:val="24"/>
        </w:rPr>
        <w:t xml:space="preserve">bombas, compressores, ventiladores e exaustores de ar ou de vácuo e preparações e conservações de carne, </w:t>
      </w:r>
      <w:r w:rsidR="00B00A11" w:rsidRPr="003D25DA">
        <w:rPr>
          <w:rFonts w:eastAsia="Times New Roman" w:cs="Segoe UI"/>
          <w:kern w:val="0"/>
          <w:szCs w:val="24"/>
          <w:lang w:eastAsia="pt-BR"/>
          <w14:ligatures w14:val="none"/>
        </w:rPr>
        <w:t>as exportações seguem em alta para esta cesta de produtos, com destaque para óleos de petróleo ou de minerais betuminosos, que cresceu 84,16% no período</w:t>
      </w: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.</w:t>
      </w:r>
    </w:p>
    <w:p w14:paraId="26432195" w14:textId="77777777" w:rsidR="001C203D" w:rsidRPr="003D25DA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3D25DA">
        <w:rPr>
          <w:rFonts w:eastAsia="Times New Roman" w:cs="Segoe UI"/>
          <w:kern w:val="0"/>
          <w:szCs w:val="24"/>
          <w:lang w:eastAsia="pt-BR"/>
          <w14:ligatures w14:val="none"/>
        </w:rPr>
        <w:t>A Tabela 6 traz o valor importado dos principais produtos da pauta regional, em 12 meses, bem como a variação em relação ao mesmo período do ano anterior.</w:t>
      </w:r>
    </w:p>
    <w:p w14:paraId="1B592D8D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638"/>
        <w:gridCol w:w="1282"/>
        <w:gridCol w:w="1324"/>
        <w:gridCol w:w="1837"/>
      </w:tblGrid>
      <w:tr w:rsidR="001C203D" w:rsidRPr="006455B1" w14:paraId="667D3780" w14:textId="77777777" w:rsidTr="000925E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C1C0E" w14:textId="77777777" w:rsidR="001C203D" w:rsidRPr="006455B1" w:rsidRDefault="001C203D" w:rsidP="000925E2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6 - Principais produtos importados pela RMC em 12 meses (valores em milhões de USD/FOB).</w:t>
            </w:r>
          </w:p>
        </w:tc>
      </w:tr>
      <w:tr w:rsidR="001C203D" w:rsidRPr="006455B1" w14:paraId="45E1B35D" w14:textId="77777777" w:rsidTr="000925E2">
        <w:trPr>
          <w:tblHeader/>
          <w:jc w:val="center"/>
        </w:trPr>
        <w:tc>
          <w:tcPr>
            <w:tcW w:w="154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C7116C" w14:textId="77777777" w:rsidR="001C203D" w:rsidRPr="006455B1" w:rsidRDefault="001C203D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NCM</w:t>
            </w:r>
          </w:p>
        </w:tc>
        <w:tc>
          <w:tcPr>
            <w:tcW w:w="268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459F7" w14:textId="77777777" w:rsidR="001C203D" w:rsidRPr="006455B1" w:rsidRDefault="001C203D" w:rsidP="000925E2">
            <w:pPr>
              <w:spacing w:after="300" w:line="240" w:lineRule="auto"/>
              <w:jc w:val="center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Produto</w:t>
            </w:r>
          </w:p>
        </w:tc>
        <w:tc>
          <w:tcPr>
            <w:tcW w:w="1232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2C2AC7" w14:textId="77777777" w:rsidR="001C203D" w:rsidRPr="006455B1" w:rsidRDefault="001C203D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Imp. 22</w:t>
            </w:r>
          </w:p>
        </w:tc>
        <w:tc>
          <w:tcPr>
            <w:tcW w:w="131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71EA29" w14:textId="77777777" w:rsidR="001C203D" w:rsidRPr="006455B1" w:rsidRDefault="001C203D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Var. % 21/22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3106E0" w14:textId="77777777" w:rsidR="001C203D" w:rsidRPr="006455B1" w:rsidRDefault="001C203D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Grau de Complexidade</w:t>
            </w:r>
          </w:p>
        </w:tc>
      </w:tr>
      <w:tr w:rsidR="00790222" w:rsidRPr="006455B1" w14:paraId="7913AED1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AD784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3808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1ACFE5" w14:textId="3716F74F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val="en-US"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Agroquímicos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68897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2196,15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2E132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-8,72%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61AEC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0A48F8BE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67507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2933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642CA3" w14:textId="1B34E377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Compostos heterocíclicos exclusivamente de hetero-átomos de nitrogênio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51AB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1329,04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6DF9D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25,97%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D89B6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03A79CF4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B3A89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8542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16560" w14:textId="41B7DDFF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Circuitos eletrônicos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AD1EB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885,66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3E722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-22,57%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D71F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Alta</w:t>
            </w:r>
          </w:p>
        </w:tc>
      </w:tr>
      <w:tr w:rsidR="00790222" w:rsidRPr="006455B1" w14:paraId="40FCBAA7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CE434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8517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0B7522" w14:textId="4B357321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val="en-US"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Aparelhos telefônicos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975D1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723,31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8BF2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-20,9%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A584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41054D0A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182B1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2934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4F9AF6" w14:textId="6716447E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Ácidos nucleicos e seus sais, de constituição química definida ou não; outros compostos heterocíclicos.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8C754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619,07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B403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44,4%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DB067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Alta</w:t>
            </w:r>
          </w:p>
        </w:tc>
      </w:tr>
      <w:tr w:rsidR="00790222" w:rsidRPr="006455B1" w14:paraId="088B6879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4883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3002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0F6ED3" w14:textId="4B6405F2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 xml:space="preserve">Sangue humano e animal para uso </w:t>
            </w:r>
            <w:r w:rsidRPr="006455B1">
              <w:rPr>
                <w:rFonts w:cs="Segoe UI"/>
                <w:color w:val="000000"/>
              </w:rPr>
              <w:lastRenderedPageBreak/>
              <w:t>terapêutico e vacinas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9F6B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lastRenderedPageBreak/>
              <w:t>446,84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B4FF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26,5%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F6E68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08B0AAA5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39184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3004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62718F" w14:textId="085A8CE1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Medicamentos (exceto antissoros e vacinas)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B576A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433,71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53688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43,49%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BBA6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0BA5F028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F3F86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8471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84F1BE" w14:textId="3A4AE609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Máquinas para processamento de dados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AB573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414,60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FFC29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5C48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73C3E1C1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AE0A3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8708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88C2C2" w14:textId="323205D5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Partes e acessórios de veículos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6DF6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397,31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35FC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-13,63%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C030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  <w:tr w:rsidR="00790222" w:rsidRPr="006455B1" w14:paraId="08916F42" w14:textId="77777777" w:rsidTr="000925E2">
        <w:trPr>
          <w:jc w:val="center"/>
        </w:trPr>
        <w:tc>
          <w:tcPr>
            <w:tcW w:w="15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88DAB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2931</w:t>
            </w:r>
          </w:p>
        </w:tc>
        <w:tc>
          <w:tcPr>
            <w:tcW w:w="26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FA9F9" w14:textId="2FE44728" w:rsidR="00790222" w:rsidRPr="006455B1" w:rsidRDefault="00790222" w:rsidP="000925E2">
            <w:pPr>
              <w:spacing w:after="300" w:line="240" w:lineRule="auto"/>
              <w:jc w:val="center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cs="Segoe UI"/>
                <w:color w:val="000000"/>
              </w:rPr>
              <w:t>Outros compostos orgânicos-inorgânicos</w:t>
            </w:r>
          </w:p>
        </w:tc>
        <w:tc>
          <w:tcPr>
            <w:tcW w:w="123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8688F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363,05</w:t>
            </w:r>
          </w:p>
        </w:tc>
        <w:tc>
          <w:tcPr>
            <w:tcW w:w="13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0B25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-38,06%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5212" w14:textId="77777777" w:rsidR="00790222" w:rsidRPr="006455B1" w:rsidRDefault="00790222" w:rsidP="000925E2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Média-alta</w:t>
            </w:r>
          </w:p>
        </w:tc>
      </w:tr>
    </w:tbl>
    <w:p w14:paraId="57BBFDB3" w14:textId="77777777" w:rsidR="00790222" w:rsidRPr="006455B1" w:rsidRDefault="00790222" w:rsidP="00790222">
      <w:pPr>
        <w:spacing w:after="30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Observatório de Complexidade Econômica e do Ministério de Indústria, Comércio, Serviços e Inovação.</w:t>
      </w:r>
    </w:p>
    <w:p w14:paraId="4C73AC75" w14:textId="77777777" w:rsidR="00790222" w:rsidRPr="006455B1" w:rsidRDefault="00790222" w:rsidP="001C203D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</w:p>
    <w:p w14:paraId="795874D4" w14:textId="2E4F527B" w:rsidR="001C203D" w:rsidRPr="006455B1" w:rsidRDefault="001C203D" w:rsidP="00B00A11">
      <w:pPr>
        <w:shd w:val="clear" w:color="auto" w:fill="FFFFFF"/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Os produtos listados na Tabela 6 totalizam aproximadamente 47,26% das importações realizadas pela RMC no período. Houve aumento nas importações em </w:t>
      </w:r>
      <w:r w:rsidR="001B78EB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cinco dos dez principais produtos, </w:t>
      </w:r>
      <w:r w:rsidR="00B00A11" w:rsidRPr="006455B1">
        <w:rPr>
          <w:rFonts w:eastAsia="Times New Roman" w:cs="Segoe UI"/>
          <w:kern w:val="0"/>
          <w:szCs w:val="24"/>
          <w:lang w:eastAsia="pt-BR"/>
          <w14:ligatures w14:val="none"/>
        </w:rPr>
        <w:t>com destaque para ácidos nucleicos e seus sais, que cresceu 44,4% no período; além disso, houve</w:t>
      </w:r>
      <w:r w:rsidR="001B78EB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redução das importações de agroquímicos, circuitos eletrônicos, aparelhos telefônicos, partes e acessórios de veículos e outros compostos orgânicos-inorgânicos.</w:t>
      </w:r>
    </w:p>
    <w:p w14:paraId="5186F44E" w14:textId="781E6727" w:rsidR="001C203D" w:rsidRPr="006455B1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Assumindo que as importações estão relacionadas às atividades econômicas das cadeias à frente dos produtos considerados, há indícios de</w:t>
      </w:r>
      <w:r w:rsidR="00B00A11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desaceleração nas indústrias ligadas a esses insumos. Nota-se que três destes setores identificados vêm sofrendo expressivos quedas nas importações há meses.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É importante ressaltar que nesse período pode ter tido algum aumento de preços dos insumos importados, podendo elevar o valor das importações também pelo efeito preço.</w:t>
      </w:r>
    </w:p>
    <w:p w14:paraId="415747F3" w14:textId="77777777" w:rsidR="001C203D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lastRenderedPageBreak/>
        <w:t>A Tabela 7 traz as exportações para os 10 principais destinos da RMC, em 12 meses, bem como a variação das exportações por destino em relação aos 12 meses anteriores.</w:t>
      </w:r>
    </w:p>
    <w:p w14:paraId="5D49A7A8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2371"/>
        <w:gridCol w:w="2391"/>
        <w:gridCol w:w="1944"/>
      </w:tblGrid>
      <w:tr w:rsidR="001C203D" w:rsidRPr="006455B1" w14:paraId="03905199" w14:textId="77777777" w:rsidTr="000925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0198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7 - Destinos das Exportações da RMC (valores em milhões de USD/FOB, acumulado 12 meses).</w:t>
            </w:r>
          </w:p>
        </w:tc>
      </w:tr>
      <w:tr w:rsidR="001C203D" w:rsidRPr="006455B1" w14:paraId="45E737B8" w14:textId="77777777" w:rsidTr="000925E2">
        <w:trPr>
          <w:tblHeader/>
          <w:jc w:val="center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97103B" w14:textId="77777777" w:rsidR="001C203D" w:rsidRPr="006455B1" w:rsidRDefault="001C203D" w:rsidP="00B00A11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País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568360" w14:textId="77777777" w:rsidR="001C203D" w:rsidRPr="006455B1" w:rsidRDefault="001C203D" w:rsidP="00B00A11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Exportações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FAA87A" w14:textId="77777777" w:rsidR="001C203D" w:rsidRPr="006455B1" w:rsidRDefault="001C203D" w:rsidP="00B00A11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Participação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1E4FC7" w14:textId="77777777" w:rsidR="001C203D" w:rsidRPr="006455B1" w:rsidRDefault="001C203D" w:rsidP="00B00A11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Variação 12 meses</w:t>
            </w:r>
          </w:p>
        </w:tc>
      </w:tr>
      <w:tr w:rsidR="001C203D" w:rsidRPr="006455B1" w14:paraId="076A86B2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1710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AC61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1030,28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DDC9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18,34%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5235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-1,35%</w:t>
            </w:r>
          </w:p>
        </w:tc>
      </w:tr>
      <w:tr w:rsidR="001C203D" w:rsidRPr="006455B1" w14:paraId="6685B48D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215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Estados Unidos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12BA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1017,28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41F2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18,11%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D637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26,1%</w:t>
            </w:r>
          </w:p>
        </w:tc>
      </w:tr>
      <w:tr w:rsidR="001C203D" w:rsidRPr="006455B1" w14:paraId="25A92CF7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646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3D14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407,03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15EA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7,24%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D55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14,73%</w:t>
            </w:r>
          </w:p>
        </w:tc>
      </w:tr>
      <w:tr w:rsidR="001C203D" w:rsidRPr="006455B1" w14:paraId="4D277D97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BD7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Alemanha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7A3B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332,84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49B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5,92%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7FD9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3,68%</w:t>
            </w:r>
          </w:p>
        </w:tc>
      </w:tr>
      <w:tr w:rsidR="001C203D" w:rsidRPr="006455B1" w14:paraId="43C32EE5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9E27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Chile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2F76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299,86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A1F8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5,34%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87A9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-13,3%</w:t>
            </w:r>
          </w:p>
        </w:tc>
      </w:tr>
      <w:tr w:rsidR="001C203D" w:rsidRPr="006455B1" w14:paraId="1DACC4D5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AEAB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Colômbia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A90E6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250,50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5800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4,46%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E4AE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-6,23%</w:t>
            </w:r>
          </w:p>
        </w:tc>
      </w:tr>
      <w:tr w:rsidR="001C203D" w:rsidRPr="006455B1" w14:paraId="4E84FEE9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7E05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Paraguai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55F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197,91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C3E2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3,52%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D65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26,42%</w:t>
            </w:r>
          </w:p>
        </w:tc>
      </w:tr>
      <w:tr w:rsidR="001C203D" w:rsidRPr="006455B1" w14:paraId="72F7EE8D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408F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Peru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98B4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184,51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20E6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3,28%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00BF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0,42%</w:t>
            </w:r>
          </w:p>
        </w:tc>
      </w:tr>
      <w:tr w:rsidR="001C203D" w:rsidRPr="006455B1" w14:paraId="3681BA32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7FA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9CB6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166,23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D8AD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2,96%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DC3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-46,33%</w:t>
            </w:r>
          </w:p>
        </w:tc>
      </w:tr>
      <w:tr w:rsidR="001C203D" w:rsidRPr="006455B1" w14:paraId="589ED8B2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E62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Bélgica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B60A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127,77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6EC3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2,27%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19B4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-42,9%</w:t>
            </w:r>
          </w:p>
        </w:tc>
      </w:tr>
    </w:tbl>
    <w:p w14:paraId="2E021FB2" w14:textId="77777777" w:rsidR="00B44C2A" w:rsidRPr="006455B1" w:rsidRDefault="00B44C2A" w:rsidP="001C203D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lastRenderedPageBreak/>
        <w:t>Fonte: Elaboração Própria com base nos dados do Ministério de Indústria, Comércio, Serviços e Inovação.</w:t>
      </w:r>
    </w:p>
    <w:p w14:paraId="26FBB666" w14:textId="77777777" w:rsidR="00B44C2A" w:rsidRPr="006455B1" w:rsidRDefault="00B44C2A" w:rsidP="001C203D">
      <w:pPr>
        <w:spacing w:after="150" w:line="240" w:lineRule="auto"/>
        <w:rPr>
          <w:rFonts w:eastAsia="Times New Roman" w:cs="Segoe UI"/>
          <w:kern w:val="0"/>
          <w:lang w:eastAsia="pt-BR"/>
          <w14:ligatures w14:val="none"/>
        </w:rPr>
      </w:pPr>
    </w:p>
    <w:p w14:paraId="6D033153" w14:textId="301D8B43" w:rsidR="009924F9" w:rsidRPr="006455B1" w:rsidRDefault="001C203D" w:rsidP="009924F9">
      <w:pPr>
        <w:shd w:val="clear" w:color="auto" w:fill="FFFFFF"/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Houve </w:t>
      </w:r>
      <w:r w:rsidR="009924F9" w:rsidRPr="006455B1">
        <w:rPr>
          <w:rFonts w:eastAsia="Times New Roman" w:cs="Segoe UI"/>
          <w:kern w:val="0"/>
          <w:szCs w:val="24"/>
          <w:lang w:eastAsia="pt-BR"/>
          <w14:ligatures w14:val="none"/>
        </w:rPr>
        <w:t>aumento do valor exportado para apenas metade de todos os principais países, à exceção do Chile, que apresentou uma pequena queda nas exportações, da China e Bélgica, que mantêm sua tendência de queda no valor exportado e diminuição da sua participação na RMC e da Argentina e da Colômbia, que agora apresentam uma variação negativa no valor das exportações dos últimos 12 meses.</w:t>
      </w:r>
    </w:p>
    <w:p w14:paraId="17F8B551" w14:textId="2E883F28" w:rsidR="001C203D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A Tabela 8 traz os dados para as 10 principais origens das importações da RMC, em 12 meses, bem como a variação das importações por origem em relação aos 12 meses anteriores.</w:t>
      </w:r>
    </w:p>
    <w:p w14:paraId="567FD87B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391"/>
        <w:gridCol w:w="2382"/>
        <w:gridCol w:w="1938"/>
      </w:tblGrid>
      <w:tr w:rsidR="001C203D" w:rsidRPr="006455B1" w14:paraId="20DA0852" w14:textId="77777777" w:rsidTr="000925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0ABC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8 - Origens das Importações da RMC (valores em milhões de USD/FOB, acumulado 12 meses).</w:t>
            </w:r>
          </w:p>
        </w:tc>
      </w:tr>
      <w:tr w:rsidR="001C203D" w:rsidRPr="006455B1" w14:paraId="599B76CF" w14:textId="77777777" w:rsidTr="000925E2">
        <w:trPr>
          <w:tblHeader/>
          <w:jc w:val="center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7DF945" w14:textId="77777777" w:rsidR="001C203D" w:rsidRPr="006455B1" w:rsidRDefault="001C203D" w:rsidP="009924F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País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D0B0D8" w14:textId="77777777" w:rsidR="001C203D" w:rsidRPr="006455B1" w:rsidRDefault="001C203D" w:rsidP="009924F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Importações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1D3412" w14:textId="77777777" w:rsidR="001C203D" w:rsidRPr="006455B1" w:rsidRDefault="001C203D" w:rsidP="009924F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Participação 12 meses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637C11" w14:textId="77777777" w:rsidR="001C203D" w:rsidRPr="006455B1" w:rsidRDefault="001C203D" w:rsidP="009924F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Variação 12 meses</w:t>
            </w:r>
          </w:p>
        </w:tc>
      </w:tr>
      <w:tr w:rsidR="001C203D" w:rsidRPr="006455B1" w14:paraId="16482CB9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CCD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47F0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4765,95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9A2A9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28,84%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D79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-8,19%</w:t>
            </w:r>
          </w:p>
        </w:tc>
      </w:tr>
      <w:tr w:rsidR="001C203D" w:rsidRPr="006455B1" w14:paraId="05D51AE0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748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Estados Unidos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AFED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2361,29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E4C0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14,29%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67F0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5,46%</w:t>
            </w:r>
          </w:p>
        </w:tc>
      </w:tr>
      <w:tr w:rsidR="001C203D" w:rsidRPr="006455B1" w14:paraId="04CF649D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4AE4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Alemanha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E99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1207,17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1E88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7,31%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166B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13,16%</w:t>
            </w:r>
          </w:p>
        </w:tc>
      </w:tr>
      <w:tr w:rsidR="001C203D" w:rsidRPr="006455B1" w14:paraId="33A9FEED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3897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Índia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71E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801,68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720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4,85%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5E9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-8,32%</w:t>
            </w:r>
          </w:p>
        </w:tc>
      </w:tr>
      <w:tr w:rsidR="001C203D" w:rsidRPr="006455B1" w14:paraId="54E32ECA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958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Japão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18B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672,38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B094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4,07%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C85C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-9,37%</w:t>
            </w:r>
          </w:p>
        </w:tc>
      </w:tr>
      <w:tr w:rsidR="001C203D" w:rsidRPr="006455B1" w14:paraId="11CC8596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6CC2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Coreia do Sul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2ED0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655,02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FED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3,96%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D052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-2,4%</w:t>
            </w:r>
          </w:p>
        </w:tc>
      </w:tr>
      <w:tr w:rsidR="001C203D" w:rsidRPr="006455B1" w14:paraId="52DDA3FB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971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França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A581F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576,27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8663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3,49%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757BB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-5,72%</w:t>
            </w:r>
          </w:p>
        </w:tc>
      </w:tr>
      <w:tr w:rsidR="001C203D" w:rsidRPr="006455B1" w14:paraId="05789C60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8C88D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Vietnã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28012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562,04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80AE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397E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-10,77%</w:t>
            </w:r>
          </w:p>
        </w:tc>
      </w:tr>
      <w:tr w:rsidR="001C203D" w:rsidRPr="006455B1" w14:paraId="54BBCEDD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BD41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0512A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444,79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772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2,69%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4C950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13,57%</w:t>
            </w:r>
          </w:p>
        </w:tc>
      </w:tr>
      <w:tr w:rsidR="001C203D" w:rsidRPr="006455B1" w14:paraId="2D44B424" w14:textId="77777777" w:rsidTr="000925E2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BD518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Suíça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C74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374,49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B7BD5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2,27%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6514" w14:textId="77777777" w:rsidR="001C203D" w:rsidRPr="006455B1" w:rsidRDefault="001C203D" w:rsidP="001C203D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7,26%</w:t>
            </w:r>
          </w:p>
        </w:tc>
      </w:tr>
    </w:tbl>
    <w:p w14:paraId="27D0DDAE" w14:textId="77777777" w:rsidR="00B44C2A" w:rsidRPr="006455B1" w:rsidRDefault="00B44C2A" w:rsidP="001C203D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Observatório de Complexidade Econômica e do Ministério de Indústria, Comércio, Serviços e Inovação.</w:t>
      </w:r>
    </w:p>
    <w:p w14:paraId="181A2750" w14:textId="77777777" w:rsidR="00B44C2A" w:rsidRPr="006455B1" w:rsidRDefault="00B44C2A" w:rsidP="001C203D">
      <w:pPr>
        <w:spacing w:after="150" w:line="240" w:lineRule="auto"/>
        <w:rPr>
          <w:rFonts w:eastAsia="Times New Roman" w:cs="Segoe UI"/>
          <w:kern w:val="0"/>
          <w:lang w:eastAsia="pt-BR"/>
          <w14:ligatures w14:val="none"/>
        </w:rPr>
      </w:pPr>
    </w:p>
    <w:p w14:paraId="2F5C2266" w14:textId="49BEF87B" w:rsidR="009924F9" w:rsidRPr="006455B1" w:rsidRDefault="001C203D" w:rsidP="009924F9">
      <w:pPr>
        <w:spacing w:after="100" w:afterAutospacing="1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Destaca-se </w:t>
      </w:r>
      <w:r w:rsidR="009924F9" w:rsidRPr="006455B1">
        <w:rPr>
          <w:rFonts w:eastAsia="Times New Roman" w:cs="Segoe UI"/>
          <w:kern w:val="0"/>
          <w:szCs w:val="24"/>
          <w:lang w:eastAsia="pt-BR"/>
          <w14:ligatures w14:val="none"/>
        </w:rPr>
        <w:t>queda das importações para a maioria dos principais países da pauta importadora, sendo estes China, Índia, Japão, Coreia do Sul, França e Vietnã. A maior variação no período foi do México, cujas importações cresceram 13,57% nos últimos 12 meses.</w:t>
      </w:r>
    </w:p>
    <w:p w14:paraId="1507C8A2" w14:textId="39A3DE7C" w:rsidR="001C203D" w:rsidRDefault="001C203D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A Tabela 9 traz os dados da balança comercial para os municípios da RMC, em 12 meses.</w:t>
      </w:r>
    </w:p>
    <w:p w14:paraId="131177CC" w14:textId="77777777" w:rsidR="00897FA9" w:rsidRPr="006455B1" w:rsidRDefault="00897FA9" w:rsidP="001C203D">
      <w:pPr>
        <w:spacing w:after="150" w:line="240" w:lineRule="auto"/>
        <w:rPr>
          <w:rFonts w:eastAsia="Times New Roman" w:cs="Segoe UI"/>
          <w:kern w:val="0"/>
          <w:szCs w:val="24"/>
          <w:lang w:eastAsia="pt-BR"/>
          <w14:ligatures w14:val="none"/>
        </w:rPr>
      </w:pPr>
    </w:p>
    <w:tbl>
      <w:tblPr>
        <w:tblW w:w="850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363"/>
        <w:gridCol w:w="988"/>
        <w:gridCol w:w="1346"/>
        <w:gridCol w:w="993"/>
        <w:gridCol w:w="1274"/>
      </w:tblGrid>
      <w:tr w:rsidR="001C203D" w:rsidRPr="006455B1" w14:paraId="7236B658" w14:textId="77777777" w:rsidTr="00897FA9">
        <w:trPr>
          <w:tblHeader/>
          <w:jc w:val="center"/>
        </w:trPr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8BBBA" w14:textId="77777777" w:rsidR="001C203D" w:rsidRPr="006455B1" w:rsidRDefault="001C203D" w:rsidP="000925E2">
            <w:pPr>
              <w:spacing w:after="300" w:line="240" w:lineRule="auto"/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color w:val="777777"/>
                <w:kern w:val="0"/>
                <w:lang w:eastAsia="pt-BR"/>
                <w14:ligatures w14:val="none"/>
              </w:rPr>
              <w:t>Tabela 9 - Balança Comercial dos Munícipios da RMC, 12 meses (valores em milhões de USD/FOB).</w:t>
            </w:r>
          </w:p>
        </w:tc>
      </w:tr>
      <w:tr w:rsidR="001C203D" w:rsidRPr="006455B1" w14:paraId="254808CB" w14:textId="77777777" w:rsidTr="00897FA9">
        <w:trPr>
          <w:tblHeader/>
          <w:jc w:val="center"/>
        </w:trPr>
        <w:tc>
          <w:tcPr>
            <w:tcW w:w="254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FE3DC3" w14:textId="71F48A25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Munic</w:t>
            </w:r>
            <w:r w:rsidR="00B44C2A"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í</w:t>
            </w: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pio</w:t>
            </w:r>
          </w:p>
        </w:tc>
        <w:tc>
          <w:tcPr>
            <w:tcW w:w="136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943BF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Exportado</w:t>
            </w:r>
          </w:p>
        </w:tc>
        <w:tc>
          <w:tcPr>
            <w:tcW w:w="98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CDD35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Exp. RMC</w:t>
            </w:r>
          </w:p>
        </w:tc>
        <w:tc>
          <w:tcPr>
            <w:tcW w:w="134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32860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Valor Importado</w:t>
            </w:r>
          </w:p>
        </w:tc>
        <w:tc>
          <w:tcPr>
            <w:tcW w:w="993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4D96C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% Imp. RMC</w:t>
            </w:r>
          </w:p>
        </w:tc>
        <w:tc>
          <w:tcPr>
            <w:tcW w:w="127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F673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Saldo</w:t>
            </w:r>
          </w:p>
        </w:tc>
      </w:tr>
      <w:tr w:rsidR="001C203D" w:rsidRPr="006455B1" w14:paraId="46A87924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1CB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CAMPINAS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8E243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1149,21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044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20,46%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8D1E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3223,97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9622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19,51%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182E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-2074,76</w:t>
            </w:r>
          </w:p>
        </w:tc>
      </w:tr>
      <w:tr w:rsidR="001C203D" w:rsidRPr="006455B1" w14:paraId="127FF492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3903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INDAIATUBA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074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964,28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6EFF4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17,16</w:t>
            </w: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lastRenderedPageBreak/>
              <w:t>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024F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lastRenderedPageBreak/>
              <w:t>1682,10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73A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10,18</w:t>
            </w: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lastRenderedPageBreak/>
              <w:t>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C5F4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lastRenderedPageBreak/>
              <w:t>-717,82</w:t>
            </w:r>
          </w:p>
        </w:tc>
      </w:tr>
      <w:tr w:rsidR="001C203D" w:rsidRPr="006455B1" w14:paraId="6CC67813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64D5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PAULINIA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20DA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942,44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5E1F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16,77%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8E8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5495,65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F6F0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33,26%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3DF32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-4553,21</w:t>
            </w:r>
          </w:p>
        </w:tc>
      </w:tr>
      <w:tr w:rsidR="001C203D" w:rsidRPr="006455B1" w14:paraId="2D080CB7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54EF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AMERICANA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C1B2F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481,97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A30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8,58%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B26C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458,68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B8034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2,78%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2118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23,29</w:t>
            </w:r>
          </w:p>
        </w:tc>
      </w:tr>
      <w:tr w:rsidR="001C203D" w:rsidRPr="006455B1" w14:paraId="229ED9CA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C8EB1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VINHEDO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AD75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439,93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429E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7,83%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86214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1153,56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66F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6,98%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5F96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-713,63</w:t>
            </w:r>
          </w:p>
        </w:tc>
      </w:tr>
      <w:tr w:rsidR="001C203D" w:rsidRPr="006455B1" w14:paraId="1150EBAA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5D24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SUMARE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DAF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421,15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022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7,5%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89CD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909,18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8613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5,5%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854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-488,03</w:t>
            </w:r>
          </w:p>
        </w:tc>
      </w:tr>
      <w:tr w:rsidR="001C203D" w:rsidRPr="006455B1" w14:paraId="01426657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82A4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ITATIBA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9BC0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191,08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F01F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3,4%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BED2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449,25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44073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2,72%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648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-258,17</w:t>
            </w:r>
          </w:p>
        </w:tc>
      </w:tr>
      <w:tr w:rsidR="001C203D" w:rsidRPr="006455B1" w14:paraId="210DF4C2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CBC2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VALINHOS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B00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188,70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D3CB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3,36%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CE9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523,72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6407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3,17%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F07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-335,02</w:t>
            </w:r>
          </w:p>
        </w:tc>
      </w:tr>
      <w:tr w:rsidR="001C203D" w:rsidRPr="006455B1" w14:paraId="13236D43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6801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COSMOPOLIS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9CAA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168,74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204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C82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114,94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BFB2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0,7%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FDA3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53,80</w:t>
            </w:r>
          </w:p>
        </w:tc>
      </w:tr>
      <w:tr w:rsidR="001C203D" w:rsidRPr="006455B1" w14:paraId="0A938A44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371C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SANTA BARBARA D’OESTE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1330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128,94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EC9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2,3%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FEAF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201,61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B232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1,22%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0E6D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-72,67</w:t>
            </w:r>
          </w:p>
        </w:tc>
      </w:tr>
      <w:tr w:rsidR="001C203D" w:rsidRPr="006455B1" w14:paraId="2F8FA53D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BF7D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SANTO ANTONIO DE POSSE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DD1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122,19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5BE1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2,17%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773C5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115,13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12CC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0,7%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F8A7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7,06</w:t>
            </w:r>
          </w:p>
        </w:tc>
      </w:tr>
      <w:tr w:rsidR="001C203D" w:rsidRPr="006455B1" w14:paraId="066EB9DF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2DCD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lastRenderedPageBreak/>
              <w:t>MONTE MOR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003F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104,92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1A55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1,87%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158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163,39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6D66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0,99%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BF8A5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-58,47</w:t>
            </w:r>
          </w:p>
        </w:tc>
      </w:tr>
      <w:tr w:rsidR="001C203D" w:rsidRPr="006455B1" w14:paraId="1389FA5C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5103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NOVA ODESSA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9D85A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94,17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DBCA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1,68%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2E5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83,30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0FF92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0,5%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96BD1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10,87</w:t>
            </w:r>
          </w:p>
        </w:tc>
      </w:tr>
      <w:tr w:rsidR="001C203D" w:rsidRPr="006455B1" w14:paraId="1D2C9D7A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4F33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HORTOLANDIA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91EB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79,14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F50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1,41%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B6E8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913,65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C9FF2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5,53%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0F39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-834,51</w:t>
            </w:r>
          </w:p>
        </w:tc>
      </w:tr>
      <w:tr w:rsidR="001C203D" w:rsidRPr="006455B1" w14:paraId="35A89EE8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213B5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JAGUARIUNA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ADE0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61,25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53D4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1,09%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D0BF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922,67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FB7A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5,58%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384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-861,42</w:t>
            </w:r>
          </w:p>
        </w:tc>
      </w:tr>
      <w:tr w:rsidR="001C203D" w:rsidRPr="006455B1" w14:paraId="7DDD7995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4F1D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PEDREIRA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E8A7E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47,60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3BEE4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0,85%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16B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9,64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7DEF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0,06%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C48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37,96</w:t>
            </w:r>
          </w:p>
        </w:tc>
      </w:tr>
      <w:tr w:rsidR="001C203D" w:rsidRPr="006455B1" w14:paraId="2F61F5F7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E43B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ARTUR NOGUEIRA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87D4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17,69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9DBD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0,31%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930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46,24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0476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0,28%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AAB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-28,55</w:t>
            </w:r>
          </w:p>
        </w:tc>
      </w:tr>
      <w:tr w:rsidR="001C203D" w:rsidRPr="006455B1" w14:paraId="728BABF8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C325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ENGENHEIRO COELHO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C480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9,76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B38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0,17%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7FA3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2,58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D8D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0,02%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69269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7,18</w:t>
            </w:r>
          </w:p>
        </w:tc>
      </w:tr>
      <w:tr w:rsidR="001C203D" w:rsidRPr="006455B1" w14:paraId="30FF61D4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438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HOLAMBRA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6464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2,64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1BC7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0,05%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69E1F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45,71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CFCA0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0,28%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47F96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-43,07</w:t>
            </w:r>
          </w:p>
        </w:tc>
      </w:tr>
      <w:tr w:rsidR="001C203D" w:rsidRPr="006455B1" w14:paraId="58F1A5A6" w14:textId="77777777" w:rsidTr="00897FA9">
        <w:trPr>
          <w:jc w:val="center"/>
        </w:trPr>
        <w:tc>
          <w:tcPr>
            <w:tcW w:w="254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CEA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b/>
                <w:bCs/>
                <w:kern w:val="0"/>
                <w:lang w:eastAsia="pt-BR"/>
                <w14:ligatures w14:val="none"/>
              </w:rPr>
              <w:t>MORUNGABA</w:t>
            </w:r>
          </w:p>
        </w:tc>
        <w:tc>
          <w:tcPr>
            <w:tcW w:w="136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D48FD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2,34</w:t>
            </w:r>
          </w:p>
        </w:tc>
        <w:tc>
          <w:tcPr>
            <w:tcW w:w="9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0E12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0,04%</w:t>
            </w:r>
          </w:p>
        </w:tc>
        <w:tc>
          <w:tcPr>
            <w:tcW w:w="134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67B45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7,99</w:t>
            </w:r>
          </w:p>
        </w:tc>
        <w:tc>
          <w:tcPr>
            <w:tcW w:w="9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3B86B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0,05%</w:t>
            </w:r>
          </w:p>
        </w:tc>
        <w:tc>
          <w:tcPr>
            <w:tcW w:w="127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6BD1C" w14:textId="77777777" w:rsidR="001C203D" w:rsidRPr="006455B1" w:rsidRDefault="001C203D" w:rsidP="00897FA9">
            <w:pPr>
              <w:spacing w:after="300" w:line="240" w:lineRule="auto"/>
              <w:rPr>
                <w:rFonts w:eastAsia="Times New Roman" w:cs="Segoe UI"/>
                <w:kern w:val="0"/>
                <w:lang w:eastAsia="pt-BR"/>
                <w14:ligatures w14:val="none"/>
              </w:rPr>
            </w:pPr>
            <w:r w:rsidRPr="006455B1">
              <w:rPr>
                <w:rFonts w:eastAsia="Times New Roman" w:cs="Segoe UI"/>
                <w:kern w:val="0"/>
                <w:lang w:eastAsia="pt-BR"/>
                <w14:ligatures w14:val="none"/>
              </w:rPr>
              <w:t>-5,65</w:t>
            </w:r>
          </w:p>
        </w:tc>
      </w:tr>
    </w:tbl>
    <w:p w14:paraId="77F9364B" w14:textId="2EA4C6EC" w:rsidR="00B44C2A" w:rsidRPr="006455B1" w:rsidRDefault="00B44C2A" w:rsidP="001C203D">
      <w:pPr>
        <w:spacing w:after="150" w:line="240" w:lineRule="auto"/>
        <w:rPr>
          <w:rFonts w:eastAsia="Times New Roman" w:cs="Segoe UI"/>
          <w:kern w:val="0"/>
          <w:sz w:val="18"/>
          <w:szCs w:val="18"/>
          <w:lang w:eastAsia="pt-BR"/>
          <w14:ligatures w14:val="none"/>
        </w:rPr>
      </w:pPr>
      <w:r w:rsidRPr="006455B1">
        <w:rPr>
          <w:rFonts w:eastAsia="Times New Roman" w:cs="Segoe UI"/>
          <w:kern w:val="0"/>
          <w:sz w:val="18"/>
          <w:szCs w:val="18"/>
          <w:lang w:eastAsia="pt-BR"/>
          <w14:ligatures w14:val="none"/>
        </w:rPr>
        <w:t>Fonte: Elaboração Própria com base nos dados do Ministério de Indústria, Comércio, Serviços e Inovação.</w:t>
      </w:r>
    </w:p>
    <w:p w14:paraId="5E02B4BC" w14:textId="77777777" w:rsidR="00B44C2A" w:rsidRPr="006455B1" w:rsidRDefault="00B44C2A" w:rsidP="001C203D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</w:p>
    <w:p w14:paraId="65620496" w14:textId="77777777" w:rsidR="001C203D" w:rsidRPr="004426D1" w:rsidRDefault="001C203D" w:rsidP="003D1D69">
      <w:pPr>
        <w:pStyle w:val="Subttulo"/>
      </w:pPr>
      <w:r w:rsidRPr="004426D1">
        <w:t>Previsões e perspectivas para 2023</w:t>
      </w:r>
    </w:p>
    <w:p w14:paraId="5A54BE51" w14:textId="7CE8E1B1" w:rsidR="00596490" w:rsidRPr="006455B1" w:rsidRDefault="001C203D" w:rsidP="00596490">
      <w:pPr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lastRenderedPageBreak/>
        <w:t xml:space="preserve">As análises mais recentes do Observatório PUC-Campinas apontam para um ano de 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queda expressiva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nas importações 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(-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22,28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%) e 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de leve 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aumento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das exportações 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(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1,15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%). Em relação as últimas previsões, nota-se que os dados de exportação do mês 0</w:t>
      </w:r>
      <w:r w:rsidR="00CB7A78" w:rsidRPr="006455B1">
        <w:rPr>
          <w:rFonts w:eastAsia="Times New Roman" w:cs="Segoe UI"/>
          <w:kern w:val="0"/>
          <w:szCs w:val="24"/>
          <w:lang w:eastAsia="pt-BR"/>
          <w14:ligatures w14:val="none"/>
        </w:rPr>
        <w:t>7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/2023 indicaram uma 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aceleração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na taxa de 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queda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das 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importações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previstas no ano (previsão anterior era de 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queda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de 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20,72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%), e uma redução um pouco menor das importações (previsão anterior era de 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aumento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de</w:t>
      </w:r>
      <w:r w:rsidR="006E45D0"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 3,71</w:t>
      </w:r>
      <w:r w:rsidR="00596490" w:rsidRPr="006455B1">
        <w:rPr>
          <w:rFonts w:eastAsia="Times New Roman" w:cs="Segoe UI"/>
          <w:kern w:val="0"/>
          <w:szCs w:val="24"/>
          <w:lang w:eastAsia="pt-BR"/>
          <w14:ligatures w14:val="none"/>
        </w:rPr>
        <w:t>%)</w:t>
      </w: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 xml:space="preserve">. </w:t>
      </w:r>
    </w:p>
    <w:p w14:paraId="410357AA" w14:textId="4E597E72" w:rsidR="00596490" w:rsidRPr="006455B1" w:rsidRDefault="00596490" w:rsidP="00596490">
      <w:pPr>
        <w:rPr>
          <w:rFonts w:eastAsia="Times New Roman" w:cs="Segoe UI"/>
          <w:kern w:val="0"/>
          <w:szCs w:val="24"/>
          <w:lang w:eastAsia="pt-BR"/>
          <w14:ligatures w14:val="none"/>
        </w:rPr>
      </w:pPr>
      <w:r w:rsidRPr="006455B1">
        <w:rPr>
          <w:rFonts w:eastAsia="Times New Roman" w:cs="Segoe UI"/>
          <w:kern w:val="0"/>
          <w:szCs w:val="24"/>
          <w:lang w:eastAsia="pt-BR"/>
          <w14:ligatures w14:val="none"/>
        </w:rPr>
        <w:t>O contexto de tendência de redução das importações pode ter base na queda dos principais produtos importados pela RMC, mas também pode indicar desaceleração no ritmo da produção industrial.</w:t>
      </w:r>
    </w:p>
    <w:p w14:paraId="365A1E55" w14:textId="3846D8F1" w:rsidR="001C203D" w:rsidRPr="006455B1" w:rsidRDefault="001C203D" w:rsidP="00F36392">
      <w:pPr>
        <w:spacing w:after="150" w:line="240" w:lineRule="auto"/>
        <w:rPr>
          <w:rFonts w:eastAsia="Times New Roman" w:cs="Segoe UI"/>
          <w:color w:val="333333"/>
          <w:kern w:val="0"/>
          <w:szCs w:val="24"/>
          <w:lang w:eastAsia="pt-BR"/>
          <w14:ligatures w14:val="none"/>
        </w:rPr>
      </w:pPr>
    </w:p>
    <w:sectPr w:rsidR="001C203D" w:rsidRPr="006455B1" w:rsidSect="00CF32E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442F" w14:textId="77777777" w:rsidR="00440AF0" w:rsidRDefault="00440AF0" w:rsidP="00790222">
      <w:pPr>
        <w:spacing w:after="0" w:line="240" w:lineRule="auto"/>
      </w:pPr>
      <w:r>
        <w:separator/>
      </w:r>
    </w:p>
    <w:p w14:paraId="2359A068" w14:textId="77777777" w:rsidR="00440AF0" w:rsidRDefault="00440AF0"/>
    <w:p w14:paraId="406B8DBF" w14:textId="77777777" w:rsidR="00440AF0" w:rsidRDefault="00440AF0" w:rsidP="00236DB7"/>
  </w:endnote>
  <w:endnote w:type="continuationSeparator" w:id="0">
    <w:p w14:paraId="51115C72" w14:textId="77777777" w:rsidR="00440AF0" w:rsidRDefault="00440AF0" w:rsidP="00790222">
      <w:pPr>
        <w:spacing w:after="0" w:line="240" w:lineRule="auto"/>
      </w:pPr>
      <w:r>
        <w:continuationSeparator/>
      </w:r>
    </w:p>
    <w:p w14:paraId="22146CA3" w14:textId="77777777" w:rsidR="00440AF0" w:rsidRDefault="00440AF0"/>
    <w:p w14:paraId="04988049" w14:textId="77777777" w:rsidR="00440AF0" w:rsidRDefault="00440AF0" w:rsidP="00236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644199"/>
      <w:docPartObj>
        <w:docPartGallery w:val="Page Numbers (Bottom of Page)"/>
        <w:docPartUnique/>
      </w:docPartObj>
    </w:sdtPr>
    <w:sdtContent>
      <w:p w14:paraId="7C74E6B4" w14:textId="78487ECB" w:rsidR="00C40430" w:rsidRDefault="00810BE3" w:rsidP="00B928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A2A5" w14:textId="77777777" w:rsidR="00440AF0" w:rsidRDefault="00440AF0" w:rsidP="00790222">
      <w:pPr>
        <w:spacing w:after="0" w:line="240" w:lineRule="auto"/>
      </w:pPr>
      <w:r>
        <w:separator/>
      </w:r>
    </w:p>
    <w:p w14:paraId="77E679FE" w14:textId="77777777" w:rsidR="00440AF0" w:rsidRDefault="00440AF0"/>
    <w:p w14:paraId="5FE2EE3F" w14:textId="77777777" w:rsidR="00440AF0" w:rsidRDefault="00440AF0" w:rsidP="00236DB7"/>
  </w:footnote>
  <w:footnote w:type="continuationSeparator" w:id="0">
    <w:p w14:paraId="28E3916E" w14:textId="77777777" w:rsidR="00440AF0" w:rsidRDefault="00440AF0" w:rsidP="00790222">
      <w:pPr>
        <w:spacing w:after="0" w:line="240" w:lineRule="auto"/>
      </w:pPr>
      <w:r>
        <w:continuationSeparator/>
      </w:r>
    </w:p>
    <w:p w14:paraId="3D4EF204" w14:textId="77777777" w:rsidR="00440AF0" w:rsidRDefault="00440AF0"/>
    <w:p w14:paraId="18A7611E" w14:textId="77777777" w:rsidR="00440AF0" w:rsidRDefault="00440AF0" w:rsidP="00236DB7"/>
  </w:footnote>
  <w:footnote w:id="1">
    <w:p w14:paraId="540E8C6D" w14:textId="2C856CC0" w:rsidR="00B00A11" w:rsidRPr="00B00A11" w:rsidRDefault="00B00A11" w:rsidP="002C549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B00A11">
        <w:rPr>
          <w:lang w:val="en-US"/>
        </w:rPr>
        <w:t xml:space="preserve"> </w:t>
      </w:r>
      <w:r w:rsidRPr="006A1011">
        <w:rPr>
          <w:lang w:val="en-US"/>
        </w:rPr>
        <w:t xml:space="preserve">USD – </w:t>
      </w:r>
      <w:proofErr w:type="spellStart"/>
      <w:r w:rsidRPr="006A1011">
        <w:rPr>
          <w:lang w:val="en-US"/>
        </w:rPr>
        <w:t>dólares</w:t>
      </w:r>
      <w:proofErr w:type="spellEnd"/>
      <w:r w:rsidRPr="006A1011">
        <w:rPr>
          <w:lang w:val="en-US"/>
        </w:rPr>
        <w:t xml:space="preserve"> americanos; FOB – free on board</w:t>
      </w:r>
      <w:r>
        <w:rPr>
          <w:lang w:val="en-US"/>
        </w:rPr>
        <w:t>.</w:t>
      </w:r>
    </w:p>
  </w:footnote>
  <w:footnote w:id="2">
    <w:p w14:paraId="3217C99B" w14:textId="29B86A0C" w:rsidR="00B00A11" w:rsidRDefault="00B00A11">
      <w:pPr>
        <w:pStyle w:val="Textodenotaderodap"/>
      </w:pPr>
      <w:r>
        <w:rPr>
          <w:rStyle w:val="Refdenotaderodap"/>
        </w:rPr>
        <w:footnoteRef/>
      </w:r>
      <w:r>
        <w:t xml:space="preserve"> A agregação em grupos de complexidade é elaborada por metodologia própria do Observatório PUC-Campinas, com base nos dados produzidos e divulgados pelo Observatório de Complexidade Econômica (OCE). Produtos mais complexos são produzidos em economias mais avançadas e estão associados a maiores taxas de crescimento.</w:t>
      </w:r>
    </w:p>
  </w:footnote>
  <w:footnote w:id="3">
    <w:p w14:paraId="42F1451A" w14:textId="041D501F" w:rsidR="00790222" w:rsidRDefault="00790222">
      <w:pPr>
        <w:pStyle w:val="Textodenotaderodap"/>
      </w:pPr>
      <w:r>
        <w:rPr>
          <w:rStyle w:val="Refdenotaderodap"/>
        </w:rPr>
        <w:footnoteRef/>
      </w:r>
      <w:r>
        <w:t xml:space="preserve"> Categorias dos produtos estão em formato simplificado, verifique o código NCM ao lado dos produtos para ver todos os produtos da categoria em questão.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5C07" w14:textId="7FA2B2CF" w:rsidR="00C40430" w:rsidRPr="006632E6" w:rsidRDefault="00CF32E3" w:rsidP="006632E6">
    <w:pPr>
      <w:jc w:val="right"/>
      <w:rPr>
        <w:rFonts w:cs="Segoe UI"/>
        <w:b/>
        <w:bCs/>
        <w:color w:val="A6A6A6" w:themeColor="background1" w:themeShade="A6"/>
        <w:kern w:val="36"/>
        <w:sz w:val="18"/>
        <w:szCs w:val="18"/>
      </w:rPr>
    </w:pPr>
    <w:r w:rsidRPr="004E1F22">
      <w:rPr>
        <w:rFonts w:cstheme="minorHAnsi"/>
        <w:b/>
        <w:bCs/>
        <w:noProof/>
        <w:color w:val="A6A6A6" w:themeColor="background1" w:themeShade="A6"/>
        <w:sz w:val="18"/>
        <w:szCs w:val="18"/>
      </w:rPr>
      <w:drawing>
        <wp:anchor distT="0" distB="0" distL="114300" distR="114300" simplePos="0" relativeHeight="251658752" behindDoc="0" locked="0" layoutInCell="1" allowOverlap="1" wp14:anchorId="7F7C8903" wp14:editId="6BAB74B6">
          <wp:simplePos x="0" y="0"/>
          <wp:positionH relativeFrom="margin">
            <wp:posOffset>4278630</wp:posOffset>
          </wp:positionH>
          <wp:positionV relativeFrom="page">
            <wp:posOffset>381000</wp:posOffset>
          </wp:positionV>
          <wp:extent cx="289730" cy="276225"/>
          <wp:effectExtent l="0" t="0" r="0" b="0"/>
          <wp:wrapNone/>
          <wp:docPr id="868998107" name="Imagem 868998107" descr="Desenho de uma janela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64C7B411-A39C-4309-1B77-46812FCCB0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ogle Shape;241;p26" descr="Desenho de uma janela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64C7B411-A39C-4309-1B77-46812FCCB0D2}"/>
                      </a:ext>
                    </a:extLst>
                  </pic:cNvPr>
                  <pic:cNvPicPr preferRelativeResize="0"/>
                </pic:nvPicPr>
                <pic:blipFill rotWithShape="1">
                  <a:blip r:embed="rId1" cstate="print">
                    <a:alphaModFix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70"/>
                  <a:stretch/>
                </pic:blipFill>
                <pic:spPr bwMode="auto">
                  <a:xfrm>
                    <a:off x="0" y="0"/>
                    <a:ext cx="28973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D2B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Observatório</w:t>
    </w:r>
    <w:r w:rsidR="00107D2B" w:rsidRPr="004E1F22">
      <w:rPr>
        <w:rFonts w:cs="Segoe UI"/>
        <w:b/>
        <w:bCs/>
        <w:color w:val="A6A6A6" w:themeColor="background1" w:themeShade="A6"/>
        <w:kern w:val="36"/>
        <w:szCs w:val="24"/>
      </w:rPr>
      <w:t xml:space="preserve"> </w:t>
    </w:r>
    <w:r w:rsidR="00107D2B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PUC</w:t>
    </w:r>
    <w:r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-</w:t>
    </w:r>
    <w:r w:rsidR="00107D2B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C</w:t>
    </w:r>
    <w:r w:rsidR="005A2CF7" w:rsidRPr="004E1F22">
      <w:rPr>
        <w:rFonts w:cs="Segoe UI"/>
        <w:b/>
        <w:bCs/>
        <w:color w:val="A6A6A6" w:themeColor="background1" w:themeShade="A6"/>
        <w:kern w:val="36"/>
        <w:sz w:val="18"/>
        <w:szCs w:val="18"/>
      </w:rPr>
      <w:t>ampinas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C38"/>
    <w:multiLevelType w:val="multilevel"/>
    <w:tmpl w:val="A226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C6CFC"/>
    <w:multiLevelType w:val="multilevel"/>
    <w:tmpl w:val="A3D6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6408">
    <w:abstractNumId w:val="0"/>
  </w:num>
  <w:num w:numId="2" w16cid:durableId="1886944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71" fillcolor="none [1944]" stroke="f">
      <v:fill color="none [1944]" opacity="26214f"/>
      <v:stroke on="f"/>
      <o:colormru v:ext="edit" colors="#a3a3a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03D"/>
    <w:rsid w:val="000925E2"/>
    <w:rsid w:val="000B2CED"/>
    <w:rsid w:val="000D0760"/>
    <w:rsid w:val="000E48EE"/>
    <w:rsid w:val="000E7F86"/>
    <w:rsid w:val="00107D2B"/>
    <w:rsid w:val="00134D75"/>
    <w:rsid w:val="00144701"/>
    <w:rsid w:val="001B78EB"/>
    <w:rsid w:val="001C02C6"/>
    <w:rsid w:val="001C203D"/>
    <w:rsid w:val="00236DB7"/>
    <w:rsid w:val="00253C05"/>
    <w:rsid w:val="00296125"/>
    <w:rsid w:val="002C5492"/>
    <w:rsid w:val="002F10D4"/>
    <w:rsid w:val="002F28FE"/>
    <w:rsid w:val="00311C6B"/>
    <w:rsid w:val="0032666D"/>
    <w:rsid w:val="00386EE2"/>
    <w:rsid w:val="003D1D69"/>
    <w:rsid w:val="003D25DA"/>
    <w:rsid w:val="003D5043"/>
    <w:rsid w:val="00406F00"/>
    <w:rsid w:val="004214F4"/>
    <w:rsid w:val="00434C0B"/>
    <w:rsid w:val="00440AF0"/>
    <w:rsid w:val="004426D1"/>
    <w:rsid w:val="00456352"/>
    <w:rsid w:val="004E1F22"/>
    <w:rsid w:val="004F35F4"/>
    <w:rsid w:val="00522AF3"/>
    <w:rsid w:val="00596490"/>
    <w:rsid w:val="005A2CF7"/>
    <w:rsid w:val="005D013E"/>
    <w:rsid w:val="006455B1"/>
    <w:rsid w:val="006632E6"/>
    <w:rsid w:val="00663C3F"/>
    <w:rsid w:val="006E32F8"/>
    <w:rsid w:val="006E45D0"/>
    <w:rsid w:val="00744946"/>
    <w:rsid w:val="00790222"/>
    <w:rsid w:val="00810BE3"/>
    <w:rsid w:val="008406D7"/>
    <w:rsid w:val="0085448E"/>
    <w:rsid w:val="00854726"/>
    <w:rsid w:val="00897FA9"/>
    <w:rsid w:val="008B0D9C"/>
    <w:rsid w:val="008F5748"/>
    <w:rsid w:val="009924F9"/>
    <w:rsid w:val="009A7FC0"/>
    <w:rsid w:val="009C319D"/>
    <w:rsid w:val="00A21833"/>
    <w:rsid w:val="00A87942"/>
    <w:rsid w:val="00AB32B3"/>
    <w:rsid w:val="00B00A11"/>
    <w:rsid w:val="00B44C2A"/>
    <w:rsid w:val="00B66180"/>
    <w:rsid w:val="00B81C0C"/>
    <w:rsid w:val="00B928ED"/>
    <w:rsid w:val="00B9641D"/>
    <w:rsid w:val="00BB1A70"/>
    <w:rsid w:val="00C04509"/>
    <w:rsid w:val="00C40430"/>
    <w:rsid w:val="00CB7A78"/>
    <w:rsid w:val="00CF32E3"/>
    <w:rsid w:val="00D239F9"/>
    <w:rsid w:val="00D316DD"/>
    <w:rsid w:val="00D4350F"/>
    <w:rsid w:val="00D72BDA"/>
    <w:rsid w:val="00D75359"/>
    <w:rsid w:val="00DA11B2"/>
    <w:rsid w:val="00DC6A52"/>
    <w:rsid w:val="00E008F0"/>
    <w:rsid w:val="00EF55B9"/>
    <w:rsid w:val="00F36392"/>
    <w:rsid w:val="00F8152C"/>
    <w:rsid w:val="00FA4D76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 fillcolor="none [1944]" stroke="f">
      <v:fill color="none [1944]" opacity="26214f"/>
      <v:stroke on="f"/>
      <o:colormru v:ext="edit" colors="#a3a3a3"/>
    </o:shapedefaults>
    <o:shapelayout v:ext="edit">
      <o:idmap v:ext="edit" data="2"/>
    </o:shapelayout>
  </w:shapeDefaults>
  <w:decimalSymbol w:val=","/>
  <w:listSeparator w:val=";"/>
  <w14:docId w14:val="53C8313C"/>
  <w15:docId w15:val="{3638BF51-0F53-4A9E-AE25-E1663A5A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69"/>
    <w:pPr>
      <w:spacing w:before="120"/>
      <w:jc w:val="both"/>
    </w:pPr>
    <w:rPr>
      <w:rFonts w:ascii="Aptos" w:hAnsi="Aptos"/>
      <w:sz w:val="24"/>
    </w:rPr>
  </w:style>
  <w:style w:type="paragraph" w:styleId="Ttulo1">
    <w:name w:val="heading 1"/>
    <w:basedOn w:val="Normal"/>
    <w:link w:val="Ttulo1Char"/>
    <w:uiPriority w:val="9"/>
    <w:qFormat/>
    <w:rsid w:val="00236DB7"/>
    <w:pPr>
      <w:jc w:val="right"/>
      <w:outlineLvl w:val="0"/>
    </w:pPr>
    <w:rPr>
      <w:rFonts w:cs="Segoe UI"/>
      <w:b/>
      <w:bCs/>
      <w:kern w:val="36"/>
      <w:sz w:val="72"/>
      <w:szCs w:val="72"/>
    </w:rPr>
  </w:style>
  <w:style w:type="paragraph" w:styleId="Ttulo2">
    <w:name w:val="heading 2"/>
    <w:basedOn w:val="Normal"/>
    <w:link w:val="Ttulo2Char"/>
    <w:uiPriority w:val="9"/>
    <w:qFormat/>
    <w:rsid w:val="001C2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C2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DB7"/>
    <w:rPr>
      <w:rFonts w:ascii="Aptos" w:hAnsi="Aptos" w:cs="Segoe UI"/>
      <w:b/>
      <w:bCs/>
      <w:kern w:val="36"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203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203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customStyle="1" w:styleId="msonormal0">
    <w:name w:val="msonormal"/>
    <w:basedOn w:val="Normal"/>
    <w:rsid w:val="001C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03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0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C203D"/>
  </w:style>
  <w:style w:type="character" w:customStyle="1" w:styleId="hljs-number">
    <w:name w:val="hljs-number"/>
    <w:basedOn w:val="Fontepargpadro"/>
    <w:rsid w:val="001C203D"/>
  </w:style>
  <w:style w:type="character" w:customStyle="1" w:styleId="hljs-literal">
    <w:name w:val="hljs-literal"/>
    <w:basedOn w:val="Fontepargpadro"/>
    <w:rsid w:val="001C203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022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022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9022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1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BE3"/>
  </w:style>
  <w:style w:type="paragraph" w:styleId="Rodap">
    <w:name w:val="footer"/>
    <w:basedOn w:val="Normal"/>
    <w:link w:val="RodapChar"/>
    <w:uiPriority w:val="99"/>
    <w:unhideWhenUsed/>
    <w:rsid w:val="0081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BE3"/>
  </w:style>
  <w:style w:type="paragraph" w:styleId="Subttulo">
    <w:name w:val="Subtitle"/>
    <w:basedOn w:val="Normal"/>
    <w:next w:val="Normal"/>
    <w:link w:val="SubttuloChar"/>
    <w:uiPriority w:val="11"/>
    <w:qFormat/>
    <w:rsid w:val="003D1D69"/>
    <w:pPr>
      <w:pBdr>
        <w:bottom w:val="single" w:sz="12" w:space="1" w:color="A3A3A3"/>
      </w:pBdr>
    </w:pPr>
    <w:rPr>
      <w:rFonts w:eastAsia="Times New Roman" w:cs="Segoe UI"/>
      <w:kern w:val="36"/>
      <w:sz w:val="36"/>
      <w:szCs w:val="36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3D1D69"/>
    <w:rPr>
      <w:rFonts w:ascii="Aptos" w:eastAsia="Times New Roman" w:hAnsi="Aptos" w:cs="Segoe UI"/>
      <w:kern w:val="36"/>
      <w:sz w:val="36"/>
      <w:szCs w:val="36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36DB7"/>
    <w:pPr>
      <w:spacing w:after="0" w:line="24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6DB7"/>
    <w:rPr>
      <w:rFonts w:ascii="Aptos" w:eastAsiaTheme="majorEastAsia" w:hAnsi="Aptos" w:cstheme="majorBidi"/>
      <w:spacing w:val="-10"/>
      <w:kern w:val="28"/>
      <w:sz w:val="56"/>
      <w:szCs w:val="56"/>
    </w:rPr>
  </w:style>
  <w:style w:type="paragraph" w:customStyle="1" w:styleId="Negrito18">
    <w:name w:val="Negrito18"/>
    <w:basedOn w:val="Normal"/>
    <w:link w:val="Negrito18Char"/>
    <w:qFormat/>
    <w:rsid w:val="00236DB7"/>
    <w:pPr>
      <w:jc w:val="right"/>
    </w:pPr>
    <w:rPr>
      <w:rFonts w:cstheme="minorHAnsi"/>
      <w:b/>
      <w:bCs/>
      <w:noProof/>
      <w:sz w:val="36"/>
    </w:rPr>
  </w:style>
  <w:style w:type="character" w:customStyle="1" w:styleId="Negrito18Char">
    <w:name w:val="Negrito18 Char"/>
    <w:basedOn w:val="Fontepargpadro"/>
    <w:link w:val="Negrito18"/>
    <w:rsid w:val="00236DB7"/>
    <w:rPr>
      <w:rFonts w:ascii="Aptos" w:hAnsi="Aptos" w:cstheme="minorHAnsi"/>
      <w:b/>
      <w:bCs/>
      <w:noProof/>
      <w:sz w:val="36"/>
    </w:rPr>
  </w:style>
  <w:style w:type="paragraph" w:customStyle="1" w:styleId="Numeracaoinformativo">
    <w:name w:val="Numeracao_informativo"/>
    <w:basedOn w:val="Normal"/>
    <w:link w:val="NumeracaoinformativoChar"/>
    <w:qFormat/>
    <w:rsid w:val="00236DB7"/>
    <w:pPr>
      <w:spacing w:after="100" w:afterAutospacing="1"/>
      <w:jc w:val="right"/>
    </w:pPr>
    <w:rPr>
      <w:rFonts w:cs="Segoe UI"/>
      <w:b/>
      <w:bCs/>
    </w:rPr>
  </w:style>
  <w:style w:type="character" w:customStyle="1" w:styleId="NumeracaoinformativoChar">
    <w:name w:val="Numeracao_informativo Char"/>
    <w:basedOn w:val="Fontepargpadro"/>
    <w:link w:val="Numeracaoinformativo"/>
    <w:rsid w:val="00236DB7"/>
    <w:rPr>
      <w:rFonts w:ascii="Aptos" w:hAnsi="Aptos" w:cs="Segoe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21525-A8B7-4265-9C6A-234EBA41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2597</Words>
  <Characters>14027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Silva</dc:creator>
  <cp:keywords/>
  <dc:description/>
  <cp:lastModifiedBy>João Lucas Silva</cp:lastModifiedBy>
  <cp:revision>21</cp:revision>
  <cp:lastPrinted>2023-09-02T14:35:00Z</cp:lastPrinted>
  <dcterms:created xsi:type="dcterms:W3CDTF">2023-08-04T16:31:00Z</dcterms:created>
  <dcterms:modified xsi:type="dcterms:W3CDTF">2023-09-06T20:07:00Z</dcterms:modified>
</cp:coreProperties>
</file>