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op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Relatório Clínico</w:t>
      </w:r>
    </w:p>
    <w:p>
      <w:r>
        <w:rPr>
          <w:i/>
        </w:rPr>
        <w:t>Rita Pasion, Psicologia, Nº 0000, Referência Certificação HiTOP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rPr>
                <w:b/>
              </w:rPr>
              <w:t>Nome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t>P_yx0mqp</w:t>
            </w:r>
          </w:p>
        </w:tc>
      </w:tr>
      <w:tr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rPr>
                <w:b/>
              </w:rPr>
              <w:t>Idade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rPr>
                <w:b/>
              </w:rPr>
              <w:t>Sexo biológico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rPr>
                <w:b/>
              </w:rPr>
              <w:t>Género com que se identifica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rPr>
                <w:b/>
              </w:rPr>
              <w:t>Escolaridade</w:t>
            </w:r>
          </w:p>
        </w:tc>
        <w:tc>
          <w:tcPr>
            <w:tcW w:type="dxa" w:w="511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r>
              <w:t>-</w:t>
            </w:r>
          </w:p>
        </w:tc>
      </w:tr>
    </w:tbl>
    <w:p>
      <w:r>
        <w:rPr>
          <w:b/>
        </w:rPr>
        <w:t xml:space="preserve">Data de Preenchimento: </w:t>
      </w:r>
      <w:r>
        <w:t>21/09/2026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O HiTOP:SR (Hierarchical Taxonomy of Psychopathology - Self-Report) permite medir padrões de sintomas psicológicos segundo uma abordagem baseada na evidência científica. Os resultados são informativos e não têm valor de diagnóstico, devendo ser integrados com outras fontes de informação e acompanhamento profissional.</w:t>
            </w:r>
          </w:p>
        </w:tc>
      </w:tr>
    </w:tbl>
    <w:p>
      <w:pPr>
        <w:pStyle w:val="Heading1"/>
      </w:pPr>
      <w:r>
        <w:t>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32"/>
              </w:rPr>
              <w:t>Perfil Global</w:t>
            </w:r>
          </w:p>
        </w:tc>
      </w:tr>
    </w:tbl>
    <w:p>
      <w:pPr>
        <w:spacing w:after="40"/>
      </w:pPr>
    </w:p>
    <w:p>
      <w:r>
        <w:t>O quadro abaixo apresenta a pontuação bruta e o percentil para cada dimensão avaliada. O percentil compara os valores individuais com os valores de referência.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Internalização, Externalização, Alterações de pensamento situam-se no percentil igual ou superior a P99. Os valores obtidos em Somatização situam-se entre P95 e P98. Assim, os valores desta sintomatologia parecem ter uma distribuição superior ao que as pessoas com características semelhantes tendem a reportar.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047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04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32"/>
              </w:rPr>
              <w:t>Perfil Detalhado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Externalização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Comportamento Antissocial, Desonestidade - Manipulação, Falta de Organização, Comportamento Problemático de (Video)Jogos Online, Comportamento de Oposição, Tomada de Risco, Uso Problemático, Dificuldade de controlar o uso, Tolerância para X situam-se no percentil igual ou superior a P99. Os valores obtidos em Frieza Emocional, Desonestidade - Dissimulação, Comportamento Problemático de Jogo a Dinheiro, Ausência de Planeamento, Agressão Social, Abstinência situam-se entre P95 e P98. Assim, os valores desta sintomatologia parecem ter uma distribuição superior ao que as pessoas com características semelhantes tendem a reportar.</w:t>
            </w:r>
          </w:p>
          <w:p>
            <w:pPr>
              <w:spacing w:after="120"/>
            </w:pPr>
            <w:r>
              <w:t>Os valores obtidos em Exibicionismo, Grandiosidade, Ausência de Persistência, Perfecionismo, Inquietação, Rigidez, Aversão ao Risco, Adição ao Trabalho situam-se entre P15 e P85, o que sugere que o nível de sintomatologia se situa nos intervalos médios esperados face aos valores de referência.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98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719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1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p>
      <w:r>
        <w:br w:type="page"/>
      </w:r>
    </w:p>
    <w:p>
      <w:pPr>
        <w:pStyle w:val="Heading2"/>
        <w:keepNext/>
      </w:pPr>
      <w:r>
        <w:t>Internalização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Agorafobia, Limpeza Compulsiva, Contagem Compulsiva, Distress - Disforia (Anedonia), Exercício Excessivo, Hipervigilância, Pesadelos Noturnos, Comportamentos Auto-Lesivos Não Suicidários, Comportamentos Purgativos, Comportamento Sexual de Risco, Uso de Substâncias Relacionado com a Atividade Sexual, Ideação e Tentativa de Suicídio situam-se no percentil igual ou superior a P99. Os valores obtidos em Perda de Apetite, Compulsão Alimentar, Preocupação com o Corpo, Dificuldade em Atingir o Orgasmo, Distress - Disforia (Lassitude), Acumulação Compulsiva, Baixo Interesse Sexual, Aumento e Hipertrofia da Massa Muscular, Parafilias, Orgasmo Precoce, Fobias Específicas (Fobia a Animais-insetos), Fobias Específicas (Fobia a Sangue-Injeções), Fobias Específicas (Situacionais), Tricotilomania situam-se entre P95 e P98. Assim, os valores desta sintomatologia parecem ter uma distribuição superior ao que as pessoas com características semelhantes tendem a reportar.</w:t>
            </w:r>
          </w:p>
          <w:p>
            <w:pPr>
              <w:spacing w:after="120"/>
            </w:pPr>
            <w:r>
              <w:t>Os valores obtidos em Verificação Compulsiva, Problemas Cognitivos, Dieta Restritiva, Distress - Disforia (Humor Depressivo), Reatividade Emocional (Labilidade Afetiva), Reatividade Emocional (Irritabilidade), Seletividade Alimentar, Insónia, Pânico, Restrição Alimentar situam-se entre P15 e P85, o que sugere que o nível de sintomatologia se situa nos intervalos médios esperados face aos valores de referência.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98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870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7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p>
      <w:r>
        <w:br w:type="page"/>
      </w:r>
    </w:p>
    <w:p>
      <w:pPr>
        <w:pStyle w:val="Heading2"/>
        <w:keepNext/>
      </w:pPr>
      <w:r>
        <w:t>Desafiliação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Desinteresse em Relações Românticas situam-se entre P95 e P98. Assim, os valores desta sintomatologia parecem ter uma distribuição superior ao que as pessoas com características semelhantes tendem a reportar.</w:t>
            </w:r>
          </w:p>
          <w:p>
            <w:pPr>
              <w:spacing w:after="120"/>
            </w:pPr>
            <w:r>
              <w:t>Os valores obtidos em Afetividade Restrita, Distanciamento Socioemocional, Bem-Estar situam-se entre P15 e P85, o que sugere que o nível de sintomatologia se situa nos intervalos médios esperados face aos valores de referência.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1979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19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p>
      <w:r>
        <w:br w:type="page"/>
      </w:r>
    </w:p>
    <w:p>
      <w:pPr>
        <w:pStyle w:val="Heading2"/>
        <w:keepNext/>
      </w:pPr>
      <w:r>
        <w:t>Somatização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Sintomas de Conversão, Convicção de Doença situam-se no percentil igual ou superior a P99. Os valores obtidos em Ansiedade em relação à Saúde situam-se entre P95 e P98. Assim, os valores desta sintomatologia parecem ter uma distribuição superior ao que as pessoas com características semelhantes tendem a reportar.</w:t>
            </w:r>
          </w:p>
          <w:p>
            <w:pPr>
              <w:spacing w:after="120"/>
            </w:pPr>
            <w:r>
              <w:t>Os valores obtidos em Preocupação com Sensações Corporais situam-se entre P15 e P85, o que sugere que o nível de sintomatologia se situa nos intervalos médios esperados face aos valores de referência.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0475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04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p>
      <w:r>
        <w:br w:type="page"/>
      </w:r>
    </w:p>
    <w:p>
      <w:pPr>
        <w:pStyle w:val="Heading2"/>
        <w:keepNext/>
      </w:pPr>
      <w:r>
        <w:t>Alterações de pensamento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20"/>
            </w:pPr>
            <w:r>
              <w:t>Os valores obtidos em Dissociação, Ativação Maníaca, Distorção da Realidade (Delírios), Distorção da Realidade (Alucinações) situam-se no percentil igual ou superior a P99. Os valores obtidos em Excentricidade, Desconfiança (Suspeição) situam-se entre P95 e P98. Assim, os valores desta sintomatologia parecem ter uma distribuição superior ao que as pessoas com características semelhantes tendem a reportar.</w:t>
            </w:r>
          </w:p>
          <w:p>
            <w:pPr>
              <w:spacing w:after="120"/>
            </w:pPr>
            <w:r>
              <w:t>Os valores obtidos em Propensão à Fantasia, Desconfiança (Cinismo) situam-se entre P15 e P85, o que sugere que o nível de sintomatologia se situa nos intervalos médios esperados face aos valores de referência.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988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p>
      <w:r>
        <w:br w:type="page"/>
      </w:r>
    </w:p>
    <w:p>
      <w:pPr>
        <w:pStyle w:val="Heading1"/>
      </w:pPr>
      <w:r>
        <w:t>Anamnese e Informação Clínica Complementar</w:t>
      </w:r>
    </w:p>
    <w:p>
      <w:r>
        <w:t>Preencha os campos abaixo diretamente no Word. As caixas aumentam automaticamente à medida que o texto é introduzido.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Motivo da Avaliação / Encaminhamento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Contextualizar brevemente o motivo da procura/encaminhamento.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Progressão e Impacto da Sintomatologia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Curso temporal: início, evolução, fatores precipitantes, principais queixas e sintomas; autonomia, impacto funcional no dia-a-dia; tentativas prévias de tratamento/intervenção.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Finalidade da Avaliação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Objetivo: diagnóstico, caracterização funcional, apoio escolar ou tomada de decisão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Circunstâncias em que decorreu a avaliação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Local, duração, colaboração/motivação, fatores interferentes e adaptações.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Histórico Desenvolvimental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Gravidez, parto, desenvolvimento motor e da linguagem, marcos desenvolvimentais, socialização, comportamento e percurso académico.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Histórico e Dinâmica Familiar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Estrutura, relações, acontecimentos significativos, saúde mental na família, contexto socioeconómico, condições materiais e rede de apoio.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Histórico Laboral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Ambiente laboral, histórico de absentismo e relações com colegas de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Histórico Médico e Psiquiátrico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Doenças, lesões, diagnósticos prévios, internamentos, medicação e tratamentos farmacológicos e não farmacológicos.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Enquadramento Cultural e Religioso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Identidade cultural, imigração, sentido de pertença, crenças e prática religiosa/espiritual.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Estilo de Vida e Circunstâncias Atuais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Stressores, condição económica, rotinas, exercício, sono, consumo de substâncias, eventos de vida, recursos e rede de apoio.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Observações Clínicas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Discurso, pensamento, contacto ocular, perceção, humor, cognição, insight, motivação e comportamentos relevantes.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Resultados de Outros Instrumentos de Avaliação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Outros questionários, testes neuropsicológicos e entrevistas.</w:t>
      </w:r>
    </w:p>
    <w:p>
      <w:pPr>
        <w:pStyle w:val="Heading1"/>
      </w:pPr>
      <w:r>
        <w:t>Conclusão e Recomendações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7F5"/>
            <w:tcBorders>
              <w:top w:val="single" w:sz="8" w:color="DBE7F5"/>
              <w:left w:val="single" w:sz="8" w:color="DBE7F5"/>
              <w:bottom w:val="single" w:sz="8" w:color="DBE7F5"/>
              <w:right w:val="single" w:sz="8" w:color="DBE7F5"/>
              <w:insideH w:val="single" w:sz="8" w:color="DBE7F5"/>
              <w:insideV w:val="single" w:sz="8" w:color="DBE7F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b/>
              </w:rPr>
              <w:t>Síntese Clínica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787878"/>
              </w:rPr>
              <w:t>Clique aqui e escreva a informação clínica.</w:t>
            </w:r>
          </w:p>
          <w:p/>
          <w:p/>
          <w:p/>
          <w:p/>
          <w:p/>
          <w:p/>
          <w:p/>
        </w:tc>
      </w:tr>
    </w:tbl>
    <w:p>
      <w:pPr>
        <w:spacing w:before="60" w:after="280"/>
      </w:pPr>
      <w:r>
        <w:rPr>
          <w:i/>
          <w:color w:val="787878"/>
          <w:sz w:val="16"/>
        </w:rPr>
        <w:t>Exemplo: Síntese integrativa, intervenção aconselhada, frequência, objetivos iniciais, necessidades específicas e encaminhamentos.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200" w:type="dxa"/>
              <w:start w:w="180" w:type="dxa"/>
              <w:bottom w:w="200" w:type="dxa"/>
              <w:end w:w="180" w:type="dxa"/>
            </w:tcMar>
          </w:tcPr>
          <w:p>
            <w:pPr>
              <w:jc w:val="center"/>
            </w:pPr>
            <w:r>
              <w:t>____________________________</w:t>
              <w:br/>
              <w:t>ASSINATURA</w:t>
            </w:r>
          </w:p>
        </w:tc>
        <w:tc>
          <w:tcPr>
            <w:tcW w:type="dxa" w:w="5112"/>
            <w:shd w:fill="F2F2F2"/>
            <w:tcBorders>
              <w:top w:val="single" w:sz="8" w:color="F2F2F2"/>
              <w:left w:val="single" w:sz="8" w:color="F2F2F2"/>
              <w:bottom w:val="single" w:sz="8" w:color="F2F2F2"/>
              <w:right w:val="single" w:sz="8" w:color="F2F2F2"/>
              <w:insideH w:val="single" w:sz="8" w:color="F2F2F2"/>
              <w:insideV w:val="single" w:sz="8" w:color="F2F2F2"/>
            </w:tcBorders>
            <w:tcMar>
              <w:top w:w="200" w:type="dxa"/>
              <w:start w:w="180" w:type="dxa"/>
              <w:bottom w:w="200" w:type="dxa"/>
              <w:end w:w="180" w:type="dxa"/>
            </w:tcMar>
          </w:tcPr>
          <w:p>
            <w:r>
              <w:rPr>
                <w:b/>
              </w:rPr>
              <w:t>RITA PASION</w:t>
            </w:r>
            <w:r>
              <w:br/>
              <w:t>PSICOLOGIA</w:t>
              <w:br/>
              <w:t>Nº CÉDULA PROFISSIONAL: 0000</w:t>
              <w:br/>
              <w:t>Nº CERTIFICAÇÃO HITOP</w:t>
            </w:r>
          </w:p>
        </w:tc>
      </w:tr>
    </w:tbl>
    <w:p>
      <w:pPr>
        <w:spacing w:before="360" w:after="240"/>
      </w:pPr>
      <w:r>
        <w:rPr>
          <w:color w:val="464646"/>
          <w:sz w:val="16"/>
        </w:rPr>
        <w:t>Este relatório é gerado automaticamente, sendo os seus resultados meramente indicativos. A discussão dos resultados e respetiva interpretação deve ser feita por profissionais qualificados, enquadrados nos manuais técnicos e integrados com outra informação clínica. Conteúdo confidencial.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