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A3" w:rsidRDefault="000B49CE" w:rsidP="000C34E5">
      <w:pPr>
        <w:spacing w:after="360"/>
        <w:ind w:firstLine="0"/>
        <w:jc w:val="center"/>
      </w:pPr>
      <w:bookmarkStart w:id="0" w:name="_Toc297568917"/>
      <w:r w:rsidRPr="004913AD">
        <w:rPr>
          <w:b/>
          <w:caps/>
          <w:sz w:val="28"/>
          <w:szCs w:val="28"/>
        </w:rPr>
        <w:t>Apêndice</w:t>
      </w:r>
      <w:r w:rsidR="000C34E5">
        <w:rPr>
          <w:b/>
          <w:caps/>
          <w:sz w:val="28"/>
          <w:szCs w:val="28"/>
        </w:rPr>
        <w:t xml:space="preserve"> b - survey</w:t>
      </w:r>
      <w:bookmarkEnd w:id="0"/>
    </w:p>
    <w:p w:rsidR="00F168A3" w:rsidRDefault="00F168A3" w:rsidP="00F168A3">
      <w:pPr>
        <w:rPr>
          <w:lang w:eastAsia="pt-BR"/>
        </w:rPr>
      </w:pPr>
      <w:r w:rsidRPr="00B978FF">
        <w:rPr>
          <w:bCs/>
          <w:kern w:val="36"/>
          <w:lang w:eastAsia="pt-BR"/>
        </w:rPr>
        <w:t>Este</w:t>
      </w:r>
      <w:r>
        <w:rPr>
          <w:bCs/>
          <w:kern w:val="36"/>
          <w:lang w:eastAsia="pt-BR"/>
        </w:rPr>
        <w:t xml:space="preserve"> capítulo descreve a construção, a distribuição e a análise de um s</w:t>
      </w:r>
      <w:r w:rsidRPr="00B978FF">
        <w:rPr>
          <w:bCs/>
          <w:kern w:val="36"/>
          <w:lang w:eastAsia="pt-BR"/>
        </w:rPr>
        <w:t>urvey sobre ferramentas de diff e merge</w:t>
      </w:r>
      <w:r>
        <w:rPr>
          <w:bCs/>
          <w:kern w:val="36"/>
          <w:lang w:eastAsia="pt-BR"/>
        </w:rPr>
        <w:t xml:space="preserve">. O principal objetivo é a </w:t>
      </w:r>
      <w:r w:rsidRPr="00B978FF">
        <w:rPr>
          <w:lang w:eastAsia="pt-BR"/>
        </w:rPr>
        <w:t>coleta</w:t>
      </w:r>
      <w:r>
        <w:rPr>
          <w:lang w:eastAsia="pt-BR"/>
        </w:rPr>
        <w:t xml:space="preserve"> de</w:t>
      </w:r>
      <w:r w:rsidRPr="00B978FF">
        <w:rPr>
          <w:lang w:eastAsia="pt-BR"/>
        </w:rPr>
        <w:t xml:space="preserve"> opiniões sobre características fundamentais e desejáveis </w:t>
      </w:r>
      <w:r>
        <w:rPr>
          <w:lang w:eastAsia="pt-BR"/>
        </w:rPr>
        <w:t>a</w:t>
      </w:r>
      <w:r w:rsidRPr="00B978FF">
        <w:rPr>
          <w:lang w:eastAsia="pt-BR"/>
        </w:rPr>
        <w:t xml:space="preserve"> ferramentas destinadas à comparação de artefatos</w:t>
      </w:r>
      <w:r>
        <w:rPr>
          <w:lang w:eastAsia="pt-BR"/>
        </w:rPr>
        <w:t xml:space="preserve"> no âmbito acadêmico e industrial</w:t>
      </w:r>
      <w:r w:rsidRPr="00B978FF">
        <w:rPr>
          <w:lang w:eastAsia="pt-BR"/>
        </w:rPr>
        <w:t>.</w:t>
      </w:r>
    </w:p>
    <w:p w:rsidR="00F168A3" w:rsidRPr="00AA04AA" w:rsidRDefault="00F168A3" w:rsidP="00F168A3">
      <w:pPr>
        <w:pStyle w:val="ListParagraph"/>
        <w:keepNext/>
        <w:numPr>
          <w:ilvl w:val="0"/>
          <w:numId w:val="1"/>
        </w:numPr>
        <w:tabs>
          <w:tab w:val="left" w:pos="720"/>
        </w:tabs>
        <w:spacing w:before="240" w:after="120"/>
        <w:ind w:left="0" w:firstLine="0"/>
        <w:contextualSpacing w:val="0"/>
        <w:outlineLvl w:val="0"/>
        <w:rPr>
          <w:rFonts w:eastAsia="Times New Roman" w:cs="Times New Roman"/>
          <w:b/>
          <w:vanish/>
          <w:kern w:val="28"/>
          <w:sz w:val="26"/>
          <w:szCs w:val="24"/>
          <w:lang w:eastAsia="pt-BR"/>
        </w:rPr>
      </w:pPr>
      <w:bookmarkStart w:id="1" w:name="_Toc279344568"/>
      <w:bookmarkStart w:id="2" w:name="_Toc279389467"/>
      <w:bookmarkStart w:id="3" w:name="_Toc279389633"/>
      <w:bookmarkStart w:id="4" w:name="_Toc279475938"/>
      <w:bookmarkEnd w:id="1"/>
      <w:bookmarkEnd w:id="2"/>
      <w:bookmarkEnd w:id="3"/>
      <w:bookmarkEnd w:id="4"/>
    </w:p>
    <w:p w:rsidR="00F168A3" w:rsidRDefault="00F168A3" w:rsidP="00F168A3">
      <w:pPr>
        <w:pStyle w:val="Estilo1"/>
        <w:numPr>
          <w:ilvl w:val="1"/>
          <w:numId w:val="1"/>
        </w:numPr>
      </w:pPr>
      <w:bookmarkStart w:id="5" w:name="_Toc279475939"/>
      <w:r>
        <w:t>Construção e Aplicação</w:t>
      </w:r>
      <w:bookmarkEnd w:id="5"/>
    </w:p>
    <w:p w:rsidR="00F168A3" w:rsidRDefault="00F168A3" w:rsidP="00F168A3">
      <w:bookmarkStart w:id="6" w:name="_Toc279128192"/>
      <w:bookmarkStart w:id="7" w:name="_Toc279129377"/>
      <w:r>
        <w:t xml:space="preserve">O formulário é composto por </w:t>
      </w:r>
      <w:r w:rsidRPr="00B978FF">
        <w:t xml:space="preserve">questões referentes à experiência </w:t>
      </w:r>
      <w:r>
        <w:t>e ao uso de diversas ferramentas de comparação. Além disso, possi</w:t>
      </w:r>
      <w:r w:rsidRPr="00B978FF">
        <w:t xml:space="preserve">bilita </w:t>
      </w:r>
      <w:r>
        <w:t xml:space="preserve">a </w:t>
      </w:r>
      <w:r w:rsidRPr="00B978FF">
        <w:t>indicação de características não citadas, através de campos de texto de livre preenchimento.</w:t>
      </w:r>
      <w:bookmarkEnd w:id="6"/>
      <w:bookmarkEnd w:id="7"/>
      <w:r>
        <w:t xml:space="preserve"> O survey foi construído e disponibilizado no GoogleDocs</w:t>
      </w:r>
      <w:r>
        <w:rPr>
          <w:rStyle w:val="FootnoteReference"/>
        </w:rPr>
        <w:footnoteReference w:id="1"/>
      </w:r>
      <w:r>
        <w:t xml:space="preserve"> e a solicitação de colaboração foi realizada para um público alvo de 80 pessoas e esteve disponível no prazo de 15 dias.   </w:t>
      </w:r>
    </w:p>
    <w:p w:rsidR="00F168A3" w:rsidRDefault="00F168A3" w:rsidP="00F168A3">
      <w:pPr>
        <w:pStyle w:val="Estilo1"/>
        <w:numPr>
          <w:ilvl w:val="1"/>
          <w:numId w:val="1"/>
        </w:numPr>
      </w:pPr>
      <w:bookmarkStart w:id="8" w:name="_Toc279475940"/>
      <w:r>
        <w:t>Análise das respostas obtidas</w:t>
      </w:r>
      <w:bookmarkEnd w:id="8"/>
      <w:r>
        <w:t xml:space="preserve"> </w:t>
      </w:r>
    </w:p>
    <w:p w:rsidR="00F168A3" w:rsidRDefault="00F168A3" w:rsidP="00F168A3">
      <w:r>
        <w:t xml:space="preserve">No momento da avaliação dos </w:t>
      </w:r>
      <w:r w:rsidRPr="00B978FF">
        <w:t>resultado</w:t>
      </w:r>
      <w:r>
        <w:t xml:space="preserve">s, foram detectadas 63 respostas de usuários </w:t>
      </w:r>
      <w:r w:rsidRPr="00B978FF">
        <w:t xml:space="preserve">com perfis </w:t>
      </w:r>
      <w:r>
        <w:t xml:space="preserve">divergentes. A partir disso, foi iniciada a geração de gráficos e tabelas para exibição, análise e interpretação dos dados. Conforme pode ser visto na seção 3.2.1 </w:t>
      </w:r>
    </w:p>
    <w:p w:rsidR="00F168A3" w:rsidRPr="0006508A" w:rsidRDefault="00F168A3" w:rsidP="00F168A3">
      <w:pPr>
        <w:pStyle w:val="ListParagraph"/>
        <w:keepNext/>
        <w:numPr>
          <w:ilvl w:val="1"/>
          <w:numId w:val="2"/>
        </w:numPr>
        <w:tabs>
          <w:tab w:val="left" w:pos="720"/>
        </w:tabs>
        <w:spacing w:before="240" w:after="120"/>
        <w:contextualSpacing w:val="0"/>
        <w:outlineLvl w:val="0"/>
        <w:rPr>
          <w:rFonts w:eastAsia="Times New Roman" w:cs="Times New Roman"/>
          <w:b/>
          <w:vanish/>
          <w:kern w:val="28"/>
          <w:sz w:val="26"/>
          <w:szCs w:val="24"/>
          <w:lang w:eastAsia="pt-BR"/>
        </w:rPr>
      </w:pPr>
      <w:bookmarkStart w:id="9" w:name="_Toc279344571"/>
      <w:bookmarkStart w:id="10" w:name="_Toc279389470"/>
      <w:bookmarkStart w:id="11" w:name="_Toc279389636"/>
      <w:bookmarkStart w:id="12" w:name="_Toc279475941"/>
      <w:bookmarkEnd w:id="9"/>
      <w:bookmarkEnd w:id="10"/>
      <w:bookmarkEnd w:id="11"/>
      <w:bookmarkEnd w:id="12"/>
    </w:p>
    <w:p w:rsidR="00F168A3" w:rsidRPr="0006508A" w:rsidRDefault="00F168A3" w:rsidP="00F168A3">
      <w:pPr>
        <w:pStyle w:val="ListParagraph"/>
        <w:keepNext/>
        <w:numPr>
          <w:ilvl w:val="1"/>
          <w:numId w:val="2"/>
        </w:numPr>
        <w:tabs>
          <w:tab w:val="left" w:pos="720"/>
        </w:tabs>
        <w:spacing w:before="240" w:after="120"/>
        <w:contextualSpacing w:val="0"/>
        <w:outlineLvl w:val="0"/>
        <w:rPr>
          <w:rFonts w:eastAsia="Times New Roman" w:cs="Times New Roman"/>
          <w:b/>
          <w:vanish/>
          <w:kern w:val="28"/>
          <w:sz w:val="26"/>
          <w:szCs w:val="24"/>
          <w:lang w:eastAsia="pt-BR"/>
        </w:rPr>
      </w:pPr>
      <w:bookmarkStart w:id="13" w:name="_Toc279344572"/>
      <w:bookmarkStart w:id="14" w:name="_Toc279389471"/>
      <w:bookmarkStart w:id="15" w:name="_Toc279389637"/>
      <w:bookmarkStart w:id="16" w:name="_Toc279475942"/>
      <w:bookmarkEnd w:id="13"/>
      <w:bookmarkEnd w:id="14"/>
      <w:bookmarkEnd w:id="15"/>
      <w:bookmarkEnd w:id="16"/>
    </w:p>
    <w:p w:rsidR="00F168A3" w:rsidRDefault="00F168A3" w:rsidP="00F168A3">
      <w:pPr>
        <w:pStyle w:val="Estilo1"/>
        <w:numPr>
          <w:ilvl w:val="2"/>
          <w:numId w:val="2"/>
        </w:numPr>
      </w:pPr>
      <w:bookmarkStart w:id="17" w:name="_Toc279475943"/>
      <w:r>
        <w:t>Representação Gráfica</w:t>
      </w:r>
      <w:bookmarkEnd w:id="17"/>
      <w:r>
        <w:t xml:space="preserve"> </w:t>
      </w:r>
    </w:p>
    <w:p w:rsidR="00F168A3" w:rsidRDefault="00F168A3" w:rsidP="00F168A3">
      <w:r>
        <w:t>Os gráficos e tabelas exibidas nesta seção refletem com fidelidade os dados preenchidos pelos usuários no formulário disponibilizado.</w:t>
      </w:r>
    </w:p>
    <w:p w:rsidR="00F168A3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  <w:r w:rsidRPr="00B978FF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3571875" cy="2247900"/>
            <wp:effectExtent l="19050" t="0" r="9525" b="0"/>
            <wp:docPr id="9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1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 l="3734" t="4845" r="4356" b="3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A3" w:rsidRPr="0012093D" w:rsidRDefault="00F168A3" w:rsidP="00F168A3">
      <w:pPr>
        <w:pStyle w:val="Figuras"/>
      </w:pPr>
      <w:bookmarkStart w:id="18" w:name="_Toc279475957"/>
      <w:proofErr w:type="spellStart"/>
      <w:r>
        <w:rPr>
          <w:bCs/>
        </w:rPr>
        <w:lastRenderedPageBreak/>
        <w:t>Gráfico</w:t>
      </w:r>
      <w:proofErr w:type="spellEnd"/>
      <w:r w:rsidRPr="0012093D">
        <w:rPr>
          <w:bCs/>
        </w:rPr>
        <w:t xml:space="preserve"> </w:t>
      </w:r>
      <w:r>
        <w:rPr>
          <w:bCs/>
        </w:rPr>
        <w:t>3.1</w:t>
      </w:r>
      <w:r w:rsidRPr="0012093D">
        <w:rPr>
          <w:bCs/>
        </w:rPr>
        <w:t xml:space="preserve"> </w:t>
      </w:r>
      <w:r w:rsidRPr="0012093D">
        <w:t xml:space="preserve">– </w:t>
      </w:r>
      <w:proofErr w:type="spellStart"/>
      <w:r>
        <w:t>Avaliação</w:t>
      </w:r>
      <w:proofErr w:type="spellEnd"/>
      <w:r>
        <w:t xml:space="preserve"> de </w:t>
      </w:r>
      <w:proofErr w:type="spellStart"/>
      <w:r>
        <w:t>faixa</w:t>
      </w:r>
      <w:proofErr w:type="spellEnd"/>
      <w:r>
        <w:t xml:space="preserve"> </w:t>
      </w:r>
      <w:proofErr w:type="spellStart"/>
      <w:r>
        <w:t>etária</w:t>
      </w:r>
      <w:bookmarkEnd w:id="18"/>
      <w:proofErr w:type="spellEnd"/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  <w:r w:rsidRPr="00B978FF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4000500" cy="2162175"/>
            <wp:effectExtent l="19050" t="0" r="0" b="0"/>
            <wp:docPr id="10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 l="2905" t="3461" r="2490" b="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A3" w:rsidRPr="00EA3CDF" w:rsidRDefault="00F168A3" w:rsidP="00F168A3">
      <w:pPr>
        <w:pStyle w:val="Figuras"/>
        <w:rPr>
          <w:lang w:val="pt-BR"/>
        </w:rPr>
      </w:pPr>
      <w:bookmarkStart w:id="19" w:name="_Toc279475958"/>
      <w:r w:rsidRPr="00EA3CDF">
        <w:rPr>
          <w:bCs/>
          <w:lang w:val="pt-BR"/>
        </w:rPr>
        <w:t xml:space="preserve">Gráfico 3.2 </w:t>
      </w:r>
      <w:r w:rsidRPr="00EA3CDF">
        <w:rPr>
          <w:lang w:val="pt-BR"/>
        </w:rPr>
        <w:t>– Avaliação do grau de escolaridade</w:t>
      </w:r>
      <w:bookmarkEnd w:id="19"/>
    </w:p>
    <w:p w:rsidR="00F168A3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  <w:r w:rsidRPr="00B978FF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3705225" cy="2552700"/>
            <wp:effectExtent l="19050" t="0" r="9525" b="0"/>
            <wp:docPr id="11" name="Gráfic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3"/>
                    <pic:cNvPicPr>
                      <a:picLocks noChangeArrowheads="1"/>
                    </pic:cNvPicPr>
                  </pic:nvPicPr>
                  <pic:blipFill>
                    <a:blip r:embed="rId9" cstate="print"/>
                    <a:srcRect l="9543" t="2768" r="9750" b="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78FF">
        <w:rPr>
          <w:rFonts w:cs="Times New Roman"/>
          <w:noProof/>
          <w:szCs w:val="24"/>
          <w:lang w:eastAsia="pt-BR"/>
        </w:rPr>
        <w:t xml:space="preserve">    </w:t>
      </w:r>
    </w:p>
    <w:p w:rsidR="00F168A3" w:rsidRPr="00EA3CDF" w:rsidRDefault="00F168A3" w:rsidP="00F168A3">
      <w:pPr>
        <w:pStyle w:val="Figuras"/>
        <w:rPr>
          <w:lang w:val="pt-BR"/>
        </w:rPr>
      </w:pPr>
      <w:bookmarkStart w:id="20" w:name="_Toc279475959"/>
      <w:r w:rsidRPr="00EA3CDF">
        <w:rPr>
          <w:bCs/>
          <w:lang w:val="pt-BR"/>
        </w:rPr>
        <w:t xml:space="preserve">Gráfico 3.3 </w:t>
      </w:r>
      <w:r w:rsidRPr="00EA3CDF">
        <w:rPr>
          <w:lang w:val="pt-BR"/>
        </w:rPr>
        <w:t>– Avaliação da experiência na utilização de ferramentas</w:t>
      </w:r>
      <w:bookmarkEnd w:id="20"/>
    </w:p>
    <w:p w:rsidR="00F168A3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  <w:r w:rsidRPr="00B978FF">
        <w:rPr>
          <w:rFonts w:cs="Times New Roman"/>
          <w:noProof/>
          <w:szCs w:val="24"/>
          <w:lang w:eastAsia="pt-BR"/>
        </w:rPr>
        <w:t xml:space="preserve"> </w:t>
      </w:r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  <w:r w:rsidRPr="00B978FF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771775" cy="1809750"/>
            <wp:effectExtent l="19050" t="0" r="9525" b="0"/>
            <wp:docPr id="12" name="Gráfico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/>
                    <pic:cNvPicPr>
                      <a:picLocks noChangeArrowheads="1"/>
                    </pic:cNvPicPr>
                  </pic:nvPicPr>
                  <pic:blipFill>
                    <a:blip r:embed="rId10" cstate="print"/>
                    <a:srcRect l="1660" t="2422" r="1660" b="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78FF">
        <w:rPr>
          <w:rFonts w:cs="Times New Roman"/>
          <w:noProof/>
          <w:szCs w:val="24"/>
          <w:lang w:eastAsia="pt-BR"/>
        </w:rPr>
        <w:t xml:space="preserve"> </w:t>
      </w:r>
      <w:r w:rsidRPr="00B978FF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409825" cy="1809750"/>
            <wp:effectExtent l="19050" t="0" r="9525" b="0"/>
            <wp:docPr id="13" name="Gráfic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5"/>
                    <pic:cNvPicPr>
                      <a:picLocks noChangeArrowheads="1"/>
                    </pic:cNvPicPr>
                  </pic:nvPicPr>
                  <pic:blipFill>
                    <a:blip r:embed="rId11" cstate="print"/>
                    <a:srcRect l="7469" t="2768" r="2283" b="9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A3" w:rsidRPr="00EA3CDF" w:rsidRDefault="00F168A3" w:rsidP="00F168A3">
      <w:pPr>
        <w:pStyle w:val="Figuras"/>
        <w:rPr>
          <w:lang w:val="pt-BR"/>
        </w:rPr>
      </w:pPr>
      <w:bookmarkStart w:id="21" w:name="_Toc279475960"/>
      <w:r w:rsidRPr="00EA3CDF">
        <w:rPr>
          <w:bCs/>
          <w:lang w:val="pt-BR"/>
        </w:rPr>
        <w:lastRenderedPageBreak/>
        <w:t xml:space="preserve">Gráfico 3.4 </w:t>
      </w:r>
      <w:r w:rsidRPr="00EA3CDF">
        <w:rPr>
          <w:lang w:val="pt-BR"/>
        </w:rPr>
        <w:t>– Indicação de tempo de experiência</w:t>
      </w:r>
      <w:bookmarkEnd w:id="21"/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</w:p>
    <w:p w:rsidR="00F168A3" w:rsidRPr="00B978FF" w:rsidRDefault="00F168A3" w:rsidP="00F168A3">
      <w:pPr>
        <w:ind w:firstLine="708"/>
        <w:jc w:val="center"/>
        <w:rPr>
          <w:rFonts w:cs="Times New Roman"/>
          <w:b/>
          <w:noProof/>
          <w:szCs w:val="24"/>
          <w:lang w:eastAsia="pt-BR"/>
        </w:rPr>
      </w:pPr>
      <w:r w:rsidRPr="00B978FF">
        <w:rPr>
          <w:rFonts w:cs="Times New Roman"/>
          <w:b/>
          <w:noProof/>
          <w:szCs w:val="24"/>
          <w:lang w:eastAsia="pt-BR"/>
        </w:rPr>
        <w:t>Classifique a impressão que você obteve                                                              ao utilizar as seguintes ferramentas de diff e merge</w:t>
      </w:r>
    </w:p>
    <w:p w:rsidR="00F168A3" w:rsidRPr="00B978FF" w:rsidRDefault="00F168A3" w:rsidP="00F168A3">
      <w:pPr>
        <w:jc w:val="center"/>
        <w:rPr>
          <w:rFonts w:cs="Times New Roman"/>
          <w:noProof/>
          <w:szCs w:val="24"/>
          <w:lang w:eastAsia="pt-BR"/>
        </w:rPr>
      </w:pPr>
      <w:r w:rsidRPr="00B978FF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4791075" cy="3009900"/>
            <wp:effectExtent l="19050" t="0" r="9525" b="0"/>
            <wp:docPr id="14" name="Gráfico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6"/>
                    <pic:cNvPicPr>
                      <a:picLocks noChangeArrowheads="1"/>
                    </pic:cNvPicPr>
                  </pic:nvPicPr>
                  <pic:blipFill>
                    <a:blip r:embed="rId12" cstate="print"/>
                    <a:srcRect l="3206" t="4294" r="1402" b="4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A3" w:rsidRPr="00EA3CDF" w:rsidRDefault="00F168A3" w:rsidP="00F168A3">
      <w:pPr>
        <w:pStyle w:val="Figuras"/>
        <w:rPr>
          <w:lang w:val="pt-BR"/>
        </w:rPr>
      </w:pPr>
      <w:bookmarkStart w:id="22" w:name="_Toc279475961"/>
      <w:r w:rsidRPr="00EA3CDF">
        <w:rPr>
          <w:bCs/>
          <w:lang w:val="pt-BR"/>
        </w:rPr>
        <w:t xml:space="preserve">Gráfico 3.5 </w:t>
      </w:r>
      <w:r w:rsidRPr="00EA3CDF">
        <w:rPr>
          <w:lang w:val="pt-BR"/>
        </w:rPr>
        <w:t>– Utilização de Ferramentas</w:t>
      </w:r>
      <w:bookmarkEnd w:id="22"/>
    </w:p>
    <w:p w:rsidR="00F168A3" w:rsidRPr="00B978FF" w:rsidRDefault="00F168A3" w:rsidP="00F168A3">
      <w:pPr>
        <w:rPr>
          <w:rFonts w:cs="Times New Roman"/>
          <w:szCs w:val="24"/>
        </w:rPr>
      </w:pPr>
    </w:p>
    <w:p w:rsidR="00F168A3" w:rsidRPr="00B978FF" w:rsidRDefault="00F168A3" w:rsidP="00F168A3">
      <w:pPr>
        <w:rPr>
          <w:rFonts w:eastAsia="Times New Roman" w:cs="Times New Roman"/>
          <w:b/>
          <w:szCs w:val="24"/>
          <w:lang w:eastAsia="pt-BR"/>
        </w:rPr>
      </w:pPr>
      <w:r w:rsidRPr="00B978FF">
        <w:rPr>
          <w:rFonts w:eastAsia="Times New Roman" w:cs="Times New Roman"/>
          <w:b/>
          <w:szCs w:val="24"/>
          <w:lang w:eastAsia="pt-BR"/>
        </w:rPr>
        <w:t>Outras ferramentas:</w:t>
      </w:r>
    </w:p>
    <w:tbl>
      <w:tblPr>
        <w:tblW w:w="8720" w:type="dxa"/>
        <w:tblBorders>
          <w:top w:val="single" w:sz="24" w:space="0" w:color="9BBB59"/>
          <w:left w:val="single" w:sz="4" w:space="0" w:color="8064A2"/>
          <w:bottom w:val="single" w:sz="4" w:space="0" w:color="8064A2"/>
          <w:right w:val="single" w:sz="4" w:space="0" w:color="8064A2"/>
          <w:insideH w:val="single" w:sz="4" w:space="0" w:color="FFFFFF"/>
          <w:insideV w:val="single" w:sz="4" w:space="0" w:color="FFFFFF"/>
        </w:tblBorders>
        <w:tblLook w:val="04A0"/>
      </w:tblPr>
      <w:tblGrid>
        <w:gridCol w:w="2887"/>
        <w:gridCol w:w="2714"/>
        <w:gridCol w:w="3119"/>
      </w:tblGrid>
      <w:tr w:rsidR="00F168A3" w:rsidRPr="00B978FF" w:rsidTr="004159E9">
        <w:trPr>
          <w:trHeight w:val="645"/>
        </w:trPr>
        <w:tc>
          <w:tcPr>
            <w:tcW w:w="2887" w:type="dxa"/>
            <w:tcBorders>
              <w:top w:val="nil"/>
              <w:left w:val="nil"/>
              <w:bottom w:val="single" w:sz="24" w:space="0" w:color="9BBB59"/>
              <w:right w:val="nil"/>
            </w:tcBorders>
            <w:shd w:val="clear" w:color="auto" w:fill="000000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1"/>
              <w:jc w:val="left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b/>
                <w:bCs/>
                <w:color w:val="FFFFFF"/>
                <w:sz w:val="22"/>
                <w:lang w:eastAsia="pt-BR"/>
              </w:rPr>
              <w:t>Ferramentas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24" w:space="0" w:color="9BBB59"/>
              <w:right w:val="nil"/>
            </w:tcBorders>
            <w:shd w:val="clear" w:color="auto" w:fill="000000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b/>
                <w:bCs/>
                <w:color w:val="FFFFFF"/>
                <w:sz w:val="22"/>
                <w:lang w:eastAsia="pt-BR"/>
              </w:rPr>
              <w:t>Classificação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24" w:space="0" w:color="9BBB59"/>
              <w:right w:val="nil"/>
            </w:tcBorders>
            <w:shd w:val="clear" w:color="auto" w:fill="000000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b/>
                <w:bCs/>
                <w:color w:val="FFFFFF"/>
                <w:sz w:val="22"/>
                <w:lang w:eastAsia="pt-BR"/>
              </w:rPr>
              <w:t>Número de Pessoas que indicaram a ferramenta</w:t>
            </w:r>
          </w:p>
        </w:tc>
      </w:tr>
      <w:tr w:rsidR="00F168A3" w:rsidRPr="00B978FF" w:rsidTr="004159E9">
        <w:trPr>
          <w:trHeight w:val="345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Diff do CVS</w:t>
            </w:r>
          </w:p>
        </w:tc>
        <w:tc>
          <w:tcPr>
            <w:tcW w:w="2714" w:type="dxa"/>
            <w:shd w:val="clear" w:color="auto" w:fill="BFB1D0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BFB1D0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2</w:t>
            </w:r>
          </w:p>
        </w:tc>
      </w:tr>
      <w:tr w:rsidR="00F168A3" w:rsidRPr="00B978FF" w:rsidTr="004159E9">
        <w:trPr>
          <w:trHeight w:val="6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CSDiff</w:t>
            </w:r>
          </w:p>
        </w:tc>
        <w:tc>
          <w:tcPr>
            <w:tcW w:w="2714" w:type="dxa"/>
            <w:shd w:val="clear" w:color="auto" w:fill="F2EFF6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Muito boa para comparação de arquivos e pasta</w:t>
            </w:r>
          </w:p>
        </w:tc>
        <w:tc>
          <w:tcPr>
            <w:tcW w:w="3119" w:type="dxa"/>
            <w:shd w:val="clear" w:color="auto" w:fill="F2EFF6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2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Meld</w:t>
            </w:r>
          </w:p>
        </w:tc>
        <w:tc>
          <w:tcPr>
            <w:tcW w:w="2714" w:type="dxa"/>
            <w:shd w:val="clear" w:color="auto" w:fill="BFB1D0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BFB1D0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2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Rational Clearcase</w:t>
            </w:r>
          </w:p>
        </w:tc>
        <w:tc>
          <w:tcPr>
            <w:tcW w:w="2714" w:type="dxa"/>
            <w:shd w:val="clear" w:color="auto" w:fill="F2EFF6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Boa</w:t>
            </w:r>
          </w:p>
        </w:tc>
        <w:tc>
          <w:tcPr>
            <w:tcW w:w="3119" w:type="dxa"/>
            <w:shd w:val="clear" w:color="auto" w:fill="F2EFF6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2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AptDiff</w:t>
            </w:r>
          </w:p>
        </w:tc>
        <w:tc>
          <w:tcPr>
            <w:tcW w:w="2714" w:type="dxa"/>
            <w:shd w:val="clear" w:color="auto" w:fill="BFB1D0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BFB1D0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Araxis Merge</w:t>
            </w:r>
          </w:p>
        </w:tc>
        <w:tc>
          <w:tcPr>
            <w:tcW w:w="2714" w:type="dxa"/>
            <w:shd w:val="clear" w:color="auto" w:fill="F2EFF6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F2EFF6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645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Beyond compare</w:t>
            </w:r>
          </w:p>
        </w:tc>
        <w:tc>
          <w:tcPr>
            <w:tcW w:w="2714" w:type="dxa"/>
            <w:shd w:val="clear" w:color="auto" w:fill="BFB1D0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BFB1D0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CA SCM</w:t>
            </w:r>
          </w:p>
        </w:tc>
        <w:tc>
          <w:tcPr>
            <w:tcW w:w="2714" w:type="dxa"/>
            <w:shd w:val="clear" w:color="auto" w:fill="F2EFF6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F2EFF6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Compare do MagicDraw</w:t>
            </w:r>
          </w:p>
        </w:tc>
        <w:tc>
          <w:tcPr>
            <w:tcW w:w="2714" w:type="dxa"/>
            <w:shd w:val="clear" w:color="auto" w:fill="BFB1D0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Boa</w:t>
            </w:r>
          </w:p>
        </w:tc>
        <w:tc>
          <w:tcPr>
            <w:tcW w:w="3119" w:type="dxa"/>
            <w:shd w:val="clear" w:color="auto" w:fill="BFB1D0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Enterprise Architect</w:t>
            </w:r>
          </w:p>
        </w:tc>
        <w:tc>
          <w:tcPr>
            <w:tcW w:w="2714" w:type="dxa"/>
            <w:shd w:val="clear" w:color="auto" w:fill="F2EFF6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F2EFF6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Jude Professional (Astha)</w:t>
            </w:r>
          </w:p>
        </w:tc>
        <w:tc>
          <w:tcPr>
            <w:tcW w:w="2714" w:type="dxa"/>
            <w:shd w:val="clear" w:color="auto" w:fill="BFB1D0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BFB1D0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lastRenderedPageBreak/>
              <w:t>KDIFF3</w:t>
            </w:r>
            <w:r w:rsidRPr="0042773B">
              <w:rPr>
                <w:rFonts w:eastAsia="Times New Roman" w:cs="Times New Roman"/>
                <w:b/>
                <w:bCs/>
                <w:color w:val="FFFFFF"/>
                <w:sz w:val="22"/>
                <w:lang w:eastAsia="pt-BR"/>
              </w:rPr>
              <w:t xml:space="preserve"> (</w:t>
            </w: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diff de diretório</w:t>
            </w:r>
            <w:r w:rsidRPr="0042773B">
              <w:rPr>
                <w:rFonts w:eastAsia="Times New Roman" w:cs="Times New Roman"/>
                <w:b/>
                <w:bCs/>
                <w:color w:val="FFFFFF"/>
                <w:sz w:val="22"/>
                <w:lang w:eastAsia="pt-BR"/>
              </w:rPr>
              <w:t>)</w:t>
            </w:r>
          </w:p>
        </w:tc>
        <w:tc>
          <w:tcPr>
            <w:tcW w:w="2714" w:type="dxa"/>
            <w:shd w:val="clear" w:color="auto" w:fill="F2EFF6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F2EFF6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single" w:sz="4" w:space="0" w:color="4C3B62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Mercurial</w:t>
            </w:r>
          </w:p>
        </w:tc>
        <w:tc>
          <w:tcPr>
            <w:tcW w:w="2714" w:type="dxa"/>
            <w:shd w:val="clear" w:color="auto" w:fill="BFB1D0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3119" w:type="dxa"/>
            <w:shd w:val="clear" w:color="auto" w:fill="BFB1D0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  <w:tr w:rsidR="00F168A3" w:rsidRPr="00B978FF" w:rsidTr="004159E9">
        <w:trPr>
          <w:trHeight w:val="330"/>
        </w:trPr>
        <w:tc>
          <w:tcPr>
            <w:tcW w:w="2887" w:type="dxa"/>
            <w:tcBorders>
              <w:left w:val="nil"/>
              <w:bottom w:val="nil"/>
              <w:right w:val="nil"/>
            </w:tcBorders>
            <w:shd w:val="clear" w:color="auto" w:fill="4C3B62"/>
            <w:noWrap/>
            <w:vAlign w:val="center"/>
            <w:hideMark/>
          </w:tcPr>
          <w:p w:rsidR="00F168A3" w:rsidRPr="0042773B" w:rsidRDefault="00F168A3" w:rsidP="004159E9">
            <w:pPr>
              <w:ind w:firstLineChars="100" w:firstLine="220"/>
              <w:jc w:val="left"/>
              <w:rPr>
                <w:rFonts w:eastAsia="Times New Roman" w:cs="Times New Roman"/>
                <w:color w:val="FFFFFF"/>
                <w:lang w:eastAsia="pt-BR"/>
              </w:rPr>
            </w:pPr>
            <w:r w:rsidRPr="0042773B">
              <w:rPr>
                <w:rFonts w:eastAsia="Times New Roman" w:cs="Times New Roman"/>
                <w:color w:val="FFFFFF"/>
                <w:sz w:val="22"/>
                <w:lang w:eastAsia="pt-BR"/>
              </w:rPr>
              <w:t>Source safe</w:t>
            </w:r>
          </w:p>
        </w:tc>
        <w:tc>
          <w:tcPr>
            <w:tcW w:w="2714" w:type="dxa"/>
            <w:shd w:val="clear" w:color="auto" w:fill="F2EFF6"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Indiferente</w:t>
            </w:r>
          </w:p>
        </w:tc>
        <w:tc>
          <w:tcPr>
            <w:tcW w:w="3119" w:type="dxa"/>
            <w:shd w:val="clear" w:color="auto" w:fill="F2EFF6"/>
            <w:noWrap/>
            <w:vAlign w:val="center"/>
            <w:hideMark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42773B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</w:tr>
    </w:tbl>
    <w:p w:rsidR="00F168A3" w:rsidRPr="0012093D" w:rsidRDefault="00F168A3" w:rsidP="00F168A3">
      <w:pPr>
        <w:pStyle w:val="Tabelas"/>
      </w:pPr>
      <w:bookmarkStart w:id="23" w:name="_Toc279349808"/>
      <w:bookmarkStart w:id="24" w:name="_Toc279475968"/>
      <w:r>
        <w:t>Tabela</w:t>
      </w:r>
      <w:r w:rsidRPr="0012093D">
        <w:t xml:space="preserve"> </w:t>
      </w:r>
      <w:r>
        <w:t>3.1</w:t>
      </w:r>
      <w:r w:rsidRPr="0012093D">
        <w:t xml:space="preserve"> – </w:t>
      </w:r>
      <w:r>
        <w:t>Classificação e Indicação de ferramentas</w:t>
      </w:r>
      <w:bookmarkEnd w:id="23"/>
      <w:bookmarkEnd w:id="24"/>
    </w:p>
    <w:p w:rsidR="00F168A3" w:rsidRDefault="00F168A3" w:rsidP="00F168A3">
      <w:pPr>
        <w:jc w:val="center"/>
        <w:rPr>
          <w:rFonts w:eastAsia="Times New Roman" w:cs="Times New Roman"/>
          <w:b/>
          <w:noProof/>
          <w:szCs w:val="24"/>
          <w:lang w:eastAsia="pt-BR"/>
        </w:rPr>
      </w:pPr>
    </w:p>
    <w:p w:rsidR="00F168A3" w:rsidRDefault="00F168A3" w:rsidP="00F168A3">
      <w:pPr>
        <w:jc w:val="center"/>
        <w:rPr>
          <w:rFonts w:eastAsia="Times New Roman" w:cs="Times New Roman"/>
          <w:b/>
          <w:noProof/>
          <w:szCs w:val="24"/>
          <w:lang w:eastAsia="pt-BR"/>
        </w:rPr>
      </w:pPr>
    </w:p>
    <w:p w:rsidR="00F168A3" w:rsidRDefault="00F168A3" w:rsidP="00F168A3">
      <w:pPr>
        <w:jc w:val="center"/>
        <w:rPr>
          <w:rFonts w:eastAsia="Times New Roman" w:cs="Times New Roman"/>
          <w:b/>
          <w:noProof/>
          <w:szCs w:val="24"/>
          <w:lang w:eastAsia="pt-BR"/>
        </w:rPr>
      </w:pPr>
      <w:r w:rsidRPr="00B978FF">
        <w:rPr>
          <w:rFonts w:eastAsia="Times New Roman" w:cs="Times New Roman"/>
          <w:b/>
          <w:noProof/>
          <w:szCs w:val="24"/>
          <w:lang w:eastAsia="pt-BR"/>
        </w:rPr>
        <w:drawing>
          <wp:inline distT="0" distB="0" distL="0" distR="0">
            <wp:extent cx="3543300" cy="2009774"/>
            <wp:effectExtent l="19050" t="0" r="0" b="0"/>
            <wp:docPr id="15" name="Gráfico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/>
                    <pic:cNvPicPr>
                      <a:picLocks noChangeArrowheads="1"/>
                    </pic:cNvPicPr>
                  </pic:nvPicPr>
                  <pic:blipFill>
                    <a:blip r:embed="rId13" cstate="print"/>
                    <a:srcRect l="6847" t="4498" r="7469" b="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0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A3" w:rsidRPr="0012093D" w:rsidRDefault="00F168A3" w:rsidP="00F168A3">
      <w:pPr>
        <w:pStyle w:val="Figuras"/>
      </w:pPr>
      <w:bookmarkStart w:id="25" w:name="_Toc279475962"/>
      <w:proofErr w:type="spellStart"/>
      <w:r>
        <w:rPr>
          <w:bCs/>
        </w:rPr>
        <w:t>Gráfico</w:t>
      </w:r>
      <w:proofErr w:type="spellEnd"/>
      <w:r w:rsidRPr="0012093D">
        <w:rPr>
          <w:bCs/>
        </w:rPr>
        <w:t xml:space="preserve"> </w:t>
      </w:r>
      <w:r>
        <w:rPr>
          <w:bCs/>
        </w:rPr>
        <w:t>3.6</w:t>
      </w:r>
      <w:r w:rsidRPr="0012093D">
        <w:rPr>
          <w:bCs/>
        </w:rPr>
        <w:t xml:space="preserve"> </w:t>
      </w:r>
      <w:r w:rsidRPr="0012093D">
        <w:t xml:space="preserve">–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existentes</w:t>
      </w:r>
      <w:bookmarkEnd w:id="25"/>
      <w:proofErr w:type="spellEnd"/>
    </w:p>
    <w:p w:rsidR="00F168A3" w:rsidRPr="00B978FF" w:rsidRDefault="00F168A3" w:rsidP="00F168A3">
      <w:pPr>
        <w:jc w:val="center"/>
        <w:rPr>
          <w:rFonts w:eastAsia="Times New Roman" w:cs="Times New Roman"/>
          <w:b/>
          <w:noProof/>
          <w:szCs w:val="24"/>
          <w:lang w:eastAsia="pt-BR"/>
        </w:rPr>
      </w:pPr>
    </w:p>
    <w:p w:rsidR="00F168A3" w:rsidRPr="00022E30" w:rsidRDefault="00F168A3" w:rsidP="00F168A3">
      <w:pPr>
        <w:jc w:val="center"/>
        <w:rPr>
          <w:rFonts w:eastAsia="Times New Roman" w:cs="Times New Roman"/>
          <w:b/>
          <w:noProof/>
          <w:szCs w:val="24"/>
          <w:lang w:eastAsia="pt-BR"/>
        </w:rPr>
      </w:pPr>
      <w:r w:rsidRPr="00B978FF">
        <w:rPr>
          <w:rFonts w:eastAsia="Times New Roman" w:cs="Times New Roman"/>
          <w:b/>
          <w:noProof/>
          <w:szCs w:val="24"/>
          <w:lang w:eastAsia="pt-BR"/>
        </w:rPr>
        <w:drawing>
          <wp:inline distT="0" distB="0" distL="0" distR="0">
            <wp:extent cx="3867150" cy="2000250"/>
            <wp:effectExtent l="19050" t="0" r="0" b="0"/>
            <wp:docPr id="16" name="Gráfico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8"/>
                    <pic:cNvPicPr>
                      <a:picLocks noChangeArrowheads="1"/>
                    </pic:cNvPicPr>
                  </pic:nvPicPr>
                  <pic:blipFill>
                    <a:blip r:embed="rId14" cstate="print"/>
                    <a:srcRect l="3462" t="4152" r="4231" b="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A3" w:rsidRPr="0012093D" w:rsidRDefault="00F168A3" w:rsidP="00F168A3">
      <w:pPr>
        <w:pStyle w:val="Figuras"/>
      </w:pPr>
      <w:bookmarkStart w:id="26" w:name="_Toc279475963"/>
      <w:r w:rsidRPr="00022E30">
        <w:rPr>
          <w:bCs/>
          <w:lang w:val="pt-BR"/>
        </w:rPr>
        <w:t>Gráfico</w:t>
      </w:r>
      <w:r w:rsidRPr="0012093D">
        <w:rPr>
          <w:bCs/>
        </w:rPr>
        <w:t xml:space="preserve"> </w:t>
      </w:r>
      <w:r>
        <w:rPr>
          <w:bCs/>
        </w:rPr>
        <w:t>3.7</w:t>
      </w:r>
      <w:r w:rsidRPr="0012093D">
        <w:rPr>
          <w:bCs/>
        </w:rPr>
        <w:t xml:space="preserve"> </w:t>
      </w:r>
      <w:r w:rsidRPr="0012093D">
        <w:t>–</w:t>
      </w:r>
      <w:r w:rsidRPr="00022E30">
        <w:rPr>
          <w:lang w:val="pt-BR"/>
        </w:rPr>
        <w:t xml:space="preserve"> Características Fundamentais</w:t>
      </w:r>
      <w:bookmarkEnd w:id="26"/>
    </w:p>
    <w:p w:rsidR="00F168A3" w:rsidRPr="00B978FF" w:rsidRDefault="00F168A3" w:rsidP="00F168A3">
      <w:pPr>
        <w:rPr>
          <w:rFonts w:eastAsia="Times New Roman" w:cs="Times New Roman"/>
          <w:b/>
          <w:szCs w:val="24"/>
          <w:lang w:eastAsia="pt-BR"/>
        </w:rPr>
      </w:pPr>
    </w:p>
    <w:tbl>
      <w:tblPr>
        <w:tblStyle w:val="MediumList2-Accent5"/>
        <w:tblW w:w="8755" w:type="dxa"/>
        <w:tblLook w:val="04A0"/>
      </w:tblPr>
      <w:tblGrid>
        <w:gridCol w:w="583"/>
        <w:gridCol w:w="8172"/>
      </w:tblGrid>
      <w:tr w:rsidR="00F168A3" w:rsidRPr="00181172" w:rsidTr="004159E9">
        <w:trPr>
          <w:cnfStyle w:val="100000000000"/>
        </w:trPr>
        <w:tc>
          <w:tcPr>
            <w:cnfStyle w:val="001000000100"/>
            <w:tcW w:w="8755" w:type="dxa"/>
            <w:gridSpan w:val="2"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b/>
                <w:lang w:eastAsia="pt-BR"/>
              </w:rPr>
            </w:pPr>
            <w:r w:rsidRPr="0042773B">
              <w:rPr>
                <w:rFonts w:eastAsia="Times New Roman" w:cs="Times New Roman"/>
                <w:b/>
                <w:lang w:eastAsia="pt-BR"/>
              </w:rPr>
              <w:t>Indique características não citadas anteriormente</w:t>
            </w:r>
          </w:p>
        </w:tc>
      </w:tr>
      <w:tr w:rsidR="00F168A3" w:rsidRPr="00181172" w:rsidTr="004159E9">
        <w:trPr>
          <w:cnfStyle w:val="000000100000"/>
        </w:trPr>
        <w:tc>
          <w:tcPr>
            <w:cnfStyle w:val="001000000000"/>
            <w:tcW w:w="583" w:type="dxa"/>
          </w:tcPr>
          <w:p w:rsidR="00F168A3" w:rsidRPr="00181172" w:rsidRDefault="00F168A3" w:rsidP="004159E9">
            <w:pPr>
              <w:jc w:val="lef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I</w:t>
            </w:r>
          </w:p>
        </w:tc>
        <w:tc>
          <w:tcPr>
            <w:tcW w:w="8172" w:type="dxa"/>
          </w:tcPr>
          <w:p w:rsidR="00F168A3" w:rsidRPr="00181172" w:rsidRDefault="00F168A3" w:rsidP="004159E9">
            <w:pPr>
              <w:jc w:val="left"/>
              <w:cnfStyle w:val="000000100000"/>
              <w:rPr>
                <w:rFonts w:eastAsia="Times New Roman" w:cs="Times New Roman"/>
                <w:szCs w:val="24"/>
                <w:lang w:eastAsia="pt-BR"/>
              </w:rPr>
            </w:pPr>
            <w:r w:rsidRPr="00181172">
              <w:rPr>
                <w:rFonts w:eastAsia="Times New Roman" w:cs="Times New Roman"/>
                <w:szCs w:val="24"/>
                <w:lang w:eastAsia="pt-BR"/>
              </w:rPr>
              <w:t>Já para as ferramentas que foram pesquisadas e que também serviam para o trabalho de modelagem UML, estas poderiam detectar também as alterações nos relacionamentos entre as classes dos modelos comparados.</w:t>
            </w:r>
          </w:p>
        </w:tc>
      </w:tr>
      <w:tr w:rsidR="00F168A3" w:rsidRPr="00181172" w:rsidTr="004159E9">
        <w:tc>
          <w:tcPr>
            <w:cnfStyle w:val="001000000000"/>
            <w:tcW w:w="583" w:type="dxa"/>
          </w:tcPr>
          <w:p w:rsidR="00F168A3" w:rsidRPr="00181172" w:rsidRDefault="00F168A3" w:rsidP="004159E9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II</w:t>
            </w:r>
          </w:p>
        </w:tc>
        <w:tc>
          <w:tcPr>
            <w:tcW w:w="8172" w:type="dxa"/>
          </w:tcPr>
          <w:p w:rsidR="00F168A3" w:rsidRPr="00181172" w:rsidRDefault="00F168A3" w:rsidP="004159E9">
            <w:pPr>
              <w:cnfStyle w:val="000000000000"/>
              <w:rPr>
                <w:rFonts w:eastAsia="Times New Roman" w:cs="Times New Roman"/>
                <w:szCs w:val="24"/>
                <w:lang w:eastAsia="pt-BR"/>
              </w:rPr>
            </w:pPr>
            <w:r w:rsidRPr="00181172">
              <w:rPr>
                <w:rFonts w:eastAsia="Times New Roman" w:cs="Times New Roman"/>
                <w:szCs w:val="24"/>
                <w:lang w:eastAsia="pt-BR"/>
              </w:rPr>
              <w:t>Determinar o que não comparar (por exemplo, espaços em branco / tabs), pois podem não ser relevantes.</w:t>
            </w:r>
          </w:p>
        </w:tc>
      </w:tr>
      <w:tr w:rsidR="00F168A3" w:rsidRPr="00181172" w:rsidTr="004159E9">
        <w:trPr>
          <w:cnfStyle w:val="000000100000"/>
        </w:trPr>
        <w:tc>
          <w:tcPr>
            <w:cnfStyle w:val="001000000000"/>
            <w:tcW w:w="583" w:type="dxa"/>
          </w:tcPr>
          <w:p w:rsidR="00F168A3" w:rsidRPr="00181172" w:rsidRDefault="00F168A3" w:rsidP="004159E9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III</w:t>
            </w:r>
          </w:p>
        </w:tc>
        <w:tc>
          <w:tcPr>
            <w:tcW w:w="8172" w:type="dxa"/>
          </w:tcPr>
          <w:p w:rsidR="00F168A3" w:rsidRPr="00181172" w:rsidRDefault="00F168A3" w:rsidP="004159E9">
            <w:pPr>
              <w:cnfStyle w:val="000000100000"/>
              <w:rPr>
                <w:rFonts w:eastAsia="Times New Roman" w:cs="Times New Roman"/>
                <w:szCs w:val="24"/>
                <w:lang w:eastAsia="pt-BR"/>
              </w:rPr>
            </w:pPr>
            <w:r w:rsidRPr="00181172">
              <w:rPr>
                <w:rFonts w:eastAsia="Times New Roman" w:cs="Times New Roman"/>
                <w:szCs w:val="24"/>
                <w:lang w:eastAsia="pt-BR"/>
              </w:rPr>
              <w:t>Apoio especializado a determinados tipos de arquivos (por exemplo, documentos do word/excel).</w:t>
            </w:r>
          </w:p>
        </w:tc>
      </w:tr>
      <w:tr w:rsidR="00F168A3" w:rsidRPr="00181172" w:rsidTr="004159E9">
        <w:tc>
          <w:tcPr>
            <w:cnfStyle w:val="001000000000"/>
            <w:tcW w:w="583" w:type="dxa"/>
          </w:tcPr>
          <w:p w:rsidR="00F168A3" w:rsidRPr="00181172" w:rsidRDefault="00F168A3" w:rsidP="004159E9">
            <w:pPr>
              <w:jc w:val="lef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lastRenderedPageBreak/>
              <w:t>IV</w:t>
            </w:r>
          </w:p>
        </w:tc>
        <w:tc>
          <w:tcPr>
            <w:tcW w:w="8172" w:type="dxa"/>
          </w:tcPr>
          <w:p w:rsidR="00F168A3" w:rsidRPr="00181172" w:rsidRDefault="00F168A3" w:rsidP="004159E9">
            <w:pPr>
              <w:jc w:val="left"/>
              <w:cnfStyle w:val="000000000000"/>
              <w:rPr>
                <w:rFonts w:eastAsia="Times New Roman" w:cs="Times New Roman"/>
                <w:szCs w:val="24"/>
                <w:lang w:eastAsia="pt-BR"/>
              </w:rPr>
            </w:pPr>
            <w:r w:rsidRPr="00181172">
              <w:rPr>
                <w:rFonts w:eastAsia="Times New Roman" w:cs="Times New Roman"/>
                <w:szCs w:val="24"/>
                <w:lang w:eastAsia="pt-BR"/>
              </w:rPr>
              <w:t>Apoio especializado a determinadas linguagens (para identificar corretamente, por exemplo, que as modificações foram dentro de um método específico - dessa forma, a movimentação do código poderia ser "isolada" em algum grau da modificação identificada).</w:t>
            </w:r>
          </w:p>
        </w:tc>
      </w:tr>
      <w:tr w:rsidR="00F168A3" w:rsidRPr="00181172" w:rsidTr="004159E9">
        <w:trPr>
          <w:cnfStyle w:val="000000100000"/>
        </w:trPr>
        <w:tc>
          <w:tcPr>
            <w:cnfStyle w:val="001000000000"/>
            <w:tcW w:w="583" w:type="dxa"/>
          </w:tcPr>
          <w:p w:rsidR="00F168A3" w:rsidRPr="00181172" w:rsidRDefault="00F168A3" w:rsidP="004159E9">
            <w:pPr>
              <w:jc w:val="lef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V</w:t>
            </w:r>
          </w:p>
        </w:tc>
        <w:tc>
          <w:tcPr>
            <w:tcW w:w="8172" w:type="dxa"/>
          </w:tcPr>
          <w:p w:rsidR="00F168A3" w:rsidRPr="00181172" w:rsidRDefault="00F168A3" w:rsidP="004159E9">
            <w:pPr>
              <w:jc w:val="left"/>
              <w:cnfStyle w:val="000000100000"/>
              <w:rPr>
                <w:rFonts w:eastAsia="Times New Roman" w:cs="Times New Roman"/>
                <w:szCs w:val="24"/>
                <w:lang w:eastAsia="pt-BR"/>
              </w:rPr>
            </w:pPr>
            <w:r w:rsidRPr="00181172">
              <w:rPr>
                <w:rFonts w:eastAsia="Times New Roman" w:cs="Times New Roman"/>
                <w:szCs w:val="24"/>
                <w:lang w:eastAsia="pt-BR"/>
              </w:rPr>
              <w:t>Possibilitar comparação de diretórios, mostrando arquivos criados, arquivos removidos e arquivos alterados. Neste caso é bom que possibilite ignorar diferenças de timestamp do arquivo e também permitir que tipos de arquivos e diretórios sejam ignorados</w:t>
            </w:r>
          </w:p>
        </w:tc>
      </w:tr>
      <w:tr w:rsidR="00F168A3" w:rsidTr="004159E9">
        <w:tc>
          <w:tcPr>
            <w:cnfStyle w:val="001000000000"/>
            <w:tcW w:w="583" w:type="dxa"/>
          </w:tcPr>
          <w:p w:rsidR="00F168A3" w:rsidRPr="00B978FF" w:rsidRDefault="00F168A3" w:rsidP="004159E9">
            <w:pPr>
              <w:jc w:val="lef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VI</w:t>
            </w:r>
          </w:p>
        </w:tc>
        <w:tc>
          <w:tcPr>
            <w:tcW w:w="8172" w:type="dxa"/>
          </w:tcPr>
          <w:p w:rsidR="00F168A3" w:rsidRPr="00181172" w:rsidRDefault="00F168A3" w:rsidP="004159E9">
            <w:pPr>
              <w:jc w:val="left"/>
              <w:cnfStyle w:val="000000000000"/>
              <w:rPr>
                <w:rFonts w:eastAsia="Times New Roman" w:cs="Times New Roman"/>
                <w:szCs w:val="24"/>
                <w:lang w:eastAsia="pt-BR"/>
              </w:rPr>
            </w:pPr>
            <w:r w:rsidRPr="00B978FF">
              <w:rPr>
                <w:rFonts w:eastAsia="Times New Roman" w:cs="Times New Roman"/>
                <w:szCs w:val="24"/>
                <w:lang w:eastAsia="pt-BR"/>
              </w:rPr>
              <w:t>Comparação entre dois repositórios com mais de um ancestral comum, mas não que seja fundamental</w:t>
            </w:r>
          </w:p>
        </w:tc>
      </w:tr>
    </w:tbl>
    <w:p w:rsidR="00F168A3" w:rsidRPr="0012093D" w:rsidRDefault="00F168A3" w:rsidP="00F168A3">
      <w:pPr>
        <w:pStyle w:val="Tabelas"/>
      </w:pPr>
      <w:bookmarkStart w:id="27" w:name="_Toc279349809"/>
      <w:bookmarkStart w:id="28" w:name="_Toc279475969"/>
      <w:r>
        <w:t>Tabela 3.2</w:t>
      </w:r>
      <w:r w:rsidRPr="0012093D">
        <w:t xml:space="preserve"> – </w:t>
      </w:r>
      <w:r>
        <w:t>Características Fundamentais não citadas</w:t>
      </w:r>
      <w:bookmarkEnd w:id="27"/>
      <w:bookmarkEnd w:id="28"/>
    </w:p>
    <w:p w:rsidR="00F168A3" w:rsidRPr="00022E30" w:rsidRDefault="00F168A3" w:rsidP="00F168A3">
      <w:pPr>
        <w:jc w:val="center"/>
        <w:rPr>
          <w:rFonts w:eastAsia="Times New Roman" w:cs="Times New Roman"/>
          <w:b/>
          <w:noProof/>
          <w:szCs w:val="24"/>
          <w:lang w:eastAsia="pt-BR"/>
        </w:rPr>
      </w:pPr>
      <w:r w:rsidRPr="00B978FF">
        <w:rPr>
          <w:rFonts w:eastAsia="Times New Roman" w:cs="Times New Roman"/>
          <w:b/>
          <w:noProof/>
          <w:szCs w:val="24"/>
          <w:lang w:eastAsia="pt-BR"/>
        </w:rPr>
        <w:drawing>
          <wp:inline distT="0" distB="0" distL="0" distR="0">
            <wp:extent cx="3819525" cy="2238375"/>
            <wp:effectExtent l="19050" t="0" r="9525" b="0"/>
            <wp:docPr id="17" name="Gráfico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9"/>
                    <pic:cNvPicPr>
                      <a:picLocks noChangeArrowheads="1"/>
                    </pic:cNvPicPr>
                  </pic:nvPicPr>
                  <pic:blipFill>
                    <a:blip r:embed="rId15" cstate="print"/>
                    <a:srcRect l="3526" t="3114" r="4149" b="4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A3" w:rsidRPr="0012093D" w:rsidRDefault="00F168A3" w:rsidP="00F168A3">
      <w:pPr>
        <w:pStyle w:val="Figuras"/>
      </w:pPr>
      <w:bookmarkStart w:id="29" w:name="_Toc279475964"/>
      <w:r w:rsidRPr="00022E30">
        <w:rPr>
          <w:bCs/>
          <w:lang w:val="pt-BR"/>
        </w:rPr>
        <w:t>Gráfico</w:t>
      </w:r>
      <w:r w:rsidRPr="0012093D">
        <w:rPr>
          <w:bCs/>
        </w:rPr>
        <w:t xml:space="preserve"> </w:t>
      </w:r>
      <w:r>
        <w:rPr>
          <w:bCs/>
        </w:rPr>
        <w:t>3.7</w:t>
      </w:r>
      <w:r w:rsidRPr="0012093D">
        <w:rPr>
          <w:bCs/>
        </w:rPr>
        <w:t xml:space="preserve"> </w:t>
      </w:r>
      <w:r w:rsidRPr="0012093D">
        <w:t>–</w:t>
      </w:r>
      <w:r w:rsidRPr="00022E30">
        <w:rPr>
          <w:lang w:val="pt-BR"/>
        </w:rPr>
        <w:t xml:space="preserve"> Características</w:t>
      </w:r>
      <w:r>
        <w:t xml:space="preserve"> </w:t>
      </w:r>
      <w:proofErr w:type="spellStart"/>
      <w:r>
        <w:t>Desejáveis</w:t>
      </w:r>
      <w:bookmarkEnd w:id="29"/>
      <w:proofErr w:type="spellEnd"/>
    </w:p>
    <w:p w:rsidR="00F168A3" w:rsidRDefault="00F168A3" w:rsidP="00F168A3">
      <w:pPr>
        <w:jc w:val="center"/>
        <w:rPr>
          <w:rFonts w:eastAsia="Times New Roman" w:cs="Times New Roman"/>
          <w:b/>
          <w:noProof/>
          <w:szCs w:val="24"/>
          <w:lang w:eastAsia="pt-BR"/>
        </w:rPr>
      </w:pPr>
    </w:p>
    <w:p w:rsidR="00F168A3" w:rsidRPr="00B978FF" w:rsidRDefault="00F168A3" w:rsidP="00F168A3">
      <w:pPr>
        <w:jc w:val="center"/>
        <w:rPr>
          <w:rFonts w:eastAsia="Times New Roman" w:cs="Times New Roman"/>
          <w:b/>
          <w:noProof/>
          <w:szCs w:val="24"/>
          <w:lang w:eastAsia="pt-BR"/>
        </w:rPr>
      </w:pPr>
    </w:p>
    <w:tbl>
      <w:tblPr>
        <w:tblStyle w:val="MediumList2-Accent1"/>
        <w:tblW w:w="8755" w:type="dxa"/>
        <w:tblLook w:val="04A0"/>
      </w:tblPr>
      <w:tblGrid>
        <w:gridCol w:w="583"/>
        <w:gridCol w:w="8172"/>
      </w:tblGrid>
      <w:tr w:rsidR="00F168A3" w:rsidRPr="0042773B" w:rsidTr="004159E9">
        <w:trPr>
          <w:cnfStyle w:val="100000000000"/>
        </w:trPr>
        <w:tc>
          <w:tcPr>
            <w:cnfStyle w:val="001000000100"/>
            <w:tcW w:w="8755" w:type="dxa"/>
            <w:gridSpan w:val="2"/>
          </w:tcPr>
          <w:p w:rsidR="00F168A3" w:rsidRPr="0042773B" w:rsidRDefault="00F168A3" w:rsidP="004159E9">
            <w:pPr>
              <w:jc w:val="center"/>
              <w:rPr>
                <w:rFonts w:eastAsia="Times New Roman" w:cs="Times New Roman"/>
                <w:b/>
                <w:lang w:eastAsia="pt-BR"/>
              </w:rPr>
            </w:pPr>
            <w:r w:rsidRPr="0042773B">
              <w:rPr>
                <w:rFonts w:eastAsia="Times New Roman" w:cs="Times New Roman"/>
                <w:b/>
                <w:lang w:eastAsia="pt-BR"/>
              </w:rPr>
              <w:t>Indique características não citadas anteriormente</w:t>
            </w:r>
          </w:p>
        </w:tc>
      </w:tr>
      <w:tr w:rsidR="00F168A3" w:rsidTr="004159E9">
        <w:trPr>
          <w:cnfStyle w:val="000000100000"/>
        </w:trPr>
        <w:tc>
          <w:tcPr>
            <w:cnfStyle w:val="001000000000"/>
            <w:tcW w:w="583" w:type="dxa"/>
          </w:tcPr>
          <w:p w:rsidR="00F168A3" w:rsidRDefault="00F168A3" w:rsidP="004159E9">
            <w:pPr>
              <w:rPr>
                <w:rFonts w:eastAsia="Times New Roman" w:cs="Times New Roman"/>
                <w:b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Cs w:val="24"/>
                <w:lang w:eastAsia="pt-BR"/>
              </w:rPr>
              <w:t>I</w:t>
            </w:r>
          </w:p>
        </w:tc>
        <w:tc>
          <w:tcPr>
            <w:tcW w:w="8172" w:type="dxa"/>
          </w:tcPr>
          <w:p w:rsidR="00F168A3" w:rsidRDefault="00F168A3" w:rsidP="004159E9">
            <w:pPr>
              <w:cnfStyle w:val="000000100000"/>
              <w:rPr>
                <w:rFonts w:eastAsia="Times New Roman" w:cs="Times New Roman"/>
                <w:b/>
                <w:szCs w:val="24"/>
                <w:lang w:eastAsia="pt-BR"/>
              </w:rPr>
            </w:pPr>
            <w:r w:rsidRPr="00B978FF">
              <w:rPr>
                <w:rFonts w:eastAsia="Times New Roman" w:cs="Times New Roman"/>
                <w:szCs w:val="24"/>
                <w:lang w:eastAsia="pt-BR"/>
              </w:rPr>
              <w:t>Facilidade para editar as duas cópias.</w:t>
            </w:r>
          </w:p>
        </w:tc>
      </w:tr>
      <w:tr w:rsidR="00F168A3" w:rsidTr="004159E9">
        <w:tc>
          <w:tcPr>
            <w:cnfStyle w:val="001000000000"/>
            <w:tcW w:w="583" w:type="dxa"/>
          </w:tcPr>
          <w:p w:rsidR="00F168A3" w:rsidRDefault="00F168A3" w:rsidP="004159E9">
            <w:pPr>
              <w:rPr>
                <w:rFonts w:eastAsia="Times New Roman" w:cs="Times New Roman"/>
                <w:b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Cs w:val="24"/>
                <w:lang w:eastAsia="pt-BR"/>
              </w:rPr>
              <w:t>II</w:t>
            </w:r>
          </w:p>
        </w:tc>
        <w:tc>
          <w:tcPr>
            <w:tcW w:w="8172" w:type="dxa"/>
          </w:tcPr>
          <w:p w:rsidR="00F168A3" w:rsidRPr="0042773B" w:rsidRDefault="00F168A3" w:rsidP="004159E9">
            <w:pPr>
              <w:jc w:val="left"/>
              <w:cnfStyle w:val="000000000000"/>
              <w:rPr>
                <w:rFonts w:eastAsia="Times New Roman" w:cs="Times New Roman"/>
                <w:szCs w:val="24"/>
                <w:lang w:eastAsia="pt-BR"/>
              </w:rPr>
            </w:pPr>
            <w:r w:rsidRPr="00B978FF">
              <w:rPr>
                <w:rFonts w:eastAsia="Times New Roman" w:cs="Times New Roman"/>
                <w:szCs w:val="24"/>
                <w:lang w:eastAsia="pt-BR"/>
              </w:rPr>
              <w:t>Identificar múltiplas alterações, reconhecendo trechos internos inalterados.</w:t>
            </w:r>
          </w:p>
        </w:tc>
      </w:tr>
      <w:tr w:rsidR="00F168A3" w:rsidTr="004159E9">
        <w:trPr>
          <w:cnfStyle w:val="000000100000"/>
        </w:trPr>
        <w:tc>
          <w:tcPr>
            <w:cnfStyle w:val="001000000000"/>
            <w:tcW w:w="583" w:type="dxa"/>
          </w:tcPr>
          <w:p w:rsidR="00F168A3" w:rsidRDefault="00F168A3" w:rsidP="004159E9">
            <w:pPr>
              <w:rPr>
                <w:rFonts w:eastAsia="Times New Roman" w:cs="Times New Roman"/>
                <w:b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Cs w:val="24"/>
                <w:lang w:eastAsia="pt-BR"/>
              </w:rPr>
              <w:t>III</w:t>
            </w:r>
          </w:p>
        </w:tc>
        <w:tc>
          <w:tcPr>
            <w:tcW w:w="8172" w:type="dxa"/>
          </w:tcPr>
          <w:p w:rsidR="00F168A3" w:rsidRPr="0042773B" w:rsidRDefault="00F168A3" w:rsidP="004159E9">
            <w:pPr>
              <w:jc w:val="left"/>
              <w:cnfStyle w:val="000000100000"/>
              <w:rPr>
                <w:rFonts w:eastAsia="Times New Roman" w:cs="Times New Roman"/>
                <w:szCs w:val="24"/>
                <w:lang w:eastAsia="pt-BR"/>
              </w:rPr>
            </w:pPr>
            <w:r w:rsidRPr="00B978FF">
              <w:rPr>
                <w:rFonts w:eastAsia="Times New Roman" w:cs="Times New Roman"/>
                <w:szCs w:val="24"/>
                <w:lang w:eastAsia="pt-BR"/>
              </w:rPr>
              <w:t>Poder configurar o fato de ignorar alteração em certas linhas (p.ex. arquivos de configuração em linhas com conteúdo que é especifico pela estação de trabalho)</w:t>
            </w:r>
          </w:p>
        </w:tc>
      </w:tr>
      <w:tr w:rsidR="00F168A3" w:rsidTr="004159E9">
        <w:tc>
          <w:tcPr>
            <w:cnfStyle w:val="001000000000"/>
            <w:tcW w:w="583" w:type="dxa"/>
          </w:tcPr>
          <w:p w:rsidR="00F168A3" w:rsidRDefault="00F168A3" w:rsidP="004159E9">
            <w:pPr>
              <w:rPr>
                <w:rFonts w:eastAsia="Times New Roman" w:cs="Times New Roman"/>
                <w:b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Cs w:val="24"/>
                <w:lang w:eastAsia="pt-BR"/>
              </w:rPr>
              <w:t>IV</w:t>
            </w:r>
          </w:p>
        </w:tc>
        <w:tc>
          <w:tcPr>
            <w:tcW w:w="8172" w:type="dxa"/>
          </w:tcPr>
          <w:p w:rsidR="00F168A3" w:rsidRPr="0042773B" w:rsidRDefault="00F168A3" w:rsidP="004159E9">
            <w:pPr>
              <w:jc w:val="left"/>
              <w:cnfStyle w:val="000000000000"/>
              <w:rPr>
                <w:rFonts w:eastAsia="Times New Roman" w:cs="Times New Roman"/>
                <w:szCs w:val="24"/>
                <w:lang w:eastAsia="pt-BR"/>
              </w:rPr>
            </w:pPr>
            <w:r w:rsidRPr="00B978FF">
              <w:rPr>
                <w:rFonts w:eastAsia="Times New Roman" w:cs="Times New Roman"/>
                <w:szCs w:val="24"/>
                <w:lang w:eastAsia="pt-BR"/>
              </w:rPr>
              <w:t xml:space="preserve">Clareza nos relatórios comparativos. A maioria das ferramentas Diff/Merge, pesquisadas por mim no projeto da faculdade geravam relatórios de difícil entendimento, ou de visualização difícil dos resultados. </w:t>
            </w:r>
          </w:p>
        </w:tc>
      </w:tr>
      <w:tr w:rsidR="00F168A3" w:rsidTr="004159E9">
        <w:trPr>
          <w:cnfStyle w:val="000000100000"/>
        </w:trPr>
        <w:tc>
          <w:tcPr>
            <w:cnfStyle w:val="001000000000"/>
            <w:tcW w:w="583" w:type="dxa"/>
          </w:tcPr>
          <w:p w:rsidR="00F168A3" w:rsidRDefault="00F168A3" w:rsidP="004159E9">
            <w:pPr>
              <w:rPr>
                <w:rFonts w:eastAsia="Times New Roman" w:cs="Times New Roman"/>
                <w:b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Cs w:val="24"/>
                <w:lang w:eastAsia="pt-BR"/>
              </w:rPr>
              <w:t>V</w:t>
            </w:r>
          </w:p>
        </w:tc>
        <w:tc>
          <w:tcPr>
            <w:tcW w:w="8172" w:type="dxa"/>
          </w:tcPr>
          <w:p w:rsidR="00F168A3" w:rsidRDefault="00F168A3" w:rsidP="004159E9">
            <w:pPr>
              <w:cnfStyle w:val="000000100000"/>
              <w:rPr>
                <w:rFonts w:eastAsia="Times New Roman" w:cs="Times New Roman"/>
                <w:b/>
                <w:szCs w:val="24"/>
                <w:lang w:eastAsia="pt-BR"/>
              </w:rPr>
            </w:pPr>
            <w:r w:rsidRPr="00B978FF">
              <w:rPr>
                <w:rFonts w:eastAsia="Times New Roman" w:cs="Times New Roman"/>
                <w:szCs w:val="24"/>
                <w:lang w:eastAsia="pt-BR"/>
              </w:rPr>
              <w:t>Clareza de interface, sem ambiguidades</w:t>
            </w:r>
          </w:p>
        </w:tc>
      </w:tr>
      <w:tr w:rsidR="00F168A3" w:rsidTr="004159E9">
        <w:tc>
          <w:tcPr>
            <w:cnfStyle w:val="001000000000"/>
            <w:tcW w:w="583" w:type="dxa"/>
          </w:tcPr>
          <w:p w:rsidR="00F168A3" w:rsidRDefault="00F168A3" w:rsidP="004159E9">
            <w:pPr>
              <w:rPr>
                <w:rFonts w:eastAsia="Times New Roman" w:cs="Times New Roman"/>
                <w:b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Cs w:val="24"/>
                <w:lang w:eastAsia="pt-BR"/>
              </w:rPr>
              <w:t>VI</w:t>
            </w:r>
          </w:p>
        </w:tc>
        <w:tc>
          <w:tcPr>
            <w:tcW w:w="8172" w:type="dxa"/>
          </w:tcPr>
          <w:p w:rsidR="00F168A3" w:rsidRPr="0042773B" w:rsidRDefault="00F168A3" w:rsidP="004159E9">
            <w:pPr>
              <w:jc w:val="left"/>
              <w:cnfStyle w:val="000000000000"/>
              <w:rPr>
                <w:rFonts w:eastAsia="Times New Roman" w:cs="Times New Roman"/>
                <w:szCs w:val="24"/>
                <w:lang w:eastAsia="pt-BR"/>
              </w:rPr>
            </w:pPr>
            <w:r w:rsidRPr="00B978FF">
              <w:rPr>
                <w:rFonts w:eastAsia="Times New Roman" w:cs="Times New Roman"/>
                <w:szCs w:val="24"/>
                <w:lang w:eastAsia="pt-BR"/>
              </w:rPr>
              <w:t>Comparação entre dois repositórios com mais de um ancestral comum</w:t>
            </w:r>
          </w:p>
        </w:tc>
      </w:tr>
    </w:tbl>
    <w:p w:rsidR="00F168A3" w:rsidRPr="0012093D" w:rsidRDefault="00F168A3" w:rsidP="00F168A3">
      <w:pPr>
        <w:pStyle w:val="Tabelas"/>
      </w:pPr>
      <w:bookmarkStart w:id="30" w:name="_Toc279349810"/>
      <w:bookmarkStart w:id="31" w:name="_Toc279475970"/>
      <w:r>
        <w:lastRenderedPageBreak/>
        <w:t>Tabela 3.3</w:t>
      </w:r>
      <w:r w:rsidRPr="0012093D">
        <w:t xml:space="preserve"> – </w:t>
      </w:r>
      <w:r>
        <w:t>Características Desejáveis não citadas</w:t>
      </w:r>
      <w:bookmarkEnd w:id="30"/>
      <w:bookmarkEnd w:id="31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5"/>
        <w:gridCol w:w="81"/>
      </w:tblGrid>
      <w:tr w:rsidR="00F168A3" w:rsidRPr="00B978FF" w:rsidTr="004159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68A3" w:rsidRPr="00B978FF" w:rsidRDefault="00F168A3" w:rsidP="004159E9">
            <w:pPr>
              <w:tabs>
                <w:tab w:val="left" w:pos="3869"/>
              </w:tabs>
              <w:jc w:val="right"/>
              <w:rPr>
                <w:rFonts w:eastAsia="Times New Roman" w:cs="Times New Roman"/>
                <w:noProof/>
                <w:szCs w:val="24"/>
                <w:lang w:eastAsia="pt-BR"/>
              </w:rPr>
            </w:pPr>
          </w:p>
          <w:p w:rsidR="00F168A3" w:rsidRPr="00B978FF" w:rsidRDefault="00F168A3" w:rsidP="004159E9">
            <w:pPr>
              <w:tabs>
                <w:tab w:val="left" w:pos="3869"/>
              </w:tabs>
              <w:jc w:val="right"/>
              <w:rPr>
                <w:rFonts w:eastAsia="Times New Roman" w:cs="Times New Roman"/>
                <w:szCs w:val="24"/>
                <w:lang w:eastAsia="pt-BR"/>
              </w:rPr>
            </w:pPr>
            <w:r w:rsidRPr="00B978FF">
              <w:rPr>
                <w:rFonts w:eastAsia="Times New Roman" w:cs="Times New Roman"/>
                <w:noProof/>
                <w:szCs w:val="24"/>
                <w:lang w:eastAsia="pt-BR"/>
              </w:rPr>
              <w:drawing>
                <wp:inline distT="0" distB="0" distL="0" distR="0">
                  <wp:extent cx="3952875" cy="2190750"/>
                  <wp:effectExtent l="19050" t="0" r="9525" b="0"/>
                  <wp:docPr id="18" name="Gráfic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0"/>
                          <pic:cNvPicPr>
                            <a:picLocks noChangeArrowheads="1"/>
                          </pic:cNvPicPr>
                        </pic:nvPicPr>
                        <pic:blipFill>
                          <a:blip r:embed="rId16" cstate="print"/>
                          <a:srcRect l="3319" t="4152" r="1868" b="24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168A3" w:rsidRPr="00B978FF" w:rsidRDefault="00F168A3" w:rsidP="004159E9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:rsidR="00F168A3" w:rsidRPr="00EA3CDF" w:rsidRDefault="00F168A3" w:rsidP="00F168A3">
      <w:pPr>
        <w:pStyle w:val="Figuras"/>
        <w:rPr>
          <w:lang w:val="pt-BR"/>
        </w:rPr>
      </w:pPr>
      <w:bookmarkStart w:id="32" w:name="_Toc279475965"/>
      <w:r w:rsidRPr="00EA3CDF">
        <w:rPr>
          <w:lang w:val="pt-BR"/>
        </w:rPr>
        <w:t>Gráfico 3.8 – Análise do Período de Respostas</w:t>
      </w:r>
      <w:bookmarkEnd w:id="32"/>
    </w:p>
    <w:p w:rsidR="000B49CE" w:rsidRPr="002519F4" w:rsidRDefault="000B49CE" w:rsidP="000B49CE">
      <w:pPr>
        <w:spacing w:after="200" w:line="276" w:lineRule="auto"/>
        <w:ind w:firstLine="0"/>
        <w:jc w:val="left"/>
        <w:rPr>
          <w:rFonts w:cs="Arial"/>
          <w:caps/>
          <w:color w:val="000000"/>
          <w:szCs w:val="20"/>
        </w:rPr>
      </w:pPr>
    </w:p>
    <w:p w:rsidR="006B0B26" w:rsidRDefault="006B0B26"/>
    <w:sectPr w:rsidR="006B0B26" w:rsidSect="00FE6AAA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4D8" w:rsidRDefault="007E34D8" w:rsidP="00F168A3">
      <w:pPr>
        <w:spacing w:line="240" w:lineRule="auto"/>
      </w:pPr>
      <w:r>
        <w:separator/>
      </w:r>
    </w:p>
  </w:endnote>
  <w:endnote w:type="continuationSeparator" w:id="0">
    <w:p w:rsidR="007E34D8" w:rsidRDefault="007E34D8" w:rsidP="00F16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4D8" w:rsidRDefault="007E34D8" w:rsidP="00F168A3">
      <w:pPr>
        <w:spacing w:line="240" w:lineRule="auto"/>
      </w:pPr>
      <w:r>
        <w:separator/>
      </w:r>
    </w:p>
  </w:footnote>
  <w:footnote w:type="continuationSeparator" w:id="0">
    <w:p w:rsidR="007E34D8" w:rsidRDefault="007E34D8" w:rsidP="00F168A3">
      <w:pPr>
        <w:spacing w:line="240" w:lineRule="auto"/>
      </w:pPr>
      <w:r>
        <w:continuationSeparator/>
      </w:r>
    </w:p>
  </w:footnote>
  <w:footnote w:id="1">
    <w:p w:rsidR="00F168A3" w:rsidRDefault="00F168A3" w:rsidP="00F168A3">
      <w:pPr>
        <w:pStyle w:val="FootnoteText"/>
      </w:pPr>
      <w:r>
        <w:rPr>
          <w:rStyle w:val="FootnoteReference"/>
        </w:rPr>
        <w:footnoteRef/>
      </w:r>
      <w:r w:rsidRPr="00595762">
        <w:t>https://spreadsheets.google.com/ccc?key=0AiP9cwu0h46-dFFCNHI1QVNNTTFyOFdsdE93NmZDa1E&amp;hl=pt_BR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EndPr/>
    <w:sdtContent>
      <w:p w:rsidR="00895E77" w:rsidRDefault="007E34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4E5">
          <w:rPr>
            <w:noProof/>
          </w:rPr>
          <w:t>6</w:t>
        </w:r>
        <w:r>
          <w:fldChar w:fldCharType="end"/>
        </w:r>
      </w:p>
    </w:sdtContent>
  </w:sdt>
  <w:p w:rsidR="00895E77" w:rsidRDefault="007E34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F40D2"/>
    <w:multiLevelType w:val="hybridMultilevel"/>
    <w:tmpl w:val="D1E6F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8523A"/>
    <w:multiLevelType w:val="multilevel"/>
    <w:tmpl w:val="7AF22D04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9CE"/>
    <w:rsid w:val="000B49CE"/>
    <w:rsid w:val="000C34E5"/>
    <w:rsid w:val="00397AC0"/>
    <w:rsid w:val="006B0B26"/>
    <w:rsid w:val="007E34D8"/>
    <w:rsid w:val="00CC05AF"/>
    <w:rsid w:val="00EC4DEA"/>
    <w:rsid w:val="00F168A3"/>
    <w:rsid w:val="00F72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C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8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9C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9C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168A3"/>
    <w:pPr>
      <w:spacing w:before="120" w:line="240" w:lineRule="auto"/>
      <w:ind w:left="720" w:firstLine="0"/>
      <w:contextualSpacing/>
    </w:pPr>
  </w:style>
  <w:style w:type="paragraph" w:customStyle="1" w:styleId="Estilo1">
    <w:name w:val="Estilo1"/>
    <w:basedOn w:val="Heading1"/>
    <w:link w:val="Estilo1Char"/>
    <w:qFormat/>
    <w:rsid w:val="00F168A3"/>
    <w:pPr>
      <w:keepLines w:val="0"/>
      <w:numPr>
        <w:numId w:val="1"/>
      </w:numPr>
      <w:tabs>
        <w:tab w:val="left" w:pos="720"/>
      </w:tabs>
      <w:spacing w:before="240" w:after="120" w:line="240" w:lineRule="auto"/>
      <w:ind w:left="0" w:firstLine="0"/>
    </w:pPr>
    <w:rPr>
      <w:rFonts w:ascii="Times New Roman" w:eastAsia="Times New Roman" w:hAnsi="Times New Roman" w:cs="Times New Roman"/>
      <w:bCs w:val="0"/>
      <w:color w:val="auto"/>
      <w:kern w:val="28"/>
      <w:sz w:val="26"/>
      <w:szCs w:val="24"/>
      <w:lang w:eastAsia="pt-BR"/>
    </w:rPr>
  </w:style>
  <w:style w:type="character" w:customStyle="1" w:styleId="Estilo1Char">
    <w:name w:val="Estilo1 Char"/>
    <w:basedOn w:val="Heading1Char"/>
    <w:link w:val="Estilo1"/>
    <w:rsid w:val="00F168A3"/>
    <w:rPr>
      <w:rFonts w:ascii="Times New Roman" w:eastAsia="Times New Roman" w:hAnsi="Times New Roman" w:cs="Times New Roman"/>
      <w:kern w:val="28"/>
      <w:sz w:val="26"/>
      <w:szCs w:val="24"/>
      <w:lang w:eastAsia="pt-BR"/>
    </w:rPr>
  </w:style>
  <w:style w:type="table" w:styleId="MediumShading2-Accent4">
    <w:name w:val="Medium Shading 2 Accent 4"/>
    <w:basedOn w:val="TableNormal"/>
    <w:uiPriority w:val="64"/>
    <w:rsid w:val="00F16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16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168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168A3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8A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68A3"/>
    <w:rPr>
      <w:vertAlign w:val="superscript"/>
    </w:rPr>
  </w:style>
  <w:style w:type="table" w:styleId="MediumList2-Accent5">
    <w:name w:val="Medium List 2 Accent 5"/>
    <w:basedOn w:val="TableNormal"/>
    <w:uiPriority w:val="66"/>
    <w:rsid w:val="00F168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iguras">
    <w:name w:val="Figuras"/>
    <w:basedOn w:val="Normal"/>
    <w:link w:val="FigurasChar"/>
    <w:qFormat/>
    <w:rsid w:val="00F168A3"/>
    <w:pPr>
      <w:spacing w:before="120" w:line="240" w:lineRule="auto"/>
      <w:ind w:firstLine="0"/>
      <w:jc w:val="center"/>
    </w:pPr>
    <w:rPr>
      <w:rFonts w:ascii="Helvetica" w:hAnsi="Helvetica" w:cs="Helvetica"/>
      <w:b/>
      <w:sz w:val="20"/>
      <w:szCs w:val="20"/>
      <w:lang w:val="en-US"/>
    </w:rPr>
  </w:style>
  <w:style w:type="paragraph" w:customStyle="1" w:styleId="Tabelas">
    <w:name w:val="Tabelas"/>
    <w:basedOn w:val="Normal"/>
    <w:link w:val="TabelasChar"/>
    <w:qFormat/>
    <w:rsid w:val="00F168A3"/>
    <w:pPr>
      <w:autoSpaceDE w:val="0"/>
      <w:autoSpaceDN w:val="0"/>
      <w:adjustRightInd w:val="0"/>
      <w:spacing w:before="120" w:line="240" w:lineRule="auto"/>
      <w:ind w:firstLine="0"/>
      <w:jc w:val="center"/>
    </w:pPr>
    <w:rPr>
      <w:rFonts w:ascii="Helvetica" w:hAnsi="Helvetica" w:cs="Helvetica"/>
      <w:b/>
      <w:bCs/>
      <w:sz w:val="20"/>
      <w:szCs w:val="20"/>
    </w:rPr>
  </w:style>
  <w:style w:type="character" w:customStyle="1" w:styleId="FigurasChar">
    <w:name w:val="Figuras Char"/>
    <w:basedOn w:val="DefaultParagraphFont"/>
    <w:link w:val="Figuras"/>
    <w:rsid w:val="00F168A3"/>
    <w:rPr>
      <w:rFonts w:ascii="Helvetica" w:hAnsi="Helvetica" w:cs="Helvetica"/>
      <w:b/>
      <w:sz w:val="20"/>
      <w:szCs w:val="20"/>
      <w:lang w:val="en-US"/>
    </w:rPr>
  </w:style>
  <w:style w:type="character" w:customStyle="1" w:styleId="TabelasChar">
    <w:name w:val="Tabelas Char"/>
    <w:basedOn w:val="DefaultParagraphFont"/>
    <w:link w:val="Tabelas"/>
    <w:rsid w:val="00F168A3"/>
    <w:rPr>
      <w:rFonts w:ascii="Helvetica" w:hAnsi="Helvetica" w:cs="Helvetic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6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644</Words>
  <Characters>3483</Characters>
  <Application>Microsoft Office Word</Application>
  <DocSecurity>0</DocSecurity>
  <Lines>29</Lines>
  <Paragraphs>8</Paragraphs>
  <ScaleCrop>false</ScaleCrop>
  <Company>Grizli777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</dc:creator>
  <cp:lastModifiedBy>Sisi</cp:lastModifiedBy>
  <cp:revision>3</cp:revision>
  <dcterms:created xsi:type="dcterms:W3CDTF">2011-09-17T04:42:00Z</dcterms:created>
  <dcterms:modified xsi:type="dcterms:W3CDTF">2011-09-17T04:45:00Z</dcterms:modified>
</cp:coreProperties>
</file>