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026"/>
          <w:sz w:val="44"/>
        </w:rPr>
        <w:t>Ursachenanalyse der Umsatzabweichung</w:t>
      </w:r>
    </w:p>
    <w:p>
      <w:r>
        <w:rPr>
          <w:color w:val="5B655E"/>
        </w:rPr>
        <w:t>variance_root_cause | aktueller Zeitraum vs Vorperiode (2024 vs 2023)</w:t>
      </w:r>
    </w:p>
    <w:p>
      <w:pPr>
        <w:pStyle w:val="Heading1"/>
      </w:pPr>
      <w:r>
        <w:t>Zusammenfassung</w:t>
      </w:r>
    </w:p>
    <w:p>
      <w:r>
        <w:t>Die Differenz zwischen dem aktuellen Zeitraum und der Vorperiode beträgt +50. Die zusammenfassende Überleitung stimmt die Veränderung mit 3 ausgewählten Treibern ab (South - Preis, Menge und Mix +50, A / North - Preis, Menge und Mix +30, B / North - Preis, Menge und Mix -30); die Restabweichung beträgt +0.</w:t>
      </w:r>
    </w:p>
    <w:p>
      <w:r>
        <w:t>Der Drilldown der Hauptzeile zeigt den Beitrag im Detail: A / South / Preis, Menge und Mix -10. Der Beitrag konzentriert sich daher vor allem auf A / South / Preis, Menge und Mix.</w:t>
      </w:r>
    </w:p>
    <w:p>
      <w:r>
        <w:t>Eine vertiefte Analyse bestätigt, dass die Veränderung nicht gleichmäßig verteilt ist: Hervor treten A / South / Preis, Menge und Mix, A / North / Preis, Menge und Mix, B / North / Preis, Menge und Mix sowie B / Preis, Menge und Mix. Diese Sicht bleibt eine Detailanalyse, da eine Restabweichung von +0 verbleibt.</w:t>
      </w:r>
    </w:p>
    <w:p>
      <w:pPr>
        <w:pStyle w:val="Heading1"/>
      </w:pPr>
      <w:r>
        <w:t>Wesentliche Quelldaten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Quelle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Interpretation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b/>
              </w:rPr>
              <w:t>Kennzahl</w:t>
            </w:r>
          </w:p>
        </w:tc>
      </w:tr>
      <w:tr>
        <w:tc>
          <w:tcPr>
            <w:tcW w:type="dxa" w:w="3120"/>
            <w:vAlign w:val="center"/>
          </w:tcPr>
          <w:p>
            <w:r>
              <w:t>Zusammenfassende Überleitung</w:t>
            </w:r>
          </w:p>
        </w:tc>
        <w:tc>
          <w:tcPr>
            <w:tcW w:type="dxa" w:w="3120"/>
            <w:vAlign w:val="center"/>
          </w:tcPr>
          <w:p>
            <w:r>
              <w:t>Stimmt die Abweichung mit der ausgewählten Treiberfolge ab.</w:t>
            </w:r>
          </w:p>
        </w:tc>
        <w:tc>
          <w:tcPr>
            <w:tcW w:type="dxa" w:w="3120"/>
            <w:vAlign w:val="center"/>
          </w:tcPr>
          <w:p>
            <w:r>
              <w:t>South - Preis, Menge und Mix +50, A / North - Preis, Menge und Mix +30, B / North - Preis, Menge und Mix -30; Rest +0</w:t>
            </w:r>
          </w:p>
        </w:tc>
      </w:tr>
      <w:tr>
        <w:tc>
          <w:tcPr>
            <w:tcW w:type="dxa" w:w="3120"/>
            <w:vAlign w:val="center"/>
          </w:tcPr>
          <w:p>
            <w:r>
              <w:t>Analyse Preis / Menge / Mix</w:t>
            </w:r>
          </w:p>
        </w:tc>
        <w:tc>
          <w:tcPr>
            <w:tcW w:type="dxa" w:w="3120"/>
            <w:vAlign w:val="center"/>
          </w:tcPr>
          <w:p>
            <w:r>
              <w:t>Vergleicht drei Zerlegungen derselben Veränderung.</w:t>
            </w:r>
          </w:p>
        </w:tc>
        <w:tc>
          <w:tcPr>
            <w:tcW w:type="dxa" w:w="3120"/>
            <w:vAlign w:val="center"/>
          </w:tcPr>
          <w:p>
            <w:r>
              <w:t>Preis +25, Menge +25</w:t>
            </w:r>
          </w:p>
        </w:tc>
      </w:tr>
      <w:tr>
        <w:tc>
          <w:tcPr>
            <w:tcW w:type="dxa" w:w="3120"/>
            <w:vAlign w:val="center"/>
          </w:tcPr>
          <w:p>
            <w:r>
              <w:t>Standard-Kleinmultiplikatoren</w:t>
            </w:r>
          </w:p>
        </w:tc>
        <w:tc>
          <w:tcPr>
            <w:tcW w:type="dxa" w:w="3120"/>
            <w:vAlign w:val="center"/>
          </w:tcPr>
          <w:p>
            <w:r>
              <w:t>Zeigt dieselbe Standardüberleitung für jedes ausgewählte Dimensionselement.</w:t>
            </w:r>
          </w:p>
        </w:tc>
        <w:tc>
          <w:tcPr>
            <w:tcW w:type="dxa" w:w="3120"/>
            <w:vAlign w:val="center"/>
          </w:tcPr>
          <w:p>
            <w:r>
              <w:t>B / Preis +25, A / Menge und Mix +20</w:t>
            </w:r>
          </w:p>
        </w:tc>
      </w:tr>
      <w:tr>
        <w:tc>
          <w:tcPr>
            <w:tcW w:type="dxa" w:w="3120"/>
            <w:vAlign w:val="center"/>
          </w:tcPr>
          <w:p>
            <w:r>
              <w:t>Drilldown nach Produktlinie</w:t>
            </w:r>
          </w:p>
        </w:tc>
        <w:tc>
          <w:tcPr>
            <w:tcW w:type="dxa" w:w="3120"/>
            <w:vAlign w:val="center"/>
          </w:tcPr>
          <w:p>
            <w:r>
              <w:t>Zerlegt den Haupttreiber in Komponenten.</w:t>
            </w:r>
          </w:p>
        </w:tc>
        <w:tc>
          <w:tcPr>
            <w:tcW w:type="dxa" w:w="3120"/>
            <w:vAlign w:val="center"/>
          </w:tcPr>
          <w:p>
            <w:r>
              <w:t>A / South / Preis, Menge und Mix -10</w:t>
            </w:r>
          </w:p>
        </w:tc>
      </w:tr>
      <w:tr>
        <w:tc>
          <w:tcPr>
            <w:tcW w:type="dxa" w:w="3120"/>
            <w:vAlign w:val="center"/>
          </w:tcPr>
          <w:p>
            <w:r>
              <w:t>Vertiefung über mehrere Dimensionen</w:t>
            </w:r>
          </w:p>
        </w:tc>
        <w:tc>
          <w:tcPr>
            <w:tcW w:type="dxa" w:w="3120"/>
            <w:vAlign w:val="center"/>
          </w:tcPr>
          <w:p>
            <w:r>
              <w:t>Zeigt, wo Restdetails zusätzliche Informationen liefern.</w:t>
            </w:r>
          </w:p>
        </w:tc>
        <w:tc>
          <w:tcPr>
            <w:tcW w:type="dxa" w:w="3120"/>
            <w:vAlign w:val="center"/>
          </w:tcPr>
          <w:p>
            <w:r>
              <w:t>A / South / Preis, Menge und Mix, A / North / Preis, Menge und Mix, B / North / Preis, Menge und Mix, B / Preis, Menge und Mix</w:t>
            </w:r>
          </w:p>
        </w:tc>
      </w:tr>
    </w:tbl>
    <w:p>
      <w:pPr>
        <w:spacing w:before="60" w:after="180"/>
      </w:pPr>
      <w:r>
        <w:rPr>
          <w:i/>
          <w:color w:val="5B655E"/>
          <w:sz w:val="18"/>
        </w:rPr>
        <w:t>Zusammenfassung der ausgewählten Quelldaten.</w:t>
      </w:r>
    </w:p>
    <w:p>
      <w:pPr>
        <w:pStyle w:val="Heading2"/>
      </w:pPr>
      <w:r>
        <w:t>Hinweise zur Interpretation</w:t>
      </w:r>
    </w:p>
    <w:p>
      <w:pPr>
        <w:pStyle w:val="ListBullet"/>
      </w:pPr>
      <w:r>
        <w:t>Die Beträge sind in EUR dargestellt; eine andere Währung ist nur zu verwenden, wenn sie vom Nutzer oder in der Quelldatei angegeben wird.</w:t>
      </w:r>
    </w:p>
    <w:p>
      <w:pPr>
        <w:pStyle w:val="ListBullet"/>
      </w:pPr>
      <w:r>
        <w:t>Die Standardüberleitung wird vom Preis (+25) bestimmt; Hauptkomponenten: Preis +25, Menge und Mix +25, Saldo +0.</w:t>
      </w:r>
    </w:p>
    <w:p>
      <w:pPr>
        <w:pStyle w:val="ListBullet"/>
      </w:pPr>
      <w:r>
        <w:t>Die Zeilen der Ursachenüberleitung sind Restzeilen: Eine spätere Zeile ist nicht der eigenständige Gesamtwert dieser Dimension.</w:t>
      </w:r>
    </w:p>
    <w:p>
      <w:pPr>
        <w:sectPr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Überleitung Preis / Menge / Mix</w:t>
      </w:r>
    </w:p>
    <w:p>
      <w:r>
        <w:rPr>
          <w:b/>
        </w:rPr>
        <w:t>Interpretation: Dieselbe Abweichung wird auf drei Ebenen betrachtet: Gesamteffekt, Preis getrennt von Menge und Mix sowie Preis / Menge / Mix. Hauptkomponenten: Preis +25, Menge +25.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_decompos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Skala und Summen sind in jedem Feld identisch; nur die Tiefe der Abweichungszerlegung ändert sich.</w:t>
      </w:r>
    </w:p>
    <w:p>
      <w:pPr>
        <w:pStyle w:val="Heading1"/>
      </w:pPr>
      <w:r>
        <w:t>Standardüberleitung nach Produkt</w:t>
      </w:r>
    </w:p>
    <w:p>
      <w:r>
        <w:rPr>
          <w:b/>
        </w:rPr>
        <w:t>Interpretation: Die Standardüberleitung nach Produkt zeigt, dass sich die Abweichung vor allem auf B / Preis +25 und A / Menge und Mix +20 konzentriert.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Jedes Feld wiederholt die kompakte Überleitung Preis / Menge und Mix / Saldo; die Dimension trennt die Felder.</w:t>
      </w:r>
    </w:p>
    <w:p>
      <w:pPr>
        <w:pStyle w:val="Heading1"/>
      </w:pPr>
      <w:r>
        <w:t>Quelle 1 – Haupttreiber</w:t>
      </w:r>
    </w:p>
    <w:p>
      <w:r>
        <w:rPr>
          <w:b/>
        </w:rPr>
        <w:t>Interpretation: Die ausgewählte Folge (South - Preis, Menge und Mix +50, A / North - Preis, Menge und Mix +30, B / North - Preis, Menge und Mix -30) stimmt die Veränderung zwischen aktuellem Zeitraum und Vorperiode (2024 vs 2023) mit einer endgültigen Restabweichung von +0 ab.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summar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Die Überleitung stimmt die Veränderung zwischen den beiden Zeiträumen oder Szenarien ab und isoliert den Haupttreiber.</w:t>
      </w:r>
    </w:p>
    <w:p>
      <w:pPr>
        <w:pStyle w:val="Heading1"/>
      </w:pPr>
      <w:r>
        <w:t>Quelle 2 – Detail nach Produktlinie</w:t>
      </w:r>
    </w:p>
    <w:p>
      <w:r>
        <w:rPr>
          <w:b/>
        </w:rPr>
        <w:t>Interpretation: Der Haupttreiber ist überwiegend A / South / Preis, Menge und Mix, gefolgt von weiteren Beiträgen der Produktlinien.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drill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Das Detail nach Produktlinie übersetzt den Haupttreiber in eine vertriebliche Sicht.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Quelle 3 – Detail nach Gebiet und Produktlinie</w:t>
      </w:r>
    </w:p>
    <w:p>
      <w:r>
        <w:rPr>
          <w:b/>
        </w:rPr>
        <w:t>Interpretation: Die Analyse der zweiten Ebene zeigt, dass sich die nützlichen Restdetails auf A / South / Preis, Menge und Mix, A / North / Preis, Menge und Mix, B / North / Preis, Menge und Mix sowie B / Preis, Menge und Mix konzentrieren.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80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_client_report_mixed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B655E"/>
          <w:sz w:val="18"/>
        </w:rPr>
        <w:t>Diese Ansicht ist als Restfolge zu lesen: Spätere Zeilen sind um frühere Zeilen bereinigt.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C766E"/>
        <w:sz w:val="18"/>
      </w:rPr>
      <w:t>Ursachenanalyse der Umsatzabweichung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Beispiel einer Abweichungsanalyse</dc:title>
  <dc:subject>Vera-Beispielbericht auf Deutsch</dc:subject>
  <dc:creator>python-docx</dc:creator>
  <cp:keywords>Vera, variance analysis, de-DE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