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3026"/>
          <w:sz w:val="44"/>
        </w:rPr>
        <w:t>Analyse des causes des écarts de ventes</w:t>
      </w:r>
    </w:p>
    <w:p>
      <w:r>
        <w:rPr>
          <w:color w:val="5B655E"/>
        </w:rPr>
        <w:t>variance_root_cause | période actuelle vs période précédente (2024 vs 2023)</w:t>
      </w:r>
    </w:p>
    <w:p>
      <w:pPr>
        <w:pStyle w:val="Heading1"/>
      </w:pPr>
      <w:r>
        <w:t>Synthèse</w:t>
      </w:r>
    </w:p>
    <w:p>
      <w:r>
        <w:t>L’écart entre la période actuelle et la période précédente est de +50. La passerelle de synthèse rapproche le mouvement avec 3 facteurs sélectionnés (South - Prix, volumes et mix +50, A / North - Prix, volumes et mix +30, B / North - Prix, volumes et mix -30) et un résiduel de +0.</w:t>
      </w:r>
    </w:p>
    <w:p>
      <w:r>
        <w:t>Le détail de la ligne principale précise la contribution : A / South / Prix, volumes et mix -10. La contribution se concentre donc principalement sur A / South / Prix, volumes et mix.</w:t>
      </w:r>
    </w:p>
    <w:p>
      <w:r>
        <w:t>Une lecture plus analytique confirme que le mouvement n’est pas réparti uniformément : A / South / Prix, volumes et mix, A / North / Prix, volumes et mix, B / North / Prix, volumes et mix et B / Prix, volumes et mix se distinguent. Cette vue reste un approfondissement, car elle laisse un solde résiduel de +0.</w:t>
      </w:r>
    </w:p>
    <w:p>
      <w:pPr>
        <w:pStyle w:val="Heading1"/>
      </w:pPr>
      <w:r>
        <w:t>Principales données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Lecture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Donnée clé</w:t>
            </w:r>
          </w:p>
        </w:tc>
      </w:tr>
      <w:tr>
        <w:tc>
          <w:tcPr>
            <w:tcW w:type="dxa" w:w="3120"/>
            <w:vAlign w:val="center"/>
          </w:tcPr>
          <w:p>
            <w:r>
              <w:t>Passerelle de synthèse</w:t>
            </w:r>
          </w:p>
        </w:tc>
        <w:tc>
          <w:tcPr>
            <w:tcW w:type="dxa" w:w="3120"/>
            <w:vAlign w:val="center"/>
          </w:tcPr>
          <w:p>
            <w:r>
              <w:t>Rapproche l’écart avec la séquence de facteurs sélectionnée.</w:t>
            </w:r>
          </w:p>
        </w:tc>
        <w:tc>
          <w:tcPr>
            <w:tcW w:type="dxa" w:w="3120"/>
            <w:vAlign w:val="center"/>
          </w:tcPr>
          <w:p>
            <w:r>
              <w:t>South - Prix, volumes et mix +50, A / North - Prix, volumes et mix +30, B / North - Prix, volumes et mix -30 ; résiduel +0</w:t>
            </w:r>
          </w:p>
        </w:tc>
      </w:tr>
      <w:tr>
        <w:tc>
          <w:tcPr>
            <w:tcW w:type="dxa" w:w="3120"/>
            <w:vAlign w:val="center"/>
          </w:tcPr>
          <w:p>
            <w:r>
              <w:t>Lecture Prix / Volumes / Mix</w:t>
            </w:r>
          </w:p>
        </w:tc>
        <w:tc>
          <w:tcPr>
            <w:tcW w:type="dxa" w:w="3120"/>
            <w:vAlign w:val="center"/>
          </w:tcPr>
          <w:p>
            <w:r>
              <w:t>Compare trois décompositions du même mouvement.</w:t>
            </w:r>
          </w:p>
        </w:tc>
        <w:tc>
          <w:tcPr>
            <w:tcW w:type="dxa" w:w="3120"/>
            <w:vAlign w:val="center"/>
          </w:tcPr>
          <w:p>
            <w:r>
              <w:t>Prix +25, Volumes +25</w:t>
            </w:r>
          </w:p>
        </w:tc>
      </w:tr>
      <w:tr>
        <w:tc>
          <w:tcPr>
            <w:tcW w:type="dxa" w:w="3120"/>
            <w:vAlign w:val="center"/>
          </w:tcPr>
          <w:p>
            <w:r>
              <w:t>Petits multiples standard</w:t>
            </w:r>
          </w:p>
        </w:tc>
        <w:tc>
          <w:tcPr>
            <w:tcW w:type="dxa" w:w="3120"/>
            <w:vAlign w:val="center"/>
          </w:tcPr>
          <w:p>
            <w:r>
              <w:t>Présente la même passerelle standard pour chaque élément de la dimension sélectionnée.</w:t>
            </w:r>
          </w:p>
        </w:tc>
        <w:tc>
          <w:tcPr>
            <w:tcW w:type="dxa" w:w="3120"/>
            <w:vAlign w:val="center"/>
          </w:tcPr>
          <w:p>
            <w:r>
              <w:t>B / Prix +25, A / Volumes et mix +20</w:t>
            </w:r>
          </w:p>
        </w:tc>
      </w:tr>
      <w:tr>
        <w:tc>
          <w:tcPr>
            <w:tcW w:type="dxa" w:w="3120"/>
            <w:vAlign w:val="center"/>
          </w:tcPr>
          <w:p>
            <w:r>
              <w:t>Détail par ligne de produits</w:t>
            </w:r>
          </w:p>
        </w:tc>
        <w:tc>
          <w:tcPr>
            <w:tcW w:type="dxa" w:w="3120"/>
            <w:vAlign w:val="center"/>
          </w:tcPr>
          <w:p>
            <w:r>
              <w:t>Décompose le facteur principal en composantes.</w:t>
            </w:r>
          </w:p>
        </w:tc>
        <w:tc>
          <w:tcPr>
            <w:tcW w:type="dxa" w:w="3120"/>
            <w:vAlign w:val="center"/>
          </w:tcPr>
          <w:p>
            <w:r>
              <w:t>A / South / Prix, volumes et mix -10</w:t>
            </w:r>
          </w:p>
        </w:tc>
      </w:tr>
      <w:tr>
        <w:tc>
          <w:tcPr>
            <w:tcW w:type="dxa" w:w="3120"/>
            <w:vAlign w:val="center"/>
          </w:tcPr>
          <w:p>
            <w:r>
              <w:t>Analyse détaillée multidimensionnelle</w:t>
            </w:r>
          </w:p>
        </w:tc>
        <w:tc>
          <w:tcPr>
            <w:tcW w:type="dxa" w:w="3120"/>
            <w:vAlign w:val="center"/>
          </w:tcPr>
          <w:p>
            <w:r>
              <w:t>Repère où le détail résiduel apporte de l’information.</w:t>
            </w:r>
          </w:p>
        </w:tc>
        <w:tc>
          <w:tcPr>
            <w:tcW w:type="dxa" w:w="3120"/>
            <w:vAlign w:val="center"/>
          </w:tcPr>
          <w:p>
            <w:r>
              <w:t>A / South / Prix, volumes et mix, A / North / Prix, volumes et mix, B / North / Prix, volumes et mix, B / Prix, volumes et mix</w:t>
            </w:r>
          </w:p>
        </w:tc>
      </w:tr>
    </w:tbl>
    <w:p>
      <w:pPr>
        <w:spacing w:before="60" w:after="180"/>
      </w:pPr>
      <w:r>
        <w:rPr>
          <w:i/>
          <w:color w:val="5B655E"/>
          <w:sz w:val="18"/>
        </w:rPr>
        <w:t>Synthèse des données sources sélectionnées.</w:t>
      </w:r>
    </w:p>
    <w:p>
      <w:pPr>
        <w:pStyle w:val="Heading2"/>
      </w:pPr>
      <w:r>
        <w:t>Notes de lecture</w:t>
      </w:r>
    </w:p>
    <w:p>
      <w:pPr>
        <w:pStyle w:val="ListBullet"/>
      </w:pPr>
      <w:r>
        <w:t>Les montants sont présentés en EUR ; n’utilisez une autre devise que si l’utilisateur ou le fichier source l’indique.</w:t>
      </w:r>
    </w:p>
    <w:p>
      <w:pPr>
        <w:pStyle w:val="ListBullet"/>
      </w:pPr>
      <w:r>
        <w:t>La passerelle standard est dominée par le Prix (+25) ; composantes principales : Prix +25, Volumes et mix +25, Solde +0.</w:t>
      </w:r>
    </w:p>
    <w:p>
      <w:pPr>
        <w:pStyle w:val="ListBullet"/>
      </w:pPr>
      <w:r>
        <w:t>Les lignes de la passerelle des causes sont résiduelles : une ligne ultérieure ne représente pas le total autonome de cette dimension.</w:t>
      </w:r>
    </w:p>
    <w:p>
      <w:pPr>
        <w:sectPr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Passerelle Prix / Volumes / Mix</w:t>
      </w:r>
    </w:p>
    <w:p>
      <w:r>
        <w:rPr>
          <w:b/>
        </w:rPr>
        <w:t>Lecture : le même écart est analysé à trois niveaux : total combiné, Prix séparé de Volumes et Mix, puis Prix / Volumes / Mix. Composantes principales : Prix +25, Volumes +25.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m_decompos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L’échelle et les totaux sont identiques dans chaque panneau ; seul le niveau de décomposition de l’écart change.</w:t>
      </w:r>
    </w:p>
    <w:p>
      <w:pPr>
        <w:pStyle w:val="Heading1"/>
      </w:pPr>
      <w:r>
        <w:t>Passerelle standard par produit</w:t>
      </w:r>
    </w:p>
    <w:p>
      <w:r>
        <w:rPr>
          <w:b/>
        </w:rPr>
        <w:t>Lecture : la passerelle standard par produit montre que l’écart se concentre principalement sur B / Prix +25 et A / Volumes et mix +20.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small_mult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Chaque panneau reprend la passerelle compacte Prix / Volumes et mix / Solde ; la dimension distingue les panneaux.</w:t>
      </w:r>
    </w:p>
    <w:p>
      <w:pPr>
        <w:pStyle w:val="Heading1"/>
      </w:pPr>
      <w:r>
        <w:t>Source 1 – Facteur principal</w:t>
      </w:r>
    </w:p>
    <w:p>
      <w:r>
        <w:rPr>
          <w:b/>
        </w:rPr>
        <w:t>Lecture : la séquence sélectionnée (South - Prix, volumes et mix +50, A / North - Prix, volumes et mix +30, B / North - Prix, volumes et mix -30) rapproche le mouvement entre la période actuelle et la période précédente (2024 vs 2023), avec un résiduel final de +0.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summar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La passerelle rapproche le mouvement entre les deux périodes ou scénarios et isole le facteur principal.</w:t>
      </w:r>
    </w:p>
    <w:p>
      <w:pPr>
        <w:pStyle w:val="Heading1"/>
      </w:pPr>
      <w:r>
        <w:t>Source 2 – Détail par ligne de produits</w:t>
      </w:r>
    </w:p>
    <w:p>
      <w:r>
        <w:rPr>
          <w:b/>
        </w:rPr>
        <w:t>Lecture : le facteur principal est surtout A / South / Prix, volumes et mix, suivi des autres contributions par ligne de produits.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drill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Le détail par ligne de produits traduit le facteur principal en lecture commerciale.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Source 3 – Détail par zone et ligne de produits</w:t>
      </w:r>
    </w:p>
    <w:p>
      <w:r>
        <w:rPr>
          <w:b/>
        </w:rPr>
        <w:t>Lecture : l’analyse de second niveau montre que le détail résiduel utile se concentre sur A / South / Prix, volumes et mix, A / North / Prix, volumes et mix, B / North / Prix, volumes et mix et B / Prix, volumes et mix.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80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mixed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Cette vue doit être lue comme une séquence résiduelle : les lignes ultérieures sont nettes des lignes précédentes.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C766E"/>
        <w:sz w:val="18"/>
      </w:rPr>
      <w:t>Analyse des causes des écarts de ventes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 d’analyse des écarts</dc:title>
  <dc:subject>Exemple de rapport Word Vera en français</dc:subject>
  <dc:creator>python-docx</dc:creator>
  <cp:keywords>Vera, variance analysis, fr-FR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