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43026"/>
          <w:sz w:val="44"/>
        </w:rPr>
        <w:t>Sales Variance Root-Cause Analysis</w:t>
      </w:r>
    </w:p>
    <w:p>
      <w:r>
        <w:rPr>
          <w:color w:val="5B655E"/>
        </w:rPr>
        <w:t>variance_root_cause | current period vs prior period (2024 vs 2023)</w:t>
      </w:r>
    </w:p>
    <w:p>
      <w:pPr>
        <w:pStyle w:val="Heading1"/>
      </w:pPr>
      <w:r>
        <w:t>Summary</w:t>
      </w:r>
    </w:p>
    <w:p>
      <w:r>
        <w:t>The difference between current period and prior period is +50. The summary bridge reconciles the movement with 3 selected drivers (South - Price &amp; volume &amp; mix +50, A / North - Price &amp; volume &amp; mix +30, B / North - Price &amp; volume &amp; mix -30) and residual of +0.</w:t>
      </w:r>
    </w:p>
    <w:p>
      <w:r>
        <w:t>The main-row drilldown details the contribution: A / South / Price &amp; volume &amp; mix -10. The contribution is therefore concentrated mainly in A / South / Price &amp; volume &amp; mix.</w:t>
      </w:r>
    </w:p>
    <w:p>
      <w:r>
        <w:t>A more analytical reading confirms that the movement is not evenly distributed: A / South / Price &amp; volume &amp; mix, A / North / Price &amp; volume &amp; mix, B / North / Price &amp; volume &amp; mix, B / Price &amp; volume &amp; mix stand out. This view remains a deep dive because it leaves +0 in residual balance.</w:t>
      </w:r>
    </w:p>
    <w:p>
      <w:pPr>
        <w:pStyle w:val="Heading1"/>
      </w:pPr>
      <w:r>
        <w:t>Key Source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rPr>
                <w:b/>
              </w:rPr>
              <w:t>Reading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rPr>
                <w:b/>
              </w:rPr>
              <w:t>Key data</w:t>
            </w:r>
          </w:p>
        </w:tc>
      </w:tr>
      <w:tr>
        <w:tc>
          <w:tcPr>
            <w:tcW w:type="dxa" w:w="3120"/>
            <w:vAlign w:val="center"/>
          </w:tcPr>
          <w:p>
            <w:r>
              <w:t>Summary bridge</w:t>
            </w:r>
          </w:p>
        </w:tc>
        <w:tc>
          <w:tcPr>
            <w:tcW w:type="dxa" w:w="3120"/>
            <w:vAlign w:val="center"/>
          </w:tcPr>
          <w:p>
            <w:r>
              <w:t>Reconciles the delta with the selected driver sequence.</w:t>
            </w:r>
          </w:p>
        </w:tc>
        <w:tc>
          <w:tcPr>
            <w:tcW w:type="dxa" w:w="3120"/>
            <w:vAlign w:val="center"/>
          </w:tcPr>
          <w:p>
            <w:r>
              <w:t>South - Price &amp; volume &amp; mix +50, A / North - Price &amp; volume &amp; mix +30, B / North - Price &amp; volume &amp; mix -30; residual +0</w:t>
            </w:r>
          </w:p>
        </w:tc>
      </w:tr>
      <w:tr>
        <w:tc>
          <w:tcPr>
            <w:tcW w:type="dxa" w:w="3120"/>
            <w:vAlign w:val="center"/>
          </w:tcPr>
          <w:p>
            <w:r>
              <w:t>Price / Units / Mix read</w:t>
            </w:r>
          </w:p>
        </w:tc>
        <w:tc>
          <w:tcPr>
            <w:tcW w:type="dxa" w:w="3120"/>
            <w:vAlign w:val="center"/>
          </w:tcPr>
          <w:p>
            <w:r>
              <w:t>Compares three decompositions of the same movement.</w:t>
            </w:r>
          </w:p>
        </w:tc>
        <w:tc>
          <w:tcPr>
            <w:tcW w:type="dxa" w:w="3120"/>
            <w:vAlign w:val="center"/>
          </w:tcPr>
          <w:p>
            <w:r>
              <w:t>Price +25, Units +25</w:t>
            </w:r>
          </w:p>
        </w:tc>
      </w:tr>
      <w:tr>
        <w:tc>
          <w:tcPr>
            <w:tcW w:type="dxa" w:w="3120"/>
            <w:vAlign w:val="center"/>
          </w:tcPr>
          <w:p>
            <w:r>
              <w:t>Standard small multiples</w:t>
            </w:r>
          </w:p>
        </w:tc>
        <w:tc>
          <w:tcPr>
            <w:tcW w:type="dxa" w:w="3120"/>
            <w:vAlign w:val="center"/>
          </w:tcPr>
          <w:p>
            <w:r>
              <w:t>Shows the same standard bridge for each selected dimension member.</w:t>
            </w:r>
          </w:p>
        </w:tc>
        <w:tc>
          <w:tcPr>
            <w:tcW w:type="dxa" w:w="3120"/>
            <w:vAlign w:val="center"/>
          </w:tcPr>
          <w:p>
            <w:r>
              <w:t>B / Price +25, A / Units &amp; mix +20</w:t>
            </w:r>
          </w:p>
        </w:tc>
      </w:tr>
      <w:tr>
        <w:tc>
          <w:tcPr>
            <w:tcW w:type="dxa" w:w="3120"/>
            <w:vAlign w:val="center"/>
          </w:tcPr>
          <w:p>
            <w:r>
              <w:t>Product-line drilldown</w:t>
            </w:r>
          </w:p>
        </w:tc>
        <w:tc>
          <w:tcPr>
            <w:tcW w:type="dxa" w:w="3120"/>
            <w:vAlign w:val="center"/>
          </w:tcPr>
          <w:p>
            <w:r>
              <w:t>Breaks the main driver into components.</w:t>
            </w:r>
          </w:p>
        </w:tc>
        <w:tc>
          <w:tcPr>
            <w:tcW w:type="dxa" w:w="3120"/>
            <w:vAlign w:val="center"/>
          </w:tcPr>
          <w:p>
            <w:r>
              <w:t>A / South / Price &amp; volume &amp; mix -10</w:t>
            </w:r>
          </w:p>
        </w:tc>
      </w:tr>
      <w:tr>
        <w:tc>
          <w:tcPr>
            <w:tcW w:type="dxa" w:w="3120"/>
            <w:vAlign w:val="center"/>
          </w:tcPr>
          <w:p>
            <w:r>
              <w:t>Mixed-dimension deep dive</w:t>
            </w:r>
          </w:p>
        </w:tc>
        <w:tc>
          <w:tcPr>
            <w:tcW w:type="dxa" w:w="3120"/>
            <w:vAlign w:val="center"/>
          </w:tcPr>
          <w:p>
            <w:r>
              <w:t>Identifies where residual detail adds information.</w:t>
            </w:r>
          </w:p>
        </w:tc>
        <w:tc>
          <w:tcPr>
            <w:tcW w:type="dxa" w:w="3120"/>
            <w:vAlign w:val="center"/>
          </w:tcPr>
          <w:p>
            <w:r>
              <w:t>A / South / Price &amp; volume &amp; mix, A / North / Price &amp; volume &amp; mix, B / North / Price &amp; volume &amp; mix, B / Price &amp; volume &amp; mix</w:t>
            </w:r>
          </w:p>
        </w:tc>
      </w:tr>
    </w:tbl>
    <w:p>
      <w:pPr>
        <w:spacing w:before="60" w:after="180"/>
      </w:pPr>
      <w:r>
        <w:rPr>
          <w:i/>
          <w:color w:val="5B655E"/>
          <w:sz w:val="18"/>
        </w:rPr>
        <w:t>Summary of selected source data.</w:t>
      </w:r>
    </w:p>
    <w:p>
      <w:pPr>
        <w:pStyle w:val="Heading2"/>
      </w:pPr>
      <w:r>
        <w:t>Reading Notes</w:t>
      </w:r>
    </w:p>
    <w:p>
      <w:pPr>
        <w:pStyle w:val="ListBullet"/>
      </w:pPr>
      <w:r>
        <w:t>Amounts are presented in EUR; use another currency only when the user or source file states it.</w:t>
      </w:r>
    </w:p>
    <w:p>
      <w:pPr>
        <w:pStyle w:val="ListBullet"/>
      </w:pPr>
      <w:r>
        <w:t>The standard bridge is dominated by Price (+25); main components: Price +25, Units &amp; mix +25, Balance +0.</w:t>
      </w:r>
    </w:p>
    <w:p>
      <w:pPr>
        <w:pStyle w:val="ListBullet"/>
      </w:pPr>
      <w:r>
        <w:t>Root-cause bridge rows are residual rows: a later row is not the standalone total for that dimension.</w:t>
      </w:r>
    </w:p>
    <w:p>
      <w:pPr>
        <w:sectPr>
          <w:head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Price / Units / Mix bridge</w:t>
      </w:r>
    </w:p>
    <w:p>
      <w:r>
        <w:rPr>
          <w:b/>
        </w:rPr>
        <w:t xml:space="preserve">Reading: </w:t>
      </w:r>
      <w:r>
        <w:t>The same variance is read at three levels: combined total, Price separated from Units &amp; Mix, and Price / Units / Mix. Main components: Price +25, Units +25.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04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m_decomposition_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4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Scale and totals are the same in every panel: only the variance decomposition depth changes.</w:t>
      </w:r>
    </w:p>
    <w:p>
      <w:pPr>
        <w:pStyle w:val="Heading1"/>
      </w:pPr>
      <w:r>
        <w:t>Standard bridge by product</w:t>
      </w:r>
    </w:p>
    <w:p>
      <w:r>
        <w:rPr>
          <w:b/>
        </w:rPr>
        <w:t xml:space="preserve">Reading: </w:t>
      </w:r>
      <w:r>
        <w:t>The standard bridge by product shows that variance is concentrated mainly in B / Price +25, A / Units &amp; mix +20.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42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_small_multi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4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Each panel repeats the compact Price / Units &amp; Mix / Balance bridge; the dimension separates the panels.</w:t>
      </w:r>
    </w:p>
    <w:p>
      <w:pPr>
        <w:pStyle w:val="Heading1"/>
      </w:pPr>
      <w:r>
        <w:t>Source 1 - Main Driver</w:t>
      </w:r>
    </w:p>
    <w:p>
      <w:r>
        <w:rPr>
          <w:b/>
        </w:rPr>
        <w:t xml:space="preserve">Reading: </w:t>
      </w:r>
      <w:r>
        <w:t>The selected sequence (South - Price &amp; volume &amp; mix +50, A / North - Price &amp; volume &amp; mix +30, B / North - Price &amp; volume &amp; mix -30) reconciles the current period vs prior period (2024 vs 2023) movement with final residual +0.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_client_report_summary_bri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The bridge reconciles the movement between the two periods/scenarios and isolates the main driver.</w:t>
      </w:r>
    </w:p>
    <w:p>
      <w:pPr>
        <w:pStyle w:val="Heading1"/>
      </w:pPr>
      <w:r>
        <w:t>Source 2 - Product-line Detail</w:t>
      </w:r>
    </w:p>
    <w:p>
      <w:r>
        <w:rPr>
          <w:b/>
        </w:rPr>
        <w:t xml:space="preserve">Reading: </w:t>
      </w:r>
      <w:r>
        <w:t>The main driver is mostly A / South / Price &amp; volume &amp; mix, followed by other product-line contributions.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_client_report_drill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The product-line detail translates the main driver into a commercial reading.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Source 3 - Area And Product-Line Detail</w:t>
      </w:r>
    </w:p>
    <w:p>
      <w:r>
        <w:rPr>
          <w:b/>
        </w:rPr>
        <w:t xml:space="preserve">Reading: </w:t>
      </w:r>
      <w:r>
        <w:t>The second-level analysis shows that useful residual detail is concentrated in A / South / Price &amp; volume &amp; mix, A / North / Price &amp; volume &amp; mix, B / North / Price &amp; volume &amp; mix, B / Price &amp; volume &amp; mix.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580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_client_report_mixed_brid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80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This view should be read as a residual sequence: later rows are net of prior rows.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C766E"/>
        <w:sz w:val="18"/>
      </w:rPr>
      <w:t>Sales Variance Root-Cause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analysis example</dc:title>
  <dc:subject>Vera sample Word report in English</dc:subject>
  <dc:creator>python-docx</dc:creator>
  <cp:keywords>Vera, variance analysis, en-US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