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3026"/>
          <w:sz w:val="44"/>
        </w:rPr>
        <w:t>Analisi delle cause della varianza vendite</w:t>
      </w:r>
    </w:p>
    <w:p>
      <w:r>
        <w:rPr>
          <w:color w:val="5B655E"/>
        </w:rPr>
        <w:t>variance_root_cause | periodo corrente vs periodo precedente (2024 vs 2023)</w:t>
      </w:r>
    </w:p>
    <w:p>
      <w:pPr>
        <w:pStyle w:val="Heading1"/>
      </w:pPr>
      <w:r>
        <w:t>Sintesi</w:t>
      </w:r>
    </w:p>
    <w:p>
      <w:r>
        <w:t>La differenza tra periodo corrente e periodo precedente è +50. Il bridge di sintesi riconcilia il movimento con 3 driver selezionati (South - Price &amp; volume &amp; mix +50, A / North - Price &amp; volume &amp; mix +30, B / North - Price &amp; volume &amp; mix -30) e un residuo di +0.</w:t>
      </w:r>
    </w:p>
    <w:p>
      <w:r>
        <w:t>Il drilldown della riga principale dettaglia il contributo: A / South / Price &amp; volume &amp; mix -10. Il contributo è quindi concentrato soprattutto su A / South / Price &amp; volume &amp; mix.</w:t>
      </w:r>
    </w:p>
    <w:p>
      <w:r>
        <w:t>Una lettura più analitica conferma che il movimento non è distribuito in modo uniforme: emergono A / South / Price &amp; volume &amp; mix, A / North / Price &amp; volume &amp; mix, B / North / Price &amp; volume &amp; mix, B / Price &amp; volume &amp; mix. Questa vista resta un approfondimento perché lascia +0 in residuo.</w:t>
      </w:r>
    </w:p>
    <w:p>
      <w:pPr>
        <w:pStyle w:val="Heading1"/>
      </w:pPr>
      <w:r>
        <w:t>Dati di supporto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Lettura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Dato chiave</w:t>
            </w:r>
          </w:p>
        </w:tc>
      </w:tr>
      <w:tr>
        <w:tc>
          <w:tcPr>
            <w:tcW w:type="dxa" w:w="3120"/>
            <w:vAlign w:val="center"/>
          </w:tcPr>
          <w:p>
            <w:r>
              <w:t>Bridge di sintesi</w:t>
            </w:r>
          </w:p>
        </w:tc>
        <w:tc>
          <w:tcPr>
            <w:tcW w:type="dxa" w:w="3120"/>
            <w:vAlign w:val="center"/>
          </w:tcPr>
          <w:p>
            <w:r>
              <w:t>Riconcilia il delta con la sequenza di driver selezionata.</w:t>
            </w:r>
          </w:p>
        </w:tc>
        <w:tc>
          <w:tcPr>
            <w:tcW w:type="dxa" w:w="3120"/>
            <w:vAlign w:val="center"/>
          </w:tcPr>
          <w:p>
            <w:r>
              <w:t>South - Price &amp; volume &amp; mix +50, A / North - Price &amp; volume &amp; mix +30, B / North - Price &amp; volume &amp; mix -30; residuo +0</w:t>
            </w:r>
          </w:p>
        </w:tc>
      </w:tr>
      <w:tr>
        <w:tc>
          <w:tcPr>
            <w:tcW w:type="dxa" w:w="3120"/>
            <w:vAlign w:val="center"/>
          </w:tcPr>
          <w:p>
            <w:r>
              <w:t>Lettura Price / Units / Mix</w:t>
            </w:r>
          </w:p>
        </w:tc>
        <w:tc>
          <w:tcPr>
            <w:tcW w:type="dxa" w:w="3120"/>
            <w:vAlign w:val="center"/>
          </w:tcPr>
          <w:p>
            <w:r>
              <w:t>Confronta tre decomposizioni dello stesso movimento.</w:t>
            </w:r>
          </w:p>
        </w:tc>
        <w:tc>
          <w:tcPr>
            <w:tcW w:type="dxa" w:w="3120"/>
            <w:vAlign w:val="center"/>
          </w:tcPr>
          <w:p>
            <w:r>
              <w:t>Price +25, Units +25</w:t>
            </w:r>
          </w:p>
        </w:tc>
      </w:tr>
      <w:tr>
        <w:tc>
          <w:tcPr>
            <w:tcW w:type="dxa" w:w="3120"/>
            <w:vAlign w:val="center"/>
          </w:tcPr>
          <w:p>
            <w:r>
              <w:t>Small multiples standard</w:t>
            </w:r>
          </w:p>
        </w:tc>
        <w:tc>
          <w:tcPr>
            <w:tcW w:type="dxa" w:w="3120"/>
            <w:vAlign w:val="center"/>
          </w:tcPr>
          <w:p>
            <w:r>
              <w:t>Mostra lo stesso bridge standard per ciascun elemento della dimensione selezionata.</w:t>
            </w:r>
          </w:p>
        </w:tc>
        <w:tc>
          <w:tcPr>
            <w:tcW w:type="dxa" w:w="3120"/>
            <w:vAlign w:val="center"/>
          </w:tcPr>
          <w:p>
            <w:r>
              <w:t>B / Price +25, A / Units &amp; mix +20</w:t>
            </w:r>
          </w:p>
        </w:tc>
      </w:tr>
      <w:tr>
        <w:tc>
          <w:tcPr>
            <w:tcW w:type="dxa" w:w="3120"/>
            <w:vAlign w:val="center"/>
          </w:tcPr>
          <w:p>
            <w:r>
              <w:t>Drilldown linea prodotto</w:t>
            </w:r>
          </w:p>
        </w:tc>
        <w:tc>
          <w:tcPr>
            <w:tcW w:type="dxa" w:w="3120"/>
            <w:vAlign w:val="center"/>
          </w:tcPr>
          <w:p>
            <w:r>
              <w:t>Scompone il driver principale.</w:t>
            </w:r>
          </w:p>
        </w:tc>
        <w:tc>
          <w:tcPr>
            <w:tcW w:type="dxa" w:w="3120"/>
            <w:vAlign w:val="center"/>
          </w:tcPr>
          <w:p>
            <w:r>
              <w:t>A / South / Price &amp; volume &amp; mix -10</w:t>
            </w:r>
          </w:p>
        </w:tc>
      </w:tr>
      <w:tr>
        <w:tc>
          <w:tcPr>
            <w:tcW w:type="dxa" w:w="3120"/>
            <w:vAlign w:val="center"/>
          </w:tcPr>
          <w:p>
            <w:r>
              <w:t>Approfondimento misto</w:t>
            </w:r>
          </w:p>
        </w:tc>
        <w:tc>
          <w:tcPr>
            <w:tcW w:type="dxa" w:w="3120"/>
            <w:vAlign w:val="center"/>
          </w:tcPr>
          <w:p>
            <w:r>
              <w:t>Individua dove il residuo aggiunge informazione.</w:t>
            </w:r>
          </w:p>
        </w:tc>
        <w:tc>
          <w:tcPr>
            <w:tcW w:type="dxa" w:w="3120"/>
            <w:vAlign w:val="center"/>
          </w:tcPr>
          <w:p>
            <w:r>
              <w:t>A / South / Price &amp; volume &amp; mix, A / North / Price &amp; volume &amp; mix, B / North / Price &amp; volume &amp; mix, B / Price &amp; volume &amp; mix</w:t>
            </w:r>
          </w:p>
        </w:tc>
      </w:tr>
    </w:tbl>
    <w:p>
      <w:pPr>
        <w:spacing w:before="60" w:after="180"/>
      </w:pPr>
      <w:r>
        <w:rPr>
          <w:i/>
          <w:color w:val="5B655E"/>
          <w:sz w:val="18"/>
        </w:rPr>
        <w:t>Sintesi dei dati di supporto selezionati.</w:t>
      </w:r>
    </w:p>
    <w:p>
      <w:pPr>
        <w:pStyle w:val="Heading2"/>
      </w:pPr>
      <w:r>
        <w:t>Note di lettura</w:t>
      </w:r>
    </w:p>
    <w:p>
      <w:pPr>
        <w:pStyle w:val="ListBullet"/>
      </w:pPr>
      <w:r>
        <w:t>Gli importi sono presentati in EUR; usare una valuta diversa solo se indicata dall'utente o dal file sorgente.</w:t>
      </w:r>
    </w:p>
    <w:p>
      <w:pPr>
        <w:pStyle w:val="ListBullet"/>
      </w:pPr>
      <w:r>
        <w:t>Il bridge standard è dominato da Price (+25); componenti principali: Price +25, Units &amp; mix +25, Balance +0.</w:t>
      </w:r>
    </w:p>
    <w:p>
      <w:pPr>
        <w:pStyle w:val="ListBullet"/>
      </w:pPr>
      <w:r>
        <w:t>Le righe del bridge root-cause sono residuali: una riga successiva non va letta come totale assoluto della relativa dimensione.</w:t>
      </w:r>
    </w:p>
    <w:p>
      <w:pPr>
        <w:sectPr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Bridge Price / Units / Mix</w:t>
      </w:r>
    </w:p>
    <w:p>
      <w:r>
        <w:rPr>
          <w:b/>
        </w:rPr>
        <w:t xml:space="preserve">Lettura: </w:t>
      </w:r>
      <w:r>
        <w:t>La stessa varianza è letta a tre livelli: totale combinato, Price separato da Units &amp; Mix, e Price / Units / Mix. Componenti principali: Price +25, Units +25.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4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m_decomposition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La scala e i totali sono gli stessi in ogni pannello: cambia solo il livello di decomposizione della varianza.</w:t>
      </w:r>
    </w:p>
    <w:p>
      <w:pPr>
        <w:pStyle w:val="Heading1"/>
      </w:pPr>
      <w:r>
        <w:t>Bridge standard per product</w:t>
      </w:r>
    </w:p>
    <w:p>
      <w:r>
        <w:rPr>
          <w:b/>
        </w:rPr>
        <w:t xml:space="preserve">Lettura: </w:t>
      </w:r>
      <w:r>
        <w:t>Il bridge standard per product mostra che la varianza si concentra soprattutto su B / Price +25, A / Units &amp; mix +20.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42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small_multi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Ogni pannello ripete il bridge compatto Price / Units &amp; Mix / Balance; la dimensione separa i pannelli.</w:t>
      </w:r>
    </w:p>
    <w:p>
      <w:pPr>
        <w:pStyle w:val="Heading1"/>
      </w:pPr>
      <w:r>
        <w:t>Fonte 1 - Driver principale</w:t>
      </w:r>
    </w:p>
    <w:p>
      <w:r>
        <w:rPr>
          <w:b/>
        </w:rPr>
        <w:t xml:space="preserve">Lettura: </w:t>
      </w:r>
      <w:r>
        <w:t>La sequenza selezionata (South - Price &amp; volume &amp; mix +50, A / North - Price &amp; volume &amp; mix +30, B / North - Price &amp; volume &amp; mix -30) riconcilia il movimento periodo corrente vs periodo precedente (2024 vs 2023) con residuo finale +0.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summary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Il bridge riconcilia il movimento tra i due periodi/scenari e isola il driver principale.</w:t>
      </w:r>
    </w:p>
    <w:p>
      <w:pPr>
        <w:pStyle w:val="Heading1"/>
      </w:pPr>
      <w:r>
        <w:t>Fonte 2 - Dettaglio linea prodotto</w:t>
      </w:r>
    </w:p>
    <w:p>
      <w:r>
        <w:rPr>
          <w:b/>
        </w:rPr>
        <w:t xml:space="preserve">Lettura: </w:t>
      </w:r>
      <w:r>
        <w:t>Il driver principale è soprattutto A / South / Price &amp; volume &amp; mix, seguito dagli altri contributi per linea prodotto.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drill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Il dettaglio per linea prodotto traduce il driver principale in una lettura commerciale immediata.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Fonte 3 - Approfondimento per area e product line</w:t>
      </w:r>
    </w:p>
    <w:p>
      <w:r>
        <w:rPr>
          <w:b/>
        </w:rPr>
        <w:t xml:space="preserve">Lettura: </w:t>
      </w:r>
      <w:r>
        <w:t>Il secondo livello di analisi mostra che il residuo utile si concentra su A / South / Price &amp; volume &amp; mix, A / North / Price &amp; volume &amp; mix, B / North / Price &amp; volume &amp; mix, B / Price &amp; volume &amp; mix.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80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mixed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Questa vista va letta come sequenza residuale: le righe successive sono al netto delle righe precedenti.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C766E"/>
        <w:sz w:val="18"/>
      </w:rPr>
      <w:t>Analisi delle cause della varianza vendite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Esempio di analisi degli scostamenti</dc:title>
  <dc:subject>Report Word di esempio di Vera in italiano</dc:subject>
  <dc:creator>python-docx</dc:creator>
  <cp:keywords>Vera, variance analysis, it-IT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