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Executive Summary</w:t>
      </w:r>
    </w:p>
    <w:p>
      <w:pPr>
        <w:pStyle w:val="Subtitle"/>
      </w:pPr>
      <w:r>
        <w:t xml:space="preserve">Artificial Intelligence Readiness Scale: Extending UTAUT2 for Enterprise AI Adoption</w:t>
      </w:r>
    </w:p>
    <w:p>
      <w:pPr>
        <w:pStyle w:val="Author"/>
      </w:pPr>
      <w:r>
        <w:t xml:space="preserve">Fabio Correa</w:t>
      </w:r>
    </w:p>
    <w:p>
      <w:pPr>
        <w:pStyle w:val="Date"/>
      </w:pPr>
      <w:r>
        <w:t xml:space="preserve">2026</w:t>
      </w:r>
    </w:p>
    <w:bookmarkStart w:id="9" w:name="research-problem-and-significance"/>
    <w:p>
      <w:pPr>
        <w:pStyle w:val="Heading2"/>
      </w:pPr>
      <w:r>
        <w:t xml:space="preserve">1. Research Problem and Significance</w:t>
      </w:r>
    </w:p>
    <w:p>
      <w:pPr>
        <w:pStyle w:val="FirstParagraph"/>
      </w:pPr>
      <w:r>
        <w:t xml:space="preserve">Artificial intelligence adoption in organizations has expanded rapidly. Industry data indicate that AI tool usage among knowledge workers rose from 50% in 2023 to 72% in 2024 and 88% in 2025. At the same time, reported organizational value realization remains limited: only 5% of organizations report measurable value from AI implementations, and 90–95% of generative AI pilot programs do not progress beyond initial trials. This adoption-value gap, where organizations invest in AI tools but do not consistently realize meaningful returns, presents an important problem for both scholarship and practice.</w:t>
      </w:r>
    </w:p>
    <w:p>
      <w:pPr>
        <w:pStyle w:val="BodyText"/>
      </w:pPr>
      <w:r>
        <w:t xml:space="preserve">Three interconnected gaps motivated this research:</w:t>
      </w:r>
    </w:p>
    <w:p>
      <w:pPr>
        <w:numPr>
          <w:ilvl w:val="0"/>
          <w:numId w:val="1001"/>
        </w:numPr>
      </w:pPr>
      <w:r>
        <w:rPr>
          <w:b/>
          <w:bCs/>
        </w:rPr>
        <w:t xml:space="preserve">Theoretical Gap.</w:t>
      </w:r>
      <w:r>
        <w:t xml:space="preserve"> </w:t>
      </w:r>
      <w:r>
        <w:t xml:space="preserve">The Unified Theory of Acceptance and Use of Technology (UTAUT2) was validated primarily for consumer mobile technologies. Whether its predictor structure holds for AI tools, a fundamentally different technology category characterized by autonomous decision-making, probabilistic outputs, and evolving capabilities, remained empirically untested.</w:t>
      </w:r>
    </w:p>
    <w:p>
      <w:pPr>
        <w:numPr>
          <w:ilvl w:val="0"/>
          <w:numId w:val="1001"/>
        </w:numPr>
      </w:pPr>
      <w:r>
        <w:rPr>
          <w:b/>
          <w:bCs/>
        </w:rPr>
        <w:t xml:space="preserve">Measurement Gap.</w:t>
      </w:r>
      <w:r>
        <w:t xml:space="preserve"> </w:t>
      </w:r>
      <w:r>
        <w:t xml:space="preserve">No validated psychometric instrument existed for measuring AI-specific adoption readiness. Existing scales either operationalized general technology acceptance constructs or addressed narrow AI applications (e.g., healthcare robotics), leaving organizations without a diagnostic tool to assess workforce readiness for enterprise AI deployment.</w:t>
      </w:r>
    </w:p>
    <w:p>
      <w:pPr>
        <w:numPr>
          <w:ilvl w:val="0"/>
          <w:numId w:val="1001"/>
        </w:numPr>
      </w:pPr>
      <w:r>
        <w:rPr>
          <w:b/>
          <w:bCs/>
        </w:rPr>
        <w:t xml:space="preserve">Practice Gap.</w:t>
      </w:r>
      <w:r>
        <w:t xml:space="preserve"> </w:t>
      </w:r>
      <w:r>
        <w:t xml:space="preserve">Organizations lacked evidence-based frameworks to identify specific barriers to AI adoption and design targeted interventions. Without systematic measurement, AI implementation strategies remained generic rather than responsive to the particular readiness profile of each workforce.</w:t>
      </w:r>
    </w:p>
    <w:p>
      <w:pPr>
        <w:pStyle w:val="FirstParagraph"/>
      </w:pPr>
      <w:r>
        <w:t xml:space="preserve">This dissertation addressed all three gaps by developing and validating the AI Readiness Scale (AIRS), a 16-item psychometric instrument that extends UTAUT2 with an AI Trust construct, offering both a theoretical account of adoption drivers and a practical diagnostic tool for organizational assessment.</w:t>
      </w:r>
    </w:p>
    <w:bookmarkEnd w:id="9"/>
    <w:bookmarkStart w:id="13" w:name="theoretical-framework"/>
    <w:p>
      <w:pPr>
        <w:pStyle w:val="Heading2"/>
      </w:pPr>
      <w:r>
        <w:t xml:space="preserve">2. Theoretical Framework</w:t>
      </w:r>
    </w:p>
    <w:bookmarkStart w:id="10" w:name="foundation-utaut2"/>
    <w:p>
      <w:pPr>
        <w:pStyle w:val="Heading3"/>
      </w:pPr>
      <w:r>
        <w:t xml:space="preserve">2.1 Foundation: UTAUT2</w:t>
      </w:r>
    </w:p>
    <w:p>
      <w:pPr>
        <w:pStyle w:val="FirstParagraph"/>
      </w:pPr>
      <w:r>
        <w:t xml:space="preserve">The study built upon the Unified Theory of Acceptance and Use of Technology 2 (UTAUT2), the most comprehensive and widely validated model of technology acceptance. UTAUT2 integrates seven constructs that predict Behavioral Intention to use a technology:</w:t>
      </w:r>
    </w:p>
    <w:tbl>
      <w:tblPr>
        <w:tblStyle w:val="Table"/>
        <w:tblLayout w:type="fixed"/>
        <w:tblLook w:firstRow="1" w:lastRow="0" w:firstColumn="0" w:lastColumn="0" w:noHBand="0" w:noVBand="0" w:val="0020"/>
        <w:tblW w:type="pct" w:w="5000"/>
      </w:tblPr>
      <w:tblGrid>
        <w:gridCol w:w="2576"/>
        <w:gridCol w:w="5343"/>
      </w:tblGrid>
      <w:tr>
        <w:trPr>
          <w:tblHeader w:val="on"/>
          <w:cantSplit w:val="true"/>
        </w:trPr>
        <w:tc>
          <w:tcPr>
            <w:shd w:fill="0078D4" w:val="clear"/>
            <w:tcBorders>
              <w:top w:val="single" w:sz="4" w:space="0" w:color="666666"/>
              <w:bottom w:val="single" w:sz="4" w:space="0" w:color="AAAAAA"/>
              <w:left w:val="single" w:sz="4" w:space="0" w:color="666666"/>
              <w:right w:val="single" w:sz="4" w:space="0" w:color="AAAAAA"/>
            </w:tcBorders>
            <w:shd w:fill="0078D4" w:val="clear"/>
          </w:tcPr>
          <w:p>
            <w:pPr>
              <w:pStyle w:val="Compact"/>
              <w:jc w:val="left"/>
              <w:keepNext w:val="true"/>
            </w:pPr>
            <w:r>
              <w:rPr>
                <w:rFonts w:ascii="Calibri" w:hAnsi="Calibri"/>
                <w:b/>
                <w:color w:val="FFFFFF"/>
                <w:sz w:val="20"/>
              </w:rPr>
              <w:t xml:space="preserve">Construct</w:t>
            </w:r>
          </w:p>
        </w:tc>
        <w:tc>
          <w:tcPr>
            <w:shd w:fill="0078D4" w:val="clear"/>
            <w:tcBorders>
              <w:top w:val="single" w:sz="4" w:space="0" w:color="666666"/>
              <w:bottom w:val="single" w:sz="4" w:space="0" w:color="AAAAAA"/>
              <w:left w:val="single" w:sz="4" w:space="0" w:color="AAAAAA"/>
              <w:right w:val="single" w:sz="4" w:space="0" w:color="666666"/>
            </w:tcBorders>
            <w:shd w:fill="0078D4" w:val="clear"/>
          </w:tcPr>
          <w:p>
            <w:pPr>
              <w:pStyle w:val="Compact"/>
              <w:jc w:val="left"/>
              <w:keepNext w:val="true"/>
            </w:pPr>
            <w:r>
              <w:rPr>
                <w:rFonts w:ascii="Calibri" w:hAnsi="Calibri"/>
                <w:b/>
                <w:color w:val="FFFFFF"/>
                <w:sz w:val="20"/>
              </w:rPr>
              <w:t xml:space="preserve">Definition</w:t>
            </w:r>
          </w:p>
        </w:tc>
      </w:tr>
      <w:tr>
        <w:trPr>
          <w:cantSplit w:val="true"/>
        </w:trPr>
        <w:tc>
          <w:tcPr>
            <w:shd w:fill="FFFFFF" w:val="clear"/>
            <w:tcBorders>
              <w:top w:val="single" w:sz="4" w:space="0" w:color="AAAAAA"/>
              <w:bottom w:val="single" w:sz="4" w:space="0" w:color="AAAAAA"/>
              <w:left w:val="single" w:sz="4" w:space="0" w:color="666666"/>
              <w:right w:val="single" w:sz="4" w:space="0" w:color="AAAAAA"/>
            </w:tcBorders>
          </w:tcPr>
          <w:p>
            <w:pPr>
              <w:pStyle w:val="Compact"/>
              <w:jc w:val="left"/>
              <w:keepNext w:val="true"/>
            </w:pPr>
            <w:r>
              <w:rPr>
                <w:rFonts w:ascii="Calibri" w:hAnsi="Calibri"/>
                <w:b w:val="0"/>
                <w:sz w:val="18"/>
              </w:rPr>
              <w:t xml:space="preserve">Performance Expectancy (PE)</w:t>
            </w:r>
          </w:p>
        </w:tc>
        <w:tc>
          <w:tcPr>
            <w:shd w:fill="FFFFFF" w:val="clear"/>
            <w:tcBorders>
              <w:top w:val="single" w:sz="4" w:space="0" w:color="AAAAAA"/>
              <w:bottom w:val="single" w:sz="4" w:space="0" w:color="AAAAAA"/>
              <w:left w:val="single" w:sz="4" w:space="0" w:color="AAAAAA"/>
              <w:right w:val="single" w:sz="4" w:space="0" w:color="666666"/>
            </w:tcBorders>
          </w:tcPr>
          <w:p>
            <w:pPr>
              <w:pStyle w:val="Compact"/>
              <w:jc w:val="left"/>
              <w:keepNext w:val="true"/>
            </w:pPr>
            <w:r>
              <w:rPr>
                <w:rFonts w:ascii="Calibri" w:hAnsi="Calibri"/>
                <w:b w:val="0"/>
                <w:sz w:val="18"/>
              </w:rPr>
              <w:t xml:space="preserve">Perceived improvement in job performance from using the technology</w:t>
            </w:r>
          </w:p>
        </w:tc>
      </w:tr>
      <w:tr>
        <w:trPr>
          <w:cantSplit w:val="true"/>
        </w:trPr>
        <w:tc>
          <w:tcPr>
            <w:shd w:fill="F0F0F0" w:val="clear"/>
            <w:tcBorders>
              <w:top w:val="single" w:sz="4" w:space="0" w:color="AAAAAA"/>
              <w:bottom w:val="single" w:sz="4" w:space="0" w:color="AAAAAA"/>
              <w:left w:val="single" w:sz="4" w:space="0" w:color="666666"/>
              <w:right w:val="single" w:sz="4" w:space="0" w:color="AAAAAA"/>
            </w:tcBorders>
            <w:shd w:fill="F0F0F0" w:val="clear"/>
          </w:tcPr>
          <w:p>
            <w:pPr>
              <w:pStyle w:val="Compact"/>
              <w:jc w:val="left"/>
              <w:keepNext w:val="true"/>
            </w:pPr>
            <w:r>
              <w:rPr>
                <w:rFonts w:ascii="Calibri" w:hAnsi="Calibri"/>
                <w:b w:val="0"/>
                <w:sz w:val="18"/>
              </w:rPr>
              <w:t xml:space="preserve">Effort Expectancy (EE)</w:t>
            </w:r>
          </w:p>
        </w:tc>
        <w:tc>
          <w:tcPr>
            <w:shd w:fill="F0F0F0" w:val="clear"/>
            <w:tcBorders>
              <w:top w:val="single" w:sz="4" w:space="0" w:color="AAAAAA"/>
              <w:bottom w:val="single" w:sz="4" w:space="0" w:color="AAAAAA"/>
              <w:left w:val="single" w:sz="4" w:space="0" w:color="AAAAAA"/>
              <w:right w:val="single" w:sz="4" w:space="0" w:color="666666"/>
            </w:tcBorders>
            <w:shd w:fill="F0F0F0" w:val="clear"/>
          </w:tcPr>
          <w:p>
            <w:pPr>
              <w:pStyle w:val="Compact"/>
              <w:jc w:val="left"/>
              <w:keepNext w:val="true"/>
            </w:pPr>
            <w:r>
              <w:rPr>
                <w:rFonts w:ascii="Calibri" w:hAnsi="Calibri"/>
                <w:b w:val="0"/>
                <w:sz w:val="18"/>
              </w:rPr>
              <w:t xml:space="preserve">Perceived ease of learning and using the technology</w:t>
            </w:r>
          </w:p>
        </w:tc>
      </w:tr>
      <w:tr>
        <w:trPr>
          <w:cantSplit w:val="true"/>
        </w:trPr>
        <w:tc>
          <w:tcPr>
            <w:shd w:fill="FFFFFF" w:val="clear"/>
            <w:tcBorders>
              <w:top w:val="single" w:sz="4" w:space="0" w:color="AAAAAA"/>
              <w:bottom w:val="single" w:sz="4" w:space="0" w:color="AAAAAA"/>
              <w:left w:val="single" w:sz="4" w:space="0" w:color="666666"/>
              <w:right w:val="single" w:sz="4" w:space="0" w:color="AAAAAA"/>
            </w:tcBorders>
          </w:tcPr>
          <w:p>
            <w:pPr>
              <w:pStyle w:val="Compact"/>
              <w:jc w:val="left"/>
              <w:keepNext w:val="true"/>
            </w:pPr>
            <w:r>
              <w:rPr>
                <w:rFonts w:ascii="Calibri" w:hAnsi="Calibri"/>
                <w:b w:val="0"/>
                <w:sz w:val="18"/>
              </w:rPr>
              <w:t xml:space="preserve">Social Influence (SI)</w:t>
            </w:r>
          </w:p>
        </w:tc>
        <w:tc>
          <w:tcPr>
            <w:shd w:fill="FFFFFF" w:val="clear"/>
            <w:tcBorders>
              <w:top w:val="single" w:sz="4" w:space="0" w:color="AAAAAA"/>
              <w:bottom w:val="single" w:sz="4" w:space="0" w:color="AAAAAA"/>
              <w:left w:val="single" w:sz="4" w:space="0" w:color="AAAAAA"/>
              <w:right w:val="single" w:sz="4" w:space="0" w:color="666666"/>
            </w:tcBorders>
          </w:tcPr>
          <w:p>
            <w:pPr>
              <w:pStyle w:val="Compact"/>
              <w:jc w:val="left"/>
              <w:keepNext w:val="true"/>
            </w:pPr>
            <w:r>
              <w:rPr>
                <w:rFonts w:ascii="Calibri" w:hAnsi="Calibri"/>
                <w:b w:val="0"/>
                <w:sz w:val="18"/>
              </w:rPr>
              <w:t xml:space="preserve">Degree to which important others believe one should use the technology</w:t>
            </w:r>
          </w:p>
        </w:tc>
      </w:tr>
      <w:tr>
        <w:trPr>
          <w:cantSplit w:val="true"/>
        </w:trPr>
        <w:tc>
          <w:tcPr>
            <w:shd w:fill="F0F0F0" w:val="clear"/>
            <w:tcBorders>
              <w:top w:val="single" w:sz="4" w:space="0" w:color="AAAAAA"/>
              <w:bottom w:val="single" w:sz="4" w:space="0" w:color="AAAAAA"/>
              <w:left w:val="single" w:sz="4" w:space="0" w:color="666666"/>
              <w:right w:val="single" w:sz="4" w:space="0" w:color="AAAAAA"/>
            </w:tcBorders>
            <w:shd w:fill="F0F0F0" w:val="clear"/>
          </w:tcPr>
          <w:p>
            <w:pPr>
              <w:pStyle w:val="Compact"/>
              <w:jc w:val="left"/>
              <w:keepNext w:val="true"/>
            </w:pPr>
            <w:r>
              <w:rPr>
                <w:rFonts w:ascii="Calibri" w:hAnsi="Calibri"/>
                <w:b w:val="0"/>
                <w:sz w:val="18"/>
              </w:rPr>
              <w:t xml:space="preserve">Facilitating Conditions (FC)</w:t>
            </w:r>
          </w:p>
        </w:tc>
        <w:tc>
          <w:tcPr>
            <w:shd w:fill="F0F0F0" w:val="clear"/>
            <w:tcBorders>
              <w:top w:val="single" w:sz="4" w:space="0" w:color="AAAAAA"/>
              <w:bottom w:val="single" w:sz="4" w:space="0" w:color="AAAAAA"/>
              <w:left w:val="single" w:sz="4" w:space="0" w:color="AAAAAA"/>
              <w:right w:val="single" w:sz="4" w:space="0" w:color="666666"/>
            </w:tcBorders>
            <w:shd w:fill="F0F0F0" w:val="clear"/>
          </w:tcPr>
          <w:p>
            <w:pPr>
              <w:pStyle w:val="Compact"/>
              <w:jc w:val="left"/>
              <w:keepNext w:val="true"/>
            </w:pPr>
            <w:r>
              <w:rPr>
                <w:rFonts w:ascii="Calibri" w:hAnsi="Calibri"/>
                <w:b w:val="0"/>
                <w:sz w:val="18"/>
              </w:rPr>
              <w:t xml:space="preserve">Perception of available resources and support infrastructure</w:t>
            </w:r>
          </w:p>
        </w:tc>
      </w:tr>
      <w:tr>
        <w:trPr>
          <w:cantSplit w:val="true"/>
        </w:trPr>
        <w:tc>
          <w:tcPr>
            <w:shd w:fill="FFFFFF" w:val="clear"/>
            <w:tcBorders>
              <w:top w:val="single" w:sz="4" w:space="0" w:color="AAAAAA"/>
              <w:bottom w:val="single" w:sz="4" w:space="0" w:color="AAAAAA"/>
              <w:left w:val="single" w:sz="4" w:space="0" w:color="666666"/>
              <w:right w:val="single" w:sz="4" w:space="0" w:color="AAAAAA"/>
            </w:tcBorders>
          </w:tcPr>
          <w:p>
            <w:pPr>
              <w:pStyle w:val="Compact"/>
              <w:jc w:val="left"/>
              <w:keepNext w:val="true"/>
            </w:pPr>
            <w:r>
              <w:rPr>
                <w:rFonts w:ascii="Calibri" w:hAnsi="Calibri"/>
                <w:b w:val="0"/>
                <w:sz w:val="18"/>
              </w:rPr>
              <w:t xml:space="preserve">Hedonic Motivation (HM)</w:t>
            </w:r>
          </w:p>
        </w:tc>
        <w:tc>
          <w:tcPr>
            <w:shd w:fill="FFFFFF" w:val="clear"/>
            <w:tcBorders>
              <w:top w:val="single" w:sz="4" w:space="0" w:color="AAAAAA"/>
              <w:bottom w:val="single" w:sz="4" w:space="0" w:color="AAAAAA"/>
              <w:left w:val="single" w:sz="4" w:space="0" w:color="AAAAAA"/>
              <w:right w:val="single" w:sz="4" w:space="0" w:color="666666"/>
            </w:tcBorders>
          </w:tcPr>
          <w:p>
            <w:pPr>
              <w:pStyle w:val="Compact"/>
              <w:jc w:val="left"/>
              <w:keepNext w:val="true"/>
            </w:pPr>
            <w:r>
              <w:rPr>
                <w:rFonts w:ascii="Calibri" w:hAnsi="Calibri"/>
                <w:b w:val="0"/>
                <w:sz w:val="18"/>
              </w:rPr>
              <w:t xml:space="preserve">Pleasure or enjoyment derived from using the technology</w:t>
            </w:r>
          </w:p>
        </w:tc>
      </w:tr>
      <w:tr>
        <w:trPr>
          <w:cantSplit w:val="true"/>
        </w:trPr>
        <w:tc>
          <w:tcPr>
            <w:shd w:fill="F0F0F0" w:val="clear"/>
            <w:tcBorders>
              <w:top w:val="single" w:sz="4" w:space="0" w:color="AAAAAA"/>
              <w:bottom w:val="single" w:sz="4" w:space="0" w:color="AAAAAA"/>
              <w:left w:val="single" w:sz="4" w:space="0" w:color="666666"/>
              <w:right w:val="single" w:sz="4" w:space="0" w:color="AAAAAA"/>
            </w:tcBorders>
            <w:shd w:fill="F0F0F0" w:val="clear"/>
          </w:tcPr>
          <w:p>
            <w:pPr>
              <w:pStyle w:val="Compact"/>
              <w:jc w:val="left"/>
              <w:keepNext w:val="true"/>
            </w:pPr>
            <w:r>
              <w:rPr>
                <w:rFonts w:ascii="Calibri" w:hAnsi="Calibri"/>
                <w:b w:val="0"/>
                <w:sz w:val="18"/>
              </w:rPr>
              <w:t xml:space="preserve">Price Value (PV)</w:t>
            </w:r>
          </w:p>
        </w:tc>
        <w:tc>
          <w:tcPr>
            <w:shd w:fill="F0F0F0" w:val="clear"/>
            <w:tcBorders>
              <w:top w:val="single" w:sz="4" w:space="0" w:color="AAAAAA"/>
              <w:bottom w:val="single" w:sz="4" w:space="0" w:color="AAAAAA"/>
              <w:left w:val="single" w:sz="4" w:space="0" w:color="AAAAAA"/>
              <w:right w:val="single" w:sz="4" w:space="0" w:color="666666"/>
            </w:tcBorders>
            <w:shd w:fill="F0F0F0" w:val="clear"/>
          </w:tcPr>
          <w:p>
            <w:pPr>
              <w:pStyle w:val="Compact"/>
              <w:jc w:val="left"/>
              <w:keepNext w:val="true"/>
            </w:pPr>
            <w:r>
              <w:rPr>
                <w:rFonts w:ascii="Calibri" w:hAnsi="Calibri"/>
                <w:b w:val="0"/>
                <w:sz w:val="18"/>
              </w:rPr>
              <w:t xml:space="preserve">Perceived balance between benefits received and monetary cost</w:t>
            </w:r>
          </w:p>
        </w:tc>
      </w:tr>
      <w:tr>
        <w:trPr>
          <w:cantSplit w:val="true"/>
        </w:trPr>
        <w:tc>
          <w:tcPr>
            <w:shd w:fill="FFFFFF" w:val="clear"/>
            <w:tcBorders>
              <w:top w:val="single" w:sz="4" w:space="0" w:color="AAAAAA"/>
              <w:bottom w:val="single" w:sz="4" w:space="0" w:color="666666"/>
              <w:left w:val="single" w:sz="4" w:space="0" w:color="666666"/>
              <w:right w:val="single" w:sz="4" w:space="0" w:color="AAAAAA"/>
            </w:tcBorders>
          </w:tcPr>
          <w:p>
            <w:pPr>
              <w:pStyle w:val="Compact"/>
              <w:jc w:val="left"/>
            </w:pPr>
            <w:r>
              <w:rPr>
                <w:rFonts w:ascii="Calibri" w:hAnsi="Calibri"/>
                <w:b w:val="0"/>
                <w:sz w:val="18"/>
              </w:rPr>
              <w:t xml:space="preserve">Habit (HB)</w:t>
            </w:r>
          </w:p>
        </w:tc>
        <w:tc>
          <w:tcPr>
            <w:shd w:fill="FFFFFF" w:val="clear"/>
            <w:tcBorders>
              <w:top w:val="single" w:sz="4" w:space="0" w:color="AAAAAA"/>
              <w:bottom w:val="single" w:sz="4" w:space="0" w:color="666666"/>
              <w:left w:val="single" w:sz="4" w:space="0" w:color="AAAAAA"/>
              <w:right w:val="single" w:sz="4" w:space="0" w:color="666666"/>
            </w:tcBorders>
          </w:tcPr>
          <w:p>
            <w:pPr>
              <w:pStyle w:val="Compact"/>
              <w:jc w:val="left"/>
            </w:pPr>
            <w:r>
              <w:rPr>
                <w:rFonts w:ascii="Calibri" w:hAnsi="Calibri"/>
                <w:b w:val="0"/>
                <w:sz w:val="18"/>
              </w:rPr>
              <w:t xml:space="preserve">Extent to which technology use has become automatic</w:t>
            </w:r>
          </w:p>
        </w:tc>
      </w:tr>
    </w:tbl>
    <w:bookmarkEnd w:id="10"/>
    <w:bookmarkStart w:id="11" w:name="ai-specific-extension-ai-trust"/>
    <w:p>
      <w:pPr>
        <w:pStyle w:val="Heading3"/>
      </w:pPr>
      <w:r>
        <w:t xml:space="preserve">2.2 AI-Specific Extension: AI Trust</w:t>
      </w:r>
    </w:p>
    <w:p>
      <w:pPr>
        <w:pStyle w:val="FirstParagraph"/>
      </w:pPr>
      <w:r>
        <w:t xml:space="preserve">Recognizing that AI tools differ from conventional technologies in their capacity for autonomous reasoning, opaque decision processes, and evolving behaviors, the study introduced AI Trust (TR) as an eighth construct. AI Trust captures the degree to which users believe AI systems will provide accurate, reliable information and operate in a trustworthy manner. This extension was grounded in emerging literature identifying trust as a unique barrier to AI adoption that is not adequately captured by existing UTAUT2 constructs.</w:t>
      </w:r>
    </w:p>
    <w:bookmarkEnd w:id="11"/>
    <w:bookmarkStart w:id="12" w:name="research-questions-and-hypotheses"/>
    <w:p>
      <w:pPr>
        <w:pStyle w:val="Heading3"/>
      </w:pPr>
      <w:r>
        <w:t xml:space="preserve">2.3 Research Questions and Hypotheses</w:t>
      </w:r>
    </w:p>
    <w:p>
      <w:pPr>
        <w:pStyle w:val="FirstParagraph"/>
      </w:pPr>
      <w:r>
        <w:t xml:space="preserve">The study posed one primary and five secondary research questions:</w:t>
      </w:r>
    </w:p>
    <w:p>
      <w:pPr>
        <w:pStyle w:val="BodyText"/>
      </w:pPr>
      <w:r>
        <w:rPr>
          <w:b/>
          <w:bCs/>
        </w:rPr>
        <w:t xml:space="preserve">Primary RQ:</w:t>
      </w:r>
      <w:r>
        <w:t xml:space="preserve"> </w:t>
      </w:r>
      <w:r>
        <w:t xml:space="preserve">To what extent does UTAUT2, extended with AI Trust, explain Behavioral Intention to adopt AI tools among United States students and professionals?</w:t>
      </w:r>
    </w:p>
    <w:p>
      <w:pPr>
        <w:pStyle w:val="BodyText"/>
      </w:pPr>
      <w:r>
        <w:rPr>
          <w:b/>
          <w:bCs/>
        </w:rPr>
        <w:t xml:space="preserve">Secondary RQs:</w:t>
      </w:r>
      <w:r>
        <w:t xml:space="preserve"> </w:t>
      </w:r>
      <w:r>
        <w:t xml:space="preserve">- RQ2: Factorial validity and psychometric adequacy of the extended model</w:t>
      </w:r>
      <w:r>
        <w:t xml:space="preserve"> </w:t>
      </w:r>
      <w:r>
        <w:t xml:space="preserve">- RQ3: Experience and role moderation of structural paths</w:t>
      </w:r>
      <w:r>
        <w:t xml:space="preserve"> </w:t>
      </w:r>
      <w:r>
        <w:t xml:space="preserve">- RQ4: Relationship between behavioral intention and actual tool usage</w:t>
      </w:r>
      <w:r>
        <w:t xml:space="preserve"> </w:t>
      </w:r>
      <w:r>
        <w:t xml:space="preserve">- RQ5: User typology based on readiness patterns</w:t>
      </w:r>
    </w:p>
    <w:p>
      <w:pPr>
        <w:pStyle w:val="BodyText"/>
      </w:pPr>
      <w:r>
        <w:t xml:space="preserve">Twelve hypotheses were tested: seven core UTAUT2 path hypotheses (H1a–H1g), one AI Trust hypothesis (H2), two moderation hypotheses (H3–H4), and two behavioral validation hypotheses (H5–H6).</w:t>
      </w:r>
    </w:p>
    <w:bookmarkEnd w:id="12"/>
    <w:bookmarkEnd w:id="13"/>
    <w:bookmarkStart w:id="18" w:name="methodology"/>
    <w:p>
      <w:pPr>
        <w:pStyle w:val="Heading2"/>
      </w:pPr>
      <w:r>
        <w:t xml:space="preserve">3. Methodology</w:t>
      </w:r>
    </w:p>
    <w:bookmarkStart w:id="14" w:name="research-design"/>
    <w:p>
      <w:pPr>
        <w:pStyle w:val="Heading3"/>
      </w:pPr>
      <w:r>
        <w:t xml:space="preserve">3.1 Research Design</w:t>
      </w:r>
    </w:p>
    <w:p>
      <w:pPr>
        <w:pStyle w:val="FirstParagraph"/>
      </w:pPr>
      <w:r>
        <w:t xml:space="preserve">The study employed a</w:t>
      </w:r>
      <w:r>
        <w:t xml:space="preserve"> </w:t>
      </w:r>
      <w:r>
        <w:rPr>
          <w:b/>
          <w:bCs/>
        </w:rPr>
        <w:t xml:space="preserve">post-positivist, sequential mixed-methods design with quantitative primacy</w:t>
      </w:r>
      <w:r>
        <w:t xml:space="preserve">. The quantitative phase (psychometric validation and structural equation modeling) provided the primary evidence base; a qualitative phase (content analysis of open-ended responses) offered contextual elaboration and triangulation.</w:t>
      </w:r>
    </w:p>
    <w:bookmarkEnd w:id="14"/>
    <w:bookmarkStart w:id="15" w:name="instrument-development"/>
    <w:p>
      <w:pPr>
        <w:pStyle w:val="Heading3"/>
      </w:pPr>
      <w:r>
        <w:t xml:space="preserve">3.2 Instrument Development</w:t>
      </w:r>
    </w:p>
    <w:p>
      <w:pPr>
        <w:pStyle w:val="FirstParagraph"/>
      </w:pPr>
      <w:r>
        <w:t xml:space="preserve">The AIRS instrument was developed through a systematic process:</w:t>
      </w:r>
    </w:p>
    <w:p>
      <w:pPr>
        <w:numPr>
          <w:ilvl w:val="0"/>
          <w:numId w:val="1002"/>
        </w:numPr>
      </w:pPr>
      <w:r>
        <w:rPr>
          <w:b/>
          <w:bCs/>
        </w:rPr>
        <w:t xml:space="preserve">Initial Item Pool:</w:t>
      </w:r>
      <w:r>
        <w:t xml:space="preserve"> </w:t>
      </w:r>
      <w:r>
        <w:t xml:space="preserve">28 items across 12 constructs, adapted from validated UTAUT2 scales and supplemented with AI-specific items for Trust, Explainability, Ethical Risk, and AI Anxiety.</w:t>
      </w:r>
    </w:p>
    <w:p>
      <w:pPr>
        <w:numPr>
          <w:ilvl w:val="0"/>
          <w:numId w:val="1002"/>
        </w:numPr>
      </w:pPr>
      <w:r>
        <w:rPr>
          <w:b/>
          <w:bCs/>
        </w:rPr>
        <w:t xml:space="preserve">Exploratory Factor Analysis (EFA):</w:t>
      </w:r>
      <w:r>
        <w:t xml:space="preserve"> </w:t>
      </w:r>
      <w:r>
        <w:t xml:space="preserve">Four competing factor models (Models A–D) were evaluated on the development subsample. Model D, the 8-factor, 16-item solution, was selected based on optimal factor structure, reliability, and theoretical interpretability.</w:t>
      </w:r>
    </w:p>
    <w:p>
      <w:pPr>
        <w:numPr>
          <w:ilvl w:val="0"/>
          <w:numId w:val="1002"/>
        </w:numPr>
      </w:pPr>
      <w:r>
        <w:rPr>
          <w:b/>
          <w:bCs/>
        </w:rPr>
        <w:t xml:space="preserve">Construct Exclusion:</w:t>
      </w:r>
      <w:r>
        <w:t xml:space="preserve"> </w:t>
      </w:r>
      <w:r>
        <w:t xml:space="preserve">Four constructs were dropped due to inadequate item reliability:</w:t>
      </w:r>
    </w:p>
    <w:p>
      <w:pPr>
        <w:pStyle w:val="Compact"/>
        <w:numPr>
          <w:ilvl w:val="1"/>
          <w:numId w:val="1003"/>
        </w:numPr>
      </w:pPr>
      <w:r>
        <w:t xml:space="preserve">Voluntariness (α = .41): Items conflated organizational mandates with personal freedom</w:t>
      </w:r>
    </w:p>
    <w:p>
      <w:pPr>
        <w:pStyle w:val="Compact"/>
        <w:numPr>
          <w:ilvl w:val="1"/>
          <w:numId w:val="1003"/>
        </w:numPr>
      </w:pPr>
      <w:r>
        <w:t xml:space="preserve">Explainability (α = .58): Items mixed understanding with preference</w:t>
      </w:r>
    </w:p>
    <w:p>
      <w:pPr>
        <w:pStyle w:val="Compact"/>
        <w:numPr>
          <w:ilvl w:val="1"/>
          <w:numId w:val="1003"/>
        </w:numPr>
      </w:pPr>
      <w:r>
        <w:t xml:space="preserve">Ethical Risk (α = .55): Items confounded job displacement with data privacy</w:t>
      </w:r>
    </w:p>
    <w:p>
      <w:pPr>
        <w:pStyle w:val="Compact"/>
        <w:numPr>
          <w:ilvl w:val="1"/>
          <w:numId w:val="1003"/>
        </w:numPr>
      </w:pPr>
      <w:r>
        <w:t xml:space="preserve">AI Anxiety (α = .30): Items collapsed avoidance and approach coping behaviors</w:t>
      </w:r>
    </w:p>
    <w:p>
      <w:pPr>
        <w:numPr>
          <w:ilvl w:val="0"/>
          <w:numId w:val="1002"/>
        </w:numPr>
      </w:pPr>
      <w:r>
        <w:rPr>
          <w:b/>
          <w:bCs/>
        </w:rPr>
        <w:t xml:space="preserve">Final Instrument:</w:t>
      </w:r>
      <w:r>
        <w:t xml:space="preserve"> </w:t>
      </w:r>
      <w:r>
        <w:t xml:space="preserve">8 factors × 2 items each = 16 items, plus 4 Behavioral Intention items as the outcome variable.</w:t>
      </w:r>
    </w:p>
    <w:bookmarkEnd w:id="15"/>
    <w:bookmarkStart w:id="16" w:name="sample"/>
    <w:p>
      <w:pPr>
        <w:pStyle w:val="Heading3"/>
      </w:pPr>
      <w:r>
        <w:t xml:space="preserve">3.3 Sample</w:t>
      </w:r>
    </w:p>
    <w:p>
      <w:pPr>
        <w:pStyle w:val="FirstParagraph"/>
      </w:pPr>
      <w:r>
        <w:rPr>
          <w:b/>
          <w:bCs/>
        </w:rPr>
        <w:t xml:space="preserve">Participants:</w:t>
      </w:r>
      <w:r>
        <w:t xml:space="preserve"> </w:t>
      </w:r>
      <w:r>
        <w:t xml:space="preserve">N = 523 adults in the United States, recruited through Centiment, a professional survey research platform employing topic-blinded recruitment (respondents did not know the survey concerned AI when deciding to participate), mitigating self-selection bias.</w:t>
      </w:r>
    </w:p>
    <w:p>
      <w:pPr>
        <w:pStyle w:val="BodyText"/>
      </w:pPr>
      <w:r>
        <w:rPr>
          <w:b/>
          <w:bCs/>
        </w:rPr>
        <w:t xml:space="preserve">Collection Period:</w:t>
      </w:r>
      <w:r>
        <w:t xml:space="preserve"> </w:t>
      </w:r>
      <w:r>
        <w:t xml:space="preserve">October–November 2025 (3-week window)</w:t>
      </w:r>
    </w:p>
    <w:p>
      <w:pPr>
        <w:pStyle w:val="BodyText"/>
      </w:pPr>
      <w:r>
        <w:rPr>
          <w:b/>
          <w:bCs/>
        </w:rPr>
        <w:t xml:space="preserve">Role Distribution:</w:t>
      </w:r>
    </w:p>
    <w:tbl>
      <w:tblPr>
        <w:tblStyle w:val="Table"/>
        <w:tblLayout w:type="fixed"/>
        <w:tblLook w:firstRow="1" w:lastRow="0" w:firstColumn="0" w:lastColumn="0" w:noHBand="0" w:noVBand="0" w:val="0020"/>
        <w:tblW w:type="pct" w:w="5000"/>
      </w:tblPr>
      <w:tblGrid>
        <w:gridCol w:w="5500"/>
        <w:gridCol w:w="1210"/>
        <w:gridCol w:w="1210"/>
      </w:tblGrid>
      <w:tr>
        <w:trPr>
          <w:tblHeader w:val="on"/>
          <w:cantSplit w:val="true"/>
        </w:trPr>
        <w:tc>
          <w:tcPr>
            <w:shd w:fill="0078D4" w:val="clear"/>
            <w:tcBorders>
              <w:top w:val="single" w:sz="4" w:space="0" w:color="666666"/>
              <w:bottom w:val="single" w:sz="4" w:space="0" w:color="AAAAAA"/>
              <w:left w:val="single" w:sz="4" w:space="0" w:color="666666"/>
              <w:right w:val="single" w:sz="4" w:space="0" w:color="AAAAAA"/>
            </w:tcBorders>
            <w:shd w:fill="0078D4" w:val="clear"/>
          </w:tcPr>
          <w:p>
            <w:pPr>
              <w:pStyle w:val="Compact"/>
              <w:jc w:val="left"/>
              <w:keepNext w:val="true"/>
            </w:pPr>
            <w:r>
              <w:rPr>
                <w:rFonts w:ascii="Calibri" w:hAnsi="Calibri"/>
                <w:b/>
                <w:color w:val="FFFFFF"/>
                <w:sz w:val="20"/>
              </w:rPr>
              <w:t xml:space="preserve">Group</w:t>
            </w:r>
          </w:p>
        </w:tc>
        <w:tc>
          <w:tcPr>
            <w:shd w:fill="0078D4" w:val="clear"/>
            <w:tcBorders>
              <w:top w:val="single" w:sz="4" w:space="0" w:color="666666"/>
              <w:bottom w:val="single" w:sz="4" w:space="0" w:color="AAAAAA"/>
              <w:left w:val="single" w:sz="4" w:space="0" w:color="AAAAAA"/>
              <w:right w:val="single" w:sz="4" w:space="0" w:color="AAAAAA"/>
            </w:tcBorders>
            <w:shd w:fill="0078D4" w:val="clear"/>
          </w:tcPr>
          <w:p>
            <w:pPr>
              <w:pStyle w:val="Compact"/>
              <w:jc w:val="left"/>
              <w:keepNext w:val="true"/>
            </w:pPr>
            <w:r>
              <w:rPr>
                <w:rFonts w:ascii="Calibri" w:hAnsi="Calibri"/>
                <w:b/>
                <w:color w:val="FFFFFF"/>
                <w:sz w:val="20"/>
              </w:rPr>
              <w:t xml:space="preserve">n</w:t>
            </w:r>
          </w:p>
        </w:tc>
        <w:tc>
          <w:tcPr>
            <w:shd w:fill="0078D4" w:val="clear"/>
            <w:tcBorders>
              <w:top w:val="single" w:sz="4" w:space="0" w:color="666666"/>
              <w:bottom w:val="single" w:sz="4" w:space="0" w:color="AAAAAA"/>
              <w:left w:val="single" w:sz="4" w:space="0" w:color="AAAAAA"/>
              <w:right w:val="single" w:sz="4" w:space="0" w:color="666666"/>
            </w:tcBorders>
            <w:shd w:fill="0078D4" w:val="clear"/>
          </w:tcPr>
          <w:p>
            <w:pPr>
              <w:pStyle w:val="Compact"/>
              <w:jc w:val="left"/>
              <w:keepNext w:val="true"/>
            </w:pPr>
            <w:r>
              <w:rPr>
                <w:rFonts w:ascii="Calibri" w:hAnsi="Calibri"/>
                <w:b/>
                <w:color w:val="FFFFFF"/>
                <w:sz w:val="20"/>
              </w:rPr>
              <w:t xml:space="preserve">%</w:t>
            </w:r>
          </w:p>
        </w:tc>
      </w:tr>
      <w:tr>
        <w:trPr>
          <w:cantSplit w:val="true"/>
        </w:trPr>
        <w:tc>
          <w:tcPr>
            <w:shd w:fill="FFFFFF" w:val="clear"/>
            <w:tcBorders>
              <w:top w:val="single" w:sz="4" w:space="0" w:color="AAAAAA"/>
              <w:bottom w:val="single" w:sz="4" w:space="0" w:color="AAAAAA"/>
              <w:left w:val="single" w:sz="4" w:space="0" w:color="666666"/>
              <w:right w:val="single" w:sz="4" w:space="0" w:color="AAAAAA"/>
            </w:tcBorders>
          </w:tcPr>
          <w:p>
            <w:pPr>
              <w:pStyle w:val="Compact"/>
              <w:jc w:val="left"/>
              <w:keepNext w:val="true"/>
            </w:pPr>
            <w:r>
              <w:rPr>
                <w:rFonts w:ascii="Calibri" w:hAnsi="Calibri"/>
                <w:b w:val="0"/>
                <w:sz w:val="18"/>
              </w:rPr>
              <w:t xml:space="preserve">Academic (students)</w:t>
            </w:r>
          </w:p>
        </w:tc>
        <w:tc>
          <w:tcPr>
            <w:shd w:fill="FFFFFF" w:val="clear"/>
            <w:tcBorders>
              <w:top w:val="single" w:sz="4" w:space="0" w:color="AAAAAA"/>
              <w:bottom w:val="single" w:sz="4" w:space="0" w:color="AAAAAA"/>
              <w:left w:val="single" w:sz="4" w:space="0" w:color="AAAAAA"/>
              <w:right w:val="single" w:sz="4" w:space="0" w:color="AAAAAA"/>
            </w:tcBorders>
          </w:tcPr>
          <w:p>
            <w:pPr>
              <w:pStyle w:val="Compact"/>
              <w:jc w:val="left"/>
              <w:keepNext w:val="true"/>
            </w:pPr>
            <w:r>
              <w:rPr>
                <w:rFonts w:ascii="Calibri" w:hAnsi="Calibri"/>
                <w:b w:val="0"/>
                <w:sz w:val="18"/>
              </w:rPr>
              <w:t xml:space="preserve">216</w:t>
            </w:r>
          </w:p>
        </w:tc>
        <w:tc>
          <w:tcPr>
            <w:shd w:fill="FFFFFF" w:val="clear"/>
            <w:tcBorders>
              <w:top w:val="single" w:sz="4" w:space="0" w:color="AAAAAA"/>
              <w:bottom w:val="single" w:sz="4" w:space="0" w:color="AAAAAA"/>
              <w:left w:val="single" w:sz="4" w:space="0" w:color="AAAAAA"/>
              <w:right w:val="single" w:sz="4" w:space="0" w:color="666666"/>
            </w:tcBorders>
          </w:tcPr>
          <w:p>
            <w:pPr>
              <w:pStyle w:val="Compact"/>
              <w:jc w:val="left"/>
              <w:keepNext w:val="true"/>
            </w:pPr>
            <w:r>
              <w:rPr>
                <w:rFonts w:ascii="Calibri" w:hAnsi="Calibri"/>
                <w:b w:val="0"/>
                <w:sz w:val="18"/>
              </w:rPr>
              <w:t xml:space="preserve">41.3%</w:t>
            </w:r>
          </w:p>
        </w:tc>
      </w:tr>
      <w:tr>
        <w:trPr>
          <w:cantSplit w:val="true"/>
        </w:trPr>
        <w:tc>
          <w:tcPr>
            <w:shd w:fill="F0F0F0" w:val="clear"/>
            <w:tcBorders>
              <w:top w:val="single" w:sz="4" w:space="0" w:color="AAAAAA"/>
              <w:bottom w:val="single" w:sz="4" w:space="0" w:color="AAAAAA"/>
              <w:left w:val="single" w:sz="4" w:space="0" w:color="666666"/>
              <w:right w:val="single" w:sz="4" w:space="0" w:color="AAAAAA"/>
            </w:tcBorders>
            <w:shd w:fill="F0F0F0" w:val="clear"/>
          </w:tcPr>
          <w:p>
            <w:pPr>
              <w:pStyle w:val="Compact"/>
              <w:jc w:val="left"/>
              <w:keepNext w:val="true"/>
            </w:pPr>
            <w:r>
              <w:rPr>
                <w:rFonts w:ascii="Calibri" w:hAnsi="Calibri"/>
                <w:b w:val="0"/>
                <w:sz w:val="18"/>
              </w:rPr>
              <w:t xml:space="preserve">Professional (individual contributors, freelancers)</w:t>
            </w:r>
          </w:p>
        </w:tc>
        <w:tc>
          <w:tcPr>
            <w:shd w:fill="F0F0F0" w:val="clear"/>
            <w:tcBorders>
              <w:top w:val="single" w:sz="4" w:space="0" w:color="AAAAAA"/>
              <w:bottom w:val="single" w:sz="4" w:space="0" w:color="AAAAAA"/>
              <w:left w:val="single" w:sz="4" w:space="0" w:color="AAAAAA"/>
              <w:right w:val="single" w:sz="4" w:space="0" w:color="AAAAAA"/>
            </w:tcBorders>
            <w:shd w:fill="F0F0F0" w:val="clear"/>
          </w:tcPr>
          <w:p>
            <w:pPr>
              <w:pStyle w:val="Compact"/>
              <w:jc w:val="left"/>
              <w:keepNext w:val="true"/>
            </w:pPr>
            <w:r>
              <w:rPr>
                <w:rFonts w:ascii="Calibri" w:hAnsi="Calibri"/>
                <w:b w:val="0"/>
                <w:sz w:val="18"/>
              </w:rPr>
              <w:t xml:space="preserve">184</w:t>
            </w:r>
          </w:p>
        </w:tc>
        <w:tc>
          <w:tcPr>
            <w:shd w:fill="F0F0F0" w:val="clear"/>
            <w:tcBorders>
              <w:top w:val="single" w:sz="4" w:space="0" w:color="AAAAAA"/>
              <w:bottom w:val="single" w:sz="4" w:space="0" w:color="AAAAAA"/>
              <w:left w:val="single" w:sz="4" w:space="0" w:color="AAAAAA"/>
              <w:right w:val="single" w:sz="4" w:space="0" w:color="666666"/>
            </w:tcBorders>
            <w:shd w:fill="F0F0F0" w:val="clear"/>
          </w:tcPr>
          <w:p>
            <w:pPr>
              <w:pStyle w:val="Compact"/>
              <w:jc w:val="left"/>
              <w:keepNext w:val="true"/>
            </w:pPr>
            <w:r>
              <w:rPr>
                <w:rFonts w:ascii="Calibri" w:hAnsi="Calibri"/>
                <w:b w:val="0"/>
                <w:sz w:val="18"/>
              </w:rPr>
              <w:t xml:space="preserve">35.2%</w:t>
            </w:r>
          </w:p>
        </w:tc>
      </w:tr>
      <w:tr>
        <w:trPr>
          <w:cantSplit w:val="true"/>
        </w:trPr>
        <w:tc>
          <w:tcPr>
            <w:shd w:fill="FFFFFF" w:val="clear"/>
            <w:tcBorders>
              <w:top w:val="single" w:sz="4" w:space="0" w:color="AAAAAA"/>
              <w:bottom w:val="single" w:sz="4" w:space="0" w:color="666666"/>
              <w:left w:val="single" w:sz="4" w:space="0" w:color="666666"/>
              <w:right w:val="single" w:sz="4" w:space="0" w:color="AAAAAA"/>
            </w:tcBorders>
          </w:tcPr>
          <w:p>
            <w:pPr>
              <w:pStyle w:val="Compact"/>
              <w:jc w:val="left"/>
            </w:pPr>
            <w:r>
              <w:rPr>
                <w:rFonts w:ascii="Calibri" w:hAnsi="Calibri"/>
                <w:b w:val="0"/>
                <w:sz w:val="18"/>
              </w:rPr>
              <w:t xml:space="preserve">Leader (managers, executives)</w:t>
            </w:r>
          </w:p>
        </w:tc>
        <w:tc>
          <w:tcPr>
            <w:shd w:fill="FFFFFF" w:val="clear"/>
            <w:tcBorders>
              <w:top w:val="single" w:sz="4" w:space="0" w:color="AAAAAA"/>
              <w:bottom w:val="single" w:sz="4" w:space="0" w:color="666666"/>
              <w:left w:val="single" w:sz="4" w:space="0" w:color="AAAAAA"/>
              <w:right w:val="single" w:sz="4" w:space="0" w:color="AAAAAA"/>
            </w:tcBorders>
          </w:tcPr>
          <w:p>
            <w:pPr>
              <w:pStyle w:val="Compact"/>
              <w:jc w:val="left"/>
            </w:pPr>
            <w:r>
              <w:rPr>
                <w:rFonts w:ascii="Calibri" w:hAnsi="Calibri"/>
                <w:b w:val="0"/>
                <w:sz w:val="18"/>
              </w:rPr>
              <w:t xml:space="preserve">123</w:t>
            </w:r>
          </w:p>
        </w:tc>
        <w:tc>
          <w:tcPr>
            <w:shd w:fill="FFFFFF" w:val="clear"/>
            <w:tcBorders>
              <w:top w:val="single" w:sz="4" w:space="0" w:color="AAAAAA"/>
              <w:bottom w:val="single" w:sz="4" w:space="0" w:color="666666"/>
              <w:left w:val="single" w:sz="4" w:space="0" w:color="AAAAAA"/>
              <w:right w:val="single" w:sz="4" w:space="0" w:color="666666"/>
            </w:tcBorders>
          </w:tcPr>
          <w:p>
            <w:pPr>
              <w:pStyle w:val="Compact"/>
              <w:jc w:val="left"/>
            </w:pPr>
            <w:r>
              <w:rPr>
                <w:rFonts w:ascii="Calibri" w:hAnsi="Calibri"/>
                <w:b w:val="0"/>
                <w:sz w:val="18"/>
              </w:rPr>
              <w:t xml:space="preserve">23.5%</w:t>
            </w:r>
          </w:p>
        </w:tc>
      </w:tr>
    </w:tbl>
    <w:p>
      <w:pPr>
        <w:pStyle w:val="BodyText"/>
      </w:pPr>
      <w:r>
        <w:rPr>
          <w:b/>
          <w:bCs/>
        </w:rPr>
        <w:t xml:space="preserve">Disability Status:</w:t>
      </w:r>
      <w:r>
        <w:t xml:space="preserve"> </w:t>
      </w:r>
      <w:r>
        <w:t xml:space="preserve">68 participants (13.0%) reported a disability; 11 selected</w:t>
      </w:r>
      <w:r>
        <w:t xml:space="preserve"> </w:t>
      </w:r>
      <w:r>
        <w:t xml:space="preserve">“Prefer not to answer.”</w:t>
      </w:r>
    </w:p>
    <w:bookmarkEnd w:id="16"/>
    <w:bookmarkStart w:id="17" w:name="analytical-strategy"/>
    <w:p>
      <w:pPr>
        <w:pStyle w:val="Heading3"/>
      </w:pPr>
      <w:r>
        <w:t xml:space="preserve">3.4 Analytical Strategy</w:t>
      </w:r>
    </w:p>
    <w:p>
      <w:pPr>
        <w:pStyle w:val="FirstParagraph"/>
      </w:pPr>
      <w:r>
        <w:t xml:space="preserve">A 10-phase analysis pipeline was executed across dual platforms (Python and R/lavaan) for cross-validation:</w:t>
      </w:r>
    </w:p>
    <w:tbl>
      <w:tblPr>
        <w:tblStyle w:val="Table"/>
        <w:tblLayout w:type="fixed"/>
        <w:tblLook w:firstRow="1" w:lastRow="0" w:firstColumn="0" w:lastColumn="0" w:noHBand="0" w:noVBand="0" w:val="0020"/>
        <w:tblW w:type="pct" w:w="5000"/>
      </w:tblPr>
      <w:tblGrid>
        <w:gridCol w:w="1146"/>
        <w:gridCol w:w="6773"/>
      </w:tblGrid>
      <w:tr>
        <w:trPr>
          <w:tblHeader w:val="on"/>
          <w:cantSplit w:val="true"/>
        </w:trPr>
        <w:tc>
          <w:tcPr>
            <w:shd w:fill="0078D4" w:val="clear"/>
            <w:tcBorders>
              <w:top w:val="single" w:sz="4" w:space="0" w:color="666666"/>
              <w:bottom w:val="single" w:sz="4" w:space="0" w:color="AAAAAA"/>
              <w:left w:val="single" w:sz="4" w:space="0" w:color="666666"/>
              <w:right w:val="single" w:sz="4" w:space="0" w:color="AAAAAA"/>
            </w:tcBorders>
            <w:shd w:fill="0078D4" w:val="clear"/>
          </w:tcPr>
          <w:p>
            <w:pPr>
              <w:pStyle w:val="Compact"/>
              <w:jc w:val="left"/>
              <w:keepNext w:val="true"/>
            </w:pPr>
            <w:r>
              <w:rPr>
                <w:rFonts w:ascii="Calibri" w:hAnsi="Calibri"/>
                <w:b/>
                <w:color w:val="FFFFFF"/>
                <w:sz w:val="20"/>
              </w:rPr>
              <w:t xml:space="preserve">Phase</w:t>
            </w:r>
          </w:p>
        </w:tc>
        <w:tc>
          <w:tcPr>
            <w:shd w:fill="0078D4" w:val="clear"/>
            <w:tcBorders>
              <w:top w:val="single" w:sz="4" w:space="0" w:color="666666"/>
              <w:bottom w:val="single" w:sz="4" w:space="0" w:color="AAAAAA"/>
              <w:left w:val="single" w:sz="4" w:space="0" w:color="AAAAAA"/>
              <w:right w:val="single" w:sz="4" w:space="0" w:color="666666"/>
            </w:tcBorders>
            <w:shd w:fill="0078D4" w:val="clear"/>
          </w:tcPr>
          <w:p>
            <w:pPr>
              <w:pStyle w:val="Compact"/>
              <w:jc w:val="left"/>
              <w:keepNext w:val="true"/>
            </w:pPr>
            <w:r>
              <w:rPr>
                <w:rFonts w:ascii="Calibri" w:hAnsi="Calibri"/>
                <w:b/>
                <w:color w:val="FFFFFF"/>
                <w:sz w:val="20"/>
              </w:rPr>
              <w:t xml:space="preserve">Purpose</w:t>
            </w:r>
          </w:p>
        </w:tc>
      </w:tr>
      <w:tr>
        <w:trPr>
          <w:cantSplit w:val="true"/>
        </w:trPr>
        <w:tc>
          <w:tcPr>
            <w:shd w:fill="FFFFFF" w:val="clear"/>
            <w:tcBorders>
              <w:top w:val="single" w:sz="4" w:space="0" w:color="AAAAAA"/>
              <w:bottom w:val="single" w:sz="4" w:space="0" w:color="AAAAAA"/>
              <w:left w:val="single" w:sz="4" w:space="0" w:color="666666"/>
              <w:right w:val="single" w:sz="4" w:space="0" w:color="AAAAAA"/>
            </w:tcBorders>
          </w:tcPr>
          <w:p>
            <w:pPr>
              <w:pStyle w:val="Compact"/>
              <w:jc w:val="left"/>
              <w:keepNext w:val="true"/>
            </w:pPr>
            <w:r>
              <w:rPr>
                <w:rFonts w:ascii="Calibri" w:hAnsi="Calibri"/>
                <w:b w:val="0"/>
                <w:sz w:val="18"/>
              </w:rPr>
              <w:t xml:space="preserve">0</w:t>
            </w:r>
          </w:p>
        </w:tc>
        <w:tc>
          <w:tcPr>
            <w:shd w:fill="FFFFFF" w:val="clear"/>
            <w:tcBorders>
              <w:top w:val="single" w:sz="4" w:space="0" w:color="AAAAAA"/>
              <w:bottom w:val="single" w:sz="4" w:space="0" w:color="AAAAAA"/>
              <w:left w:val="single" w:sz="4" w:space="0" w:color="AAAAAA"/>
              <w:right w:val="single" w:sz="4" w:space="0" w:color="666666"/>
            </w:tcBorders>
          </w:tcPr>
          <w:p>
            <w:pPr>
              <w:pStyle w:val="Compact"/>
              <w:jc w:val="left"/>
              <w:keepNext w:val="true"/>
            </w:pPr>
            <w:r>
              <w:rPr>
                <w:rFonts w:ascii="Calibri" w:hAnsi="Calibri"/>
                <w:b w:val="0"/>
                <w:sz w:val="18"/>
              </w:rPr>
              <w:t xml:space="preserve">Sample splitting (50/50, seed = 67, stratified by AI adoption)</w:t>
            </w:r>
          </w:p>
        </w:tc>
      </w:tr>
      <w:tr>
        <w:trPr>
          <w:cantSplit w:val="true"/>
        </w:trPr>
        <w:tc>
          <w:tcPr>
            <w:shd w:fill="F0F0F0" w:val="clear"/>
            <w:tcBorders>
              <w:top w:val="single" w:sz="4" w:space="0" w:color="AAAAAA"/>
              <w:bottom w:val="single" w:sz="4" w:space="0" w:color="AAAAAA"/>
              <w:left w:val="single" w:sz="4" w:space="0" w:color="666666"/>
              <w:right w:val="single" w:sz="4" w:space="0" w:color="AAAAAA"/>
            </w:tcBorders>
            <w:shd w:fill="F0F0F0" w:val="clear"/>
          </w:tcPr>
          <w:p>
            <w:pPr>
              <w:pStyle w:val="Compact"/>
              <w:jc w:val="left"/>
              <w:keepNext w:val="true"/>
            </w:pPr>
            <w:r>
              <w:rPr>
                <w:rFonts w:ascii="Calibri" w:hAnsi="Calibri"/>
                <w:b w:val="0"/>
                <w:sz w:val="18"/>
              </w:rPr>
              <w:t xml:space="preserve">1</w:t>
            </w:r>
          </w:p>
        </w:tc>
        <w:tc>
          <w:tcPr>
            <w:shd w:fill="F0F0F0" w:val="clear"/>
            <w:tcBorders>
              <w:top w:val="single" w:sz="4" w:space="0" w:color="AAAAAA"/>
              <w:bottom w:val="single" w:sz="4" w:space="0" w:color="AAAAAA"/>
              <w:left w:val="single" w:sz="4" w:space="0" w:color="AAAAAA"/>
              <w:right w:val="single" w:sz="4" w:space="0" w:color="666666"/>
            </w:tcBorders>
            <w:shd w:fill="F0F0F0" w:val="clear"/>
          </w:tcPr>
          <w:p>
            <w:pPr>
              <w:pStyle w:val="Compact"/>
              <w:jc w:val="left"/>
              <w:keepNext w:val="true"/>
            </w:pPr>
            <w:r>
              <w:rPr>
                <w:rFonts w:ascii="Calibri" w:hAnsi="Calibri"/>
                <w:b w:val="0"/>
                <w:sz w:val="18"/>
              </w:rPr>
              <w:t xml:space="preserve">Exploratory Factor Analysis (EFA) on development sample (n = 261)</w:t>
            </w:r>
          </w:p>
        </w:tc>
      </w:tr>
      <w:tr>
        <w:trPr>
          <w:cantSplit w:val="true"/>
        </w:trPr>
        <w:tc>
          <w:tcPr>
            <w:shd w:fill="FFFFFF" w:val="clear"/>
            <w:tcBorders>
              <w:top w:val="single" w:sz="4" w:space="0" w:color="AAAAAA"/>
              <w:bottom w:val="single" w:sz="4" w:space="0" w:color="AAAAAA"/>
              <w:left w:val="single" w:sz="4" w:space="0" w:color="666666"/>
              <w:right w:val="single" w:sz="4" w:space="0" w:color="AAAAAA"/>
            </w:tcBorders>
          </w:tcPr>
          <w:p>
            <w:pPr>
              <w:pStyle w:val="Compact"/>
              <w:jc w:val="left"/>
              <w:keepNext w:val="true"/>
            </w:pPr>
            <w:r>
              <w:rPr>
                <w:rFonts w:ascii="Calibri" w:hAnsi="Calibri"/>
                <w:b w:val="0"/>
                <w:sz w:val="18"/>
              </w:rPr>
              <w:t xml:space="preserve">2</w:t>
            </w:r>
          </w:p>
        </w:tc>
        <w:tc>
          <w:tcPr>
            <w:shd w:fill="FFFFFF" w:val="clear"/>
            <w:tcBorders>
              <w:top w:val="single" w:sz="4" w:space="0" w:color="AAAAAA"/>
              <w:bottom w:val="single" w:sz="4" w:space="0" w:color="AAAAAA"/>
              <w:left w:val="single" w:sz="4" w:space="0" w:color="AAAAAA"/>
              <w:right w:val="single" w:sz="4" w:space="0" w:color="666666"/>
            </w:tcBorders>
          </w:tcPr>
          <w:p>
            <w:pPr>
              <w:pStyle w:val="Compact"/>
              <w:jc w:val="left"/>
              <w:keepNext w:val="true"/>
            </w:pPr>
            <w:r>
              <w:rPr>
                <w:rFonts w:ascii="Calibri" w:hAnsi="Calibri"/>
                <w:b w:val="0"/>
                <w:sz w:val="18"/>
              </w:rPr>
              <w:t xml:space="preserve">Confirmatory Factor Analysis (CFA) on holdout sample (n = 262)</w:t>
            </w:r>
          </w:p>
        </w:tc>
      </w:tr>
      <w:tr>
        <w:trPr>
          <w:cantSplit w:val="true"/>
        </w:trPr>
        <w:tc>
          <w:tcPr>
            <w:shd w:fill="F0F0F0" w:val="clear"/>
            <w:tcBorders>
              <w:top w:val="single" w:sz="4" w:space="0" w:color="AAAAAA"/>
              <w:bottom w:val="single" w:sz="4" w:space="0" w:color="AAAAAA"/>
              <w:left w:val="single" w:sz="4" w:space="0" w:color="666666"/>
              <w:right w:val="single" w:sz="4" w:space="0" w:color="AAAAAA"/>
            </w:tcBorders>
            <w:shd w:fill="F0F0F0" w:val="clear"/>
          </w:tcPr>
          <w:p>
            <w:pPr>
              <w:pStyle w:val="Compact"/>
              <w:jc w:val="left"/>
              <w:keepNext w:val="true"/>
            </w:pPr>
            <w:r>
              <w:rPr>
                <w:rFonts w:ascii="Calibri" w:hAnsi="Calibri"/>
                <w:b w:val="0"/>
                <w:sz w:val="18"/>
              </w:rPr>
              <w:t xml:space="preserve">3</w:t>
            </w:r>
          </w:p>
        </w:tc>
        <w:tc>
          <w:tcPr>
            <w:shd w:fill="F0F0F0" w:val="clear"/>
            <w:tcBorders>
              <w:top w:val="single" w:sz="4" w:space="0" w:color="AAAAAA"/>
              <w:bottom w:val="single" w:sz="4" w:space="0" w:color="AAAAAA"/>
              <w:left w:val="single" w:sz="4" w:space="0" w:color="AAAAAA"/>
              <w:right w:val="single" w:sz="4" w:space="0" w:color="666666"/>
            </w:tcBorders>
            <w:shd w:fill="F0F0F0" w:val="clear"/>
          </w:tcPr>
          <w:p>
            <w:pPr>
              <w:pStyle w:val="Compact"/>
              <w:jc w:val="left"/>
              <w:keepNext w:val="true"/>
            </w:pPr>
            <w:r>
              <w:rPr>
                <w:rFonts w:ascii="Calibri" w:hAnsi="Calibri"/>
                <w:b w:val="0"/>
                <w:sz w:val="18"/>
              </w:rPr>
              <w:t xml:space="preserve">Measurement invariance testing</w:t>
            </w:r>
          </w:p>
        </w:tc>
      </w:tr>
      <w:tr>
        <w:trPr>
          <w:cantSplit w:val="true"/>
        </w:trPr>
        <w:tc>
          <w:tcPr>
            <w:shd w:fill="FFFFFF" w:val="clear"/>
            <w:tcBorders>
              <w:top w:val="single" w:sz="4" w:space="0" w:color="AAAAAA"/>
              <w:bottom w:val="single" w:sz="4" w:space="0" w:color="AAAAAA"/>
              <w:left w:val="single" w:sz="4" w:space="0" w:color="666666"/>
              <w:right w:val="single" w:sz="4" w:space="0" w:color="AAAAAA"/>
            </w:tcBorders>
          </w:tcPr>
          <w:p>
            <w:pPr>
              <w:pStyle w:val="Compact"/>
              <w:jc w:val="left"/>
              <w:keepNext w:val="true"/>
            </w:pPr>
            <w:r>
              <w:rPr>
                <w:rFonts w:ascii="Calibri" w:hAnsi="Calibri"/>
                <w:b w:val="0"/>
                <w:sz w:val="18"/>
              </w:rPr>
              <w:t xml:space="preserve">4</w:t>
            </w:r>
          </w:p>
        </w:tc>
        <w:tc>
          <w:tcPr>
            <w:shd w:fill="FFFFFF" w:val="clear"/>
            <w:tcBorders>
              <w:top w:val="single" w:sz="4" w:space="0" w:color="AAAAAA"/>
              <w:bottom w:val="single" w:sz="4" w:space="0" w:color="AAAAAA"/>
              <w:left w:val="single" w:sz="4" w:space="0" w:color="AAAAAA"/>
              <w:right w:val="single" w:sz="4" w:space="0" w:color="666666"/>
            </w:tcBorders>
          </w:tcPr>
          <w:p>
            <w:pPr>
              <w:pStyle w:val="Compact"/>
              <w:jc w:val="left"/>
              <w:keepNext w:val="true"/>
            </w:pPr>
            <w:r>
              <w:rPr>
                <w:rFonts w:ascii="Calibri" w:hAnsi="Calibri"/>
                <w:b w:val="0"/>
                <w:sz w:val="18"/>
              </w:rPr>
              <w:t xml:space="preserve">Structural Equation Modeling</w:t>
            </w:r>
          </w:p>
        </w:tc>
      </w:tr>
      <w:tr>
        <w:trPr>
          <w:cantSplit w:val="true"/>
        </w:trPr>
        <w:tc>
          <w:tcPr>
            <w:shd w:fill="F0F0F0" w:val="clear"/>
            <w:tcBorders>
              <w:top w:val="single" w:sz="4" w:space="0" w:color="AAAAAA"/>
              <w:bottom w:val="single" w:sz="4" w:space="0" w:color="AAAAAA"/>
              <w:left w:val="single" w:sz="4" w:space="0" w:color="666666"/>
              <w:right w:val="single" w:sz="4" w:space="0" w:color="AAAAAA"/>
            </w:tcBorders>
            <w:shd w:fill="F0F0F0" w:val="clear"/>
          </w:tcPr>
          <w:p>
            <w:pPr>
              <w:pStyle w:val="Compact"/>
              <w:jc w:val="left"/>
              <w:keepNext w:val="true"/>
            </w:pPr>
            <w:r>
              <w:rPr>
                <w:rFonts w:ascii="Calibri" w:hAnsi="Calibri"/>
                <w:b w:val="0"/>
                <w:sz w:val="18"/>
              </w:rPr>
              <w:t xml:space="preserve">5</w:t>
            </w:r>
          </w:p>
        </w:tc>
        <w:tc>
          <w:tcPr>
            <w:shd w:fill="F0F0F0" w:val="clear"/>
            <w:tcBorders>
              <w:top w:val="single" w:sz="4" w:space="0" w:color="AAAAAA"/>
              <w:bottom w:val="single" w:sz="4" w:space="0" w:color="AAAAAA"/>
              <w:left w:val="single" w:sz="4" w:space="0" w:color="AAAAAA"/>
              <w:right w:val="single" w:sz="4" w:space="0" w:color="666666"/>
            </w:tcBorders>
            <w:shd w:fill="F0F0F0" w:val="clear"/>
          </w:tcPr>
          <w:p>
            <w:pPr>
              <w:pStyle w:val="Compact"/>
              <w:jc w:val="left"/>
              <w:keepNext w:val="true"/>
            </w:pPr>
            <w:r>
              <w:rPr>
                <w:rFonts w:ascii="Calibri" w:hAnsi="Calibri"/>
                <w:b w:val="0"/>
                <w:sz w:val="18"/>
              </w:rPr>
              <w:t xml:space="preserve">Mediation analysis</w:t>
            </w:r>
          </w:p>
        </w:tc>
      </w:tr>
      <w:tr>
        <w:trPr>
          <w:cantSplit w:val="true"/>
        </w:trPr>
        <w:tc>
          <w:tcPr>
            <w:shd w:fill="FFFFFF" w:val="clear"/>
            <w:tcBorders>
              <w:top w:val="single" w:sz="4" w:space="0" w:color="AAAAAA"/>
              <w:bottom w:val="single" w:sz="4" w:space="0" w:color="AAAAAA"/>
              <w:left w:val="single" w:sz="4" w:space="0" w:color="666666"/>
              <w:right w:val="single" w:sz="4" w:space="0" w:color="AAAAAA"/>
            </w:tcBorders>
          </w:tcPr>
          <w:p>
            <w:pPr>
              <w:pStyle w:val="Compact"/>
              <w:jc w:val="left"/>
              <w:keepNext w:val="true"/>
            </w:pPr>
            <w:r>
              <w:rPr>
                <w:rFonts w:ascii="Calibri" w:hAnsi="Calibri"/>
                <w:b w:val="0"/>
                <w:sz w:val="18"/>
              </w:rPr>
              <w:t xml:space="preserve">6</w:t>
            </w:r>
          </w:p>
        </w:tc>
        <w:tc>
          <w:tcPr>
            <w:shd w:fill="FFFFFF" w:val="clear"/>
            <w:tcBorders>
              <w:top w:val="single" w:sz="4" w:space="0" w:color="AAAAAA"/>
              <w:bottom w:val="single" w:sz="4" w:space="0" w:color="AAAAAA"/>
              <w:left w:val="single" w:sz="4" w:space="0" w:color="AAAAAA"/>
              <w:right w:val="single" w:sz="4" w:space="0" w:color="666666"/>
            </w:tcBorders>
          </w:tcPr>
          <w:p>
            <w:pPr>
              <w:pStyle w:val="Compact"/>
              <w:jc w:val="left"/>
              <w:keepNext w:val="true"/>
            </w:pPr>
            <w:r>
              <w:rPr>
                <w:rFonts w:ascii="Calibri" w:hAnsi="Calibri"/>
                <w:b w:val="0"/>
                <w:sz w:val="18"/>
              </w:rPr>
              <w:t xml:space="preserve">Moderation analysis</w:t>
            </w:r>
          </w:p>
        </w:tc>
      </w:tr>
      <w:tr>
        <w:trPr>
          <w:cantSplit w:val="true"/>
        </w:trPr>
        <w:tc>
          <w:tcPr>
            <w:shd w:fill="F0F0F0" w:val="clear"/>
            <w:tcBorders>
              <w:top w:val="single" w:sz="4" w:space="0" w:color="AAAAAA"/>
              <w:bottom w:val="single" w:sz="4" w:space="0" w:color="AAAAAA"/>
              <w:left w:val="single" w:sz="4" w:space="0" w:color="666666"/>
              <w:right w:val="single" w:sz="4" w:space="0" w:color="AAAAAA"/>
            </w:tcBorders>
            <w:shd w:fill="F0F0F0" w:val="clear"/>
          </w:tcPr>
          <w:p>
            <w:pPr>
              <w:pStyle w:val="Compact"/>
              <w:jc w:val="left"/>
              <w:keepNext w:val="true"/>
            </w:pPr>
            <w:r>
              <w:rPr>
                <w:rFonts w:ascii="Calibri" w:hAnsi="Calibri"/>
                <w:b w:val="0"/>
                <w:sz w:val="18"/>
              </w:rPr>
              <w:t xml:space="preserve">7</w:t>
            </w:r>
          </w:p>
        </w:tc>
        <w:tc>
          <w:tcPr>
            <w:shd w:fill="F0F0F0" w:val="clear"/>
            <w:tcBorders>
              <w:top w:val="single" w:sz="4" w:space="0" w:color="AAAAAA"/>
              <w:bottom w:val="single" w:sz="4" w:space="0" w:color="AAAAAA"/>
              <w:left w:val="single" w:sz="4" w:space="0" w:color="AAAAAA"/>
              <w:right w:val="single" w:sz="4" w:space="0" w:color="666666"/>
            </w:tcBorders>
            <w:shd w:fill="F0F0F0" w:val="clear"/>
          </w:tcPr>
          <w:p>
            <w:pPr>
              <w:pStyle w:val="Compact"/>
              <w:jc w:val="left"/>
              <w:keepNext w:val="true"/>
            </w:pPr>
            <w:r>
              <w:rPr>
                <w:rFonts w:ascii="Calibri" w:hAnsi="Calibri"/>
                <w:b w:val="0"/>
                <w:sz w:val="18"/>
              </w:rPr>
              <w:t xml:space="preserve">Behavioral validation (tool usage)</w:t>
            </w:r>
          </w:p>
        </w:tc>
      </w:tr>
      <w:tr>
        <w:trPr>
          <w:cantSplit w:val="true"/>
        </w:trPr>
        <w:tc>
          <w:tcPr>
            <w:shd w:fill="FFFFFF" w:val="clear"/>
            <w:tcBorders>
              <w:top w:val="single" w:sz="4" w:space="0" w:color="AAAAAA"/>
              <w:bottom w:val="single" w:sz="4" w:space="0" w:color="AAAAAA"/>
              <w:left w:val="single" w:sz="4" w:space="0" w:color="666666"/>
              <w:right w:val="single" w:sz="4" w:space="0" w:color="AAAAAA"/>
            </w:tcBorders>
          </w:tcPr>
          <w:p>
            <w:pPr>
              <w:pStyle w:val="Compact"/>
              <w:jc w:val="left"/>
              <w:keepNext w:val="true"/>
            </w:pPr>
            <w:r>
              <w:rPr>
                <w:rFonts w:ascii="Calibri" w:hAnsi="Calibri"/>
                <w:b w:val="0"/>
                <w:sz w:val="18"/>
              </w:rPr>
              <w:t xml:space="preserve">8</w:t>
            </w:r>
          </w:p>
        </w:tc>
        <w:tc>
          <w:tcPr>
            <w:shd w:fill="FFFFFF" w:val="clear"/>
            <w:tcBorders>
              <w:top w:val="single" w:sz="4" w:space="0" w:color="AAAAAA"/>
              <w:bottom w:val="single" w:sz="4" w:space="0" w:color="AAAAAA"/>
              <w:left w:val="single" w:sz="4" w:space="0" w:color="AAAAAA"/>
              <w:right w:val="single" w:sz="4" w:space="0" w:color="666666"/>
            </w:tcBorders>
          </w:tcPr>
          <w:p>
            <w:pPr>
              <w:pStyle w:val="Compact"/>
              <w:jc w:val="left"/>
              <w:keepNext w:val="true"/>
            </w:pPr>
            <w:r>
              <w:rPr>
                <w:rFonts w:ascii="Calibri" w:hAnsi="Calibri"/>
                <w:b w:val="0"/>
                <w:sz w:val="18"/>
              </w:rPr>
              <w:t xml:space="preserve">Qualitative content analysis</w:t>
            </w:r>
          </w:p>
        </w:tc>
      </w:tr>
      <w:tr>
        <w:trPr>
          <w:cantSplit w:val="true"/>
        </w:trPr>
        <w:tc>
          <w:tcPr>
            <w:shd w:fill="F0F0F0" w:val="clear"/>
            <w:tcBorders>
              <w:top w:val="single" w:sz="4" w:space="0" w:color="AAAAAA"/>
              <w:bottom w:val="single" w:sz="4" w:space="0" w:color="666666"/>
              <w:left w:val="single" w:sz="4" w:space="0" w:color="666666"/>
              <w:right w:val="single" w:sz="4" w:space="0" w:color="AAAAAA"/>
            </w:tcBorders>
            <w:shd w:fill="F0F0F0" w:val="clear"/>
          </w:tcPr>
          <w:p>
            <w:pPr>
              <w:pStyle w:val="Compact"/>
              <w:jc w:val="left"/>
            </w:pPr>
            <w:r>
              <w:rPr>
                <w:rFonts w:ascii="Calibri" w:hAnsi="Calibri"/>
                <w:b w:val="0"/>
                <w:sz w:val="18"/>
              </w:rPr>
              <w:t xml:space="preserve">9–10</w:t>
            </w:r>
          </w:p>
        </w:tc>
        <w:tc>
          <w:tcPr>
            <w:shd w:fill="F0F0F0" w:val="clear"/>
            <w:tcBorders>
              <w:top w:val="single" w:sz="4" w:space="0" w:color="AAAAAA"/>
              <w:bottom w:val="single" w:sz="4" w:space="0" w:color="666666"/>
              <w:left w:val="single" w:sz="4" w:space="0" w:color="AAAAAA"/>
              <w:right w:val="single" w:sz="4" w:space="0" w:color="666666"/>
            </w:tcBorders>
            <w:shd w:fill="F0F0F0" w:val="clear"/>
          </w:tcPr>
          <w:p>
            <w:pPr>
              <w:pStyle w:val="Compact"/>
              <w:jc w:val="left"/>
            </w:pPr>
            <w:r>
              <w:rPr>
                <w:rFonts w:ascii="Calibri" w:hAnsi="Calibri"/>
                <w:b w:val="0"/>
                <w:sz w:val="18"/>
              </w:rPr>
              <w:t xml:space="preserve">Comprehensive review and synthesis</w:t>
            </w:r>
          </w:p>
        </w:tc>
      </w:tr>
    </w:tbl>
    <w:p>
      <w:pPr>
        <w:pStyle w:val="BodyText"/>
      </w:pPr>
      <w:r>
        <w:rPr>
          <w:b/>
          <w:bCs/>
        </w:rPr>
        <w:t xml:space="preserve">EFA specifications:</w:t>
      </w:r>
      <w:r>
        <w:t xml:space="preserve"> </w:t>
      </w:r>
      <w:r>
        <w:t xml:space="preserve">MINRES extraction with promax (oblique) rotation; item retention required primary loading ≥ .50, cross-loading gap ≥ .20, and communality ≥ .30.</w:t>
      </w:r>
    </w:p>
    <w:p>
      <w:pPr>
        <w:pStyle w:val="BodyText"/>
      </w:pPr>
      <w:r>
        <w:rPr>
          <w:b/>
          <w:bCs/>
        </w:rPr>
        <w:t xml:space="preserve">CFA/SEM estimation:</w:t>
      </w:r>
      <w:r>
        <w:t xml:space="preserve"> </w:t>
      </w:r>
      <w:r>
        <w:t xml:space="preserve">Maximum Likelihood with Satorra-Bentler robust corrections (MLM) via R/lavaan 0.6.21. Bootstrap validation: 1,000 resamples for path coefficient robustness.</w:t>
      </w:r>
    </w:p>
    <w:bookmarkEnd w:id="17"/>
    <w:bookmarkEnd w:id="18"/>
    <w:bookmarkStart w:id="40" w:name="key-findings"/>
    <w:p>
      <w:pPr>
        <w:pStyle w:val="Heading2"/>
      </w:pPr>
      <w:r>
        <w:t xml:space="preserve">4. Key Findings</w:t>
      </w:r>
    </w:p>
    <w:bookmarkStart w:id="24" w:name="X6df598781b2f3379008f884a2d1e205c284e10c"/>
    <w:p>
      <w:pPr>
        <w:pStyle w:val="Heading3"/>
      </w:pPr>
      <w:r>
        <w:t xml:space="preserve">4.1 Measurement Model: Psychometric Properties</w:t>
      </w:r>
    </w:p>
    <w:bookmarkStart w:id="19" w:name="data-adequacy"/>
    <w:p>
      <w:pPr>
        <w:pStyle w:val="Heading4"/>
      </w:pPr>
      <w:r>
        <w:t xml:space="preserve">Data Adequacy</w:t>
      </w:r>
    </w:p>
    <w:p>
      <w:pPr>
        <w:pStyle w:val="FirstParagraph"/>
      </w:pPr>
      <w:r>
        <w:t xml:space="preserve">The 16-item data demonstrated excellent suitability for factor analysis:</w:t>
      </w:r>
      <w:r>
        <w:t xml:space="preserve"> </w:t>
      </w:r>
      <w:r>
        <w:t xml:space="preserve">-</w:t>
      </w:r>
      <w:r>
        <w:t xml:space="preserve"> </w:t>
      </w:r>
      <w:r>
        <w:rPr>
          <w:b/>
          <w:bCs/>
        </w:rPr>
        <w:t xml:space="preserve">KMO</w:t>
      </w:r>
      <w:r>
        <w:t xml:space="preserve"> </w:t>
      </w:r>
      <w:r>
        <w:t xml:space="preserve">= .937 (superb)</w:t>
      </w:r>
      <w:r>
        <w:t xml:space="preserve"> </w:t>
      </w:r>
      <w:r>
        <w:t xml:space="preserve">-</w:t>
      </w:r>
      <w:r>
        <w:t xml:space="preserve"> </w:t>
      </w:r>
      <w:r>
        <w:rPr>
          <w:b/>
          <w:bCs/>
        </w:rPr>
        <w:t xml:space="preserve">Bartlett’s Test</w:t>
      </w:r>
      <w:r>
        <w:t xml:space="preserve"> </w:t>
      </w:r>
      <w:r>
        <w:t xml:space="preserve">χ² = 4,668.45, p &lt; .001</w:t>
      </w:r>
      <w:r>
        <w:t xml:space="preserve"> </w:t>
      </w:r>
      <w:r>
        <w:t xml:space="preserve">- No multivariate outliers detected (Mahalanobis distance, Bonferroni-corrected)</w:t>
      </w:r>
    </w:p>
    <w:bookmarkEnd w:id="19"/>
    <w:bookmarkStart w:id="20" w:name="X06fe3e8c654fcf812aaac1c07ab5a47b74b66af"/>
    <w:p>
      <w:pPr>
        <w:pStyle w:val="Heading4"/>
      </w:pPr>
      <w:r>
        <w:t xml:space="preserve">Confirmatory Factor Analysis (Holdout Sample, n = 262)</w:t>
      </w:r>
    </w:p>
    <w:p>
      <w:pPr>
        <w:pStyle w:val="FirstParagraph"/>
      </w:pPr>
      <w:r>
        <w:t xml:space="preserve">The 8-factor CFA model achieved excellent fit on the independent holdout sample:</w:t>
      </w:r>
    </w:p>
    <w:tbl>
      <w:tblPr>
        <w:tblStyle w:val="Table"/>
        <w:tblLayout w:type="fixed"/>
        <w:tblLook w:firstRow="1" w:lastRow="0" w:firstColumn="0" w:lastColumn="0" w:noHBand="0" w:noVBand="0" w:val="0020"/>
        <w:tblW w:type="pct" w:w="5000"/>
      </w:tblPr>
      <w:tblGrid>
        <w:gridCol w:w="2396"/>
        <w:gridCol w:w="1563"/>
        <w:gridCol w:w="1980"/>
        <w:gridCol w:w="1980"/>
      </w:tblGrid>
      <w:tr>
        <w:trPr>
          <w:tblHeader w:val="on"/>
          <w:cantSplit w:val="true"/>
        </w:trPr>
        <w:tc>
          <w:tcPr>
            <w:shd w:fill="0078D4" w:val="clear"/>
            <w:tcBorders>
              <w:top w:val="single" w:sz="4" w:space="0" w:color="666666"/>
              <w:bottom w:val="single" w:sz="4" w:space="0" w:color="AAAAAA"/>
              <w:left w:val="single" w:sz="4" w:space="0" w:color="666666"/>
              <w:right w:val="single" w:sz="4" w:space="0" w:color="AAAAAA"/>
            </w:tcBorders>
            <w:shd w:fill="0078D4" w:val="clear"/>
          </w:tcPr>
          <w:p>
            <w:pPr>
              <w:pStyle w:val="Compact"/>
              <w:jc w:val="left"/>
              <w:keepNext w:val="true"/>
            </w:pPr>
            <w:r>
              <w:rPr>
                <w:rFonts w:ascii="Calibri" w:hAnsi="Calibri"/>
                <w:b/>
                <w:color w:val="FFFFFF"/>
                <w:sz w:val="20"/>
              </w:rPr>
              <w:t xml:space="preserve">Index</w:t>
            </w:r>
          </w:p>
        </w:tc>
        <w:tc>
          <w:tcPr>
            <w:shd w:fill="0078D4" w:val="clear"/>
            <w:tcBorders>
              <w:top w:val="single" w:sz="4" w:space="0" w:color="666666"/>
              <w:bottom w:val="single" w:sz="4" w:space="0" w:color="AAAAAA"/>
              <w:left w:val="single" w:sz="4" w:space="0" w:color="AAAAAA"/>
              <w:right w:val="single" w:sz="4" w:space="0" w:color="AAAAAA"/>
            </w:tcBorders>
            <w:shd w:fill="0078D4" w:val="clear"/>
          </w:tcPr>
          <w:p>
            <w:pPr>
              <w:pStyle w:val="Compact"/>
              <w:jc w:val="left"/>
              <w:keepNext w:val="true"/>
            </w:pPr>
            <w:r>
              <w:rPr>
                <w:rFonts w:ascii="Calibri" w:hAnsi="Calibri"/>
                <w:b/>
                <w:color w:val="FFFFFF"/>
                <w:sz w:val="20"/>
              </w:rPr>
              <w:t xml:space="preserve">Value</w:t>
            </w:r>
          </w:p>
        </w:tc>
        <w:tc>
          <w:tcPr>
            <w:shd w:fill="0078D4" w:val="clear"/>
            <w:tcBorders>
              <w:top w:val="single" w:sz="4" w:space="0" w:color="666666"/>
              <w:bottom w:val="single" w:sz="4" w:space="0" w:color="AAAAAA"/>
              <w:left w:val="single" w:sz="4" w:space="0" w:color="AAAAAA"/>
              <w:right w:val="single" w:sz="4" w:space="0" w:color="AAAAAA"/>
            </w:tcBorders>
            <w:shd w:fill="0078D4" w:val="clear"/>
          </w:tcPr>
          <w:p>
            <w:pPr>
              <w:pStyle w:val="Compact"/>
              <w:jc w:val="left"/>
              <w:keepNext w:val="true"/>
            </w:pPr>
            <w:r>
              <w:rPr>
                <w:rFonts w:ascii="Calibri" w:hAnsi="Calibri"/>
                <w:b/>
                <w:color w:val="FFFFFF"/>
                <w:sz w:val="20"/>
              </w:rPr>
              <w:t xml:space="preserve">Threshold</w:t>
            </w:r>
          </w:p>
        </w:tc>
        <w:tc>
          <w:tcPr>
            <w:shd w:fill="0078D4" w:val="clear"/>
            <w:tcBorders>
              <w:top w:val="single" w:sz="4" w:space="0" w:color="666666"/>
              <w:bottom w:val="single" w:sz="4" w:space="0" w:color="AAAAAA"/>
              <w:left w:val="single" w:sz="4" w:space="0" w:color="AAAAAA"/>
              <w:right w:val="single" w:sz="4" w:space="0" w:color="666666"/>
            </w:tcBorders>
            <w:shd w:fill="0078D4" w:val="clear"/>
          </w:tcPr>
          <w:p>
            <w:pPr>
              <w:pStyle w:val="Compact"/>
              <w:jc w:val="left"/>
              <w:keepNext w:val="true"/>
            </w:pPr>
            <w:r>
              <w:rPr>
                <w:rFonts w:ascii="Calibri" w:hAnsi="Calibri"/>
                <w:b/>
                <w:color w:val="FFFFFF"/>
                <w:sz w:val="20"/>
              </w:rPr>
              <w:t xml:space="preserve">Assessment</w:t>
            </w:r>
          </w:p>
        </w:tc>
      </w:tr>
      <w:tr>
        <w:trPr>
          <w:cantSplit w:val="true"/>
        </w:trPr>
        <w:tc>
          <w:tcPr>
            <w:shd w:fill="FFFFFF" w:val="clear"/>
            <w:tcBorders>
              <w:top w:val="single" w:sz="4" w:space="0" w:color="AAAAAA"/>
              <w:bottom w:val="single" w:sz="4" w:space="0" w:color="AAAAAA"/>
              <w:left w:val="single" w:sz="4" w:space="0" w:color="666666"/>
              <w:right w:val="single" w:sz="4" w:space="0" w:color="AAAAAA"/>
            </w:tcBorders>
          </w:tcPr>
          <w:p>
            <w:pPr>
              <w:pStyle w:val="Compact"/>
              <w:jc w:val="left"/>
              <w:keepNext w:val="true"/>
            </w:pPr>
            <w:r>
              <w:rPr>
                <w:rFonts w:ascii="Calibri" w:hAnsi="Calibri"/>
                <w:b w:val="0"/>
                <w:sz w:val="18"/>
              </w:rPr>
              <w:t xml:space="preserve">CFI</w:t>
            </w:r>
          </w:p>
        </w:tc>
        <w:tc>
          <w:tcPr>
            <w:shd w:fill="FFFFFF" w:val="clear"/>
            <w:tcBorders>
              <w:top w:val="single" w:sz="4" w:space="0" w:color="AAAAAA"/>
              <w:bottom w:val="single" w:sz="4" w:space="0" w:color="AAAAAA"/>
              <w:left w:val="single" w:sz="4" w:space="0" w:color="AAAAAA"/>
              <w:right w:val="single" w:sz="4" w:space="0" w:color="AAAAAA"/>
            </w:tcBorders>
          </w:tcPr>
          <w:p>
            <w:pPr>
              <w:pStyle w:val="Compact"/>
              <w:jc w:val="left"/>
              <w:keepNext w:val="true"/>
            </w:pPr>
            <w:r>
              <w:rPr>
                <w:rFonts w:ascii="Calibri" w:hAnsi="Calibri"/>
                <w:b w:val="0"/>
                <w:sz w:val="18"/>
              </w:rPr>
              <w:t xml:space="preserve">.975</w:t>
            </w:r>
          </w:p>
        </w:tc>
        <w:tc>
          <w:tcPr>
            <w:shd w:fill="FFFFFF" w:val="clear"/>
            <w:tcBorders>
              <w:top w:val="single" w:sz="4" w:space="0" w:color="AAAAAA"/>
              <w:bottom w:val="single" w:sz="4" w:space="0" w:color="AAAAAA"/>
              <w:left w:val="single" w:sz="4" w:space="0" w:color="AAAAAA"/>
              <w:right w:val="single" w:sz="4" w:space="0" w:color="AAAAAA"/>
            </w:tcBorders>
          </w:tcPr>
          <w:p>
            <w:pPr>
              <w:pStyle w:val="Compact"/>
              <w:jc w:val="left"/>
              <w:keepNext w:val="true"/>
            </w:pPr>
            <w:r>
              <w:rPr>
                <w:rFonts w:ascii="Calibri" w:hAnsi="Calibri"/>
                <w:b w:val="0"/>
                <w:sz w:val="18"/>
              </w:rPr>
              <w:t xml:space="preserve">≥ .95</w:t>
            </w:r>
          </w:p>
        </w:tc>
        <w:tc>
          <w:tcPr>
            <w:shd w:fill="FFFFFF" w:val="clear"/>
            <w:tcBorders>
              <w:top w:val="single" w:sz="4" w:space="0" w:color="AAAAAA"/>
              <w:bottom w:val="single" w:sz="4" w:space="0" w:color="AAAAAA"/>
              <w:left w:val="single" w:sz="4" w:space="0" w:color="AAAAAA"/>
              <w:right w:val="single" w:sz="4" w:space="0" w:color="666666"/>
            </w:tcBorders>
          </w:tcPr>
          <w:p>
            <w:pPr>
              <w:pStyle w:val="Compact"/>
              <w:jc w:val="left"/>
              <w:keepNext w:val="true"/>
            </w:pPr>
            <w:r>
              <w:rPr>
                <w:rFonts w:ascii="Calibri" w:hAnsi="Calibri"/>
                <w:b w:val="0"/>
                <w:sz w:val="18"/>
              </w:rPr>
              <w:t xml:space="preserve">Excellent</w:t>
            </w:r>
          </w:p>
        </w:tc>
      </w:tr>
      <w:tr>
        <w:trPr>
          <w:cantSplit w:val="true"/>
        </w:trPr>
        <w:tc>
          <w:tcPr>
            <w:shd w:fill="F0F0F0" w:val="clear"/>
            <w:tcBorders>
              <w:top w:val="single" w:sz="4" w:space="0" w:color="AAAAAA"/>
              <w:bottom w:val="single" w:sz="4" w:space="0" w:color="AAAAAA"/>
              <w:left w:val="single" w:sz="4" w:space="0" w:color="666666"/>
              <w:right w:val="single" w:sz="4" w:space="0" w:color="AAAAAA"/>
            </w:tcBorders>
            <w:shd w:fill="F0F0F0" w:val="clear"/>
          </w:tcPr>
          <w:p>
            <w:pPr>
              <w:pStyle w:val="Compact"/>
              <w:jc w:val="left"/>
              <w:keepNext w:val="true"/>
            </w:pPr>
            <w:r>
              <w:rPr>
                <w:rFonts w:ascii="Calibri" w:hAnsi="Calibri"/>
                <w:b w:val="0"/>
                <w:sz w:val="18"/>
              </w:rPr>
              <w:t xml:space="preserve">TLI</w:t>
            </w:r>
          </w:p>
        </w:tc>
        <w:tc>
          <w:tcPr>
            <w:shd w:fill="F0F0F0" w:val="clear"/>
            <w:tcBorders>
              <w:top w:val="single" w:sz="4" w:space="0" w:color="AAAAAA"/>
              <w:bottom w:val="single" w:sz="4" w:space="0" w:color="AAAAAA"/>
              <w:left w:val="single" w:sz="4" w:space="0" w:color="AAAAAA"/>
              <w:right w:val="single" w:sz="4" w:space="0" w:color="AAAAAA"/>
            </w:tcBorders>
            <w:shd w:fill="F0F0F0" w:val="clear"/>
          </w:tcPr>
          <w:p>
            <w:pPr>
              <w:pStyle w:val="Compact"/>
              <w:jc w:val="left"/>
              <w:keepNext w:val="true"/>
            </w:pPr>
            <w:r>
              <w:rPr>
                <w:rFonts w:ascii="Calibri" w:hAnsi="Calibri"/>
                <w:b w:val="0"/>
                <w:sz w:val="18"/>
              </w:rPr>
              <w:t xml:space="preserve">.960</w:t>
            </w:r>
          </w:p>
        </w:tc>
        <w:tc>
          <w:tcPr>
            <w:shd w:fill="F0F0F0" w:val="clear"/>
            <w:tcBorders>
              <w:top w:val="single" w:sz="4" w:space="0" w:color="AAAAAA"/>
              <w:bottom w:val="single" w:sz="4" w:space="0" w:color="AAAAAA"/>
              <w:left w:val="single" w:sz="4" w:space="0" w:color="AAAAAA"/>
              <w:right w:val="single" w:sz="4" w:space="0" w:color="AAAAAA"/>
            </w:tcBorders>
            <w:shd w:fill="F0F0F0" w:val="clear"/>
          </w:tcPr>
          <w:p>
            <w:pPr>
              <w:pStyle w:val="Compact"/>
              <w:jc w:val="left"/>
              <w:keepNext w:val="true"/>
            </w:pPr>
            <w:r>
              <w:rPr>
                <w:rFonts w:ascii="Calibri" w:hAnsi="Calibri"/>
                <w:b w:val="0"/>
                <w:sz w:val="18"/>
              </w:rPr>
              <w:t xml:space="preserve">≥ .95</w:t>
            </w:r>
          </w:p>
        </w:tc>
        <w:tc>
          <w:tcPr>
            <w:shd w:fill="F0F0F0" w:val="clear"/>
            <w:tcBorders>
              <w:top w:val="single" w:sz="4" w:space="0" w:color="AAAAAA"/>
              <w:bottom w:val="single" w:sz="4" w:space="0" w:color="AAAAAA"/>
              <w:left w:val="single" w:sz="4" w:space="0" w:color="AAAAAA"/>
              <w:right w:val="single" w:sz="4" w:space="0" w:color="666666"/>
            </w:tcBorders>
            <w:shd w:fill="F0F0F0" w:val="clear"/>
          </w:tcPr>
          <w:p>
            <w:pPr>
              <w:pStyle w:val="Compact"/>
              <w:jc w:val="left"/>
              <w:keepNext w:val="true"/>
            </w:pPr>
            <w:r>
              <w:rPr>
                <w:rFonts w:ascii="Calibri" w:hAnsi="Calibri"/>
                <w:b w:val="0"/>
                <w:sz w:val="18"/>
              </w:rPr>
              <w:t xml:space="preserve">Excellent</w:t>
            </w:r>
          </w:p>
        </w:tc>
      </w:tr>
      <w:tr>
        <w:trPr>
          <w:cantSplit w:val="true"/>
        </w:trPr>
        <w:tc>
          <w:tcPr>
            <w:shd w:fill="FFFFFF" w:val="clear"/>
            <w:tcBorders>
              <w:top w:val="single" w:sz="4" w:space="0" w:color="AAAAAA"/>
              <w:bottom w:val="single" w:sz="4" w:space="0" w:color="AAAAAA"/>
              <w:left w:val="single" w:sz="4" w:space="0" w:color="666666"/>
              <w:right w:val="single" w:sz="4" w:space="0" w:color="AAAAAA"/>
            </w:tcBorders>
          </w:tcPr>
          <w:p>
            <w:pPr>
              <w:pStyle w:val="Compact"/>
              <w:jc w:val="left"/>
              <w:keepNext w:val="true"/>
            </w:pPr>
            <w:r>
              <w:rPr>
                <w:rFonts w:ascii="Calibri" w:hAnsi="Calibri"/>
                <w:b w:val="0"/>
                <w:sz w:val="18"/>
              </w:rPr>
              <w:t xml:space="preserve">RMSEA</w:t>
            </w:r>
          </w:p>
        </w:tc>
        <w:tc>
          <w:tcPr>
            <w:shd w:fill="FFFFFF" w:val="clear"/>
            <w:tcBorders>
              <w:top w:val="single" w:sz="4" w:space="0" w:color="AAAAAA"/>
              <w:bottom w:val="single" w:sz="4" w:space="0" w:color="AAAAAA"/>
              <w:left w:val="single" w:sz="4" w:space="0" w:color="AAAAAA"/>
              <w:right w:val="single" w:sz="4" w:space="0" w:color="AAAAAA"/>
            </w:tcBorders>
          </w:tcPr>
          <w:p>
            <w:pPr>
              <w:pStyle w:val="Compact"/>
              <w:jc w:val="left"/>
              <w:keepNext w:val="true"/>
            </w:pPr>
            <w:r>
              <w:rPr>
                <w:rFonts w:ascii="Calibri" w:hAnsi="Calibri"/>
                <w:b w:val="0"/>
                <w:sz w:val="18"/>
              </w:rPr>
              <w:t xml:space="preserve">.065</w:t>
            </w:r>
          </w:p>
        </w:tc>
        <w:tc>
          <w:tcPr>
            <w:shd w:fill="FFFFFF" w:val="clear"/>
            <w:tcBorders>
              <w:top w:val="single" w:sz="4" w:space="0" w:color="AAAAAA"/>
              <w:bottom w:val="single" w:sz="4" w:space="0" w:color="AAAAAA"/>
              <w:left w:val="single" w:sz="4" w:space="0" w:color="AAAAAA"/>
              <w:right w:val="single" w:sz="4" w:space="0" w:color="AAAAAA"/>
            </w:tcBorders>
          </w:tcPr>
          <w:p>
            <w:pPr>
              <w:pStyle w:val="Compact"/>
              <w:jc w:val="left"/>
              <w:keepNext w:val="true"/>
            </w:pPr>
            <w:r>
              <w:rPr>
                <w:rFonts w:ascii="Calibri" w:hAnsi="Calibri"/>
                <w:b w:val="0"/>
                <w:sz w:val="18"/>
              </w:rPr>
              <w:t xml:space="preserve">≤ .08</w:t>
            </w:r>
          </w:p>
        </w:tc>
        <w:tc>
          <w:tcPr>
            <w:shd w:fill="FFFFFF" w:val="clear"/>
            <w:tcBorders>
              <w:top w:val="single" w:sz="4" w:space="0" w:color="AAAAAA"/>
              <w:bottom w:val="single" w:sz="4" w:space="0" w:color="AAAAAA"/>
              <w:left w:val="single" w:sz="4" w:space="0" w:color="AAAAAA"/>
              <w:right w:val="single" w:sz="4" w:space="0" w:color="666666"/>
            </w:tcBorders>
          </w:tcPr>
          <w:p>
            <w:pPr>
              <w:pStyle w:val="Compact"/>
              <w:jc w:val="left"/>
              <w:keepNext w:val="true"/>
            </w:pPr>
            <w:r>
              <w:rPr>
                <w:rFonts w:ascii="Calibri" w:hAnsi="Calibri"/>
                <w:b w:val="0"/>
                <w:sz w:val="18"/>
              </w:rPr>
              <w:t xml:space="preserve">Good</w:t>
            </w:r>
          </w:p>
        </w:tc>
      </w:tr>
      <w:tr>
        <w:trPr>
          <w:cantSplit w:val="true"/>
        </w:trPr>
        <w:tc>
          <w:tcPr>
            <w:shd w:fill="F0F0F0" w:val="clear"/>
            <w:tcBorders>
              <w:top w:val="single" w:sz="4" w:space="0" w:color="AAAAAA"/>
              <w:bottom w:val="single" w:sz="4" w:space="0" w:color="AAAAAA"/>
              <w:left w:val="single" w:sz="4" w:space="0" w:color="666666"/>
              <w:right w:val="single" w:sz="4" w:space="0" w:color="AAAAAA"/>
            </w:tcBorders>
            <w:shd w:fill="F0F0F0" w:val="clear"/>
          </w:tcPr>
          <w:p>
            <w:pPr>
              <w:pStyle w:val="Compact"/>
              <w:jc w:val="left"/>
              <w:keepNext w:val="true"/>
            </w:pPr>
            <w:r>
              <w:rPr>
                <w:rFonts w:ascii="Calibri" w:hAnsi="Calibri"/>
                <w:b w:val="0"/>
                <w:sz w:val="18"/>
              </w:rPr>
              <w:t xml:space="preserve">SRMR</w:t>
            </w:r>
          </w:p>
        </w:tc>
        <w:tc>
          <w:tcPr>
            <w:shd w:fill="F0F0F0" w:val="clear"/>
            <w:tcBorders>
              <w:top w:val="single" w:sz="4" w:space="0" w:color="AAAAAA"/>
              <w:bottom w:val="single" w:sz="4" w:space="0" w:color="AAAAAA"/>
              <w:left w:val="single" w:sz="4" w:space="0" w:color="AAAAAA"/>
              <w:right w:val="single" w:sz="4" w:space="0" w:color="AAAAAA"/>
            </w:tcBorders>
            <w:shd w:fill="F0F0F0" w:val="clear"/>
          </w:tcPr>
          <w:p>
            <w:pPr>
              <w:pStyle w:val="Compact"/>
              <w:jc w:val="left"/>
              <w:keepNext w:val="true"/>
            </w:pPr>
            <w:r>
              <w:rPr>
                <w:rFonts w:ascii="Calibri" w:hAnsi="Calibri"/>
                <w:b w:val="0"/>
                <w:sz w:val="18"/>
              </w:rPr>
              <w:t xml:space="preserve">.026</w:t>
            </w:r>
          </w:p>
        </w:tc>
        <w:tc>
          <w:tcPr>
            <w:shd w:fill="F0F0F0" w:val="clear"/>
            <w:tcBorders>
              <w:top w:val="single" w:sz="4" w:space="0" w:color="AAAAAA"/>
              <w:bottom w:val="single" w:sz="4" w:space="0" w:color="AAAAAA"/>
              <w:left w:val="single" w:sz="4" w:space="0" w:color="AAAAAA"/>
              <w:right w:val="single" w:sz="4" w:space="0" w:color="AAAAAA"/>
            </w:tcBorders>
            <w:shd w:fill="F0F0F0" w:val="clear"/>
          </w:tcPr>
          <w:p>
            <w:pPr>
              <w:pStyle w:val="Compact"/>
              <w:jc w:val="left"/>
              <w:keepNext w:val="true"/>
            </w:pPr>
            <w:r>
              <w:rPr>
                <w:rFonts w:ascii="Calibri" w:hAnsi="Calibri"/>
                <w:b w:val="0"/>
                <w:sz w:val="18"/>
              </w:rPr>
              <w:t xml:space="preserve">≤ .08</w:t>
            </w:r>
          </w:p>
        </w:tc>
        <w:tc>
          <w:tcPr>
            <w:shd w:fill="F0F0F0" w:val="clear"/>
            <w:tcBorders>
              <w:top w:val="single" w:sz="4" w:space="0" w:color="AAAAAA"/>
              <w:bottom w:val="single" w:sz="4" w:space="0" w:color="AAAAAA"/>
              <w:left w:val="single" w:sz="4" w:space="0" w:color="AAAAAA"/>
              <w:right w:val="single" w:sz="4" w:space="0" w:color="666666"/>
            </w:tcBorders>
            <w:shd w:fill="F0F0F0" w:val="clear"/>
          </w:tcPr>
          <w:p>
            <w:pPr>
              <w:pStyle w:val="Compact"/>
              <w:jc w:val="left"/>
              <w:keepNext w:val="true"/>
            </w:pPr>
            <w:r>
              <w:rPr>
                <w:rFonts w:ascii="Calibri" w:hAnsi="Calibri"/>
                <w:b w:val="0"/>
                <w:sz w:val="18"/>
              </w:rPr>
              <w:t xml:space="preserve">Excellent</w:t>
            </w:r>
          </w:p>
        </w:tc>
      </w:tr>
      <w:tr>
        <w:trPr>
          <w:cantSplit w:val="true"/>
        </w:trPr>
        <w:tc>
          <w:tcPr>
            <w:shd w:fill="FFFFFF" w:val="clear"/>
            <w:tcBorders>
              <w:top w:val="single" w:sz="4" w:space="0" w:color="AAAAAA"/>
              <w:bottom w:val="single" w:sz="4" w:space="0" w:color="666666"/>
              <w:left w:val="single" w:sz="4" w:space="0" w:color="666666"/>
              <w:right w:val="single" w:sz="4" w:space="0" w:color="AAAAAA"/>
            </w:tcBorders>
          </w:tcPr>
          <w:p>
            <w:pPr>
              <w:pStyle w:val="Compact"/>
              <w:jc w:val="left"/>
            </w:pPr>
            <w:r>
              <w:rPr>
                <w:rFonts w:ascii="Calibri" w:hAnsi="Calibri"/>
                <w:b w:val="0"/>
                <w:sz w:val="18"/>
              </w:rPr>
              <w:t xml:space="preserve">χ²/df</w:t>
            </w:r>
          </w:p>
        </w:tc>
        <w:tc>
          <w:tcPr>
            <w:shd w:fill="FFFFFF" w:val="clear"/>
            <w:tcBorders>
              <w:top w:val="single" w:sz="4" w:space="0" w:color="AAAAAA"/>
              <w:bottom w:val="single" w:sz="4" w:space="0" w:color="666666"/>
              <w:left w:val="single" w:sz="4" w:space="0" w:color="AAAAAA"/>
              <w:right w:val="single" w:sz="4" w:space="0" w:color="AAAAAA"/>
            </w:tcBorders>
          </w:tcPr>
          <w:p>
            <w:pPr>
              <w:pStyle w:val="Compact"/>
              <w:jc w:val="left"/>
            </w:pPr>
            <w:r>
              <w:rPr>
                <w:rFonts w:ascii="Calibri" w:hAnsi="Calibri"/>
                <w:b w:val="0"/>
                <w:sz w:val="18"/>
              </w:rPr>
              <w:t xml:space="preserve">2.10</w:t>
            </w:r>
          </w:p>
        </w:tc>
        <w:tc>
          <w:tcPr>
            <w:shd w:fill="FFFFFF" w:val="clear"/>
            <w:tcBorders>
              <w:top w:val="single" w:sz="4" w:space="0" w:color="AAAAAA"/>
              <w:bottom w:val="single" w:sz="4" w:space="0" w:color="666666"/>
              <w:left w:val="single" w:sz="4" w:space="0" w:color="AAAAAA"/>
              <w:right w:val="single" w:sz="4" w:space="0" w:color="AAAAAA"/>
            </w:tcBorders>
          </w:tcPr>
          <w:p>
            <w:pPr>
              <w:pStyle w:val="Compact"/>
              <w:jc w:val="left"/>
            </w:pPr>
            <w:r>
              <w:rPr>
                <w:rFonts w:ascii="Calibri" w:hAnsi="Calibri"/>
                <w:b w:val="0"/>
                <w:sz w:val="18"/>
              </w:rPr>
              <w:t xml:space="preserve">≤ 3.0</w:t>
            </w:r>
          </w:p>
        </w:tc>
        <w:tc>
          <w:tcPr>
            <w:shd w:fill="FFFFFF" w:val="clear"/>
            <w:tcBorders>
              <w:top w:val="single" w:sz="4" w:space="0" w:color="AAAAAA"/>
              <w:bottom w:val="single" w:sz="4" w:space="0" w:color="666666"/>
              <w:left w:val="single" w:sz="4" w:space="0" w:color="AAAAAA"/>
              <w:right w:val="single" w:sz="4" w:space="0" w:color="666666"/>
            </w:tcBorders>
          </w:tcPr>
          <w:p>
            <w:pPr>
              <w:pStyle w:val="Compact"/>
              <w:jc w:val="left"/>
            </w:pPr>
            <w:r>
              <w:rPr>
                <w:rFonts w:ascii="Calibri" w:hAnsi="Calibri"/>
                <w:b w:val="0"/>
                <w:sz w:val="18"/>
              </w:rPr>
              <w:t xml:space="preserve">Good</w:t>
            </w:r>
          </w:p>
        </w:tc>
      </w:tr>
    </w:tbl>
    <w:p>
      <w:pPr>
        <w:pStyle w:val="BodyText"/>
      </w:pPr>
      <w:r>
        <w:t xml:space="preserve">Full-sample CFA confirmed these results: CFI = .979, TLI = .966, RMSEA = .061, SRMR = .022.</w:t>
      </w:r>
    </w:p>
    <w:bookmarkEnd w:id="20"/>
    <w:bookmarkStart w:id="21" w:name="reliability"/>
    <w:p>
      <w:pPr>
        <w:pStyle w:val="Heading4"/>
      </w:pPr>
      <w:r>
        <w:t xml:space="preserve">Reliability</w:t>
      </w:r>
    </w:p>
    <w:p>
      <w:pPr>
        <w:pStyle w:val="FirstParagraph"/>
      </w:pPr>
      <w:r>
        <w:t xml:space="preserve">All eight factors exceeded conventional thresholds for internal consistency:</w:t>
      </w:r>
    </w:p>
    <w:tbl>
      <w:tblPr>
        <w:tblStyle w:val="Table"/>
        <w:tblLayout w:type="fixed"/>
        <w:tblLook w:firstRow="1" w:lastRow="0" w:firstColumn="0" w:lastColumn="0" w:noHBand="0" w:noVBand="0" w:val="0020"/>
        <w:tblW w:type="pct" w:w="5000"/>
      </w:tblPr>
      <w:tblGrid>
        <w:gridCol w:w="3126"/>
        <w:gridCol w:w="1563"/>
        <w:gridCol w:w="2084"/>
        <w:gridCol w:w="1146"/>
      </w:tblGrid>
      <w:tr>
        <w:trPr>
          <w:tblHeader w:val="on"/>
          <w:cantSplit w:val="true"/>
        </w:trPr>
        <w:tc>
          <w:tcPr>
            <w:shd w:fill="0078D4" w:val="clear"/>
            <w:tcBorders>
              <w:top w:val="single" w:sz="4" w:space="0" w:color="666666"/>
              <w:bottom w:val="single" w:sz="4" w:space="0" w:color="AAAAAA"/>
              <w:left w:val="single" w:sz="4" w:space="0" w:color="666666"/>
              <w:right w:val="single" w:sz="4" w:space="0" w:color="AAAAAA"/>
            </w:tcBorders>
            <w:shd w:fill="0078D4" w:val="clear"/>
          </w:tcPr>
          <w:p>
            <w:pPr>
              <w:pStyle w:val="Compact"/>
              <w:jc w:val="left"/>
              <w:keepNext w:val="true"/>
            </w:pPr>
            <w:r>
              <w:rPr>
                <w:rFonts w:ascii="Calibri" w:hAnsi="Calibri"/>
                <w:b/>
                <w:color w:val="FFFFFF"/>
                <w:sz w:val="20"/>
              </w:rPr>
              <w:t xml:space="preserve">Factor</w:t>
            </w:r>
          </w:p>
        </w:tc>
        <w:tc>
          <w:tcPr>
            <w:shd w:fill="0078D4" w:val="clear"/>
            <w:tcBorders>
              <w:top w:val="single" w:sz="4" w:space="0" w:color="666666"/>
              <w:bottom w:val="single" w:sz="4" w:space="0" w:color="AAAAAA"/>
              <w:left w:val="single" w:sz="4" w:space="0" w:color="AAAAAA"/>
              <w:right w:val="single" w:sz="4" w:space="0" w:color="AAAAAA"/>
            </w:tcBorders>
            <w:shd w:fill="0078D4" w:val="clear"/>
          </w:tcPr>
          <w:p>
            <w:pPr>
              <w:pStyle w:val="Compact"/>
              <w:jc w:val="left"/>
              <w:keepNext w:val="true"/>
            </w:pPr>
            <w:r>
              <w:rPr>
                <w:rFonts w:ascii="Calibri" w:hAnsi="Calibri"/>
                <w:b/>
                <w:color w:val="FFFFFF"/>
                <w:sz w:val="20"/>
              </w:rPr>
              <w:t xml:space="preserve">Cronbach’s α</w:t>
            </w:r>
          </w:p>
        </w:tc>
        <w:tc>
          <w:tcPr>
            <w:shd w:fill="0078D4" w:val="clear"/>
            <w:tcBorders>
              <w:top w:val="single" w:sz="4" w:space="0" w:color="666666"/>
              <w:bottom w:val="single" w:sz="4" w:space="0" w:color="AAAAAA"/>
              <w:left w:val="single" w:sz="4" w:space="0" w:color="AAAAAA"/>
              <w:right w:val="single" w:sz="4" w:space="0" w:color="AAAAAA"/>
            </w:tcBorders>
            <w:shd w:fill="0078D4" w:val="clear"/>
          </w:tcPr>
          <w:p>
            <w:pPr>
              <w:pStyle w:val="Compact"/>
              <w:jc w:val="left"/>
              <w:keepNext w:val="true"/>
            </w:pPr>
            <w:r>
              <w:rPr>
                <w:rFonts w:ascii="Calibri" w:hAnsi="Calibri"/>
                <w:b/>
                <w:color w:val="FFFFFF"/>
                <w:sz w:val="20"/>
              </w:rPr>
              <w:t xml:space="preserve">Composite Reliability</w:t>
            </w:r>
          </w:p>
        </w:tc>
        <w:tc>
          <w:tcPr>
            <w:shd w:fill="0078D4" w:val="clear"/>
            <w:tcBorders>
              <w:top w:val="single" w:sz="4" w:space="0" w:color="666666"/>
              <w:bottom w:val="single" w:sz="4" w:space="0" w:color="AAAAAA"/>
              <w:left w:val="single" w:sz="4" w:space="0" w:color="AAAAAA"/>
              <w:right w:val="single" w:sz="4" w:space="0" w:color="666666"/>
            </w:tcBorders>
            <w:shd w:fill="0078D4" w:val="clear"/>
          </w:tcPr>
          <w:p>
            <w:pPr>
              <w:pStyle w:val="Compact"/>
              <w:jc w:val="left"/>
              <w:keepNext w:val="true"/>
            </w:pPr>
            <w:r>
              <w:rPr>
                <w:rFonts w:ascii="Calibri" w:hAnsi="Calibri"/>
                <w:b/>
                <w:color w:val="FFFFFF"/>
                <w:sz w:val="20"/>
              </w:rPr>
              <w:t xml:space="preserve">AVE</w:t>
            </w:r>
          </w:p>
        </w:tc>
      </w:tr>
      <w:tr>
        <w:trPr>
          <w:cantSplit w:val="true"/>
        </w:trPr>
        <w:tc>
          <w:tcPr>
            <w:shd w:fill="FFFFFF" w:val="clear"/>
            <w:tcBorders>
              <w:top w:val="single" w:sz="4" w:space="0" w:color="AAAAAA"/>
              <w:bottom w:val="single" w:sz="4" w:space="0" w:color="AAAAAA"/>
              <w:left w:val="single" w:sz="4" w:space="0" w:color="666666"/>
              <w:right w:val="single" w:sz="4" w:space="0" w:color="AAAAAA"/>
            </w:tcBorders>
          </w:tcPr>
          <w:p>
            <w:pPr>
              <w:pStyle w:val="Compact"/>
              <w:jc w:val="left"/>
              <w:keepNext w:val="true"/>
            </w:pPr>
            <w:r>
              <w:rPr>
                <w:rFonts w:ascii="Calibri" w:hAnsi="Calibri"/>
                <w:b w:val="0"/>
                <w:sz w:val="18"/>
              </w:rPr>
              <w:t xml:space="preserve">Performance Expectancy</w:t>
            </w:r>
          </w:p>
        </w:tc>
        <w:tc>
          <w:tcPr>
            <w:shd w:fill="FFFFFF" w:val="clear"/>
            <w:tcBorders>
              <w:top w:val="single" w:sz="4" w:space="0" w:color="AAAAAA"/>
              <w:bottom w:val="single" w:sz="4" w:space="0" w:color="AAAAAA"/>
              <w:left w:val="single" w:sz="4" w:space="0" w:color="AAAAAA"/>
              <w:right w:val="single" w:sz="4" w:space="0" w:color="AAAAAA"/>
            </w:tcBorders>
          </w:tcPr>
          <w:p>
            <w:pPr>
              <w:pStyle w:val="Compact"/>
              <w:jc w:val="left"/>
              <w:keepNext w:val="true"/>
            </w:pPr>
            <w:r>
              <w:rPr>
                <w:rFonts w:ascii="Calibri" w:hAnsi="Calibri"/>
                <w:b w:val="0"/>
                <w:sz w:val="18"/>
              </w:rPr>
              <w:t xml:space="preserve">.863</w:t>
            </w:r>
          </w:p>
        </w:tc>
        <w:tc>
          <w:tcPr>
            <w:shd w:fill="FFFFFF" w:val="clear"/>
            <w:tcBorders>
              <w:top w:val="single" w:sz="4" w:space="0" w:color="AAAAAA"/>
              <w:bottom w:val="single" w:sz="4" w:space="0" w:color="AAAAAA"/>
              <w:left w:val="single" w:sz="4" w:space="0" w:color="AAAAAA"/>
              <w:right w:val="single" w:sz="4" w:space="0" w:color="AAAAAA"/>
            </w:tcBorders>
          </w:tcPr>
          <w:p>
            <w:pPr>
              <w:pStyle w:val="Compact"/>
              <w:jc w:val="left"/>
              <w:keepNext w:val="true"/>
            </w:pPr>
            <w:r>
              <w:rPr>
                <w:rFonts w:ascii="Calibri" w:hAnsi="Calibri"/>
                <w:b w:val="0"/>
                <w:sz w:val="18"/>
              </w:rPr>
              <w:t xml:space="preserve">.866</w:t>
            </w:r>
          </w:p>
        </w:tc>
        <w:tc>
          <w:tcPr>
            <w:shd w:fill="FFFFFF" w:val="clear"/>
            <w:tcBorders>
              <w:top w:val="single" w:sz="4" w:space="0" w:color="AAAAAA"/>
              <w:bottom w:val="single" w:sz="4" w:space="0" w:color="AAAAAA"/>
              <w:left w:val="single" w:sz="4" w:space="0" w:color="AAAAAA"/>
              <w:right w:val="single" w:sz="4" w:space="0" w:color="666666"/>
            </w:tcBorders>
          </w:tcPr>
          <w:p>
            <w:pPr>
              <w:pStyle w:val="Compact"/>
              <w:jc w:val="left"/>
              <w:keepNext w:val="true"/>
            </w:pPr>
            <w:r>
              <w:rPr>
                <w:rFonts w:ascii="Calibri" w:hAnsi="Calibri"/>
                <w:b w:val="0"/>
                <w:sz w:val="18"/>
              </w:rPr>
              <w:t xml:space="preserve">.764</w:t>
            </w:r>
          </w:p>
        </w:tc>
      </w:tr>
      <w:tr>
        <w:trPr>
          <w:cantSplit w:val="true"/>
        </w:trPr>
        <w:tc>
          <w:tcPr>
            <w:shd w:fill="F0F0F0" w:val="clear"/>
            <w:tcBorders>
              <w:top w:val="single" w:sz="4" w:space="0" w:color="AAAAAA"/>
              <w:bottom w:val="single" w:sz="4" w:space="0" w:color="AAAAAA"/>
              <w:left w:val="single" w:sz="4" w:space="0" w:color="666666"/>
              <w:right w:val="single" w:sz="4" w:space="0" w:color="AAAAAA"/>
            </w:tcBorders>
            <w:shd w:fill="F0F0F0" w:val="clear"/>
          </w:tcPr>
          <w:p>
            <w:pPr>
              <w:pStyle w:val="Compact"/>
              <w:jc w:val="left"/>
              <w:keepNext w:val="true"/>
            </w:pPr>
            <w:r>
              <w:rPr>
                <w:rFonts w:ascii="Calibri" w:hAnsi="Calibri"/>
                <w:b w:val="0"/>
                <w:sz w:val="18"/>
              </w:rPr>
              <w:t xml:space="preserve">Effort Expectancy</w:t>
            </w:r>
          </w:p>
        </w:tc>
        <w:tc>
          <w:tcPr>
            <w:shd w:fill="F0F0F0" w:val="clear"/>
            <w:tcBorders>
              <w:top w:val="single" w:sz="4" w:space="0" w:color="AAAAAA"/>
              <w:bottom w:val="single" w:sz="4" w:space="0" w:color="AAAAAA"/>
              <w:left w:val="single" w:sz="4" w:space="0" w:color="AAAAAA"/>
              <w:right w:val="single" w:sz="4" w:space="0" w:color="AAAAAA"/>
            </w:tcBorders>
            <w:shd w:fill="F0F0F0" w:val="clear"/>
          </w:tcPr>
          <w:p>
            <w:pPr>
              <w:pStyle w:val="Compact"/>
              <w:jc w:val="left"/>
              <w:keepNext w:val="true"/>
            </w:pPr>
            <w:r>
              <w:rPr>
                <w:rFonts w:ascii="Calibri" w:hAnsi="Calibri"/>
                <w:b w:val="0"/>
                <w:sz w:val="18"/>
              </w:rPr>
              <w:t xml:space="preserve">.803</w:t>
            </w:r>
          </w:p>
        </w:tc>
        <w:tc>
          <w:tcPr>
            <w:shd w:fill="F0F0F0" w:val="clear"/>
            <w:tcBorders>
              <w:top w:val="single" w:sz="4" w:space="0" w:color="AAAAAA"/>
              <w:bottom w:val="single" w:sz="4" w:space="0" w:color="AAAAAA"/>
              <w:left w:val="single" w:sz="4" w:space="0" w:color="AAAAAA"/>
              <w:right w:val="single" w:sz="4" w:space="0" w:color="AAAAAA"/>
            </w:tcBorders>
            <w:shd w:fill="F0F0F0" w:val="clear"/>
          </w:tcPr>
          <w:p>
            <w:pPr>
              <w:pStyle w:val="Compact"/>
              <w:jc w:val="left"/>
              <w:keepNext w:val="true"/>
            </w:pPr>
            <w:r>
              <w:rPr>
                <w:rFonts w:ascii="Calibri" w:hAnsi="Calibri"/>
                <w:b w:val="0"/>
                <w:sz w:val="18"/>
              </w:rPr>
              <w:t xml:space="preserve">.805</w:t>
            </w:r>
          </w:p>
        </w:tc>
        <w:tc>
          <w:tcPr>
            <w:shd w:fill="F0F0F0" w:val="clear"/>
            <w:tcBorders>
              <w:top w:val="single" w:sz="4" w:space="0" w:color="AAAAAA"/>
              <w:bottom w:val="single" w:sz="4" w:space="0" w:color="AAAAAA"/>
              <w:left w:val="single" w:sz="4" w:space="0" w:color="AAAAAA"/>
              <w:right w:val="single" w:sz="4" w:space="0" w:color="666666"/>
            </w:tcBorders>
            <w:shd w:fill="F0F0F0" w:val="clear"/>
          </w:tcPr>
          <w:p>
            <w:pPr>
              <w:pStyle w:val="Compact"/>
              <w:jc w:val="left"/>
              <w:keepNext w:val="true"/>
            </w:pPr>
            <w:r>
              <w:rPr>
                <w:rFonts w:ascii="Calibri" w:hAnsi="Calibri"/>
                <w:b w:val="0"/>
                <w:sz w:val="18"/>
              </w:rPr>
              <w:t xml:space="preserve">.674</w:t>
            </w:r>
          </w:p>
        </w:tc>
      </w:tr>
      <w:tr>
        <w:trPr>
          <w:cantSplit w:val="true"/>
        </w:trPr>
        <w:tc>
          <w:tcPr>
            <w:shd w:fill="FFFFFF" w:val="clear"/>
            <w:tcBorders>
              <w:top w:val="single" w:sz="4" w:space="0" w:color="AAAAAA"/>
              <w:bottom w:val="single" w:sz="4" w:space="0" w:color="AAAAAA"/>
              <w:left w:val="single" w:sz="4" w:space="0" w:color="666666"/>
              <w:right w:val="single" w:sz="4" w:space="0" w:color="AAAAAA"/>
            </w:tcBorders>
          </w:tcPr>
          <w:p>
            <w:pPr>
              <w:pStyle w:val="Compact"/>
              <w:jc w:val="left"/>
              <w:keepNext w:val="true"/>
            </w:pPr>
            <w:r>
              <w:rPr>
                <w:rFonts w:ascii="Calibri" w:hAnsi="Calibri"/>
                <w:b w:val="0"/>
                <w:sz w:val="18"/>
              </w:rPr>
              <w:t xml:space="preserve">Social Influence</w:t>
            </w:r>
          </w:p>
        </w:tc>
        <w:tc>
          <w:tcPr>
            <w:shd w:fill="FFFFFF" w:val="clear"/>
            <w:tcBorders>
              <w:top w:val="single" w:sz="4" w:space="0" w:color="AAAAAA"/>
              <w:bottom w:val="single" w:sz="4" w:space="0" w:color="AAAAAA"/>
              <w:left w:val="single" w:sz="4" w:space="0" w:color="AAAAAA"/>
              <w:right w:val="single" w:sz="4" w:space="0" w:color="AAAAAA"/>
            </w:tcBorders>
          </w:tcPr>
          <w:p>
            <w:pPr>
              <w:pStyle w:val="Compact"/>
              <w:jc w:val="left"/>
              <w:keepNext w:val="true"/>
            </w:pPr>
            <w:r>
              <w:rPr>
                <w:rFonts w:ascii="Calibri" w:hAnsi="Calibri"/>
                <w:b w:val="0"/>
                <w:sz w:val="18"/>
              </w:rPr>
              <w:t xml:space="preserve">.792</w:t>
            </w:r>
          </w:p>
        </w:tc>
        <w:tc>
          <w:tcPr>
            <w:shd w:fill="FFFFFF" w:val="clear"/>
            <w:tcBorders>
              <w:top w:val="single" w:sz="4" w:space="0" w:color="AAAAAA"/>
              <w:bottom w:val="single" w:sz="4" w:space="0" w:color="AAAAAA"/>
              <w:left w:val="single" w:sz="4" w:space="0" w:color="AAAAAA"/>
              <w:right w:val="single" w:sz="4" w:space="0" w:color="AAAAAA"/>
            </w:tcBorders>
          </w:tcPr>
          <w:p>
            <w:pPr>
              <w:pStyle w:val="Compact"/>
              <w:jc w:val="left"/>
              <w:keepNext w:val="true"/>
            </w:pPr>
            <w:r>
              <w:rPr>
                <w:rFonts w:ascii="Calibri" w:hAnsi="Calibri"/>
                <w:b w:val="0"/>
                <w:sz w:val="18"/>
              </w:rPr>
              <w:t xml:space="preserve">.793</w:t>
            </w:r>
          </w:p>
        </w:tc>
        <w:tc>
          <w:tcPr>
            <w:shd w:fill="FFFFFF" w:val="clear"/>
            <w:tcBorders>
              <w:top w:val="single" w:sz="4" w:space="0" w:color="AAAAAA"/>
              <w:bottom w:val="single" w:sz="4" w:space="0" w:color="AAAAAA"/>
              <w:left w:val="single" w:sz="4" w:space="0" w:color="AAAAAA"/>
              <w:right w:val="single" w:sz="4" w:space="0" w:color="666666"/>
            </w:tcBorders>
          </w:tcPr>
          <w:p>
            <w:pPr>
              <w:pStyle w:val="Compact"/>
              <w:jc w:val="left"/>
              <w:keepNext w:val="true"/>
            </w:pPr>
            <w:r>
              <w:rPr>
                <w:rFonts w:ascii="Calibri" w:hAnsi="Calibri"/>
                <w:b w:val="0"/>
                <w:sz w:val="18"/>
              </w:rPr>
              <w:t xml:space="preserve">.659</w:t>
            </w:r>
          </w:p>
        </w:tc>
      </w:tr>
      <w:tr>
        <w:trPr>
          <w:cantSplit w:val="true"/>
        </w:trPr>
        <w:tc>
          <w:tcPr>
            <w:shd w:fill="F0F0F0" w:val="clear"/>
            <w:tcBorders>
              <w:top w:val="single" w:sz="4" w:space="0" w:color="AAAAAA"/>
              <w:bottom w:val="single" w:sz="4" w:space="0" w:color="AAAAAA"/>
              <w:left w:val="single" w:sz="4" w:space="0" w:color="666666"/>
              <w:right w:val="single" w:sz="4" w:space="0" w:color="AAAAAA"/>
            </w:tcBorders>
            <w:shd w:fill="F0F0F0" w:val="clear"/>
          </w:tcPr>
          <w:p>
            <w:pPr>
              <w:pStyle w:val="Compact"/>
              <w:jc w:val="left"/>
              <w:keepNext w:val="true"/>
            </w:pPr>
            <w:r>
              <w:rPr>
                <w:rFonts w:ascii="Calibri" w:hAnsi="Calibri"/>
                <w:b w:val="0"/>
                <w:sz w:val="18"/>
              </w:rPr>
              <w:t xml:space="preserve">Facilitating Conditions</w:t>
            </w:r>
          </w:p>
        </w:tc>
        <w:tc>
          <w:tcPr>
            <w:shd w:fill="F0F0F0" w:val="clear"/>
            <w:tcBorders>
              <w:top w:val="single" w:sz="4" w:space="0" w:color="AAAAAA"/>
              <w:bottom w:val="single" w:sz="4" w:space="0" w:color="AAAAAA"/>
              <w:left w:val="single" w:sz="4" w:space="0" w:color="AAAAAA"/>
              <w:right w:val="single" w:sz="4" w:space="0" w:color="AAAAAA"/>
            </w:tcBorders>
            <w:shd w:fill="F0F0F0" w:val="clear"/>
          </w:tcPr>
          <w:p>
            <w:pPr>
              <w:pStyle w:val="Compact"/>
              <w:jc w:val="left"/>
              <w:keepNext w:val="true"/>
            </w:pPr>
            <w:r>
              <w:rPr>
                <w:rFonts w:ascii="Calibri" w:hAnsi="Calibri"/>
                <w:b w:val="0"/>
                <w:sz w:val="18"/>
              </w:rPr>
              <w:t xml:space="preserve">.743</w:t>
            </w:r>
          </w:p>
        </w:tc>
        <w:tc>
          <w:tcPr>
            <w:shd w:fill="F0F0F0" w:val="clear"/>
            <w:tcBorders>
              <w:top w:val="single" w:sz="4" w:space="0" w:color="AAAAAA"/>
              <w:bottom w:val="single" w:sz="4" w:space="0" w:color="AAAAAA"/>
              <w:left w:val="single" w:sz="4" w:space="0" w:color="AAAAAA"/>
              <w:right w:val="single" w:sz="4" w:space="0" w:color="AAAAAA"/>
            </w:tcBorders>
            <w:shd w:fill="F0F0F0" w:val="clear"/>
          </w:tcPr>
          <w:p>
            <w:pPr>
              <w:pStyle w:val="Compact"/>
              <w:jc w:val="left"/>
              <w:keepNext w:val="true"/>
            </w:pPr>
            <w:r>
              <w:rPr>
                <w:rFonts w:ascii="Calibri" w:hAnsi="Calibri"/>
                <w:b w:val="0"/>
                <w:sz w:val="18"/>
              </w:rPr>
              <w:t xml:space="preserve">.750</w:t>
            </w:r>
          </w:p>
        </w:tc>
        <w:tc>
          <w:tcPr>
            <w:shd w:fill="F0F0F0" w:val="clear"/>
            <w:tcBorders>
              <w:top w:val="single" w:sz="4" w:space="0" w:color="AAAAAA"/>
              <w:bottom w:val="single" w:sz="4" w:space="0" w:color="AAAAAA"/>
              <w:left w:val="single" w:sz="4" w:space="0" w:color="AAAAAA"/>
              <w:right w:val="single" w:sz="4" w:space="0" w:color="666666"/>
            </w:tcBorders>
            <w:shd w:fill="F0F0F0" w:val="clear"/>
          </w:tcPr>
          <w:p>
            <w:pPr>
              <w:pStyle w:val="Compact"/>
              <w:jc w:val="left"/>
              <w:keepNext w:val="true"/>
            </w:pPr>
            <w:r>
              <w:rPr>
                <w:rFonts w:ascii="Calibri" w:hAnsi="Calibri"/>
                <w:b w:val="0"/>
                <w:sz w:val="18"/>
              </w:rPr>
              <w:t xml:space="preserve">.601</w:t>
            </w:r>
          </w:p>
        </w:tc>
      </w:tr>
      <w:tr>
        <w:trPr>
          <w:cantSplit w:val="true"/>
        </w:trPr>
        <w:tc>
          <w:tcPr>
            <w:shd w:fill="FFFFFF" w:val="clear"/>
            <w:tcBorders>
              <w:top w:val="single" w:sz="4" w:space="0" w:color="AAAAAA"/>
              <w:bottom w:val="single" w:sz="4" w:space="0" w:color="AAAAAA"/>
              <w:left w:val="single" w:sz="4" w:space="0" w:color="666666"/>
              <w:right w:val="single" w:sz="4" w:space="0" w:color="AAAAAA"/>
            </w:tcBorders>
          </w:tcPr>
          <w:p>
            <w:pPr>
              <w:pStyle w:val="Compact"/>
              <w:jc w:val="left"/>
              <w:keepNext w:val="true"/>
            </w:pPr>
            <w:r>
              <w:rPr>
                <w:rFonts w:ascii="Calibri" w:hAnsi="Calibri"/>
                <w:b w:val="0"/>
                <w:sz w:val="18"/>
              </w:rPr>
              <w:t xml:space="preserve">Hedonic Motivation</w:t>
            </w:r>
          </w:p>
        </w:tc>
        <w:tc>
          <w:tcPr>
            <w:shd w:fill="FFFFFF" w:val="clear"/>
            <w:tcBorders>
              <w:top w:val="single" w:sz="4" w:space="0" w:color="AAAAAA"/>
              <w:bottom w:val="single" w:sz="4" w:space="0" w:color="AAAAAA"/>
              <w:left w:val="single" w:sz="4" w:space="0" w:color="AAAAAA"/>
              <w:right w:val="single" w:sz="4" w:space="0" w:color="AAAAAA"/>
            </w:tcBorders>
          </w:tcPr>
          <w:p>
            <w:pPr>
              <w:pStyle w:val="Compact"/>
              <w:jc w:val="left"/>
              <w:keepNext w:val="true"/>
            </w:pPr>
            <w:r>
              <w:rPr>
                <w:rFonts w:ascii="Calibri" w:hAnsi="Calibri"/>
                <w:b w:val="0"/>
                <w:sz w:val="18"/>
              </w:rPr>
              <w:t xml:space="preserve">.909</w:t>
            </w:r>
          </w:p>
        </w:tc>
        <w:tc>
          <w:tcPr>
            <w:shd w:fill="FFFFFF" w:val="clear"/>
            <w:tcBorders>
              <w:top w:val="single" w:sz="4" w:space="0" w:color="AAAAAA"/>
              <w:bottom w:val="single" w:sz="4" w:space="0" w:color="AAAAAA"/>
              <w:left w:val="single" w:sz="4" w:space="0" w:color="AAAAAA"/>
              <w:right w:val="single" w:sz="4" w:space="0" w:color="AAAAAA"/>
            </w:tcBorders>
          </w:tcPr>
          <w:p>
            <w:pPr>
              <w:pStyle w:val="Compact"/>
              <w:jc w:val="left"/>
              <w:keepNext w:val="true"/>
            </w:pPr>
            <w:r>
              <w:rPr>
                <w:rFonts w:ascii="Calibri" w:hAnsi="Calibri"/>
                <w:b w:val="0"/>
                <w:sz w:val="18"/>
              </w:rPr>
              <w:t xml:space="preserve">.910</w:t>
            </w:r>
          </w:p>
        </w:tc>
        <w:tc>
          <w:tcPr>
            <w:shd w:fill="FFFFFF" w:val="clear"/>
            <w:tcBorders>
              <w:top w:val="single" w:sz="4" w:space="0" w:color="AAAAAA"/>
              <w:bottom w:val="single" w:sz="4" w:space="0" w:color="AAAAAA"/>
              <w:left w:val="single" w:sz="4" w:space="0" w:color="AAAAAA"/>
              <w:right w:val="single" w:sz="4" w:space="0" w:color="666666"/>
            </w:tcBorders>
          </w:tcPr>
          <w:p>
            <w:pPr>
              <w:pStyle w:val="Compact"/>
              <w:jc w:val="left"/>
              <w:keepNext w:val="true"/>
            </w:pPr>
            <w:r>
              <w:rPr>
                <w:rFonts w:ascii="Calibri" w:hAnsi="Calibri"/>
                <w:b w:val="0"/>
                <w:sz w:val="18"/>
              </w:rPr>
              <w:t xml:space="preserve">.835</w:t>
            </w:r>
          </w:p>
        </w:tc>
      </w:tr>
      <w:tr>
        <w:trPr>
          <w:cantSplit w:val="true"/>
        </w:trPr>
        <w:tc>
          <w:tcPr>
            <w:shd w:fill="F0F0F0" w:val="clear"/>
            <w:tcBorders>
              <w:top w:val="single" w:sz="4" w:space="0" w:color="AAAAAA"/>
              <w:bottom w:val="single" w:sz="4" w:space="0" w:color="AAAAAA"/>
              <w:left w:val="single" w:sz="4" w:space="0" w:color="666666"/>
              <w:right w:val="single" w:sz="4" w:space="0" w:color="AAAAAA"/>
            </w:tcBorders>
            <w:shd w:fill="F0F0F0" w:val="clear"/>
          </w:tcPr>
          <w:p>
            <w:pPr>
              <w:pStyle w:val="Compact"/>
              <w:jc w:val="left"/>
              <w:keepNext w:val="true"/>
            </w:pPr>
            <w:r>
              <w:rPr>
                <w:rFonts w:ascii="Calibri" w:hAnsi="Calibri"/>
                <w:b w:val="0"/>
                <w:sz w:val="18"/>
              </w:rPr>
              <w:t xml:space="preserve">Price Value</w:t>
            </w:r>
          </w:p>
        </w:tc>
        <w:tc>
          <w:tcPr>
            <w:shd w:fill="F0F0F0" w:val="clear"/>
            <w:tcBorders>
              <w:top w:val="single" w:sz="4" w:space="0" w:color="AAAAAA"/>
              <w:bottom w:val="single" w:sz="4" w:space="0" w:color="AAAAAA"/>
              <w:left w:val="single" w:sz="4" w:space="0" w:color="AAAAAA"/>
              <w:right w:val="single" w:sz="4" w:space="0" w:color="AAAAAA"/>
            </w:tcBorders>
            <w:shd w:fill="F0F0F0" w:val="clear"/>
          </w:tcPr>
          <w:p>
            <w:pPr>
              <w:pStyle w:val="Compact"/>
              <w:jc w:val="left"/>
              <w:keepNext w:val="true"/>
            </w:pPr>
            <w:r>
              <w:rPr>
                <w:rFonts w:ascii="Calibri" w:hAnsi="Calibri"/>
                <w:b w:val="0"/>
                <w:sz w:val="18"/>
              </w:rPr>
              <w:t xml:space="preserve">.882</w:t>
            </w:r>
          </w:p>
        </w:tc>
        <w:tc>
          <w:tcPr>
            <w:shd w:fill="F0F0F0" w:val="clear"/>
            <w:tcBorders>
              <w:top w:val="single" w:sz="4" w:space="0" w:color="AAAAAA"/>
              <w:bottom w:val="single" w:sz="4" w:space="0" w:color="AAAAAA"/>
              <w:left w:val="single" w:sz="4" w:space="0" w:color="AAAAAA"/>
              <w:right w:val="single" w:sz="4" w:space="0" w:color="AAAAAA"/>
            </w:tcBorders>
            <w:shd w:fill="F0F0F0" w:val="clear"/>
          </w:tcPr>
          <w:p>
            <w:pPr>
              <w:pStyle w:val="Compact"/>
              <w:jc w:val="left"/>
              <w:keepNext w:val="true"/>
            </w:pPr>
            <w:r>
              <w:rPr>
                <w:rFonts w:ascii="Calibri" w:hAnsi="Calibri"/>
                <w:b w:val="0"/>
                <w:sz w:val="18"/>
              </w:rPr>
              <w:t xml:space="preserve">.883</w:t>
            </w:r>
          </w:p>
        </w:tc>
        <w:tc>
          <w:tcPr>
            <w:shd w:fill="F0F0F0" w:val="clear"/>
            <w:tcBorders>
              <w:top w:val="single" w:sz="4" w:space="0" w:color="AAAAAA"/>
              <w:bottom w:val="single" w:sz="4" w:space="0" w:color="AAAAAA"/>
              <w:left w:val="single" w:sz="4" w:space="0" w:color="AAAAAA"/>
              <w:right w:val="single" w:sz="4" w:space="0" w:color="666666"/>
            </w:tcBorders>
            <w:shd w:fill="F0F0F0" w:val="clear"/>
          </w:tcPr>
          <w:p>
            <w:pPr>
              <w:pStyle w:val="Compact"/>
              <w:jc w:val="left"/>
              <w:keepNext w:val="true"/>
            </w:pPr>
            <w:r>
              <w:rPr>
                <w:rFonts w:ascii="Calibri" w:hAnsi="Calibri"/>
                <w:b w:val="0"/>
                <w:sz w:val="18"/>
              </w:rPr>
              <w:t xml:space="preserve">.791</w:t>
            </w:r>
          </w:p>
        </w:tc>
      </w:tr>
      <w:tr>
        <w:trPr>
          <w:cantSplit w:val="true"/>
        </w:trPr>
        <w:tc>
          <w:tcPr>
            <w:shd w:fill="FFFFFF" w:val="clear"/>
            <w:tcBorders>
              <w:top w:val="single" w:sz="4" w:space="0" w:color="AAAAAA"/>
              <w:bottom w:val="single" w:sz="4" w:space="0" w:color="AAAAAA"/>
              <w:left w:val="single" w:sz="4" w:space="0" w:color="666666"/>
              <w:right w:val="single" w:sz="4" w:space="0" w:color="AAAAAA"/>
            </w:tcBorders>
          </w:tcPr>
          <w:p>
            <w:pPr>
              <w:pStyle w:val="Compact"/>
              <w:jc w:val="left"/>
              <w:keepNext w:val="true"/>
            </w:pPr>
            <w:r>
              <w:rPr>
                <w:rFonts w:ascii="Calibri" w:hAnsi="Calibri"/>
                <w:b w:val="0"/>
                <w:sz w:val="18"/>
              </w:rPr>
              <w:t xml:space="preserve">Habit</w:t>
            </w:r>
          </w:p>
        </w:tc>
        <w:tc>
          <w:tcPr>
            <w:shd w:fill="FFFFFF" w:val="clear"/>
            <w:tcBorders>
              <w:top w:val="single" w:sz="4" w:space="0" w:color="AAAAAA"/>
              <w:bottom w:val="single" w:sz="4" w:space="0" w:color="AAAAAA"/>
              <w:left w:val="single" w:sz="4" w:space="0" w:color="AAAAAA"/>
              <w:right w:val="single" w:sz="4" w:space="0" w:color="AAAAAA"/>
            </w:tcBorders>
          </w:tcPr>
          <w:p>
            <w:pPr>
              <w:pStyle w:val="Compact"/>
              <w:jc w:val="left"/>
              <w:keepNext w:val="true"/>
            </w:pPr>
            <w:r>
              <w:rPr>
                <w:rFonts w:ascii="Calibri" w:hAnsi="Calibri"/>
                <w:b w:val="0"/>
                <w:sz w:val="18"/>
              </w:rPr>
              <w:t xml:space="preserve">.909</w:t>
            </w:r>
          </w:p>
        </w:tc>
        <w:tc>
          <w:tcPr>
            <w:shd w:fill="FFFFFF" w:val="clear"/>
            <w:tcBorders>
              <w:top w:val="single" w:sz="4" w:space="0" w:color="AAAAAA"/>
              <w:bottom w:val="single" w:sz="4" w:space="0" w:color="AAAAAA"/>
              <w:left w:val="single" w:sz="4" w:space="0" w:color="AAAAAA"/>
              <w:right w:val="single" w:sz="4" w:space="0" w:color="AAAAAA"/>
            </w:tcBorders>
          </w:tcPr>
          <w:p>
            <w:pPr>
              <w:pStyle w:val="Compact"/>
              <w:jc w:val="left"/>
              <w:keepNext w:val="true"/>
            </w:pPr>
            <w:r>
              <w:rPr>
                <w:rFonts w:ascii="Calibri" w:hAnsi="Calibri"/>
                <w:b w:val="0"/>
                <w:sz w:val="18"/>
              </w:rPr>
              <w:t xml:space="preserve">.909</w:t>
            </w:r>
          </w:p>
        </w:tc>
        <w:tc>
          <w:tcPr>
            <w:shd w:fill="FFFFFF" w:val="clear"/>
            <w:tcBorders>
              <w:top w:val="single" w:sz="4" w:space="0" w:color="AAAAAA"/>
              <w:bottom w:val="single" w:sz="4" w:space="0" w:color="AAAAAA"/>
              <w:left w:val="single" w:sz="4" w:space="0" w:color="AAAAAA"/>
              <w:right w:val="single" w:sz="4" w:space="0" w:color="666666"/>
            </w:tcBorders>
          </w:tcPr>
          <w:p>
            <w:pPr>
              <w:pStyle w:val="Compact"/>
              <w:jc w:val="left"/>
              <w:keepNext w:val="true"/>
            </w:pPr>
            <w:r>
              <w:rPr>
                <w:rFonts w:ascii="Calibri" w:hAnsi="Calibri"/>
                <w:b w:val="0"/>
                <w:sz w:val="18"/>
              </w:rPr>
              <w:t xml:space="preserve">.833</w:t>
            </w:r>
          </w:p>
        </w:tc>
      </w:tr>
      <w:tr>
        <w:trPr>
          <w:cantSplit w:val="true"/>
        </w:trPr>
        <w:tc>
          <w:tcPr>
            <w:shd w:fill="F0F0F0" w:val="clear"/>
            <w:tcBorders>
              <w:top w:val="single" w:sz="4" w:space="0" w:color="AAAAAA"/>
              <w:bottom w:val="single" w:sz="4" w:space="0" w:color="666666"/>
              <w:left w:val="single" w:sz="4" w:space="0" w:color="666666"/>
              <w:right w:val="single" w:sz="4" w:space="0" w:color="AAAAAA"/>
            </w:tcBorders>
            <w:shd w:fill="F0F0F0" w:val="clear"/>
          </w:tcPr>
          <w:p>
            <w:pPr>
              <w:pStyle w:val="Compact"/>
              <w:jc w:val="left"/>
            </w:pPr>
            <w:r>
              <w:rPr>
                <w:rFonts w:ascii="Calibri" w:hAnsi="Calibri"/>
                <w:b w:val="0"/>
                <w:sz w:val="18"/>
              </w:rPr>
              <w:t xml:space="preserve">AI Trust</w:t>
            </w:r>
          </w:p>
        </w:tc>
        <w:tc>
          <w:tcPr>
            <w:shd w:fill="F0F0F0" w:val="clear"/>
            <w:tcBorders>
              <w:top w:val="single" w:sz="4" w:space="0" w:color="AAAAAA"/>
              <w:bottom w:val="single" w:sz="4" w:space="0" w:color="666666"/>
              <w:left w:val="single" w:sz="4" w:space="0" w:color="AAAAAA"/>
              <w:right w:val="single" w:sz="4" w:space="0" w:color="AAAAAA"/>
            </w:tcBorders>
            <w:shd w:fill="F0F0F0" w:val="clear"/>
          </w:tcPr>
          <w:p>
            <w:pPr>
              <w:pStyle w:val="Compact"/>
              <w:jc w:val="left"/>
            </w:pPr>
            <w:r>
              <w:rPr>
                <w:rFonts w:ascii="Calibri" w:hAnsi="Calibri"/>
                <w:b w:val="0"/>
                <w:sz w:val="18"/>
              </w:rPr>
              <w:t xml:space="preserve">.862</w:t>
            </w:r>
          </w:p>
        </w:tc>
        <w:tc>
          <w:tcPr>
            <w:shd w:fill="F0F0F0" w:val="clear"/>
            <w:tcBorders>
              <w:top w:val="single" w:sz="4" w:space="0" w:color="AAAAAA"/>
              <w:bottom w:val="single" w:sz="4" w:space="0" w:color="666666"/>
              <w:left w:val="single" w:sz="4" w:space="0" w:color="AAAAAA"/>
              <w:right w:val="single" w:sz="4" w:space="0" w:color="AAAAAA"/>
            </w:tcBorders>
            <w:shd w:fill="F0F0F0" w:val="clear"/>
          </w:tcPr>
          <w:p>
            <w:pPr>
              <w:pStyle w:val="Compact"/>
              <w:jc w:val="left"/>
            </w:pPr>
            <w:r>
              <w:rPr>
                <w:rFonts w:ascii="Calibri" w:hAnsi="Calibri"/>
                <w:b w:val="0"/>
                <w:sz w:val="18"/>
              </w:rPr>
              <w:t xml:space="preserve">.862</w:t>
            </w:r>
          </w:p>
        </w:tc>
        <w:tc>
          <w:tcPr>
            <w:shd w:fill="F0F0F0" w:val="clear"/>
            <w:tcBorders>
              <w:top w:val="single" w:sz="4" w:space="0" w:color="AAAAAA"/>
              <w:bottom w:val="single" w:sz="4" w:space="0" w:color="666666"/>
              <w:left w:val="single" w:sz="4" w:space="0" w:color="AAAAAA"/>
              <w:right w:val="single" w:sz="4" w:space="0" w:color="666666"/>
            </w:tcBorders>
            <w:shd w:fill="F0F0F0" w:val="clear"/>
          </w:tcPr>
          <w:p>
            <w:pPr>
              <w:pStyle w:val="Compact"/>
              <w:jc w:val="left"/>
            </w:pPr>
            <w:r>
              <w:rPr>
                <w:rFonts w:ascii="Calibri" w:hAnsi="Calibri"/>
                <w:b w:val="0"/>
                <w:sz w:val="18"/>
              </w:rPr>
              <w:t xml:space="preserve">.758</w:t>
            </w:r>
          </w:p>
        </w:tc>
      </w:tr>
    </w:tbl>
    <w:p>
      <w:pPr>
        <w:pStyle w:val="BodyText"/>
      </w:pPr>
      <w:r>
        <w:t xml:space="preserve">All composite reliabilities met or exceeded .750 and all AVE values exceeded .50, confirming convergent validity.</w:t>
      </w:r>
    </w:p>
    <w:bookmarkEnd w:id="21"/>
    <w:bookmarkStart w:id="22" w:name="discriminant-validity"/>
    <w:p>
      <w:pPr>
        <w:pStyle w:val="Heading4"/>
      </w:pPr>
      <w:r>
        <w:t xml:space="preserve">Discriminant Validity</w:t>
      </w:r>
    </w:p>
    <w:p>
      <w:pPr>
        <w:pStyle w:val="FirstParagraph"/>
      </w:pPr>
      <w:r>
        <w:t xml:space="preserve">Factor correlations ranged from r = .516 (EE × SI) to r = .911 (PE × PV). Four HTMT ratios exceeded the .85 threshold, concentrated in the PE–HM–PV triad:</w:t>
      </w:r>
    </w:p>
    <w:tbl>
      <w:tblPr>
        <w:tblStyle w:val="Table"/>
        <w:tblLayout w:type="fixed"/>
        <w:tblLook w:firstRow="1" w:lastRow="0" w:firstColumn="0" w:lastColumn="0" w:noHBand="0" w:noVBand="0" w:val="0020"/>
        <w:tblW w:type="pct" w:w="5000"/>
      </w:tblPr>
      <w:tblGrid>
        <w:gridCol w:w="2640"/>
        <w:gridCol w:w="2006"/>
        <w:gridCol w:w="3273"/>
      </w:tblGrid>
      <w:tr>
        <w:trPr>
          <w:tblHeader w:val="on"/>
          <w:cantSplit w:val="true"/>
        </w:trPr>
        <w:tc>
          <w:tcPr>
            <w:shd w:fill="0078D4" w:val="clear"/>
            <w:tcBorders>
              <w:top w:val="single" w:sz="4" w:space="0" w:color="666666"/>
              <w:bottom w:val="single" w:sz="4" w:space="0" w:color="AAAAAA"/>
              <w:left w:val="single" w:sz="4" w:space="0" w:color="666666"/>
              <w:right w:val="single" w:sz="4" w:space="0" w:color="AAAAAA"/>
            </w:tcBorders>
            <w:shd w:fill="0078D4" w:val="clear"/>
          </w:tcPr>
          <w:p>
            <w:pPr>
              <w:pStyle w:val="Compact"/>
              <w:jc w:val="left"/>
              <w:keepNext w:val="true"/>
            </w:pPr>
            <w:r>
              <w:rPr>
                <w:rFonts w:ascii="Calibri" w:hAnsi="Calibri"/>
                <w:b/>
                <w:color w:val="FFFFFF"/>
                <w:sz w:val="20"/>
              </w:rPr>
              <w:t xml:space="preserve">Pair</w:t>
            </w:r>
          </w:p>
        </w:tc>
        <w:tc>
          <w:tcPr>
            <w:shd w:fill="0078D4" w:val="clear"/>
            <w:tcBorders>
              <w:top w:val="single" w:sz="4" w:space="0" w:color="666666"/>
              <w:bottom w:val="single" w:sz="4" w:space="0" w:color="AAAAAA"/>
              <w:left w:val="single" w:sz="4" w:space="0" w:color="AAAAAA"/>
              <w:right w:val="single" w:sz="4" w:space="0" w:color="AAAAAA"/>
            </w:tcBorders>
            <w:shd w:fill="0078D4" w:val="clear"/>
          </w:tcPr>
          <w:p>
            <w:pPr>
              <w:pStyle w:val="Compact"/>
              <w:jc w:val="left"/>
              <w:keepNext w:val="true"/>
            </w:pPr>
            <w:r>
              <w:rPr>
                <w:rFonts w:ascii="Calibri" w:hAnsi="Calibri"/>
                <w:b/>
                <w:color w:val="FFFFFF"/>
                <w:sz w:val="20"/>
              </w:rPr>
              <w:t xml:space="preserve">HTMT</w:t>
            </w:r>
          </w:p>
        </w:tc>
        <w:tc>
          <w:tcPr>
            <w:shd w:fill="0078D4" w:val="clear"/>
            <w:tcBorders>
              <w:top w:val="single" w:sz="4" w:space="0" w:color="666666"/>
              <w:bottom w:val="single" w:sz="4" w:space="0" w:color="AAAAAA"/>
              <w:left w:val="single" w:sz="4" w:space="0" w:color="AAAAAA"/>
              <w:right w:val="single" w:sz="4" w:space="0" w:color="666666"/>
            </w:tcBorders>
            <w:shd w:fill="0078D4" w:val="clear"/>
          </w:tcPr>
          <w:p>
            <w:pPr>
              <w:pStyle w:val="Compact"/>
              <w:jc w:val="left"/>
              <w:keepNext w:val="true"/>
            </w:pPr>
            <w:r>
              <w:rPr>
                <w:rFonts w:ascii="Calibri" w:hAnsi="Calibri"/>
                <w:b/>
                <w:color w:val="FFFFFF"/>
                <w:sz w:val="20"/>
              </w:rPr>
              <w:t xml:space="preserve">Status</w:t>
            </w:r>
          </w:p>
        </w:tc>
      </w:tr>
      <w:tr>
        <w:trPr>
          <w:cantSplit w:val="true"/>
        </w:trPr>
        <w:tc>
          <w:tcPr>
            <w:shd w:fill="FFFFFF" w:val="clear"/>
            <w:tcBorders>
              <w:top w:val="single" w:sz="4" w:space="0" w:color="AAAAAA"/>
              <w:bottom w:val="single" w:sz="4" w:space="0" w:color="AAAAAA"/>
              <w:left w:val="single" w:sz="4" w:space="0" w:color="666666"/>
              <w:right w:val="single" w:sz="4" w:space="0" w:color="AAAAAA"/>
            </w:tcBorders>
          </w:tcPr>
          <w:p>
            <w:pPr>
              <w:pStyle w:val="Compact"/>
              <w:jc w:val="left"/>
              <w:keepNext w:val="true"/>
            </w:pPr>
            <w:r>
              <w:rPr>
                <w:rFonts w:ascii="Calibri" w:hAnsi="Calibri"/>
                <w:b w:val="0"/>
                <w:sz w:val="18"/>
              </w:rPr>
              <w:t xml:space="preserve">PE × PV</w:t>
            </w:r>
          </w:p>
        </w:tc>
        <w:tc>
          <w:tcPr>
            <w:shd w:fill="FFFFFF" w:val="clear"/>
            <w:tcBorders>
              <w:top w:val="single" w:sz="4" w:space="0" w:color="AAAAAA"/>
              <w:bottom w:val="single" w:sz="4" w:space="0" w:color="AAAAAA"/>
              <w:left w:val="single" w:sz="4" w:space="0" w:color="AAAAAA"/>
              <w:right w:val="single" w:sz="4" w:space="0" w:color="AAAAAA"/>
            </w:tcBorders>
          </w:tcPr>
          <w:p>
            <w:pPr>
              <w:pStyle w:val="Compact"/>
              <w:jc w:val="left"/>
              <w:keepNext w:val="true"/>
            </w:pPr>
            <w:r>
              <w:rPr>
                <w:rFonts w:ascii="Calibri" w:hAnsi="Calibri"/>
                <w:b w:val="0"/>
                <w:sz w:val="18"/>
              </w:rPr>
              <w:t xml:space="preserve">.902</w:t>
            </w:r>
          </w:p>
        </w:tc>
        <w:tc>
          <w:tcPr>
            <w:shd w:fill="FFFFFF" w:val="clear"/>
            <w:tcBorders>
              <w:top w:val="single" w:sz="4" w:space="0" w:color="AAAAAA"/>
              <w:bottom w:val="single" w:sz="4" w:space="0" w:color="AAAAAA"/>
              <w:left w:val="single" w:sz="4" w:space="0" w:color="AAAAAA"/>
              <w:right w:val="single" w:sz="4" w:space="0" w:color="666666"/>
            </w:tcBorders>
          </w:tcPr>
          <w:p>
            <w:pPr>
              <w:pStyle w:val="Compact"/>
              <w:jc w:val="left"/>
              <w:keepNext w:val="true"/>
            </w:pPr>
            <w:r>
              <w:rPr>
                <w:rFonts w:ascii="Calibri" w:hAnsi="Calibri"/>
                <w:b w:val="0"/>
                <w:sz w:val="18"/>
              </w:rPr>
              <w:t xml:space="preserve">Exceeds threshold</w:t>
            </w:r>
          </w:p>
        </w:tc>
      </w:tr>
      <w:tr>
        <w:trPr>
          <w:cantSplit w:val="true"/>
        </w:trPr>
        <w:tc>
          <w:tcPr>
            <w:shd w:fill="F0F0F0" w:val="clear"/>
            <w:tcBorders>
              <w:top w:val="single" w:sz="4" w:space="0" w:color="AAAAAA"/>
              <w:bottom w:val="single" w:sz="4" w:space="0" w:color="AAAAAA"/>
              <w:left w:val="single" w:sz="4" w:space="0" w:color="666666"/>
              <w:right w:val="single" w:sz="4" w:space="0" w:color="AAAAAA"/>
            </w:tcBorders>
            <w:shd w:fill="F0F0F0" w:val="clear"/>
          </w:tcPr>
          <w:p>
            <w:pPr>
              <w:pStyle w:val="Compact"/>
              <w:jc w:val="left"/>
              <w:keepNext w:val="true"/>
            </w:pPr>
            <w:r>
              <w:rPr>
                <w:rFonts w:ascii="Calibri" w:hAnsi="Calibri"/>
                <w:b w:val="0"/>
                <w:sz w:val="18"/>
              </w:rPr>
              <w:t xml:space="preserve">PE × HM</w:t>
            </w:r>
          </w:p>
        </w:tc>
        <w:tc>
          <w:tcPr>
            <w:shd w:fill="F0F0F0" w:val="clear"/>
            <w:tcBorders>
              <w:top w:val="single" w:sz="4" w:space="0" w:color="AAAAAA"/>
              <w:bottom w:val="single" w:sz="4" w:space="0" w:color="AAAAAA"/>
              <w:left w:val="single" w:sz="4" w:space="0" w:color="AAAAAA"/>
              <w:right w:val="single" w:sz="4" w:space="0" w:color="AAAAAA"/>
            </w:tcBorders>
            <w:shd w:fill="F0F0F0" w:val="clear"/>
          </w:tcPr>
          <w:p>
            <w:pPr>
              <w:pStyle w:val="Compact"/>
              <w:jc w:val="left"/>
              <w:keepNext w:val="true"/>
            </w:pPr>
            <w:r>
              <w:rPr>
                <w:rFonts w:ascii="Calibri" w:hAnsi="Calibri"/>
                <w:b w:val="0"/>
                <w:sz w:val="18"/>
              </w:rPr>
              <w:t xml:space="preserve">.900</w:t>
            </w:r>
          </w:p>
        </w:tc>
        <w:tc>
          <w:tcPr>
            <w:shd w:fill="F0F0F0" w:val="clear"/>
            <w:tcBorders>
              <w:top w:val="single" w:sz="4" w:space="0" w:color="AAAAAA"/>
              <w:bottom w:val="single" w:sz="4" w:space="0" w:color="AAAAAA"/>
              <w:left w:val="single" w:sz="4" w:space="0" w:color="AAAAAA"/>
              <w:right w:val="single" w:sz="4" w:space="0" w:color="666666"/>
            </w:tcBorders>
            <w:shd w:fill="F0F0F0" w:val="clear"/>
          </w:tcPr>
          <w:p>
            <w:pPr>
              <w:pStyle w:val="Compact"/>
              <w:jc w:val="left"/>
              <w:keepNext w:val="true"/>
            </w:pPr>
            <w:r>
              <w:rPr>
                <w:rFonts w:ascii="Calibri" w:hAnsi="Calibri"/>
                <w:b w:val="0"/>
                <w:sz w:val="18"/>
              </w:rPr>
              <w:t xml:space="preserve">Exceeds threshold</w:t>
            </w:r>
          </w:p>
        </w:tc>
      </w:tr>
      <w:tr>
        <w:trPr>
          <w:cantSplit w:val="true"/>
        </w:trPr>
        <w:tc>
          <w:tcPr>
            <w:shd w:fill="FFFFFF" w:val="clear"/>
            <w:tcBorders>
              <w:top w:val="single" w:sz="4" w:space="0" w:color="AAAAAA"/>
              <w:bottom w:val="single" w:sz="4" w:space="0" w:color="AAAAAA"/>
              <w:left w:val="single" w:sz="4" w:space="0" w:color="666666"/>
              <w:right w:val="single" w:sz="4" w:space="0" w:color="AAAAAA"/>
            </w:tcBorders>
          </w:tcPr>
          <w:p>
            <w:pPr>
              <w:pStyle w:val="Compact"/>
              <w:jc w:val="left"/>
              <w:keepNext w:val="true"/>
            </w:pPr>
            <w:r>
              <w:rPr>
                <w:rFonts w:ascii="Calibri" w:hAnsi="Calibri"/>
                <w:b w:val="0"/>
                <w:sz w:val="18"/>
              </w:rPr>
              <w:t xml:space="preserve">HM × PV</w:t>
            </w:r>
          </w:p>
        </w:tc>
        <w:tc>
          <w:tcPr>
            <w:shd w:fill="FFFFFF" w:val="clear"/>
            <w:tcBorders>
              <w:top w:val="single" w:sz="4" w:space="0" w:color="AAAAAA"/>
              <w:bottom w:val="single" w:sz="4" w:space="0" w:color="AAAAAA"/>
              <w:left w:val="single" w:sz="4" w:space="0" w:color="AAAAAA"/>
              <w:right w:val="single" w:sz="4" w:space="0" w:color="AAAAAA"/>
            </w:tcBorders>
          </w:tcPr>
          <w:p>
            <w:pPr>
              <w:pStyle w:val="Compact"/>
              <w:jc w:val="left"/>
              <w:keepNext w:val="true"/>
            </w:pPr>
            <w:r>
              <w:rPr>
                <w:rFonts w:ascii="Calibri" w:hAnsi="Calibri"/>
                <w:b w:val="0"/>
                <w:sz w:val="18"/>
              </w:rPr>
              <w:t xml:space="preserve">.904</w:t>
            </w:r>
          </w:p>
        </w:tc>
        <w:tc>
          <w:tcPr>
            <w:shd w:fill="FFFFFF" w:val="clear"/>
            <w:tcBorders>
              <w:top w:val="single" w:sz="4" w:space="0" w:color="AAAAAA"/>
              <w:bottom w:val="single" w:sz="4" w:space="0" w:color="AAAAAA"/>
              <w:left w:val="single" w:sz="4" w:space="0" w:color="AAAAAA"/>
              <w:right w:val="single" w:sz="4" w:space="0" w:color="666666"/>
            </w:tcBorders>
          </w:tcPr>
          <w:p>
            <w:pPr>
              <w:pStyle w:val="Compact"/>
              <w:jc w:val="left"/>
              <w:keepNext w:val="true"/>
            </w:pPr>
            <w:r>
              <w:rPr>
                <w:rFonts w:ascii="Calibri" w:hAnsi="Calibri"/>
                <w:b w:val="0"/>
                <w:sz w:val="18"/>
              </w:rPr>
              <w:t xml:space="preserve">Exceeds threshold</w:t>
            </w:r>
          </w:p>
        </w:tc>
      </w:tr>
      <w:tr>
        <w:trPr>
          <w:cantSplit w:val="true"/>
        </w:trPr>
        <w:tc>
          <w:tcPr>
            <w:shd w:fill="F0F0F0" w:val="clear"/>
            <w:tcBorders>
              <w:top w:val="single" w:sz="4" w:space="0" w:color="AAAAAA"/>
              <w:bottom w:val="single" w:sz="4" w:space="0" w:color="666666"/>
              <w:left w:val="single" w:sz="4" w:space="0" w:color="666666"/>
              <w:right w:val="single" w:sz="4" w:space="0" w:color="AAAAAA"/>
            </w:tcBorders>
            <w:shd w:fill="F0F0F0" w:val="clear"/>
          </w:tcPr>
          <w:p>
            <w:pPr>
              <w:pStyle w:val="Compact"/>
              <w:jc w:val="left"/>
            </w:pPr>
            <w:r>
              <w:rPr>
                <w:rFonts w:ascii="Calibri" w:hAnsi="Calibri"/>
                <w:b w:val="0"/>
                <w:sz w:val="18"/>
              </w:rPr>
              <w:t xml:space="preserve">HM × TR</w:t>
            </w:r>
          </w:p>
        </w:tc>
        <w:tc>
          <w:tcPr>
            <w:shd w:fill="F0F0F0" w:val="clear"/>
            <w:tcBorders>
              <w:top w:val="single" w:sz="4" w:space="0" w:color="AAAAAA"/>
              <w:bottom w:val="single" w:sz="4" w:space="0" w:color="666666"/>
              <w:left w:val="single" w:sz="4" w:space="0" w:color="AAAAAA"/>
              <w:right w:val="single" w:sz="4" w:space="0" w:color="AAAAAA"/>
            </w:tcBorders>
            <w:shd w:fill="F0F0F0" w:val="clear"/>
          </w:tcPr>
          <w:p>
            <w:pPr>
              <w:pStyle w:val="Compact"/>
              <w:jc w:val="left"/>
            </w:pPr>
            <w:r>
              <w:rPr>
                <w:rFonts w:ascii="Calibri" w:hAnsi="Calibri"/>
                <w:b w:val="0"/>
                <w:sz w:val="18"/>
              </w:rPr>
              <w:t xml:space="preserve">.850</w:t>
            </w:r>
          </w:p>
        </w:tc>
        <w:tc>
          <w:tcPr>
            <w:shd w:fill="F0F0F0" w:val="clear"/>
            <w:tcBorders>
              <w:top w:val="single" w:sz="4" w:space="0" w:color="AAAAAA"/>
              <w:bottom w:val="single" w:sz="4" w:space="0" w:color="666666"/>
              <w:left w:val="single" w:sz="4" w:space="0" w:color="AAAAAA"/>
              <w:right w:val="single" w:sz="4" w:space="0" w:color="666666"/>
            </w:tcBorders>
            <w:shd w:fill="F0F0F0" w:val="clear"/>
          </w:tcPr>
          <w:p>
            <w:pPr>
              <w:pStyle w:val="Compact"/>
              <w:jc w:val="left"/>
            </w:pPr>
            <w:r>
              <w:rPr>
                <w:rFonts w:ascii="Calibri" w:hAnsi="Calibri"/>
                <w:b w:val="0"/>
                <w:sz w:val="18"/>
              </w:rPr>
              <w:t xml:space="preserve">At threshold</w:t>
            </w:r>
          </w:p>
        </w:tc>
      </w:tr>
    </w:tbl>
    <w:p>
      <w:pPr>
        <w:pStyle w:val="BodyText"/>
      </w:pPr>
      <w:r>
        <w:t xml:space="preserve">These violations are structurally expected for 2-item-per-factor scales with conceptually adjacent constructs. The CFA model nonetheless demonstrated excellent overall fit, and the retained 8-factor structure provides essential diagnostic differentiation: each construct measures a distinct intervention target. The HTMT violations do not compromise the instrument’s diagnostic purpose, as organizations benefit from separately assessing performance perceptions, enjoyment, and value even when these dimensions are highly correlated.</w:t>
      </w:r>
    </w:p>
    <w:bookmarkEnd w:id="22"/>
    <w:bookmarkStart w:id="23" w:name="measurement-invariance"/>
    <w:p>
      <w:pPr>
        <w:pStyle w:val="Heading4"/>
      </w:pPr>
      <w:r>
        <w:t xml:space="preserve">Measurement Invariance</w:t>
      </w:r>
    </w:p>
    <w:p>
      <w:pPr>
        <w:pStyle w:val="FirstParagraph"/>
      </w:pPr>
      <w:r>
        <w:t xml:space="preserve">Configural invariance was achieved across Academic and Professional groups (same factor structure holds in both populations). Metric invariance was partial: mean loading difference = .082, maximum Δλ = .326 (Social Influence). This level of invariance is sufficient for comparing structural relationships across groups.</w:t>
      </w:r>
    </w:p>
    <w:tbl>
      <w:tblPr>
        <w:tblStyle w:val="Table"/>
        <w:tblLayout w:type="fixed"/>
        <w:tblLook w:firstRow="1" w:lastRow="0" w:firstColumn="0" w:lastColumn="0" w:noHBand="0" w:noVBand="0" w:val="0020"/>
        <w:tblW w:type="pct" w:w="5000"/>
      </w:tblPr>
      <w:tblGrid>
        <w:gridCol w:w="3543"/>
        <w:gridCol w:w="1458"/>
        <w:gridCol w:w="1458"/>
        <w:gridCol w:w="1458"/>
      </w:tblGrid>
      <w:tr>
        <w:trPr>
          <w:tblHeader w:val="on"/>
          <w:cantSplit w:val="true"/>
        </w:trPr>
        <w:tc>
          <w:tcPr>
            <w:shd w:fill="0078D4" w:val="clear"/>
            <w:tcBorders>
              <w:top w:val="single" w:sz="4" w:space="0" w:color="666666"/>
              <w:bottom w:val="single" w:sz="4" w:space="0" w:color="AAAAAA"/>
              <w:left w:val="single" w:sz="4" w:space="0" w:color="666666"/>
              <w:right w:val="single" w:sz="4" w:space="0" w:color="AAAAAA"/>
            </w:tcBorders>
            <w:shd w:fill="0078D4" w:val="clear"/>
          </w:tcPr>
          <w:p>
            <w:pPr>
              <w:pStyle w:val="Compact"/>
              <w:jc w:val="left"/>
              <w:keepNext w:val="true"/>
            </w:pPr>
            <w:r>
              <w:rPr>
                <w:rFonts w:ascii="Calibri" w:hAnsi="Calibri"/>
                <w:b/>
                <w:color w:val="FFFFFF"/>
                <w:sz w:val="20"/>
              </w:rPr>
              <w:t xml:space="preserve">Group</w:t>
            </w:r>
          </w:p>
        </w:tc>
        <w:tc>
          <w:tcPr>
            <w:shd w:fill="0078D4" w:val="clear"/>
            <w:tcBorders>
              <w:top w:val="single" w:sz="4" w:space="0" w:color="666666"/>
              <w:bottom w:val="single" w:sz="4" w:space="0" w:color="AAAAAA"/>
              <w:left w:val="single" w:sz="4" w:space="0" w:color="AAAAAA"/>
              <w:right w:val="single" w:sz="4" w:space="0" w:color="AAAAAA"/>
            </w:tcBorders>
            <w:shd w:fill="0078D4" w:val="clear"/>
          </w:tcPr>
          <w:p>
            <w:pPr>
              <w:pStyle w:val="Compact"/>
              <w:jc w:val="left"/>
              <w:keepNext w:val="true"/>
            </w:pPr>
            <w:r>
              <w:rPr>
                <w:rFonts w:ascii="Calibri" w:hAnsi="Calibri"/>
                <w:b/>
                <w:color w:val="FFFFFF"/>
                <w:sz w:val="20"/>
              </w:rPr>
              <w:t xml:space="preserve">CFI</w:t>
            </w:r>
          </w:p>
        </w:tc>
        <w:tc>
          <w:tcPr>
            <w:shd w:fill="0078D4" w:val="clear"/>
            <w:tcBorders>
              <w:top w:val="single" w:sz="4" w:space="0" w:color="666666"/>
              <w:bottom w:val="single" w:sz="4" w:space="0" w:color="AAAAAA"/>
              <w:left w:val="single" w:sz="4" w:space="0" w:color="AAAAAA"/>
              <w:right w:val="single" w:sz="4" w:space="0" w:color="AAAAAA"/>
            </w:tcBorders>
            <w:shd w:fill="0078D4" w:val="clear"/>
          </w:tcPr>
          <w:p>
            <w:pPr>
              <w:pStyle w:val="Compact"/>
              <w:jc w:val="left"/>
              <w:keepNext w:val="true"/>
            </w:pPr>
            <w:r>
              <w:rPr>
                <w:rFonts w:ascii="Calibri" w:hAnsi="Calibri"/>
                <w:b/>
                <w:color w:val="FFFFFF"/>
                <w:sz w:val="20"/>
              </w:rPr>
              <w:t xml:space="preserve">RMSEA</w:t>
            </w:r>
          </w:p>
        </w:tc>
        <w:tc>
          <w:tcPr>
            <w:shd w:fill="0078D4" w:val="clear"/>
            <w:tcBorders>
              <w:top w:val="single" w:sz="4" w:space="0" w:color="666666"/>
              <w:bottom w:val="single" w:sz="4" w:space="0" w:color="AAAAAA"/>
              <w:left w:val="single" w:sz="4" w:space="0" w:color="AAAAAA"/>
              <w:right w:val="single" w:sz="4" w:space="0" w:color="666666"/>
            </w:tcBorders>
            <w:shd w:fill="0078D4" w:val="clear"/>
          </w:tcPr>
          <w:p>
            <w:pPr>
              <w:pStyle w:val="Compact"/>
              <w:jc w:val="left"/>
              <w:keepNext w:val="true"/>
            </w:pPr>
            <w:r>
              <w:rPr>
                <w:rFonts w:ascii="Calibri" w:hAnsi="Calibri"/>
                <w:b/>
                <w:color w:val="FFFFFF"/>
                <w:sz w:val="20"/>
              </w:rPr>
              <w:t xml:space="preserve">SRMR</w:t>
            </w:r>
          </w:p>
        </w:tc>
      </w:tr>
      <w:tr>
        <w:trPr>
          <w:cantSplit w:val="true"/>
        </w:trPr>
        <w:tc>
          <w:tcPr>
            <w:shd w:fill="FFFFFF" w:val="clear"/>
            <w:tcBorders>
              <w:top w:val="single" w:sz="4" w:space="0" w:color="AAAAAA"/>
              <w:bottom w:val="single" w:sz="4" w:space="0" w:color="AAAAAA"/>
              <w:left w:val="single" w:sz="4" w:space="0" w:color="666666"/>
              <w:right w:val="single" w:sz="4" w:space="0" w:color="AAAAAA"/>
            </w:tcBorders>
          </w:tcPr>
          <w:p>
            <w:pPr>
              <w:pStyle w:val="Compact"/>
              <w:jc w:val="left"/>
              <w:keepNext w:val="true"/>
            </w:pPr>
            <w:r>
              <w:rPr>
                <w:rFonts w:ascii="Calibri" w:hAnsi="Calibri"/>
                <w:b w:val="0"/>
                <w:sz w:val="18"/>
              </w:rPr>
              <w:t xml:space="preserve">Academic (n = 216)</w:t>
            </w:r>
          </w:p>
        </w:tc>
        <w:tc>
          <w:tcPr>
            <w:shd w:fill="FFFFFF" w:val="clear"/>
            <w:tcBorders>
              <w:top w:val="single" w:sz="4" w:space="0" w:color="AAAAAA"/>
              <w:bottom w:val="single" w:sz="4" w:space="0" w:color="AAAAAA"/>
              <w:left w:val="single" w:sz="4" w:space="0" w:color="AAAAAA"/>
              <w:right w:val="single" w:sz="4" w:space="0" w:color="AAAAAA"/>
            </w:tcBorders>
          </w:tcPr>
          <w:p>
            <w:pPr>
              <w:pStyle w:val="Compact"/>
              <w:jc w:val="left"/>
              <w:keepNext w:val="true"/>
            </w:pPr>
            <w:r>
              <w:rPr>
                <w:rFonts w:ascii="Calibri" w:hAnsi="Calibri"/>
                <w:b w:val="0"/>
                <w:sz w:val="18"/>
              </w:rPr>
              <w:t xml:space="preserve">.958</w:t>
            </w:r>
          </w:p>
        </w:tc>
        <w:tc>
          <w:tcPr>
            <w:shd w:fill="FFFFFF" w:val="clear"/>
            <w:tcBorders>
              <w:top w:val="single" w:sz="4" w:space="0" w:color="AAAAAA"/>
              <w:bottom w:val="single" w:sz="4" w:space="0" w:color="AAAAAA"/>
              <w:left w:val="single" w:sz="4" w:space="0" w:color="AAAAAA"/>
              <w:right w:val="single" w:sz="4" w:space="0" w:color="AAAAAA"/>
            </w:tcBorders>
          </w:tcPr>
          <w:p>
            <w:pPr>
              <w:pStyle w:val="Compact"/>
              <w:jc w:val="left"/>
              <w:keepNext w:val="true"/>
            </w:pPr>
            <w:r>
              <w:rPr>
                <w:rFonts w:ascii="Calibri" w:hAnsi="Calibri"/>
                <w:b w:val="0"/>
                <w:sz w:val="18"/>
              </w:rPr>
              <w:t xml:space="preserve">.066</w:t>
            </w:r>
          </w:p>
        </w:tc>
        <w:tc>
          <w:tcPr>
            <w:shd w:fill="FFFFFF" w:val="clear"/>
            <w:tcBorders>
              <w:top w:val="single" w:sz="4" w:space="0" w:color="AAAAAA"/>
              <w:bottom w:val="single" w:sz="4" w:space="0" w:color="AAAAAA"/>
              <w:left w:val="single" w:sz="4" w:space="0" w:color="AAAAAA"/>
              <w:right w:val="single" w:sz="4" w:space="0" w:color="666666"/>
            </w:tcBorders>
          </w:tcPr>
          <w:p>
            <w:pPr>
              <w:pStyle w:val="Compact"/>
              <w:jc w:val="left"/>
              <w:keepNext w:val="true"/>
            </w:pPr>
            <w:r>
              <w:rPr>
                <w:rFonts w:ascii="Calibri" w:hAnsi="Calibri"/>
                <w:b w:val="0"/>
                <w:sz w:val="18"/>
              </w:rPr>
              <w:t xml:space="preserve">.038</w:t>
            </w:r>
          </w:p>
        </w:tc>
      </w:tr>
      <w:tr>
        <w:trPr>
          <w:cantSplit w:val="true"/>
        </w:trPr>
        <w:tc>
          <w:tcPr>
            <w:shd w:fill="F0F0F0" w:val="clear"/>
            <w:tcBorders>
              <w:top w:val="single" w:sz="4" w:space="0" w:color="AAAAAA"/>
              <w:bottom w:val="single" w:sz="4" w:space="0" w:color="666666"/>
              <w:left w:val="single" w:sz="4" w:space="0" w:color="666666"/>
              <w:right w:val="single" w:sz="4" w:space="0" w:color="AAAAAA"/>
            </w:tcBorders>
            <w:shd w:fill="F0F0F0" w:val="clear"/>
          </w:tcPr>
          <w:p>
            <w:pPr>
              <w:pStyle w:val="Compact"/>
              <w:jc w:val="left"/>
            </w:pPr>
            <w:r>
              <w:rPr>
                <w:rFonts w:ascii="Calibri" w:hAnsi="Calibri"/>
                <w:b w:val="0"/>
                <w:sz w:val="18"/>
              </w:rPr>
              <w:t xml:space="preserve">Professional+Leader (n = 307)</w:t>
            </w:r>
          </w:p>
        </w:tc>
        <w:tc>
          <w:tcPr>
            <w:shd w:fill="F0F0F0" w:val="clear"/>
            <w:tcBorders>
              <w:top w:val="single" w:sz="4" w:space="0" w:color="AAAAAA"/>
              <w:bottom w:val="single" w:sz="4" w:space="0" w:color="666666"/>
              <w:left w:val="single" w:sz="4" w:space="0" w:color="AAAAAA"/>
              <w:right w:val="single" w:sz="4" w:space="0" w:color="AAAAAA"/>
            </w:tcBorders>
            <w:shd w:fill="F0F0F0" w:val="clear"/>
          </w:tcPr>
          <w:p>
            <w:pPr>
              <w:pStyle w:val="Compact"/>
              <w:jc w:val="left"/>
            </w:pPr>
            <w:r>
              <w:rPr>
                <w:rFonts w:ascii="Calibri" w:hAnsi="Calibri"/>
                <w:b w:val="0"/>
                <w:sz w:val="18"/>
              </w:rPr>
              <w:t xml:space="preserve">.986</w:t>
            </w:r>
          </w:p>
        </w:tc>
        <w:tc>
          <w:tcPr>
            <w:shd w:fill="F0F0F0" w:val="clear"/>
            <w:tcBorders>
              <w:top w:val="single" w:sz="4" w:space="0" w:color="AAAAAA"/>
              <w:bottom w:val="single" w:sz="4" w:space="0" w:color="666666"/>
              <w:left w:val="single" w:sz="4" w:space="0" w:color="AAAAAA"/>
              <w:right w:val="single" w:sz="4" w:space="0" w:color="AAAAAA"/>
            </w:tcBorders>
            <w:shd w:fill="F0F0F0" w:val="clear"/>
          </w:tcPr>
          <w:p>
            <w:pPr>
              <w:pStyle w:val="Compact"/>
              <w:jc w:val="left"/>
            </w:pPr>
            <w:r>
              <w:rPr>
                <w:rFonts w:ascii="Calibri" w:hAnsi="Calibri"/>
                <w:b w:val="0"/>
                <w:sz w:val="18"/>
              </w:rPr>
              <w:t xml:space="preserve">.048</w:t>
            </w:r>
          </w:p>
        </w:tc>
        <w:tc>
          <w:tcPr>
            <w:shd w:fill="F0F0F0" w:val="clear"/>
            <w:tcBorders>
              <w:top w:val="single" w:sz="4" w:space="0" w:color="AAAAAA"/>
              <w:bottom w:val="single" w:sz="4" w:space="0" w:color="666666"/>
              <w:left w:val="single" w:sz="4" w:space="0" w:color="AAAAAA"/>
              <w:right w:val="single" w:sz="4" w:space="0" w:color="666666"/>
            </w:tcBorders>
            <w:shd w:fill="F0F0F0" w:val="clear"/>
          </w:tcPr>
          <w:p>
            <w:pPr>
              <w:pStyle w:val="Compact"/>
              <w:jc w:val="left"/>
            </w:pPr>
            <w:r>
              <w:rPr>
                <w:rFonts w:ascii="Calibri" w:hAnsi="Calibri"/>
                <w:b w:val="0"/>
                <w:sz w:val="18"/>
              </w:rPr>
              <w:t xml:space="preserve">.018</w:t>
            </w:r>
          </w:p>
        </w:tc>
      </w:tr>
    </w:tbl>
    <w:bookmarkEnd w:id="23"/>
    <w:bookmarkEnd w:id="24"/>
    <w:bookmarkStart w:id="28" w:name="structural-model-hypothesis-testing"/>
    <w:p>
      <w:pPr>
        <w:pStyle w:val="Heading3"/>
      </w:pPr>
      <w:r>
        <w:t xml:space="preserve">4.2 Structural Model: Hypothesis Testing</w:t>
      </w:r>
    </w:p>
    <w:p>
      <w:pPr>
        <w:pStyle w:val="FirstParagraph"/>
      </w:pPr>
      <w:r>
        <w:t xml:space="preserve">The structural model explained 89.7% of the variance in Behavioral Intention (R² = .897), an exceptionally high value indicating that the AIRS factors capture the vast majority of systematic variance in AI adoption intention.</w:t>
      </w:r>
    </w:p>
    <w:bookmarkStart w:id="25" w:name="primary-path-coefficients-h1ah1g-h2"/>
    <w:p>
      <w:pPr>
        <w:pStyle w:val="Heading4"/>
      </w:pPr>
      <w:r>
        <w:t xml:space="preserve">Primary Path Coefficients (H1a–H1g, H2)</w:t>
      </w:r>
    </w:p>
    <w:tbl>
      <w:tblPr>
        <w:tblStyle w:val="Table"/>
        <w:tblLayout w:type="fixed"/>
        <w:tblLook w:firstRow="1" w:lastRow="0" w:firstColumn="0" w:lastColumn="0" w:noHBand="0" w:noVBand="0" w:val="0020"/>
        <w:tblW w:type="pct" w:w="5000"/>
      </w:tblPr>
      <w:tblGrid>
        <w:gridCol w:w="900"/>
        <w:gridCol w:w="990"/>
        <w:gridCol w:w="630"/>
        <w:gridCol w:w="630"/>
        <w:gridCol w:w="1620"/>
        <w:gridCol w:w="1710"/>
        <w:gridCol w:w="1440"/>
      </w:tblGrid>
      <w:tr>
        <w:trPr>
          <w:tblHeader w:val="on"/>
          <w:cantSplit w:val="true"/>
        </w:trPr>
        <w:tc>
          <w:tcPr>
            <w:shd w:fill="0078D4" w:val="clear"/>
            <w:tcBorders>
              <w:top w:val="single" w:sz="4" w:space="0" w:color="666666"/>
              <w:bottom w:val="single" w:sz="4" w:space="0" w:color="AAAAAA"/>
              <w:left w:val="single" w:sz="4" w:space="0" w:color="666666"/>
              <w:right w:val="single" w:sz="4" w:space="0" w:color="AAAAAA"/>
            </w:tcBorders>
            <w:shd w:fill="0078D4" w:val="clear"/>
          </w:tcPr>
          <w:p>
            <w:pPr>
              <w:pStyle w:val="Compact"/>
              <w:jc w:val="left"/>
              <w:keepNext w:val="true"/>
            </w:pPr>
            <w:r>
              <w:rPr>
                <w:rFonts w:ascii="Calibri" w:hAnsi="Calibri"/>
                <w:b/>
                <w:color w:val="FFFFFF"/>
                <w:sz w:val="20"/>
              </w:rPr>
              <w:t xml:space="preserve">Hypothesis</w:t>
            </w:r>
          </w:p>
        </w:tc>
        <w:tc>
          <w:tcPr>
            <w:shd w:fill="0078D4" w:val="clear"/>
            <w:tcBorders>
              <w:top w:val="single" w:sz="4" w:space="0" w:color="666666"/>
              <w:bottom w:val="single" w:sz="4" w:space="0" w:color="AAAAAA"/>
              <w:left w:val="single" w:sz="4" w:space="0" w:color="AAAAAA"/>
              <w:right w:val="single" w:sz="4" w:space="0" w:color="AAAAAA"/>
            </w:tcBorders>
            <w:shd w:fill="0078D4" w:val="clear"/>
          </w:tcPr>
          <w:p>
            <w:pPr>
              <w:pStyle w:val="Compact"/>
              <w:jc w:val="left"/>
              <w:keepNext w:val="true"/>
            </w:pPr>
            <w:r>
              <w:rPr>
                <w:rFonts w:ascii="Calibri" w:hAnsi="Calibri"/>
                <w:b/>
                <w:color w:val="FFFFFF"/>
                <w:sz w:val="20"/>
              </w:rPr>
              <w:t xml:space="preserve">Path</w:t>
            </w:r>
          </w:p>
        </w:tc>
        <w:tc>
          <w:tcPr>
            <w:shd w:fill="0078D4" w:val="clear"/>
            <w:tcBorders>
              <w:top w:val="single" w:sz="4" w:space="0" w:color="666666"/>
              <w:bottom w:val="single" w:sz="4" w:space="0" w:color="AAAAAA"/>
              <w:left w:val="single" w:sz="4" w:space="0" w:color="AAAAAA"/>
              <w:right w:val="single" w:sz="4" w:space="0" w:color="AAAAAA"/>
            </w:tcBorders>
            <w:shd w:fill="0078D4" w:val="clear"/>
          </w:tcPr>
          <w:p>
            <w:pPr>
              <w:pStyle w:val="Compact"/>
              <w:jc w:val="left"/>
              <w:keepNext w:val="true"/>
            </w:pPr>
            <w:r>
              <w:rPr>
                <w:rFonts w:ascii="Calibri" w:hAnsi="Calibri"/>
                <w:b/>
                <w:color w:val="FFFFFF"/>
                <w:sz w:val="20"/>
              </w:rPr>
              <w:t xml:space="preserve">β</w:t>
            </w:r>
          </w:p>
        </w:tc>
        <w:tc>
          <w:tcPr>
            <w:shd w:fill="0078D4" w:val="clear"/>
            <w:tcBorders>
              <w:top w:val="single" w:sz="4" w:space="0" w:color="666666"/>
              <w:bottom w:val="single" w:sz="4" w:space="0" w:color="AAAAAA"/>
              <w:left w:val="single" w:sz="4" w:space="0" w:color="AAAAAA"/>
              <w:right w:val="single" w:sz="4" w:space="0" w:color="AAAAAA"/>
            </w:tcBorders>
            <w:shd w:fill="0078D4" w:val="clear"/>
          </w:tcPr>
          <w:p>
            <w:pPr>
              <w:pStyle w:val="Compact"/>
              <w:jc w:val="left"/>
              <w:keepNext w:val="true"/>
            </w:pPr>
            <w:r>
              <w:rPr>
                <w:rFonts w:ascii="Calibri" w:hAnsi="Calibri"/>
                <w:b/>
                <w:color w:val="FFFFFF"/>
                <w:sz w:val="20"/>
              </w:rPr>
              <w:t xml:space="preserve">p</w:t>
            </w:r>
          </w:p>
        </w:tc>
        <w:tc>
          <w:tcPr>
            <w:shd w:fill="0078D4" w:val="clear"/>
            <w:tcBorders>
              <w:top w:val="single" w:sz="4" w:space="0" w:color="666666"/>
              <w:bottom w:val="single" w:sz="4" w:space="0" w:color="AAAAAA"/>
              <w:left w:val="single" w:sz="4" w:space="0" w:color="AAAAAA"/>
              <w:right w:val="single" w:sz="4" w:space="0" w:color="AAAAAA"/>
            </w:tcBorders>
            <w:shd w:fill="0078D4" w:val="clear"/>
          </w:tcPr>
          <w:p>
            <w:pPr>
              <w:pStyle w:val="Compact"/>
              <w:jc w:val="left"/>
              <w:keepNext w:val="true"/>
            </w:pPr>
            <w:r>
              <w:rPr>
                <w:rFonts w:ascii="Calibri" w:hAnsi="Calibri"/>
                <w:b/>
                <w:color w:val="FFFFFF"/>
                <w:sz w:val="20"/>
              </w:rPr>
              <w:t xml:space="preserve">95% CI (z-test)</w:t>
            </w:r>
          </w:p>
        </w:tc>
        <w:tc>
          <w:tcPr>
            <w:shd w:fill="0078D4" w:val="clear"/>
            <w:tcBorders>
              <w:top w:val="single" w:sz="4" w:space="0" w:color="666666"/>
              <w:bottom w:val="single" w:sz="4" w:space="0" w:color="AAAAAA"/>
              <w:left w:val="single" w:sz="4" w:space="0" w:color="AAAAAA"/>
              <w:right w:val="single" w:sz="4" w:space="0" w:color="AAAAAA"/>
            </w:tcBorders>
            <w:shd w:fill="0078D4" w:val="clear"/>
          </w:tcPr>
          <w:p>
            <w:pPr>
              <w:pStyle w:val="Compact"/>
              <w:jc w:val="left"/>
              <w:keepNext w:val="true"/>
            </w:pPr>
            <w:r>
              <w:rPr>
                <w:rFonts w:ascii="Calibri" w:hAnsi="Calibri"/>
                <w:b/>
                <w:color w:val="FFFFFF"/>
                <w:sz w:val="20"/>
              </w:rPr>
              <w:t xml:space="preserve">Bootstrap 95% CI</w:t>
            </w:r>
          </w:p>
        </w:tc>
        <w:tc>
          <w:tcPr>
            <w:shd w:fill="0078D4" w:val="clear"/>
            <w:tcBorders>
              <w:top w:val="single" w:sz="4" w:space="0" w:color="666666"/>
              <w:bottom w:val="single" w:sz="4" w:space="0" w:color="AAAAAA"/>
              <w:left w:val="single" w:sz="4" w:space="0" w:color="AAAAAA"/>
              <w:right w:val="single" w:sz="4" w:space="0" w:color="666666"/>
            </w:tcBorders>
            <w:shd w:fill="0078D4" w:val="clear"/>
          </w:tcPr>
          <w:p>
            <w:pPr>
              <w:pStyle w:val="Compact"/>
              <w:jc w:val="left"/>
              <w:keepNext w:val="true"/>
            </w:pPr>
            <w:r>
              <w:rPr>
                <w:rFonts w:ascii="Calibri" w:hAnsi="Calibri"/>
                <w:b/>
                <w:color w:val="FFFFFF"/>
                <w:sz w:val="20"/>
              </w:rPr>
              <w:t xml:space="preserve">Result</w:t>
            </w:r>
          </w:p>
        </w:tc>
      </w:tr>
      <w:tr>
        <w:trPr>
          <w:cantSplit w:val="true"/>
        </w:trPr>
        <w:tc>
          <w:tcPr>
            <w:shd w:fill="FFFFFF" w:val="clear"/>
            <w:tcBorders>
              <w:top w:val="single" w:sz="4" w:space="0" w:color="AAAAAA"/>
              <w:bottom w:val="single" w:sz="4" w:space="0" w:color="AAAAAA"/>
              <w:left w:val="single" w:sz="4" w:space="0" w:color="666666"/>
              <w:right w:val="single" w:sz="4" w:space="0" w:color="AAAAAA"/>
            </w:tcBorders>
          </w:tcPr>
          <w:p>
            <w:pPr>
              <w:pStyle w:val="Compact"/>
              <w:jc w:val="left"/>
              <w:keepNext w:val="true"/>
            </w:pPr>
            <w:r>
              <w:rPr>
                <w:rFonts w:ascii="Calibri" w:hAnsi="Calibri"/>
                <w:b w:val="0"/>
                <w:sz w:val="18"/>
              </w:rPr>
              <w:t xml:space="preserve">H1a</w:t>
            </w:r>
          </w:p>
        </w:tc>
        <w:tc>
          <w:tcPr>
            <w:shd w:fill="FFFFFF" w:val="clear"/>
            <w:tcBorders>
              <w:top w:val="single" w:sz="4" w:space="0" w:color="AAAAAA"/>
              <w:bottom w:val="single" w:sz="4" w:space="0" w:color="AAAAAA"/>
              <w:left w:val="single" w:sz="4" w:space="0" w:color="AAAAAA"/>
              <w:right w:val="single" w:sz="4" w:space="0" w:color="AAAAAA"/>
            </w:tcBorders>
          </w:tcPr>
          <w:p>
            <w:pPr>
              <w:pStyle w:val="Compact"/>
              <w:jc w:val="left"/>
              <w:keepNext w:val="true"/>
            </w:pPr>
            <w:r>
              <w:rPr>
                <w:rFonts w:ascii="Calibri" w:hAnsi="Calibri"/>
                <w:b w:val="0"/>
                <w:sz w:val="18"/>
              </w:rPr>
              <w:t xml:space="preserve">PE → BI</w:t>
            </w:r>
          </w:p>
        </w:tc>
        <w:tc>
          <w:tcPr>
            <w:shd w:fill="FFFFFF" w:val="clear"/>
            <w:tcBorders>
              <w:top w:val="single" w:sz="4" w:space="0" w:color="AAAAAA"/>
              <w:bottom w:val="single" w:sz="4" w:space="0" w:color="AAAAAA"/>
              <w:left w:val="single" w:sz="4" w:space="0" w:color="AAAAAA"/>
              <w:right w:val="single" w:sz="4" w:space="0" w:color="AAAAAA"/>
            </w:tcBorders>
          </w:tcPr>
          <w:p>
            <w:pPr>
              <w:pStyle w:val="Compact"/>
              <w:jc w:val="left"/>
              <w:keepNext w:val="true"/>
            </w:pPr>
            <w:r>
              <w:rPr>
                <w:rFonts w:ascii="Calibri" w:hAnsi="Calibri"/>
                <w:b w:val="0"/>
                <w:sz w:val="18"/>
              </w:rPr>
              <w:t xml:space="preserve">−.028</w:t>
            </w:r>
          </w:p>
        </w:tc>
        <w:tc>
          <w:tcPr>
            <w:shd w:fill="FFFFFF" w:val="clear"/>
            <w:tcBorders>
              <w:top w:val="single" w:sz="4" w:space="0" w:color="AAAAAA"/>
              <w:bottom w:val="single" w:sz="4" w:space="0" w:color="AAAAAA"/>
              <w:left w:val="single" w:sz="4" w:space="0" w:color="AAAAAA"/>
              <w:right w:val="single" w:sz="4" w:space="0" w:color="AAAAAA"/>
            </w:tcBorders>
          </w:tcPr>
          <w:p>
            <w:pPr>
              <w:pStyle w:val="Compact"/>
              <w:jc w:val="left"/>
              <w:keepNext w:val="true"/>
            </w:pPr>
            <w:r>
              <w:rPr>
                <w:rFonts w:ascii="Calibri" w:hAnsi="Calibri"/>
                <w:b w:val="0"/>
                <w:sz w:val="18"/>
              </w:rPr>
              <w:t xml:space="preserve">.791</w:t>
            </w:r>
          </w:p>
        </w:tc>
        <w:tc>
          <w:tcPr>
            <w:shd w:fill="FFFFFF" w:val="clear"/>
            <w:tcBorders>
              <w:top w:val="single" w:sz="4" w:space="0" w:color="AAAAAA"/>
              <w:bottom w:val="single" w:sz="4" w:space="0" w:color="AAAAAA"/>
              <w:left w:val="single" w:sz="4" w:space="0" w:color="AAAAAA"/>
              <w:right w:val="single" w:sz="4" w:space="0" w:color="AAAAAA"/>
            </w:tcBorders>
          </w:tcPr>
          <w:p>
            <w:pPr>
              <w:pStyle w:val="Compact"/>
              <w:jc w:val="left"/>
              <w:keepNext w:val="true"/>
            </w:pPr>
            <w:r>
              <w:rPr>
                <w:rFonts w:ascii="Calibri" w:hAnsi="Calibri"/>
                <w:b w:val="0"/>
                <w:sz w:val="18"/>
              </w:rPr>
              <w:t xml:space="preserve">[−.234, .178]</w:t>
            </w:r>
          </w:p>
        </w:tc>
        <w:tc>
          <w:tcPr>
            <w:shd w:fill="FFFFFF" w:val="clear"/>
            <w:tcBorders>
              <w:top w:val="single" w:sz="4" w:space="0" w:color="AAAAAA"/>
              <w:bottom w:val="single" w:sz="4" w:space="0" w:color="AAAAAA"/>
              <w:left w:val="single" w:sz="4" w:space="0" w:color="AAAAAA"/>
              <w:right w:val="single" w:sz="4" w:space="0" w:color="AAAAAA"/>
            </w:tcBorders>
          </w:tcPr>
          <w:p>
            <w:pPr>
              <w:pStyle w:val="Compact"/>
              <w:jc w:val="left"/>
              <w:keepNext w:val="true"/>
            </w:pPr>
            <w:r>
              <w:rPr>
                <w:rFonts w:ascii="Calibri" w:hAnsi="Calibri"/>
                <w:b w:val="0"/>
                <w:sz w:val="18"/>
              </w:rPr>
              <w:t xml:space="preserve">—</w:t>
            </w:r>
          </w:p>
        </w:tc>
        <w:tc>
          <w:tcPr>
            <w:shd w:fill="FFFFFF" w:val="clear"/>
            <w:tcBorders>
              <w:top w:val="single" w:sz="4" w:space="0" w:color="AAAAAA"/>
              <w:bottom w:val="single" w:sz="4" w:space="0" w:color="AAAAAA"/>
              <w:left w:val="single" w:sz="4" w:space="0" w:color="AAAAAA"/>
              <w:right w:val="single" w:sz="4" w:space="0" w:color="666666"/>
            </w:tcBorders>
          </w:tcPr>
          <w:p>
            <w:pPr>
              <w:pStyle w:val="Compact"/>
              <w:jc w:val="left"/>
              <w:keepNext w:val="true"/>
            </w:pPr>
            <w:r>
              <w:rPr>
                <w:rFonts w:ascii="Calibri" w:hAnsi="Calibri"/>
                <w:b w:val="0"/>
                <w:sz w:val="18"/>
              </w:rPr>
              <w:t xml:space="preserve">Not Supported</w:t>
            </w:r>
          </w:p>
        </w:tc>
      </w:tr>
      <w:tr>
        <w:trPr>
          <w:cantSplit w:val="true"/>
        </w:trPr>
        <w:tc>
          <w:tcPr>
            <w:shd w:fill="F0F0F0" w:val="clear"/>
            <w:tcBorders>
              <w:top w:val="single" w:sz="4" w:space="0" w:color="AAAAAA"/>
              <w:bottom w:val="single" w:sz="4" w:space="0" w:color="AAAAAA"/>
              <w:left w:val="single" w:sz="4" w:space="0" w:color="666666"/>
              <w:right w:val="single" w:sz="4" w:space="0" w:color="AAAAAA"/>
            </w:tcBorders>
            <w:shd w:fill="F0F0F0" w:val="clear"/>
          </w:tcPr>
          <w:p>
            <w:pPr>
              <w:pStyle w:val="Compact"/>
              <w:jc w:val="left"/>
              <w:keepNext w:val="true"/>
            </w:pPr>
            <w:r>
              <w:rPr>
                <w:rFonts w:ascii="Calibri" w:hAnsi="Calibri"/>
                <w:b w:val="0"/>
                <w:sz w:val="18"/>
              </w:rPr>
              <w:t xml:space="preserve">H1b</w:t>
            </w:r>
          </w:p>
        </w:tc>
        <w:tc>
          <w:tcPr>
            <w:shd w:fill="F0F0F0" w:val="clear"/>
            <w:tcBorders>
              <w:top w:val="single" w:sz="4" w:space="0" w:color="AAAAAA"/>
              <w:bottom w:val="single" w:sz="4" w:space="0" w:color="AAAAAA"/>
              <w:left w:val="single" w:sz="4" w:space="0" w:color="AAAAAA"/>
              <w:right w:val="single" w:sz="4" w:space="0" w:color="AAAAAA"/>
            </w:tcBorders>
            <w:shd w:fill="F0F0F0" w:val="clear"/>
          </w:tcPr>
          <w:p>
            <w:pPr>
              <w:pStyle w:val="Compact"/>
              <w:jc w:val="left"/>
              <w:keepNext w:val="true"/>
            </w:pPr>
            <w:r>
              <w:rPr>
                <w:rFonts w:ascii="Calibri" w:hAnsi="Calibri"/>
                <w:b w:val="0"/>
                <w:sz w:val="18"/>
              </w:rPr>
              <w:t xml:space="preserve">EE → BI</w:t>
            </w:r>
          </w:p>
        </w:tc>
        <w:tc>
          <w:tcPr>
            <w:shd w:fill="F0F0F0" w:val="clear"/>
            <w:tcBorders>
              <w:top w:val="single" w:sz="4" w:space="0" w:color="AAAAAA"/>
              <w:bottom w:val="single" w:sz="4" w:space="0" w:color="AAAAAA"/>
              <w:left w:val="single" w:sz="4" w:space="0" w:color="AAAAAA"/>
              <w:right w:val="single" w:sz="4" w:space="0" w:color="AAAAAA"/>
            </w:tcBorders>
            <w:shd w:fill="F0F0F0" w:val="clear"/>
          </w:tcPr>
          <w:p>
            <w:pPr>
              <w:pStyle w:val="Compact"/>
              <w:jc w:val="left"/>
              <w:keepNext w:val="true"/>
            </w:pPr>
            <w:r>
              <w:rPr>
                <w:rFonts w:ascii="Calibri" w:hAnsi="Calibri"/>
                <w:b w:val="0"/>
                <w:sz w:val="18"/>
              </w:rPr>
              <w:t xml:space="preserve">−.008</w:t>
            </w:r>
          </w:p>
        </w:tc>
        <w:tc>
          <w:tcPr>
            <w:shd w:fill="F0F0F0" w:val="clear"/>
            <w:tcBorders>
              <w:top w:val="single" w:sz="4" w:space="0" w:color="AAAAAA"/>
              <w:bottom w:val="single" w:sz="4" w:space="0" w:color="AAAAAA"/>
              <w:left w:val="single" w:sz="4" w:space="0" w:color="AAAAAA"/>
              <w:right w:val="single" w:sz="4" w:space="0" w:color="AAAAAA"/>
            </w:tcBorders>
            <w:shd w:fill="F0F0F0" w:val="clear"/>
          </w:tcPr>
          <w:p>
            <w:pPr>
              <w:pStyle w:val="Compact"/>
              <w:jc w:val="left"/>
              <w:keepNext w:val="true"/>
            </w:pPr>
            <w:r>
              <w:rPr>
                <w:rFonts w:ascii="Calibri" w:hAnsi="Calibri"/>
                <w:b w:val="0"/>
                <w:sz w:val="18"/>
              </w:rPr>
              <w:t xml:space="preserve">.875</w:t>
            </w:r>
          </w:p>
        </w:tc>
        <w:tc>
          <w:tcPr>
            <w:shd w:fill="F0F0F0" w:val="clear"/>
            <w:tcBorders>
              <w:top w:val="single" w:sz="4" w:space="0" w:color="AAAAAA"/>
              <w:bottom w:val="single" w:sz="4" w:space="0" w:color="AAAAAA"/>
              <w:left w:val="single" w:sz="4" w:space="0" w:color="AAAAAA"/>
              <w:right w:val="single" w:sz="4" w:space="0" w:color="AAAAAA"/>
            </w:tcBorders>
            <w:shd w:fill="F0F0F0" w:val="clear"/>
          </w:tcPr>
          <w:p>
            <w:pPr>
              <w:pStyle w:val="Compact"/>
              <w:jc w:val="left"/>
              <w:keepNext w:val="true"/>
            </w:pPr>
            <w:r>
              <w:rPr>
                <w:rFonts w:ascii="Calibri" w:hAnsi="Calibri"/>
                <w:b w:val="0"/>
                <w:sz w:val="18"/>
              </w:rPr>
              <w:t xml:space="preserve">[−.108, .092]</w:t>
            </w:r>
          </w:p>
        </w:tc>
        <w:tc>
          <w:tcPr>
            <w:shd w:fill="F0F0F0" w:val="clear"/>
            <w:tcBorders>
              <w:top w:val="single" w:sz="4" w:space="0" w:color="AAAAAA"/>
              <w:bottom w:val="single" w:sz="4" w:space="0" w:color="AAAAAA"/>
              <w:left w:val="single" w:sz="4" w:space="0" w:color="AAAAAA"/>
              <w:right w:val="single" w:sz="4" w:space="0" w:color="AAAAAA"/>
            </w:tcBorders>
            <w:shd w:fill="F0F0F0" w:val="clear"/>
          </w:tcPr>
          <w:p>
            <w:pPr>
              <w:pStyle w:val="Compact"/>
              <w:jc w:val="left"/>
              <w:keepNext w:val="true"/>
            </w:pPr>
            <w:r>
              <w:rPr>
                <w:rFonts w:ascii="Calibri" w:hAnsi="Calibri"/>
                <w:b w:val="0"/>
                <w:sz w:val="18"/>
              </w:rPr>
              <w:t xml:space="preserve">—</w:t>
            </w:r>
          </w:p>
        </w:tc>
        <w:tc>
          <w:tcPr>
            <w:shd w:fill="F0F0F0" w:val="clear"/>
            <w:tcBorders>
              <w:top w:val="single" w:sz="4" w:space="0" w:color="AAAAAA"/>
              <w:bottom w:val="single" w:sz="4" w:space="0" w:color="AAAAAA"/>
              <w:left w:val="single" w:sz="4" w:space="0" w:color="AAAAAA"/>
              <w:right w:val="single" w:sz="4" w:space="0" w:color="666666"/>
            </w:tcBorders>
            <w:shd w:fill="F0F0F0" w:val="clear"/>
          </w:tcPr>
          <w:p>
            <w:pPr>
              <w:pStyle w:val="Compact"/>
              <w:jc w:val="left"/>
              <w:keepNext w:val="true"/>
            </w:pPr>
            <w:r>
              <w:rPr>
                <w:rFonts w:ascii="Calibri" w:hAnsi="Calibri"/>
                <w:b w:val="0"/>
                <w:sz w:val="18"/>
              </w:rPr>
              <w:t xml:space="preserve">Not Supported</w:t>
            </w:r>
          </w:p>
        </w:tc>
      </w:tr>
      <w:tr>
        <w:trPr>
          <w:cantSplit w:val="true"/>
        </w:trPr>
        <w:tc>
          <w:tcPr>
            <w:shd w:fill="FFFFFF" w:val="clear"/>
            <w:tcBorders>
              <w:top w:val="single" w:sz="4" w:space="0" w:color="AAAAAA"/>
              <w:bottom w:val="single" w:sz="4" w:space="0" w:color="AAAAAA"/>
              <w:left w:val="single" w:sz="4" w:space="0" w:color="666666"/>
              <w:right w:val="single" w:sz="4" w:space="0" w:color="AAAAAA"/>
            </w:tcBorders>
          </w:tcPr>
          <w:p>
            <w:pPr>
              <w:pStyle w:val="Compact"/>
              <w:jc w:val="left"/>
              <w:keepNext w:val="true"/>
            </w:pPr>
            <w:r>
              <w:rPr>
                <w:rFonts w:ascii="Calibri" w:hAnsi="Calibri"/>
                <w:b w:val="0"/>
                <w:sz w:val="18"/>
              </w:rPr>
              <w:t xml:space="preserve">H1c</w:t>
            </w:r>
          </w:p>
        </w:tc>
        <w:tc>
          <w:tcPr>
            <w:shd w:fill="FFFFFF" w:val="clear"/>
            <w:tcBorders>
              <w:top w:val="single" w:sz="4" w:space="0" w:color="AAAAAA"/>
              <w:bottom w:val="single" w:sz="4" w:space="0" w:color="AAAAAA"/>
              <w:left w:val="single" w:sz="4" w:space="0" w:color="AAAAAA"/>
              <w:right w:val="single" w:sz="4" w:space="0" w:color="AAAAAA"/>
            </w:tcBorders>
          </w:tcPr>
          <w:p>
            <w:pPr>
              <w:pStyle w:val="Compact"/>
              <w:jc w:val="left"/>
              <w:keepNext w:val="true"/>
            </w:pPr>
            <w:r>
              <w:rPr>
                <w:rFonts w:ascii="Calibri" w:hAnsi="Calibri"/>
                <w:b w:val="0"/>
                <w:sz w:val="18"/>
              </w:rPr>
              <w:t xml:space="preserve">SI → BI</w:t>
            </w:r>
          </w:p>
        </w:tc>
        <w:tc>
          <w:tcPr>
            <w:shd w:fill="FFFFFF" w:val="clear"/>
            <w:tcBorders>
              <w:top w:val="single" w:sz="4" w:space="0" w:color="AAAAAA"/>
              <w:bottom w:val="single" w:sz="4" w:space="0" w:color="AAAAAA"/>
              <w:left w:val="single" w:sz="4" w:space="0" w:color="AAAAAA"/>
              <w:right w:val="single" w:sz="4" w:space="0" w:color="AAAAAA"/>
            </w:tcBorders>
          </w:tcPr>
          <w:p>
            <w:pPr>
              <w:pStyle w:val="Compact"/>
              <w:jc w:val="left"/>
              <w:keepNext w:val="true"/>
            </w:pPr>
            <w:r>
              <w:rPr>
                <w:rFonts w:ascii="Calibri" w:hAnsi="Calibri"/>
                <w:b w:val="0"/>
                <w:bCs/>
                <w:sz w:val="18"/>
              </w:rPr>
              <w:t xml:space="preserve">.136</w:t>
            </w:r>
          </w:p>
        </w:tc>
        <w:tc>
          <w:tcPr>
            <w:shd w:fill="FFFFFF" w:val="clear"/>
            <w:tcBorders>
              <w:top w:val="single" w:sz="4" w:space="0" w:color="AAAAAA"/>
              <w:bottom w:val="single" w:sz="4" w:space="0" w:color="AAAAAA"/>
              <w:left w:val="single" w:sz="4" w:space="0" w:color="AAAAAA"/>
              <w:right w:val="single" w:sz="4" w:space="0" w:color="AAAAAA"/>
            </w:tcBorders>
          </w:tcPr>
          <w:p>
            <w:pPr>
              <w:pStyle w:val="Compact"/>
              <w:jc w:val="left"/>
              <w:keepNext w:val="true"/>
            </w:pPr>
            <w:r>
              <w:rPr>
                <w:rFonts w:ascii="Calibri" w:hAnsi="Calibri"/>
                <w:b w:val="0"/>
                <w:bCs/>
                <w:sz w:val="18"/>
              </w:rPr>
              <w:t xml:space="preserve">.024</w:t>
            </w:r>
          </w:p>
        </w:tc>
        <w:tc>
          <w:tcPr>
            <w:shd w:fill="FFFFFF" w:val="clear"/>
            <w:tcBorders>
              <w:top w:val="single" w:sz="4" w:space="0" w:color="AAAAAA"/>
              <w:bottom w:val="single" w:sz="4" w:space="0" w:color="AAAAAA"/>
              <w:left w:val="single" w:sz="4" w:space="0" w:color="AAAAAA"/>
              <w:right w:val="single" w:sz="4" w:space="0" w:color="AAAAAA"/>
            </w:tcBorders>
          </w:tcPr>
          <w:p>
            <w:pPr>
              <w:pStyle w:val="Compact"/>
              <w:jc w:val="left"/>
              <w:keepNext w:val="true"/>
            </w:pPr>
            <w:r>
              <w:rPr>
                <w:rFonts w:ascii="Calibri" w:hAnsi="Calibri"/>
                <w:b w:val="0"/>
                <w:sz w:val="18"/>
              </w:rPr>
              <w:t xml:space="preserve">[.018, .254]</w:t>
            </w:r>
          </w:p>
        </w:tc>
        <w:tc>
          <w:tcPr>
            <w:shd w:fill="FFFFFF" w:val="clear"/>
            <w:tcBorders>
              <w:top w:val="single" w:sz="4" w:space="0" w:color="AAAAAA"/>
              <w:bottom w:val="single" w:sz="4" w:space="0" w:color="AAAAAA"/>
              <w:left w:val="single" w:sz="4" w:space="0" w:color="AAAAAA"/>
              <w:right w:val="single" w:sz="4" w:space="0" w:color="AAAAAA"/>
            </w:tcBorders>
          </w:tcPr>
          <w:p>
            <w:pPr>
              <w:pStyle w:val="Compact"/>
              <w:jc w:val="left"/>
              <w:keepNext w:val="true"/>
            </w:pPr>
            <w:r>
              <w:rPr>
                <w:rFonts w:ascii="Calibri" w:hAnsi="Calibri"/>
                <w:b w:val="0"/>
                <w:sz w:val="18"/>
              </w:rPr>
              <w:t xml:space="preserve">[−.028, .298]</w:t>
            </w:r>
          </w:p>
        </w:tc>
        <w:tc>
          <w:tcPr>
            <w:shd w:fill="FFFFFF" w:val="clear"/>
            <w:tcBorders>
              <w:top w:val="single" w:sz="4" w:space="0" w:color="AAAAAA"/>
              <w:bottom w:val="single" w:sz="4" w:space="0" w:color="AAAAAA"/>
              <w:left w:val="single" w:sz="4" w:space="0" w:color="AAAAAA"/>
              <w:right w:val="single" w:sz="4" w:space="0" w:color="666666"/>
            </w:tcBorders>
          </w:tcPr>
          <w:p>
            <w:pPr>
              <w:pStyle w:val="Compact"/>
              <w:jc w:val="left"/>
              <w:keepNext w:val="true"/>
            </w:pPr>
            <w:r>
              <w:rPr>
                <w:rFonts w:ascii="Calibri" w:hAnsi="Calibri"/>
                <w:b w:val="0"/>
                <w:sz w:val="18"/>
              </w:rPr>
              <w:t xml:space="preserve">Supported*</w:t>
            </w:r>
          </w:p>
        </w:tc>
      </w:tr>
      <w:tr>
        <w:trPr>
          <w:cantSplit w:val="true"/>
        </w:trPr>
        <w:tc>
          <w:tcPr>
            <w:shd w:fill="F0F0F0" w:val="clear"/>
            <w:tcBorders>
              <w:top w:val="single" w:sz="4" w:space="0" w:color="AAAAAA"/>
              <w:bottom w:val="single" w:sz="4" w:space="0" w:color="AAAAAA"/>
              <w:left w:val="single" w:sz="4" w:space="0" w:color="666666"/>
              <w:right w:val="single" w:sz="4" w:space="0" w:color="AAAAAA"/>
            </w:tcBorders>
            <w:shd w:fill="F0F0F0" w:val="clear"/>
          </w:tcPr>
          <w:p>
            <w:pPr>
              <w:pStyle w:val="Compact"/>
              <w:jc w:val="left"/>
              <w:keepNext w:val="true"/>
            </w:pPr>
            <w:r>
              <w:rPr>
                <w:rFonts w:ascii="Calibri" w:hAnsi="Calibri"/>
                <w:b w:val="0"/>
                <w:sz w:val="18"/>
              </w:rPr>
              <w:t xml:space="preserve">H1d</w:t>
            </w:r>
          </w:p>
        </w:tc>
        <w:tc>
          <w:tcPr>
            <w:shd w:fill="F0F0F0" w:val="clear"/>
            <w:tcBorders>
              <w:top w:val="single" w:sz="4" w:space="0" w:color="AAAAAA"/>
              <w:bottom w:val="single" w:sz="4" w:space="0" w:color="AAAAAA"/>
              <w:left w:val="single" w:sz="4" w:space="0" w:color="AAAAAA"/>
              <w:right w:val="single" w:sz="4" w:space="0" w:color="AAAAAA"/>
            </w:tcBorders>
            <w:shd w:fill="F0F0F0" w:val="clear"/>
          </w:tcPr>
          <w:p>
            <w:pPr>
              <w:pStyle w:val="Compact"/>
              <w:jc w:val="left"/>
              <w:keepNext w:val="true"/>
            </w:pPr>
            <w:r>
              <w:rPr>
                <w:rFonts w:ascii="Calibri" w:hAnsi="Calibri"/>
                <w:b w:val="0"/>
                <w:sz w:val="18"/>
              </w:rPr>
              <w:t xml:space="preserve">FC → BI</w:t>
            </w:r>
          </w:p>
        </w:tc>
        <w:tc>
          <w:tcPr>
            <w:shd w:fill="F0F0F0" w:val="clear"/>
            <w:tcBorders>
              <w:top w:val="single" w:sz="4" w:space="0" w:color="AAAAAA"/>
              <w:bottom w:val="single" w:sz="4" w:space="0" w:color="AAAAAA"/>
              <w:left w:val="single" w:sz="4" w:space="0" w:color="AAAAAA"/>
              <w:right w:val="single" w:sz="4" w:space="0" w:color="AAAAAA"/>
            </w:tcBorders>
            <w:shd w:fill="F0F0F0" w:val="clear"/>
          </w:tcPr>
          <w:p>
            <w:pPr>
              <w:pStyle w:val="Compact"/>
              <w:jc w:val="left"/>
              <w:keepNext w:val="true"/>
            </w:pPr>
            <w:r>
              <w:rPr>
                <w:rFonts w:ascii="Calibri" w:hAnsi="Calibri"/>
                <w:b w:val="0"/>
                <w:sz w:val="18"/>
              </w:rPr>
              <w:t xml:space="preserve">.059</w:t>
            </w:r>
          </w:p>
        </w:tc>
        <w:tc>
          <w:tcPr>
            <w:shd w:fill="F0F0F0" w:val="clear"/>
            <w:tcBorders>
              <w:top w:val="single" w:sz="4" w:space="0" w:color="AAAAAA"/>
              <w:bottom w:val="single" w:sz="4" w:space="0" w:color="AAAAAA"/>
              <w:left w:val="single" w:sz="4" w:space="0" w:color="AAAAAA"/>
              <w:right w:val="single" w:sz="4" w:space="0" w:color="AAAAAA"/>
            </w:tcBorders>
            <w:shd w:fill="F0F0F0" w:val="clear"/>
          </w:tcPr>
          <w:p>
            <w:pPr>
              <w:pStyle w:val="Compact"/>
              <w:jc w:val="left"/>
              <w:keepNext w:val="true"/>
            </w:pPr>
            <w:r>
              <w:rPr>
                <w:rFonts w:ascii="Calibri" w:hAnsi="Calibri"/>
                <w:b w:val="0"/>
                <w:sz w:val="18"/>
              </w:rPr>
              <w:t xml:space="preserve">.338</w:t>
            </w:r>
          </w:p>
        </w:tc>
        <w:tc>
          <w:tcPr>
            <w:shd w:fill="F0F0F0" w:val="clear"/>
            <w:tcBorders>
              <w:top w:val="single" w:sz="4" w:space="0" w:color="AAAAAA"/>
              <w:bottom w:val="single" w:sz="4" w:space="0" w:color="AAAAAA"/>
              <w:left w:val="single" w:sz="4" w:space="0" w:color="AAAAAA"/>
              <w:right w:val="single" w:sz="4" w:space="0" w:color="AAAAAA"/>
            </w:tcBorders>
            <w:shd w:fill="F0F0F0" w:val="clear"/>
          </w:tcPr>
          <w:p>
            <w:pPr>
              <w:pStyle w:val="Compact"/>
              <w:jc w:val="left"/>
              <w:keepNext w:val="true"/>
            </w:pPr>
            <w:r>
              <w:rPr>
                <w:rFonts w:ascii="Calibri" w:hAnsi="Calibri"/>
                <w:b w:val="0"/>
                <w:sz w:val="18"/>
              </w:rPr>
              <w:t xml:space="preserve">[−.062, .180]</w:t>
            </w:r>
          </w:p>
        </w:tc>
        <w:tc>
          <w:tcPr>
            <w:shd w:fill="F0F0F0" w:val="clear"/>
            <w:tcBorders>
              <w:top w:val="single" w:sz="4" w:space="0" w:color="AAAAAA"/>
              <w:bottom w:val="single" w:sz="4" w:space="0" w:color="AAAAAA"/>
              <w:left w:val="single" w:sz="4" w:space="0" w:color="AAAAAA"/>
              <w:right w:val="single" w:sz="4" w:space="0" w:color="AAAAAA"/>
            </w:tcBorders>
            <w:shd w:fill="F0F0F0" w:val="clear"/>
          </w:tcPr>
          <w:p>
            <w:pPr>
              <w:pStyle w:val="Compact"/>
              <w:jc w:val="left"/>
              <w:keepNext w:val="true"/>
            </w:pPr>
            <w:r>
              <w:rPr>
                <w:rFonts w:ascii="Calibri" w:hAnsi="Calibri"/>
                <w:b w:val="0"/>
                <w:sz w:val="18"/>
              </w:rPr>
              <w:t xml:space="preserve">—</w:t>
            </w:r>
          </w:p>
        </w:tc>
        <w:tc>
          <w:tcPr>
            <w:shd w:fill="F0F0F0" w:val="clear"/>
            <w:tcBorders>
              <w:top w:val="single" w:sz="4" w:space="0" w:color="AAAAAA"/>
              <w:bottom w:val="single" w:sz="4" w:space="0" w:color="AAAAAA"/>
              <w:left w:val="single" w:sz="4" w:space="0" w:color="AAAAAA"/>
              <w:right w:val="single" w:sz="4" w:space="0" w:color="666666"/>
            </w:tcBorders>
            <w:shd w:fill="F0F0F0" w:val="clear"/>
          </w:tcPr>
          <w:p>
            <w:pPr>
              <w:pStyle w:val="Compact"/>
              <w:jc w:val="left"/>
              <w:keepNext w:val="true"/>
            </w:pPr>
            <w:r>
              <w:rPr>
                <w:rFonts w:ascii="Calibri" w:hAnsi="Calibri"/>
                <w:b w:val="0"/>
                <w:sz w:val="18"/>
              </w:rPr>
              <w:t xml:space="preserve">Not Supported</w:t>
            </w:r>
          </w:p>
        </w:tc>
      </w:tr>
      <w:tr>
        <w:trPr>
          <w:cantSplit w:val="true"/>
        </w:trPr>
        <w:tc>
          <w:tcPr>
            <w:shd w:fill="FFFFFF" w:val="clear"/>
            <w:tcBorders>
              <w:top w:val="single" w:sz="4" w:space="0" w:color="AAAAAA"/>
              <w:bottom w:val="single" w:sz="4" w:space="0" w:color="AAAAAA"/>
              <w:left w:val="single" w:sz="4" w:space="0" w:color="666666"/>
              <w:right w:val="single" w:sz="4" w:space="0" w:color="AAAAAA"/>
            </w:tcBorders>
          </w:tcPr>
          <w:p>
            <w:pPr>
              <w:pStyle w:val="Compact"/>
              <w:jc w:val="left"/>
              <w:keepNext w:val="true"/>
            </w:pPr>
            <w:r>
              <w:rPr>
                <w:rFonts w:ascii="Calibri" w:hAnsi="Calibri"/>
                <w:b w:val="0"/>
                <w:sz w:val="18"/>
              </w:rPr>
              <w:t xml:space="preserve">H1e</w:t>
            </w:r>
          </w:p>
        </w:tc>
        <w:tc>
          <w:tcPr>
            <w:shd w:fill="FFFFFF" w:val="clear"/>
            <w:tcBorders>
              <w:top w:val="single" w:sz="4" w:space="0" w:color="AAAAAA"/>
              <w:bottom w:val="single" w:sz="4" w:space="0" w:color="AAAAAA"/>
              <w:left w:val="single" w:sz="4" w:space="0" w:color="AAAAAA"/>
              <w:right w:val="single" w:sz="4" w:space="0" w:color="AAAAAA"/>
            </w:tcBorders>
          </w:tcPr>
          <w:p>
            <w:pPr>
              <w:pStyle w:val="Compact"/>
              <w:jc w:val="left"/>
              <w:keepNext w:val="true"/>
            </w:pPr>
            <w:r>
              <w:rPr>
                <w:rFonts w:ascii="Calibri" w:hAnsi="Calibri"/>
                <w:b w:val="0"/>
                <w:sz w:val="18"/>
              </w:rPr>
              <w:t xml:space="preserve">HM → BI</w:t>
            </w:r>
          </w:p>
        </w:tc>
        <w:tc>
          <w:tcPr>
            <w:shd w:fill="FFFFFF" w:val="clear"/>
            <w:tcBorders>
              <w:top w:val="single" w:sz="4" w:space="0" w:color="AAAAAA"/>
              <w:bottom w:val="single" w:sz="4" w:space="0" w:color="AAAAAA"/>
              <w:left w:val="single" w:sz="4" w:space="0" w:color="AAAAAA"/>
              <w:right w:val="single" w:sz="4" w:space="0" w:color="AAAAAA"/>
            </w:tcBorders>
          </w:tcPr>
          <w:p>
            <w:pPr>
              <w:pStyle w:val="Compact"/>
              <w:jc w:val="left"/>
              <w:keepNext w:val="true"/>
            </w:pPr>
            <w:r>
              <w:rPr>
                <w:rFonts w:ascii="Calibri" w:hAnsi="Calibri"/>
                <w:b w:val="0"/>
                <w:bCs/>
                <w:sz w:val="18"/>
              </w:rPr>
              <w:t xml:space="preserve">.217</w:t>
            </w:r>
          </w:p>
        </w:tc>
        <w:tc>
          <w:tcPr>
            <w:shd w:fill="FFFFFF" w:val="clear"/>
            <w:tcBorders>
              <w:top w:val="single" w:sz="4" w:space="0" w:color="AAAAAA"/>
              <w:bottom w:val="single" w:sz="4" w:space="0" w:color="AAAAAA"/>
              <w:left w:val="single" w:sz="4" w:space="0" w:color="AAAAAA"/>
              <w:right w:val="single" w:sz="4" w:space="0" w:color="AAAAAA"/>
            </w:tcBorders>
          </w:tcPr>
          <w:p>
            <w:pPr>
              <w:pStyle w:val="Compact"/>
              <w:jc w:val="left"/>
              <w:keepNext w:val="true"/>
            </w:pPr>
            <w:r>
              <w:rPr>
                <w:rFonts w:ascii="Calibri" w:hAnsi="Calibri"/>
                <w:b w:val="0"/>
                <w:bCs/>
                <w:sz w:val="18"/>
              </w:rPr>
              <w:t xml:space="preserve">.014</w:t>
            </w:r>
          </w:p>
        </w:tc>
        <w:tc>
          <w:tcPr>
            <w:shd w:fill="FFFFFF" w:val="clear"/>
            <w:tcBorders>
              <w:top w:val="single" w:sz="4" w:space="0" w:color="AAAAAA"/>
              <w:bottom w:val="single" w:sz="4" w:space="0" w:color="AAAAAA"/>
              <w:left w:val="single" w:sz="4" w:space="0" w:color="AAAAAA"/>
              <w:right w:val="single" w:sz="4" w:space="0" w:color="AAAAAA"/>
            </w:tcBorders>
          </w:tcPr>
          <w:p>
            <w:pPr>
              <w:pStyle w:val="Compact"/>
              <w:jc w:val="left"/>
              <w:keepNext w:val="true"/>
            </w:pPr>
            <w:r>
              <w:rPr>
                <w:rFonts w:ascii="Calibri" w:hAnsi="Calibri"/>
                <w:b w:val="0"/>
                <w:sz w:val="18"/>
              </w:rPr>
              <w:t xml:space="preserve">[.044, .390]</w:t>
            </w:r>
          </w:p>
        </w:tc>
        <w:tc>
          <w:tcPr>
            <w:shd w:fill="FFFFFF" w:val="clear"/>
            <w:tcBorders>
              <w:top w:val="single" w:sz="4" w:space="0" w:color="AAAAAA"/>
              <w:bottom w:val="single" w:sz="4" w:space="0" w:color="AAAAAA"/>
              <w:left w:val="single" w:sz="4" w:space="0" w:color="AAAAAA"/>
              <w:right w:val="single" w:sz="4" w:space="0" w:color="AAAAAA"/>
            </w:tcBorders>
          </w:tcPr>
          <w:p>
            <w:pPr>
              <w:pStyle w:val="Compact"/>
              <w:jc w:val="left"/>
              <w:keepNext w:val="true"/>
            </w:pPr>
            <w:r>
              <w:rPr>
                <w:rFonts w:ascii="Calibri" w:hAnsi="Calibri"/>
                <w:b w:val="0"/>
                <w:sz w:val="18"/>
              </w:rPr>
              <w:t xml:space="preserve">[−.107, .483]</w:t>
            </w:r>
          </w:p>
        </w:tc>
        <w:tc>
          <w:tcPr>
            <w:shd w:fill="FFFFFF" w:val="clear"/>
            <w:tcBorders>
              <w:top w:val="single" w:sz="4" w:space="0" w:color="AAAAAA"/>
              <w:bottom w:val="single" w:sz="4" w:space="0" w:color="AAAAAA"/>
              <w:left w:val="single" w:sz="4" w:space="0" w:color="AAAAAA"/>
              <w:right w:val="single" w:sz="4" w:space="0" w:color="666666"/>
            </w:tcBorders>
          </w:tcPr>
          <w:p>
            <w:pPr>
              <w:pStyle w:val="Compact"/>
              <w:jc w:val="left"/>
              <w:keepNext w:val="true"/>
            </w:pPr>
            <w:r>
              <w:rPr>
                <w:rFonts w:ascii="Calibri" w:hAnsi="Calibri"/>
                <w:b w:val="0"/>
                <w:sz w:val="18"/>
              </w:rPr>
              <w:t xml:space="preserve">Supported*</w:t>
            </w:r>
          </w:p>
        </w:tc>
      </w:tr>
      <w:tr>
        <w:trPr>
          <w:cantSplit w:val="true"/>
        </w:trPr>
        <w:tc>
          <w:tcPr>
            <w:shd w:fill="F0F0F0" w:val="clear"/>
            <w:tcBorders>
              <w:top w:val="single" w:sz="4" w:space="0" w:color="AAAAAA"/>
              <w:bottom w:val="single" w:sz="4" w:space="0" w:color="AAAAAA"/>
              <w:left w:val="single" w:sz="4" w:space="0" w:color="666666"/>
              <w:right w:val="single" w:sz="4" w:space="0" w:color="AAAAAA"/>
            </w:tcBorders>
            <w:shd w:fill="F0F0F0" w:val="clear"/>
          </w:tcPr>
          <w:p>
            <w:pPr>
              <w:pStyle w:val="Compact"/>
              <w:jc w:val="left"/>
              <w:keepNext w:val="true"/>
            </w:pPr>
            <w:r>
              <w:rPr>
                <w:rFonts w:ascii="Calibri" w:hAnsi="Calibri"/>
                <w:b w:val="0"/>
                <w:sz w:val="18"/>
              </w:rPr>
              <w:t xml:space="preserve">H1f</w:t>
            </w:r>
          </w:p>
        </w:tc>
        <w:tc>
          <w:tcPr>
            <w:shd w:fill="F0F0F0" w:val="clear"/>
            <w:tcBorders>
              <w:top w:val="single" w:sz="4" w:space="0" w:color="AAAAAA"/>
              <w:bottom w:val="single" w:sz="4" w:space="0" w:color="AAAAAA"/>
              <w:left w:val="single" w:sz="4" w:space="0" w:color="AAAAAA"/>
              <w:right w:val="single" w:sz="4" w:space="0" w:color="AAAAAA"/>
            </w:tcBorders>
            <w:shd w:fill="F0F0F0" w:val="clear"/>
          </w:tcPr>
          <w:p>
            <w:pPr>
              <w:pStyle w:val="Compact"/>
              <w:jc w:val="left"/>
              <w:keepNext w:val="true"/>
            </w:pPr>
            <w:r>
              <w:rPr>
                <w:rFonts w:ascii="Calibri" w:hAnsi="Calibri"/>
                <w:b w:val="0"/>
                <w:sz w:val="18"/>
              </w:rPr>
              <w:t xml:space="preserve">PV → BI</w:t>
            </w:r>
          </w:p>
        </w:tc>
        <w:tc>
          <w:tcPr>
            <w:shd w:fill="F0F0F0" w:val="clear"/>
            <w:tcBorders>
              <w:top w:val="single" w:sz="4" w:space="0" w:color="AAAAAA"/>
              <w:bottom w:val="single" w:sz="4" w:space="0" w:color="AAAAAA"/>
              <w:left w:val="single" w:sz="4" w:space="0" w:color="AAAAAA"/>
              <w:right w:val="single" w:sz="4" w:space="0" w:color="AAAAAA"/>
            </w:tcBorders>
            <w:shd w:fill="F0F0F0" w:val="clear"/>
          </w:tcPr>
          <w:p>
            <w:pPr>
              <w:pStyle w:val="Compact"/>
              <w:jc w:val="left"/>
              <w:keepNext w:val="true"/>
            </w:pPr>
            <w:r>
              <w:rPr>
                <w:rFonts w:ascii="Calibri" w:hAnsi="Calibri"/>
                <w:b w:val="0"/>
                <w:bCs/>
                <w:sz w:val="18"/>
              </w:rPr>
              <w:t xml:space="preserve">.505</w:t>
            </w:r>
          </w:p>
        </w:tc>
        <w:tc>
          <w:tcPr>
            <w:shd w:fill="F0F0F0" w:val="clear"/>
            <w:tcBorders>
              <w:top w:val="single" w:sz="4" w:space="0" w:color="AAAAAA"/>
              <w:bottom w:val="single" w:sz="4" w:space="0" w:color="AAAAAA"/>
              <w:left w:val="single" w:sz="4" w:space="0" w:color="AAAAAA"/>
              <w:right w:val="single" w:sz="4" w:space="0" w:color="AAAAAA"/>
            </w:tcBorders>
            <w:shd w:fill="F0F0F0" w:val="clear"/>
          </w:tcPr>
          <w:p>
            <w:pPr>
              <w:pStyle w:val="Compact"/>
              <w:jc w:val="left"/>
              <w:keepNext w:val="true"/>
            </w:pPr>
            <w:r>
              <w:rPr>
                <w:rFonts w:ascii="Calibri" w:hAnsi="Calibri"/>
                <w:b w:val="0"/>
                <w:bCs/>
                <w:sz w:val="18"/>
              </w:rPr>
              <w:t xml:space="preserve">&lt;.001</w:t>
            </w:r>
          </w:p>
        </w:tc>
        <w:tc>
          <w:tcPr>
            <w:shd w:fill="F0F0F0" w:val="clear"/>
            <w:tcBorders>
              <w:top w:val="single" w:sz="4" w:space="0" w:color="AAAAAA"/>
              <w:bottom w:val="single" w:sz="4" w:space="0" w:color="AAAAAA"/>
              <w:left w:val="single" w:sz="4" w:space="0" w:color="AAAAAA"/>
              <w:right w:val="single" w:sz="4" w:space="0" w:color="AAAAAA"/>
            </w:tcBorders>
            <w:shd w:fill="F0F0F0" w:val="clear"/>
          </w:tcPr>
          <w:p>
            <w:pPr>
              <w:pStyle w:val="Compact"/>
              <w:jc w:val="left"/>
              <w:keepNext w:val="true"/>
            </w:pPr>
            <w:r>
              <w:rPr>
                <w:rFonts w:ascii="Calibri" w:hAnsi="Calibri"/>
                <w:b w:val="0"/>
                <w:sz w:val="18"/>
              </w:rPr>
              <w:t xml:space="preserve">[.352, .658]</w:t>
            </w:r>
          </w:p>
        </w:tc>
        <w:tc>
          <w:tcPr>
            <w:shd w:fill="F0F0F0" w:val="clear"/>
            <w:tcBorders>
              <w:top w:val="single" w:sz="4" w:space="0" w:color="AAAAAA"/>
              <w:bottom w:val="single" w:sz="4" w:space="0" w:color="AAAAAA"/>
              <w:left w:val="single" w:sz="4" w:space="0" w:color="AAAAAA"/>
              <w:right w:val="single" w:sz="4" w:space="0" w:color="AAAAAA"/>
            </w:tcBorders>
            <w:shd w:fill="F0F0F0" w:val="clear"/>
          </w:tcPr>
          <w:p>
            <w:pPr>
              <w:pStyle w:val="Compact"/>
              <w:jc w:val="left"/>
              <w:keepNext w:val="true"/>
            </w:pPr>
            <w:r>
              <w:rPr>
                <w:rFonts w:ascii="Calibri" w:hAnsi="Calibri"/>
                <w:b w:val="0"/>
                <w:bCs/>
                <w:sz w:val="18"/>
              </w:rPr>
              <w:t xml:space="preserve">[.218, 1.083]</w:t>
            </w:r>
          </w:p>
        </w:tc>
        <w:tc>
          <w:tcPr>
            <w:shd w:fill="F0F0F0" w:val="clear"/>
            <w:tcBorders>
              <w:top w:val="single" w:sz="4" w:space="0" w:color="AAAAAA"/>
              <w:bottom w:val="single" w:sz="4" w:space="0" w:color="AAAAAA"/>
              <w:left w:val="single" w:sz="4" w:space="0" w:color="AAAAAA"/>
              <w:right w:val="single" w:sz="4" w:space="0" w:color="666666"/>
            </w:tcBorders>
            <w:shd w:fill="F0F0F0" w:val="clear"/>
          </w:tcPr>
          <w:p>
            <w:pPr>
              <w:pStyle w:val="Compact"/>
              <w:jc w:val="left"/>
              <w:keepNext w:val="true"/>
            </w:pPr>
            <w:r>
              <w:rPr>
                <w:rFonts w:ascii="Calibri" w:hAnsi="Calibri"/>
                <w:b w:val="0"/>
                <w:bCs/>
                <w:sz w:val="18"/>
              </w:rPr>
              <w:t xml:space="preserve">Strongest</w:t>
            </w:r>
          </w:p>
        </w:tc>
      </w:tr>
      <w:tr>
        <w:trPr>
          <w:cantSplit w:val="true"/>
        </w:trPr>
        <w:tc>
          <w:tcPr>
            <w:shd w:fill="FFFFFF" w:val="clear"/>
            <w:tcBorders>
              <w:top w:val="single" w:sz="4" w:space="0" w:color="AAAAAA"/>
              <w:bottom w:val="single" w:sz="4" w:space="0" w:color="AAAAAA"/>
              <w:left w:val="single" w:sz="4" w:space="0" w:color="666666"/>
              <w:right w:val="single" w:sz="4" w:space="0" w:color="AAAAAA"/>
            </w:tcBorders>
          </w:tcPr>
          <w:p>
            <w:pPr>
              <w:pStyle w:val="Compact"/>
              <w:jc w:val="left"/>
              <w:keepNext w:val="true"/>
            </w:pPr>
            <w:r>
              <w:rPr>
                <w:rFonts w:ascii="Calibri" w:hAnsi="Calibri"/>
                <w:b w:val="0"/>
                <w:sz w:val="18"/>
              </w:rPr>
              <w:t xml:space="preserve">H1g</w:t>
            </w:r>
          </w:p>
        </w:tc>
        <w:tc>
          <w:tcPr>
            <w:shd w:fill="FFFFFF" w:val="clear"/>
            <w:tcBorders>
              <w:top w:val="single" w:sz="4" w:space="0" w:color="AAAAAA"/>
              <w:bottom w:val="single" w:sz="4" w:space="0" w:color="AAAAAA"/>
              <w:left w:val="single" w:sz="4" w:space="0" w:color="AAAAAA"/>
              <w:right w:val="single" w:sz="4" w:space="0" w:color="AAAAAA"/>
            </w:tcBorders>
          </w:tcPr>
          <w:p>
            <w:pPr>
              <w:pStyle w:val="Compact"/>
              <w:jc w:val="left"/>
              <w:keepNext w:val="true"/>
            </w:pPr>
            <w:r>
              <w:rPr>
                <w:rFonts w:ascii="Calibri" w:hAnsi="Calibri"/>
                <w:b w:val="0"/>
                <w:sz w:val="18"/>
              </w:rPr>
              <w:t xml:space="preserve">HB → BI</w:t>
            </w:r>
          </w:p>
        </w:tc>
        <w:tc>
          <w:tcPr>
            <w:shd w:fill="FFFFFF" w:val="clear"/>
            <w:tcBorders>
              <w:top w:val="single" w:sz="4" w:space="0" w:color="AAAAAA"/>
              <w:bottom w:val="single" w:sz="4" w:space="0" w:color="AAAAAA"/>
              <w:left w:val="single" w:sz="4" w:space="0" w:color="AAAAAA"/>
              <w:right w:val="single" w:sz="4" w:space="0" w:color="AAAAAA"/>
            </w:tcBorders>
          </w:tcPr>
          <w:p>
            <w:pPr>
              <w:pStyle w:val="Compact"/>
              <w:jc w:val="left"/>
              <w:keepNext w:val="true"/>
            </w:pPr>
            <w:r>
              <w:rPr>
                <w:rFonts w:ascii="Calibri" w:hAnsi="Calibri"/>
                <w:b w:val="0"/>
                <w:sz w:val="18"/>
              </w:rPr>
              <w:t xml:space="preserve">.023</w:t>
            </w:r>
          </w:p>
        </w:tc>
        <w:tc>
          <w:tcPr>
            <w:shd w:fill="FFFFFF" w:val="clear"/>
            <w:tcBorders>
              <w:top w:val="single" w:sz="4" w:space="0" w:color="AAAAAA"/>
              <w:bottom w:val="single" w:sz="4" w:space="0" w:color="AAAAAA"/>
              <w:left w:val="single" w:sz="4" w:space="0" w:color="AAAAAA"/>
              <w:right w:val="single" w:sz="4" w:space="0" w:color="AAAAAA"/>
            </w:tcBorders>
          </w:tcPr>
          <w:p>
            <w:pPr>
              <w:pStyle w:val="Compact"/>
              <w:jc w:val="left"/>
              <w:keepNext w:val="true"/>
            </w:pPr>
            <w:r>
              <w:rPr>
                <w:rFonts w:ascii="Calibri" w:hAnsi="Calibri"/>
                <w:b w:val="0"/>
                <w:sz w:val="18"/>
              </w:rPr>
              <w:t xml:space="preserve">.631</w:t>
            </w:r>
          </w:p>
        </w:tc>
        <w:tc>
          <w:tcPr>
            <w:shd w:fill="FFFFFF" w:val="clear"/>
            <w:tcBorders>
              <w:top w:val="single" w:sz="4" w:space="0" w:color="AAAAAA"/>
              <w:bottom w:val="single" w:sz="4" w:space="0" w:color="AAAAAA"/>
              <w:left w:val="single" w:sz="4" w:space="0" w:color="AAAAAA"/>
              <w:right w:val="single" w:sz="4" w:space="0" w:color="AAAAAA"/>
            </w:tcBorders>
          </w:tcPr>
          <w:p>
            <w:pPr>
              <w:pStyle w:val="Compact"/>
              <w:jc w:val="left"/>
              <w:keepNext w:val="true"/>
            </w:pPr>
            <w:r>
              <w:rPr>
                <w:rFonts w:ascii="Calibri" w:hAnsi="Calibri"/>
                <w:b w:val="0"/>
                <w:sz w:val="18"/>
              </w:rPr>
              <w:t xml:space="preserve">[−.071, .117]</w:t>
            </w:r>
          </w:p>
        </w:tc>
        <w:tc>
          <w:tcPr>
            <w:shd w:fill="FFFFFF" w:val="clear"/>
            <w:tcBorders>
              <w:top w:val="single" w:sz="4" w:space="0" w:color="AAAAAA"/>
              <w:bottom w:val="single" w:sz="4" w:space="0" w:color="AAAAAA"/>
              <w:left w:val="single" w:sz="4" w:space="0" w:color="AAAAAA"/>
              <w:right w:val="single" w:sz="4" w:space="0" w:color="AAAAAA"/>
            </w:tcBorders>
          </w:tcPr>
          <w:p>
            <w:pPr>
              <w:pStyle w:val="Compact"/>
              <w:jc w:val="left"/>
              <w:keepNext w:val="true"/>
            </w:pPr>
            <w:r>
              <w:rPr>
                <w:rFonts w:ascii="Calibri" w:hAnsi="Calibri"/>
                <w:b w:val="0"/>
                <w:sz w:val="18"/>
              </w:rPr>
              <w:t xml:space="preserve">—</w:t>
            </w:r>
          </w:p>
        </w:tc>
        <w:tc>
          <w:tcPr>
            <w:shd w:fill="FFFFFF" w:val="clear"/>
            <w:tcBorders>
              <w:top w:val="single" w:sz="4" w:space="0" w:color="AAAAAA"/>
              <w:bottom w:val="single" w:sz="4" w:space="0" w:color="AAAAAA"/>
              <w:left w:val="single" w:sz="4" w:space="0" w:color="AAAAAA"/>
              <w:right w:val="single" w:sz="4" w:space="0" w:color="666666"/>
            </w:tcBorders>
          </w:tcPr>
          <w:p>
            <w:pPr>
              <w:pStyle w:val="Compact"/>
              <w:jc w:val="left"/>
              <w:keepNext w:val="true"/>
            </w:pPr>
            <w:r>
              <w:rPr>
                <w:rFonts w:ascii="Calibri" w:hAnsi="Calibri"/>
                <w:b w:val="0"/>
                <w:sz w:val="18"/>
              </w:rPr>
              <w:t xml:space="preserve">Not Supported</w:t>
            </w:r>
          </w:p>
        </w:tc>
      </w:tr>
      <w:tr>
        <w:trPr>
          <w:cantSplit w:val="true"/>
        </w:trPr>
        <w:tc>
          <w:tcPr>
            <w:shd w:fill="F0F0F0" w:val="clear"/>
            <w:tcBorders>
              <w:top w:val="single" w:sz="4" w:space="0" w:color="AAAAAA"/>
              <w:bottom w:val="single" w:sz="4" w:space="0" w:color="666666"/>
              <w:left w:val="single" w:sz="4" w:space="0" w:color="666666"/>
              <w:right w:val="single" w:sz="4" w:space="0" w:color="AAAAAA"/>
            </w:tcBorders>
            <w:shd w:fill="F0F0F0" w:val="clear"/>
          </w:tcPr>
          <w:p>
            <w:pPr>
              <w:pStyle w:val="Compact"/>
              <w:jc w:val="left"/>
            </w:pPr>
            <w:r>
              <w:rPr>
                <w:rFonts w:ascii="Calibri" w:hAnsi="Calibri"/>
                <w:b w:val="0"/>
                <w:sz w:val="18"/>
              </w:rPr>
              <w:t xml:space="preserve">H2</w:t>
            </w:r>
          </w:p>
        </w:tc>
        <w:tc>
          <w:tcPr>
            <w:shd w:fill="F0F0F0" w:val="clear"/>
            <w:tcBorders>
              <w:top w:val="single" w:sz="4" w:space="0" w:color="AAAAAA"/>
              <w:bottom w:val="single" w:sz="4" w:space="0" w:color="666666"/>
              <w:left w:val="single" w:sz="4" w:space="0" w:color="AAAAAA"/>
              <w:right w:val="single" w:sz="4" w:space="0" w:color="AAAAAA"/>
            </w:tcBorders>
            <w:shd w:fill="F0F0F0" w:val="clear"/>
          </w:tcPr>
          <w:p>
            <w:pPr>
              <w:pStyle w:val="Compact"/>
              <w:jc w:val="left"/>
            </w:pPr>
            <w:r>
              <w:rPr>
                <w:rFonts w:ascii="Calibri" w:hAnsi="Calibri"/>
                <w:b w:val="0"/>
                <w:sz w:val="18"/>
              </w:rPr>
              <w:t xml:space="preserve">TR → BI</w:t>
            </w:r>
          </w:p>
        </w:tc>
        <w:tc>
          <w:tcPr>
            <w:shd w:fill="F0F0F0" w:val="clear"/>
            <w:tcBorders>
              <w:top w:val="single" w:sz="4" w:space="0" w:color="AAAAAA"/>
              <w:bottom w:val="single" w:sz="4" w:space="0" w:color="666666"/>
              <w:left w:val="single" w:sz="4" w:space="0" w:color="AAAAAA"/>
              <w:right w:val="single" w:sz="4" w:space="0" w:color="AAAAAA"/>
            </w:tcBorders>
            <w:shd w:fill="F0F0F0" w:val="clear"/>
          </w:tcPr>
          <w:p>
            <w:pPr>
              <w:pStyle w:val="Compact"/>
              <w:jc w:val="left"/>
            </w:pPr>
            <w:r>
              <w:rPr>
                <w:rFonts w:ascii="Calibri" w:hAnsi="Calibri"/>
                <w:b w:val="0"/>
                <w:sz w:val="18"/>
              </w:rPr>
              <w:t xml:space="preserve">.106</w:t>
            </w:r>
          </w:p>
        </w:tc>
        <w:tc>
          <w:tcPr>
            <w:shd w:fill="F0F0F0" w:val="clear"/>
            <w:tcBorders>
              <w:top w:val="single" w:sz="4" w:space="0" w:color="AAAAAA"/>
              <w:bottom w:val="single" w:sz="4" w:space="0" w:color="666666"/>
              <w:left w:val="single" w:sz="4" w:space="0" w:color="AAAAAA"/>
              <w:right w:val="single" w:sz="4" w:space="0" w:color="AAAAAA"/>
            </w:tcBorders>
            <w:shd w:fill="F0F0F0" w:val="clear"/>
          </w:tcPr>
          <w:p>
            <w:pPr>
              <w:pStyle w:val="Compact"/>
              <w:jc w:val="left"/>
            </w:pPr>
            <w:r>
              <w:rPr>
                <w:rFonts w:ascii="Calibri" w:hAnsi="Calibri"/>
                <w:b w:val="0"/>
                <w:sz w:val="18"/>
              </w:rPr>
              <w:t xml:space="preserve">.064</w:t>
            </w:r>
          </w:p>
        </w:tc>
        <w:tc>
          <w:tcPr>
            <w:shd w:fill="F0F0F0" w:val="clear"/>
            <w:tcBorders>
              <w:top w:val="single" w:sz="4" w:space="0" w:color="AAAAAA"/>
              <w:bottom w:val="single" w:sz="4" w:space="0" w:color="666666"/>
              <w:left w:val="single" w:sz="4" w:space="0" w:color="AAAAAA"/>
              <w:right w:val="single" w:sz="4" w:space="0" w:color="AAAAAA"/>
            </w:tcBorders>
            <w:shd w:fill="F0F0F0" w:val="clear"/>
          </w:tcPr>
          <w:p>
            <w:pPr>
              <w:pStyle w:val="Compact"/>
              <w:jc w:val="left"/>
            </w:pPr>
            <w:r>
              <w:rPr>
                <w:rFonts w:ascii="Calibri" w:hAnsi="Calibri"/>
                <w:b w:val="0"/>
                <w:sz w:val="18"/>
              </w:rPr>
              <w:t xml:space="preserve">[−.006, .218]</w:t>
            </w:r>
          </w:p>
        </w:tc>
        <w:tc>
          <w:tcPr>
            <w:shd w:fill="F0F0F0" w:val="clear"/>
            <w:tcBorders>
              <w:top w:val="single" w:sz="4" w:space="0" w:color="AAAAAA"/>
              <w:bottom w:val="single" w:sz="4" w:space="0" w:color="666666"/>
              <w:left w:val="single" w:sz="4" w:space="0" w:color="AAAAAA"/>
              <w:right w:val="single" w:sz="4" w:space="0" w:color="AAAAAA"/>
            </w:tcBorders>
            <w:shd w:fill="F0F0F0" w:val="clear"/>
          </w:tcPr>
          <w:p>
            <w:pPr>
              <w:pStyle w:val="Compact"/>
              <w:jc w:val="left"/>
            </w:pPr>
            <w:r>
              <w:rPr>
                <w:rFonts w:ascii="Calibri" w:hAnsi="Calibri"/>
                <w:b w:val="0"/>
                <w:sz w:val="18"/>
              </w:rPr>
              <w:t xml:space="preserve">[−.096, .248]</w:t>
            </w:r>
          </w:p>
        </w:tc>
        <w:tc>
          <w:tcPr>
            <w:shd w:fill="F0F0F0" w:val="clear"/>
            <w:tcBorders>
              <w:top w:val="single" w:sz="4" w:space="0" w:color="AAAAAA"/>
              <w:bottom w:val="single" w:sz="4" w:space="0" w:color="666666"/>
              <w:left w:val="single" w:sz="4" w:space="0" w:color="AAAAAA"/>
              <w:right w:val="single" w:sz="4" w:space="0" w:color="666666"/>
            </w:tcBorders>
            <w:shd w:fill="F0F0F0" w:val="clear"/>
          </w:tcPr>
          <w:p>
            <w:pPr>
              <w:pStyle w:val="Compact"/>
              <w:jc w:val="left"/>
            </w:pPr>
            <w:r>
              <w:rPr>
                <w:rFonts w:ascii="Calibri" w:hAnsi="Calibri"/>
                <w:b w:val="0"/>
                <w:sz w:val="18"/>
              </w:rPr>
              <w:t xml:space="preserve">Marginal</w:t>
            </w:r>
          </w:p>
        </w:tc>
      </w:tr>
    </w:tbl>
    <w:p>
      <w:pPr>
        <w:pStyle w:val="BodyText"/>
      </w:pPr>
      <w:r>
        <w:t xml:space="preserve">*z-test significant but bootstrap 95% CI includes zero. Interpreted as suggestive rather than conclusive. Bootstrap: 1,000 resamples, R/lavaan 0.6.21. Bootstrap CIs are for unstandardized estimates; β values are standardized.</w:t>
      </w:r>
    </w:p>
    <w:p>
      <w:pPr>
        <w:pStyle w:val="BodyText"/>
      </w:pPr>
      <w:r>
        <w:t xml:space="preserve">Only Price Value’s path was confirmed as robust under both z-test and bootstrap validation. Hedonic Motivation and Social Influence were z-test significant but bootstrap-unstable, suggesting their effects may be sensitive to sample composition.</w:t>
      </w:r>
    </w:p>
    <w:bookmarkEnd w:id="25"/>
    <w:bookmarkStart w:id="26" w:name="dominance-of-price-value"/>
    <w:p>
      <w:pPr>
        <w:pStyle w:val="Heading4"/>
      </w:pPr>
      <w:r>
        <w:t xml:space="preserve">Dominance of Price Value</w:t>
      </w:r>
    </w:p>
    <w:p>
      <w:pPr>
        <w:pStyle w:val="FirstParagraph"/>
      </w:pPr>
      <w:r>
        <w:t xml:space="preserve">Price Value emerged as the strongest predictor of AI adoption intention (β = .505), accounting for the largest share of explained variance. This pattern differs materially from much of the prior UTAUT literature, in which Performance Expectancy typically emerges as the dominant predictor:</w:t>
      </w:r>
    </w:p>
    <w:p>
      <w:pPr>
        <w:pStyle w:val="Compact"/>
        <w:numPr>
          <w:ilvl w:val="0"/>
          <w:numId w:val="1004"/>
        </w:numPr>
      </w:pPr>
      <w:r>
        <w:rPr>
          <w:b/>
          <w:bCs/>
        </w:rPr>
        <w:t xml:space="preserve">Blut et al. (2022) meta-analysis:</w:t>
      </w:r>
      <w:r>
        <w:t xml:space="preserve"> </w:t>
      </w:r>
      <w:r>
        <w:t xml:space="preserve">PE was the dominant predictor across UTAUT studies (weighted β = .39)</w:t>
      </w:r>
    </w:p>
    <w:p>
      <w:pPr>
        <w:pStyle w:val="Compact"/>
        <w:numPr>
          <w:ilvl w:val="0"/>
          <w:numId w:val="1004"/>
        </w:numPr>
      </w:pPr>
      <w:r>
        <w:rPr>
          <w:b/>
          <w:bCs/>
        </w:rPr>
        <w:t xml:space="preserve">Present study:</w:t>
      </w:r>
      <w:r>
        <w:t xml:space="preserve"> </w:t>
      </w:r>
      <w:r>
        <w:t xml:space="preserve">PE was non-significant (β = −.028), while PV dominated (β = .505)</w:t>
      </w:r>
    </w:p>
    <w:p>
      <w:pPr>
        <w:pStyle w:val="FirstParagraph"/>
      </w:pPr>
      <w:r>
        <w:t xml:space="preserve">This reversal suggests that AI tools represent a</w:t>
      </w:r>
      <w:r>
        <w:t xml:space="preserve"> </w:t>
      </w:r>
      <w:r>
        <w:rPr>
          <w:b/>
          <w:bCs/>
        </w:rPr>
        <w:t xml:space="preserve">distinct technology category</w:t>
      </w:r>
      <w:r>
        <w:t xml:space="preserve"> </w:t>
      </w:r>
      <w:r>
        <w:t xml:space="preserve">where perceived cost-value outcomes have displaced perceived utility as the primary adoption driver. A plausible interpretation: when users already regard AI’s usefulness as a baseline expectation (which is supported by the uniformly high PE means in this sample), adoption decisions shift to whether the perceived benefits justify the financial investment.</w:t>
      </w:r>
    </w:p>
    <w:bookmarkEnd w:id="26"/>
    <w:bookmarkStart w:id="27" w:name="ai-trust-diagnostic-retention-rationale"/>
    <w:p>
      <w:pPr>
        <w:pStyle w:val="Heading4"/>
      </w:pPr>
      <w:r>
        <w:t xml:space="preserve">AI Trust: Diagnostic Retention Rationale</w:t>
      </w:r>
    </w:p>
    <w:p>
      <w:pPr>
        <w:pStyle w:val="FirstParagraph"/>
      </w:pPr>
      <w:r>
        <w:t xml:space="preserve">Although AI Trust did not reach conventional significance (p = .064) and model comparison favored the 7-factor UTAUT2-only model on parsimony grounds (ΔAIC = +2.01), the 8-factor model was retained as the recommended diagnostic instrument for three reasons:</w:t>
      </w:r>
    </w:p>
    <w:p>
      <w:pPr>
        <w:pStyle w:val="Compact"/>
        <w:numPr>
          <w:ilvl w:val="0"/>
          <w:numId w:val="1005"/>
        </w:numPr>
      </w:pPr>
      <w:r>
        <w:t xml:space="preserve">Trust provides unique diagnostic capability for organizations, identifying trust deficits that other constructs cannot detect</w:t>
      </w:r>
    </w:p>
    <w:p>
      <w:pPr>
        <w:pStyle w:val="Compact"/>
        <w:numPr>
          <w:ilvl w:val="0"/>
          <w:numId w:val="1005"/>
        </w:numPr>
      </w:pPr>
      <w:r>
        <w:t xml:space="preserve">The marginal effect (β = .106) suggests theoretical relevance; detecting this effect at 80% power requires n &gt; 600 (the present N = 523 yields ~68% power)</w:t>
      </w:r>
    </w:p>
    <w:p>
      <w:pPr>
        <w:pStyle w:val="Compact"/>
        <w:numPr>
          <w:ilvl w:val="0"/>
          <w:numId w:val="1005"/>
        </w:numPr>
      </w:pPr>
      <w:r>
        <w:t xml:space="preserve">Organizations gain actionable insight from separately measuring trust, enabling targeted confidence-building interventions</w:t>
      </w:r>
    </w:p>
    <w:bookmarkEnd w:id="27"/>
    <w:bookmarkEnd w:id="28"/>
    <w:bookmarkStart w:id="31" w:name="moderation-effects"/>
    <w:p>
      <w:pPr>
        <w:pStyle w:val="Heading3"/>
      </w:pPr>
      <w:r>
        <w:t xml:space="preserve">4.3 Moderation Effects</w:t>
      </w:r>
    </w:p>
    <w:bookmarkStart w:id="29" w:name="X82b444895e1c113389e9f8a15e14a393b4f0efe"/>
    <w:p>
      <w:pPr>
        <w:pStyle w:val="Heading4"/>
      </w:pPr>
      <w:r>
        <w:t xml:space="preserve">Experience Moderation (H3: Partially Supported)</w:t>
      </w:r>
    </w:p>
    <w:p>
      <w:pPr>
        <w:pStyle w:val="FirstParagraph"/>
      </w:pPr>
      <w:r>
        <w:t xml:space="preserve">Professional experience significantly moderated the HM → BI path (β = .136, p = .007). Professionals with 4+ years of experience weighted hedonic motivation more heavily in adoption decisions, suggesting that as users become more experienced with AI, the enjoyment dimension becomes increasingly important.</w:t>
      </w:r>
    </w:p>
    <w:p>
      <w:pPr>
        <w:pStyle w:val="BodyText"/>
      </w:pPr>
      <w:r>
        <w:t xml:space="preserve">Usage-group comparison revealed complementary patterns:</w:t>
      </w:r>
      <w:r>
        <w:t xml:space="preserve"> </w:t>
      </w:r>
      <w:r>
        <w:t xml:space="preserve">-</w:t>
      </w:r>
      <w:r>
        <w:t xml:space="preserve"> </w:t>
      </w:r>
      <w:r>
        <w:rPr>
          <w:b/>
          <w:bCs/>
        </w:rPr>
        <w:t xml:space="preserve">Low-usage group:</w:t>
      </w:r>
      <w:r>
        <w:t xml:space="preserve"> </w:t>
      </w:r>
      <w:r>
        <w:t xml:space="preserve">Performance Expectancy mattered (β = .371, significant)</w:t>
      </w:r>
      <w:r>
        <w:t xml:space="preserve"> </w:t>
      </w:r>
      <w:r>
        <w:t xml:space="preserve">-</w:t>
      </w:r>
      <w:r>
        <w:t xml:space="preserve"> </w:t>
      </w:r>
      <w:r>
        <w:rPr>
          <w:b/>
          <w:bCs/>
        </w:rPr>
        <w:t xml:space="preserve">High-usage group:</w:t>
      </w:r>
      <w:r>
        <w:t xml:space="preserve"> </w:t>
      </w:r>
      <w:r>
        <w:t xml:space="preserve">Price Value dominated (β = .878, significant)</w:t>
      </w:r>
    </w:p>
    <w:p>
      <w:pPr>
        <w:pStyle w:val="BodyText"/>
      </w:pPr>
      <w:r>
        <w:t xml:space="preserve">This pattern suggests adoption drivers evolve with experience: new users focus on utility; experienced users focus on value.</w:t>
      </w:r>
    </w:p>
    <w:bookmarkEnd w:id="29"/>
    <w:bookmarkStart w:id="30" w:name="X0fc77ac41dfa6e124a75ef0f977690b430f9747"/>
    <w:p>
      <w:pPr>
        <w:pStyle w:val="Heading4"/>
      </w:pPr>
      <w:r>
        <w:t xml:space="preserve">Population Moderation (H4: Partially Supported)</w:t>
      </w:r>
    </w:p>
    <w:p>
      <w:pPr>
        <w:pStyle w:val="FirstParagraph"/>
      </w:pPr>
      <w:r>
        <w:t xml:space="preserve">Hedonic Motivation showed significant population moderation (p = .041):</w:t>
      </w:r>
      <w:r>
        <w:t xml:space="preserve"> </w:t>
      </w:r>
      <w:r>
        <w:t xml:space="preserve">-</w:t>
      </w:r>
      <w:r>
        <w:t xml:space="preserve"> </w:t>
      </w:r>
      <w:r>
        <w:rPr>
          <w:b/>
          <w:bCs/>
        </w:rPr>
        <w:t xml:space="preserve">Academic group:</w:t>
      </w:r>
      <w:r>
        <w:t xml:space="preserve"> </w:t>
      </w:r>
      <w:r>
        <w:t xml:space="preserve">HM β = 0.449 (strong positive)</w:t>
      </w:r>
      <w:r>
        <w:t xml:space="preserve"> </w:t>
      </w:r>
      <w:r>
        <w:t xml:space="preserve">-</w:t>
      </w:r>
      <w:r>
        <w:t xml:space="preserve"> </w:t>
      </w:r>
      <w:r>
        <w:rPr>
          <w:b/>
          <w:bCs/>
        </w:rPr>
        <w:t xml:space="preserve">Professional group:</w:t>
      </w:r>
      <w:r>
        <w:t xml:space="preserve"> </w:t>
      </w:r>
      <w:r>
        <w:t xml:space="preserve">HM β = −0.301 (negative)</w:t>
      </w:r>
    </w:p>
    <w:p>
      <w:pPr>
        <w:pStyle w:val="BodyText"/>
      </w:pPr>
      <w:r>
        <w:t xml:space="preserve">This divergence indicates fundamentally different adoption mechanisms: academics adopt AI tools partly for the enjoyment of exploration and learning, while professionals may view the same</w:t>
      </w:r>
      <w:r>
        <w:t xml:space="preserve"> </w:t>
      </w:r>
      <w:r>
        <w:t xml:space="preserve">“enjoyment”</w:t>
      </w:r>
      <w:r>
        <w:t xml:space="preserve"> </w:t>
      </w:r>
      <w:r>
        <w:t xml:space="preserve">dimension as irrelevant or even counterproductive to task-focused work. All other paths showed no significant population differences; Price Value remained dominant for both groups.</w:t>
      </w:r>
    </w:p>
    <w:bookmarkEnd w:id="30"/>
    <w:bookmarkEnd w:id="31"/>
    <w:bookmarkStart w:id="34" w:name="behavioral-validation"/>
    <w:p>
      <w:pPr>
        <w:pStyle w:val="Heading3"/>
      </w:pPr>
      <w:r>
        <w:t xml:space="preserve">4.4 Behavioral Validation</w:t>
      </w:r>
    </w:p>
    <w:bookmarkStart w:id="32" w:name="X860266ec0673b1f7b9e5e48b1b440ddbb3e1a36"/>
    <w:p>
      <w:pPr>
        <w:pStyle w:val="Heading4"/>
      </w:pPr>
      <w:r>
        <w:t xml:space="preserve">Intention-Usage Relationship (H5: Supported)</w:t>
      </w:r>
    </w:p>
    <w:p>
      <w:pPr>
        <w:pStyle w:val="FirstParagraph"/>
      </w:pPr>
      <w:r>
        <w:t xml:space="preserve">Behavioral Intention was strongly associated with actual AI tool usage frequency (Spearman ρ = .69, p &lt; .001), confirming that the AIRS instrument measures a construct with real behavioral consequences.</w:t>
      </w:r>
    </w:p>
    <w:p>
      <w:pPr>
        <w:pStyle w:val="BodyText"/>
      </w:pPr>
      <w:r>
        <w:t xml:space="preserve">Individual tool correlations:</w:t>
      </w:r>
      <w:r>
        <w:t xml:space="preserve"> </w:t>
      </w:r>
      <w:r>
        <w:t xml:space="preserve">- ChatGPT usage × BI: ρ = .57</w:t>
      </w:r>
      <w:r>
        <w:t xml:space="preserve"> </w:t>
      </w:r>
      <w:r>
        <w:t xml:space="preserve">- Microsoft Copilot usage × BI: ρ = .54</w:t>
      </w:r>
      <w:r>
        <w:t xml:space="preserve"> </w:t>
      </w:r>
      <w:r>
        <w:t xml:space="preserve">- Google Gemini usage × BI: ρ = .52</w:t>
      </w:r>
    </w:p>
    <w:bookmarkEnd w:id="32"/>
    <w:bookmarkStart w:id="33" w:name="role-differences-in-usage-h6-supported"/>
    <w:p>
      <w:pPr>
        <w:pStyle w:val="Heading4"/>
      </w:pPr>
      <w:r>
        <w:t xml:space="preserve">Role Differences in Usage (H6: Supported)</w:t>
      </w:r>
    </w:p>
    <w:p>
      <w:pPr>
        <w:pStyle w:val="FirstParagraph"/>
      </w:pPr>
      <w:r>
        <w:t xml:space="preserve">One-way ANOVA confirmed a clear hierarchy: Leaders &gt; Professionals &gt; Academics across all usage measures:</w:t>
      </w:r>
    </w:p>
    <w:tbl>
      <w:tblPr>
        <w:tblStyle w:val="Table"/>
        <w:tblLayout w:type="fixed"/>
        <w:tblLook w:firstRow="1" w:lastRow="0" w:firstColumn="0" w:lastColumn="0" w:noHBand="0" w:noVBand="0" w:val="0020"/>
        <w:tblW w:type="pct" w:w="5000"/>
      </w:tblPr>
      <w:tblGrid>
        <w:gridCol w:w="3188"/>
        <w:gridCol w:w="2057"/>
        <w:gridCol w:w="1131"/>
        <w:gridCol w:w="1542"/>
      </w:tblGrid>
      <w:tr>
        <w:trPr>
          <w:tblHeader w:val="on"/>
          <w:cantSplit w:val="true"/>
        </w:trPr>
        <w:tc>
          <w:tcPr>
            <w:shd w:fill="0078D4" w:val="clear"/>
            <w:tcBorders>
              <w:top w:val="single" w:sz="4" w:space="0" w:color="666666"/>
              <w:bottom w:val="single" w:sz="4" w:space="0" w:color="AAAAAA"/>
              <w:left w:val="single" w:sz="4" w:space="0" w:color="666666"/>
              <w:right w:val="single" w:sz="4" w:space="0" w:color="AAAAAA"/>
            </w:tcBorders>
            <w:shd w:fill="0078D4" w:val="clear"/>
          </w:tcPr>
          <w:p>
            <w:pPr>
              <w:pStyle w:val="Compact"/>
              <w:jc w:val="left"/>
              <w:keepNext w:val="true"/>
            </w:pPr>
            <w:r>
              <w:rPr>
                <w:rFonts w:ascii="Calibri" w:hAnsi="Calibri"/>
                <w:b/>
                <w:color w:val="FFFFFF"/>
                <w:sz w:val="20"/>
              </w:rPr>
              <w:t xml:space="preserve">Measure</w:t>
            </w:r>
          </w:p>
        </w:tc>
        <w:tc>
          <w:tcPr>
            <w:shd w:fill="0078D4" w:val="clear"/>
            <w:tcBorders>
              <w:top w:val="single" w:sz="4" w:space="0" w:color="666666"/>
              <w:bottom w:val="single" w:sz="4" w:space="0" w:color="AAAAAA"/>
              <w:left w:val="single" w:sz="4" w:space="0" w:color="AAAAAA"/>
              <w:right w:val="single" w:sz="4" w:space="0" w:color="AAAAAA"/>
            </w:tcBorders>
            <w:shd w:fill="0078D4" w:val="clear"/>
          </w:tcPr>
          <w:p>
            <w:pPr>
              <w:pStyle w:val="Compact"/>
              <w:jc w:val="left"/>
              <w:keepNext w:val="true"/>
            </w:pPr>
            <w:r>
              <w:rPr>
                <w:rFonts w:ascii="Calibri" w:hAnsi="Calibri"/>
                <w:b/>
                <w:color w:val="FFFFFF"/>
                <w:sz w:val="20"/>
              </w:rPr>
              <w:t xml:space="preserve">F(2,520)</w:t>
            </w:r>
          </w:p>
        </w:tc>
        <w:tc>
          <w:tcPr>
            <w:shd w:fill="0078D4" w:val="clear"/>
            <w:tcBorders>
              <w:top w:val="single" w:sz="4" w:space="0" w:color="666666"/>
              <w:bottom w:val="single" w:sz="4" w:space="0" w:color="AAAAAA"/>
              <w:left w:val="single" w:sz="4" w:space="0" w:color="AAAAAA"/>
              <w:right w:val="single" w:sz="4" w:space="0" w:color="AAAAAA"/>
            </w:tcBorders>
            <w:shd w:fill="0078D4" w:val="clear"/>
          </w:tcPr>
          <w:p>
            <w:pPr>
              <w:pStyle w:val="Compact"/>
              <w:jc w:val="left"/>
              <w:keepNext w:val="true"/>
            </w:pPr>
            <w:r>
              <w:rPr>
                <w:rFonts w:ascii="Calibri" w:hAnsi="Calibri"/>
                <w:b/>
                <w:color w:val="FFFFFF"/>
                <w:sz w:val="20"/>
              </w:rPr>
              <w:t xml:space="preserve">p</w:t>
            </w:r>
          </w:p>
        </w:tc>
        <w:tc>
          <w:tcPr>
            <w:shd w:fill="0078D4" w:val="clear"/>
            <w:tcBorders>
              <w:top w:val="single" w:sz="4" w:space="0" w:color="666666"/>
              <w:bottom w:val="single" w:sz="4" w:space="0" w:color="AAAAAA"/>
              <w:left w:val="single" w:sz="4" w:space="0" w:color="AAAAAA"/>
              <w:right w:val="single" w:sz="4" w:space="0" w:color="666666"/>
            </w:tcBorders>
            <w:shd w:fill="0078D4" w:val="clear"/>
          </w:tcPr>
          <w:p>
            <w:pPr>
              <w:pStyle w:val="Compact"/>
              <w:jc w:val="left"/>
              <w:keepNext w:val="true"/>
            </w:pPr>
            <w:r>
              <w:rPr>
                <w:rFonts w:ascii="Calibri" w:hAnsi="Calibri"/>
                <w:b/>
                <w:color w:val="FFFFFF"/>
                <w:sz w:val="20"/>
              </w:rPr>
              <w:t xml:space="preserve">η²</w:t>
            </w:r>
          </w:p>
        </w:tc>
      </w:tr>
      <w:tr>
        <w:trPr>
          <w:cantSplit w:val="true"/>
        </w:trPr>
        <w:tc>
          <w:tcPr>
            <w:shd w:fill="FFFFFF" w:val="clear"/>
            <w:tcBorders>
              <w:top w:val="single" w:sz="4" w:space="0" w:color="AAAAAA"/>
              <w:bottom w:val="single" w:sz="4" w:space="0" w:color="AAAAAA"/>
              <w:left w:val="single" w:sz="4" w:space="0" w:color="666666"/>
              <w:right w:val="single" w:sz="4" w:space="0" w:color="AAAAAA"/>
            </w:tcBorders>
          </w:tcPr>
          <w:p>
            <w:pPr>
              <w:pStyle w:val="Compact"/>
              <w:jc w:val="left"/>
              <w:keepNext w:val="true"/>
            </w:pPr>
            <w:r>
              <w:rPr>
                <w:rFonts w:ascii="Calibri" w:hAnsi="Calibri"/>
                <w:b w:val="0"/>
                <w:sz w:val="18"/>
              </w:rPr>
              <w:t xml:space="preserve">Tool Breadth</w:t>
            </w:r>
          </w:p>
        </w:tc>
        <w:tc>
          <w:tcPr>
            <w:shd w:fill="FFFFFF" w:val="clear"/>
            <w:tcBorders>
              <w:top w:val="single" w:sz="4" w:space="0" w:color="AAAAAA"/>
              <w:bottom w:val="single" w:sz="4" w:space="0" w:color="AAAAAA"/>
              <w:left w:val="single" w:sz="4" w:space="0" w:color="AAAAAA"/>
              <w:right w:val="single" w:sz="4" w:space="0" w:color="AAAAAA"/>
            </w:tcBorders>
          </w:tcPr>
          <w:p>
            <w:pPr>
              <w:pStyle w:val="Compact"/>
              <w:jc w:val="left"/>
              <w:keepNext w:val="true"/>
            </w:pPr>
            <w:r>
              <w:rPr>
                <w:rFonts w:ascii="Calibri" w:hAnsi="Calibri"/>
                <w:b w:val="0"/>
                <w:sz w:val="18"/>
              </w:rPr>
              <w:t xml:space="preserve">18.42</w:t>
            </w:r>
          </w:p>
        </w:tc>
        <w:tc>
          <w:tcPr>
            <w:shd w:fill="FFFFFF" w:val="clear"/>
            <w:tcBorders>
              <w:top w:val="single" w:sz="4" w:space="0" w:color="AAAAAA"/>
              <w:bottom w:val="single" w:sz="4" w:space="0" w:color="AAAAAA"/>
              <w:left w:val="single" w:sz="4" w:space="0" w:color="AAAAAA"/>
              <w:right w:val="single" w:sz="4" w:space="0" w:color="AAAAAA"/>
            </w:tcBorders>
          </w:tcPr>
          <w:p>
            <w:pPr>
              <w:pStyle w:val="Compact"/>
              <w:jc w:val="left"/>
              <w:keepNext w:val="true"/>
            </w:pPr>
            <w:r>
              <w:rPr>
                <w:rFonts w:ascii="Calibri" w:hAnsi="Calibri"/>
                <w:b w:val="0"/>
                <w:sz w:val="18"/>
              </w:rPr>
              <w:t xml:space="preserve">&lt;.001</w:t>
            </w:r>
          </w:p>
        </w:tc>
        <w:tc>
          <w:tcPr>
            <w:shd w:fill="FFFFFF" w:val="clear"/>
            <w:tcBorders>
              <w:top w:val="single" w:sz="4" w:space="0" w:color="AAAAAA"/>
              <w:bottom w:val="single" w:sz="4" w:space="0" w:color="AAAAAA"/>
              <w:left w:val="single" w:sz="4" w:space="0" w:color="AAAAAA"/>
              <w:right w:val="single" w:sz="4" w:space="0" w:color="666666"/>
            </w:tcBorders>
          </w:tcPr>
          <w:p>
            <w:pPr>
              <w:pStyle w:val="Compact"/>
              <w:jc w:val="left"/>
              <w:keepNext w:val="true"/>
            </w:pPr>
            <w:r>
              <w:rPr>
                <w:rFonts w:ascii="Calibri" w:hAnsi="Calibri"/>
                <w:b w:val="0"/>
                <w:sz w:val="18"/>
              </w:rPr>
              <w:t xml:space="preserve">.066</w:t>
            </w:r>
          </w:p>
        </w:tc>
      </w:tr>
      <w:tr>
        <w:trPr>
          <w:cantSplit w:val="true"/>
        </w:trPr>
        <w:tc>
          <w:tcPr>
            <w:shd w:fill="F0F0F0" w:val="clear"/>
            <w:tcBorders>
              <w:top w:val="single" w:sz="4" w:space="0" w:color="AAAAAA"/>
              <w:bottom w:val="single" w:sz="4" w:space="0" w:color="AAAAAA"/>
              <w:left w:val="single" w:sz="4" w:space="0" w:color="666666"/>
              <w:right w:val="single" w:sz="4" w:space="0" w:color="AAAAAA"/>
            </w:tcBorders>
            <w:shd w:fill="F0F0F0" w:val="clear"/>
          </w:tcPr>
          <w:p>
            <w:pPr>
              <w:pStyle w:val="Compact"/>
              <w:jc w:val="left"/>
              <w:keepNext w:val="true"/>
            </w:pPr>
            <w:r>
              <w:rPr>
                <w:rFonts w:ascii="Calibri" w:hAnsi="Calibri"/>
                <w:b w:val="0"/>
                <w:sz w:val="18"/>
              </w:rPr>
              <w:t xml:space="preserve">Usage Frequency</w:t>
            </w:r>
          </w:p>
        </w:tc>
        <w:tc>
          <w:tcPr>
            <w:shd w:fill="F0F0F0" w:val="clear"/>
            <w:tcBorders>
              <w:top w:val="single" w:sz="4" w:space="0" w:color="AAAAAA"/>
              <w:bottom w:val="single" w:sz="4" w:space="0" w:color="AAAAAA"/>
              <w:left w:val="single" w:sz="4" w:space="0" w:color="AAAAAA"/>
              <w:right w:val="single" w:sz="4" w:space="0" w:color="AAAAAA"/>
            </w:tcBorders>
            <w:shd w:fill="F0F0F0" w:val="clear"/>
          </w:tcPr>
          <w:p>
            <w:pPr>
              <w:pStyle w:val="Compact"/>
              <w:jc w:val="left"/>
              <w:keepNext w:val="true"/>
            </w:pPr>
            <w:r>
              <w:rPr>
                <w:rFonts w:ascii="Calibri" w:hAnsi="Calibri"/>
                <w:b w:val="0"/>
                <w:sz w:val="18"/>
              </w:rPr>
              <w:t xml:space="preserve">22.15</w:t>
            </w:r>
          </w:p>
        </w:tc>
        <w:tc>
          <w:tcPr>
            <w:shd w:fill="F0F0F0" w:val="clear"/>
            <w:tcBorders>
              <w:top w:val="single" w:sz="4" w:space="0" w:color="AAAAAA"/>
              <w:bottom w:val="single" w:sz="4" w:space="0" w:color="AAAAAA"/>
              <w:left w:val="single" w:sz="4" w:space="0" w:color="AAAAAA"/>
              <w:right w:val="single" w:sz="4" w:space="0" w:color="AAAAAA"/>
            </w:tcBorders>
            <w:shd w:fill="F0F0F0" w:val="clear"/>
          </w:tcPr>
          <w:p>
            <w:pPr>
              <w:pStyle w:val="Compact"/>
              <w:jc w:val="left"/>
              <w:keepNext w:val="true"/>
            </w:pPr>
            <w:r>
              <w:rPr>
                <w:rFonts w:ascii="Calibri" w:hAnsi="Calibri"/>
                <w:b w:val="0"/>
                <w:sz w:val="18"/>
              </w:rPr>
              <w:t xml:space="preserve">&lt;.001</w:t>
            </w:r>
          </w:p>
        </w:tc>
        <w:tc>
          <w:tcPr>
            <w:shd w:fill="F0F0F0" w:val="clear"/>
            <w:tcBorders>
              <w:top w:val="single" w:sz="4" w:space="0" w:color="AAAAAA"/>
              <w:bottom w:val="single" w:sz="4" w:space="0" w:color="AAAAAA"/>
              <w:left w:val="single" w:sz="4" w:space="0" w:color="AAAAAA"/>
              <w:right w:val="single" w:sz="4" w:space="0" w:color="666666"/>
            </w:tcBorders>
            <w:shd w:fill="F0F0F0" w:val="clear"/>
          </w:tcPr>
          <w:p>
            <w:pPr>
              <w:pStyle w:val="Compact"/>
              <w:jc w:val="left"/>
              <w:keepNext w:val="true"/>
            </w:pPr>
            <w:r>
              <w:rPr>
                <w:rFonts w:ascii="Calibri" w:hAnsi="Calibri"/>
                <w:b w:val="0"/>
                <w:sz w:val="18"/>
              </w:rPr>
              <w:t xml:space="preserve">.078</w:t>
            </w:r>
          </w:p>
        </w:tc>
      </w:tr>
      <w:tr>
        <w:trPr>
          <w:cantSplit w:val="true"/>
        </w:trPr>
        <w:tc>
          <w:tcPr>
            <w:shd w:fill="FFFFFF" w:val="clear"/>
            <w:tcBorders>
              <w:top w:val="single" w:sz="4" w:space="0" w:color="AAAAAA"/>
              <w:bottom w:val="single" w:sz="4" w:space="0" w:color="666666"/>
              <w:left w:val="single" w:sz="4" w:space="0" w:color="666666"/>
              <w:right w:val="single" w:sz="4" w:space="0" w:color="AAAAAA"/>
            </w:tcBorders>
          </w:tcPr>
          <w:p>
            <w:pPr>
              <w:pStyle w:val="Compact"/>
              <w:jc w:val="left"/>
            </w:pPr>
            <w:r>
              <w:rPr>
                <w:rFonts w:ascii="Calibri" w:hAnsi="Calibri"/>
                <w:b w:val="0"/>
                <w:sz w:val="18"/>
              </w:rPr>
              <w:t xml:space="preserve">Usage Intensity</w:t>
            </w:r>
          </w:p>
        </w:tc>
        <w:tc>
          <w:tcPr>
            <w:shd w:fill="FFFFFF" w:val="clear"/>
            <w:tcBorders>
              <w:top w:val="single" w:sz="4" w:space="0" w:color="AAAAAA"/>
              <w:bottom w:val="single" w:sz="4" w:space="0" w:color="666666"/>
              <w:left w:val="single" w:sz="4" w:space="0" w:color="AAAAAA"/>
              <w:right w:val="single" w:sz="4" w:space="0" w:color="AAAAAA"/>
            </w:tcBorders>
          </w:tcPr>
          <w:p>
            <w:pPr>
              <w:pStyle w:val="Compact"/>
              <w:jc w:val="left"/>
            </w:pPr>
            <w:r>
              <w:rPr>
                <w:rFonts w:ascii="Calibri" w:hAnsi="Calibri"/>
                <w:b w:val="0"/>
                <w:sz w:val="18"/>
              </w:rPr>
              <w:t xml:space="preserve">15.87</w:t>
            </w:r>
          </w:p>
        </w:tc>
        <w:tc>
          <w:tcPr>
            <w:shd w:fill="FFFFFF" w:val="clear"/>
            <w:tcBorders>
              <w:top w:val="single" w:sz="4" w:space="0" w:color="AAAAAA"/>
              <w:bottom w:val="single" w:sz="4" w:space="0" w:color="666666"/>
              <w:left w:val="single" w:sz="4" w:space="0" w:color="AAAAAA"/>
              <w:right w:val="single" w:sz="4" w:space="0" w:color="AAAAAA"/>
            </w:tcBorders>
          </w:tcPr>
          <w:p>
            <w:pPr>
              <w:pStyle w:val="Compact"/>
              <w:jc w:val="left"/>
            </w:pPr>
            <w:r>
              <w:rPr>
                <w:rFonts w:ascii="Calibri" w:hAnsi="Calibri"/>
                <w:b w:val="0"/>
                <w:sz w:val="18"/>
              </w:rPr>
              <w:t xml:space="preserve">&lt;.001</w:t>
            </w:r>
          </w:p>
        </w:tc>
        <w:tc>
          <w:tcPr>
            <w:shd w:fill="FFFFFF" w:val="clear"/>
            <w:tcBorders>
              <w:top w:val="single" w:sz="4" w:space="0" w:color="AAAAAA"/>
              <w:bottom w:val="single" w:sz="4" w:space="0" w:color="666666"/>
              <w:left w:val="single" w:sz="4" w:space="0" w:color="AAAAAA"/>
              <w:right w:val="single" w:sz="4" w:space="0" w:color="666666"/>
            </w:tcBorders>
          </w:tcPr>
          <w:p>
            <w:pPr>
              <w:pStyle w:val="Compact"/>
              <w:jc w:val="left"/>
            </w:pPr>
            <w:r>
              <w:rPr>
                <w:rFonts w:ascii="Calibri" w:hAnsi="Calibri"/>
                <w:b w:val="0"/>
                <w:sz w:val="18"/>
              </w:rPr>
              <w:t xml:space="preserve">.058</w:t>
            </w:r>
          </w:p>
        </w:tc>
      </w:tr>
    </w:tbl>
    <w:p>
      <w:pPr>
        <w:pStyle w:val="BodyText"/>
      </w:pPr>
      <w:r>
        <w:t xml:space="preserve">Leaders demonstrated particularly elevated usage of Microsoft Copilot (Cohen’s d = 1.14 vs. Professionals), likely reflecting enterprise licensing and integration into organizational workflows.</w:t>
      </w:r>
    </w:p>
    <w:bookmarkEnd w:id="33"/>
    <w:bookmarkEnd w:id="34"/>
    <w:bookmarkStart w:id="35" w:name="user-typology"/>
    <w:p>
      <w:pPr>
        <w:pStyle w:val="Heading3"/>
      </w:pPr>
      <w:r>
        <w:t xml:space="preserve">4.5 User Typology</w:t>
      </w:r>
    </w:p>
    <w:p>
      <w:pPr>
        <w:pStyle w:val="FirstParagraph"/>
      </w:pPr>
      <w:r>
        <w:t xml:space="preserve">K-means cluster analysis (k = 3, silhouette = 0.271) identified three distinct user profiles:</w:t>
      </w:r>
    </w:p>
    <w:tbl>
      <w:tblPr>
        <w:tblStyle w:val="Table"/>
        <w:tblLayout w:type="fixed"/>
        <w:tblLook w:firstRow="1" w:lastRow="0" w:firstColumn="0" w:lastColumn="0" w:noHBand="0" w:noVBand="0" w:val="0020"/>
        <w:tblW w:type="pct" w:w="5000"/>
      </w:tblPr>
      <w:tblGrid>
        <w:gridCol w:w="1002"/>
        <w:gridCol w:w="601"/>
        <w:gridCol w:w="601"/>
        <w:gridCol w:w="4611"/>
        <w:gridCol w:w="1102"/>
      </w:tblGrid>
      <w:tr>
        <w:trPr>
          <w:tblHeader w:val="on"/>
          <w:cantSplit w:val="true"/>
        </w:trPr>
        <w:tc>
          <w:tcPr>
            <w:shd w:fill="0078D4" w:val="clear"/>
            <w:tcBorders>
              <w:top w:val="single" w:sz="4" w:space="0" w:color="666666"/>
              <w:bottom w:val="single" w:sz="4" w:space="0" w:color="AAAAAA"/>
              <w:left w:val="single" w:sz="4" w:space="0" w:color="666666"/>
              <w:right w:val="single" w:sz="4" w:space="0" w:color="AAAAAA"/>
            </w:tcBorders>
            <w:shd w:fill="0078D4" w:val="clear"/>
          </w:tcPr>
          <w:p>
            <w:pPr>
              <w:pStyle w:val="Compact"/>
              <w:jc w:val="left"/>
              <w:keepNext w:val="true"/>
            </w:pPr>
            <w:r>
              <w:rPr>
                <w:rFonts w:ascii="Calibri" w:hAnsi="Calibri"/>
                <w:b/>
                <w:color w:val="FFFFFF"/>
                <w:sz w:val="20"/>
              </w:rPr>
              <w:t xml:space="preserve">Cluster</w:t>
            </w:r>
          </w:p>
        </w:tc>
        <w:tc>
          <w:tcPr>
            <w:shd w:fill="0078D4" w:val="clear"/>
            <w:tcBorders>
              <w:top w:val="single" w:sz="4" w:space="0" w:color="666666"/>
              <w:bottom w:val="single" w:sz="4" w:space="0" w:color="AAAAAA"/>
              <w:left w:val="single" w:sz="4" w:space="0" w:color="AAAAAA"/>
              <w:right w:val="single" w:sz="4" w:space="0" w:color="AAAAAA"/>
            </w:tcBorders>
            <w:shd w:fill="0078D4" w:val="clear"/>
          </w:tcPr>
          <w:p>
            <w:pPr>
              <w:pStyle w:val="Compact"/>
              <w:jc w:val="left"/>
              <w:keepNext w:val="true"/>
            </w:pPr>
            <w:r>
              <w:rPr>
                <w:rFonts w:ascii="Calibri" w:hAnsi="Calibri"/>
                <w:b/>
                <w:color w:val="FFFFFF"/>
                <w:sz w:val="20"/>
              </w:rPr>
              <w:t xml:space="preserve">n</w:t>
            </w:r>
          </w:p>
        </w:tc>
        <w:tc>
          <w:tcPr>
            <w:shd w:fill="0078D4" w:val="clear"/>
            <w:tcBorders>
              <w:top w:val="single" w:sz="4" w:space="0" w:color="666666"/>
              <w:bottom w:val="single" w:sz="4" w:space="0" w:color="AAAAAA"/>
              <w:left w:val="single" w:sz="4" w:space="0" w:color="AAAAAA"/>
              <w:right w:val="single" w:sz="4" w:space="0" w:color="AAAAAA"/>
            </w:tcBorders>
            <w:shd w:fill="0078D4" w:val="clear"/>
          </w:tcPr>
          <w:p>
            <w:pPr>
              <w:pStyle w:val="Compact"/>
              <w:jc w:val="left"/>
              <w:keepNext w:val="true"/>
            </w:pPr>
            <w:r>
              <w:rPr>
                <w:rFonts w:ascii="Calibri" w:hAnsi="Calibri"/>
                <w:b/>
                <w:color w:val="FFFFFF"/>
                <w:sz w:val="20"/>
              </w:rPr>
              <w:t xml:space="preserve">%</w:t>
            </w:r>
          </w:p>
        </w:tc>
        <w:tc>
          <w:tcPr>
            <w:shd w:fill="0078D4" w:val="clear"/>
            <w:tcBorders>
              <w:top w:val="single" w:sz="4" w:space="0" w:color="666666"/>
              <w:bottom w:val="single" w:sz="4" w:space="0" w:color="AAAAAA"/>
              <w:left w:val="single" w:sz="4" w:space="0" w:color="AAAAAA"/>
              <w:right w:val="single" w:sz="4" w:space="0" w:color="AAAAAA"/>
            </w:tcBorders>
            <w:shd w:fill="0078D4" w:val="clear"/>
          </w:tcPr>
          <w:p>
            <w:pPr>
              <w:pStyle w:val="Compact"/>
              <w:jc w:val="left"/>
              <w:keepNext w:val="true"/>
            </w:pPr>
            <w:r>
              <w:rPr>
                <w:rFonts w:ascii="Calibri" w:hAnsi="Calibri"/>
                <w:b/>
                <w:color w:val="FFFFFF"/>
                <w:sz w:val="20"/>
              </w:rPr>
              <w:t xml:space="preserve">Characterization</w:t>
            </w:r>
          </w:p>
        </w:tc>
        <w:tc>
          <w:tcPr>
            <w:shd w:fill="0078D4" w:val="clear"/>
            <w:tcBorders>
              <w:top w:val="single" w:sz="4" w:space="0" w:color="666666"/>
              <w:bottom w:val="single" w:sz="4" w:space="0" w:color="AAAAAA"/>
              <w:left w:val="single" w:sz="4" w:space="0" w:color="AAAAAA"/>
              <w:right w:val="single" w:sz="4" w:space="0" w:color="666666"/>
            </w:tcBorders>
            <w:shd w:fill="0078D4" w:val="clear"/>
          </w:tcPr>
          <w:p>
            <w:pPr>
              <w:pStyle w:val="Compact"/>
              <w:jc w:val="left"/>
              <w:keepNext w:val="true"/>
            </w:pPr>
            <w:r>
              <w:rPr>
                <w:rFonts w:ascii="Calibri" w:hAnsi="Calibri"/>
                <w:b/>
                <w:color w:val="FFFFFF"/>
                <w:sz w:val="20"/>
              </w:rPr>
              <w:t xml:space="preserve">Mean BI</w:t>
            </w:r>
          </w:p>
        </w:tc>
      </w:tr>
      <w:tr>
        <w:trPr>
          <w:cantSplit w:val="true"/>
        </w:trPr>
        <w:tc>
          <w:tcPr>
            <w:shd w:fill="FFFFFF" w:val="clear"/>
            <w:tcBorders>
              <w:top w:val="single" w:sz="4" w:space="0" w:color="AAAAAA"/>
              <w:bottom w:val="single" w:sz="4" w:space="0" w:color="AAAAAA"/>
              <w:left w:val="single" w:sz="4" w:space="0" w:color="666666"/>
              <w:right w:val="single" w:sz="4" w:space="0" w:color="AAAAAA"/>
            </w:tcBorders>
          </w:tcPr>
          <w:p>
            <w:pPr>
              <w:pStyle w:val="Compact"/>
              <w:jc w:val="left"/>
              <w:keepNext w:val="true"/>
            </w:pPr>
            <w:r>
              <w:rPr>
                <w:rFonts w:ascii="Calibri" w:hAnsi="Calibri"/>
                <w:b w:val="0"/>
                <w:sz w:val="18"/>
              </w:rPr>
              <w:t xml:space="preserve">AI Enthusiasts</w:t>
            </w:r>
          </w:p>
        </w:tc>
        <w:tc>
          <w:tcPr>
            <w:shd w:fill="FFFFFF" w:val="clear"/>
            <w:tcBorders>
              <w:top w:val="single" w:sz="4" w:space="0" w:color="AAAAAA"/>
              <w:bottom w:val="single" w:sz="4" w:space="0" w:color="AAAAAA"/>
              <w:left w:val="single" w:sz="4" w:space="0" w:color="AAAAAA"/>
              <w:right w:val="single" w:sz="4" w:space="0" w:color="AAAAAA"/>
            </w:tcBorders>
          </w:tcPr>
          <w:p>
            <w:pPr>
              <w:pStyle w:val="Compact"/>
              <w:jc w:val="left"/>
              <w:keepNext w:val="true"/>
            </w:pPr>
            <w:r>
              <w:rPr>
                <w:rFonts w:ascii="Calibri" w:hAnsi="Calibri"/>
                <w:b w:val="0"/>
                <w:sz w:val="18"/>
              </w:rPr>
              <w:t xml:space="preserve">162</w:t>
            </w:r>
          </w:p>
        </w:tc>
        <w:tc>
          <w:tcPr>
            <w:shd w:fill="FFFFFF" w:val="clear"/>
            <w:tcBorders>
              <w:top w:val="single" w:sz="4" w:space="0" w:color="AAAAAA"/>
              <w:bottom w:val="single" w:sz="4" w:space="0" w:color="AAAAAA"/>
              <w:left w:val="single" w:sz="4" w:space="0" w:color="AAAAAA"/>
              <w:right w:val="single" w:sz="4" w:space="0" w:color="AAAAAA"/>
            </w:tcBorders>
          </w:tcPr>
          <w:p>
            <w:pPr>
              <w:pStyle w:val="Compact"/>
              <w:jc w:val="left"/>
              <w:keepNext w:val="true"/>
            </w:pPr>
            <w:r>
              <w:rPr>
                <w:rFonts w:ascii="Calibri" w:hAnsi="Calibri"/>
                <w:b w:val="0"/>
                <w:sz w:val="18"/>
              </w:rPr>
              <w:t xml:space="preserve">31%</w:t>
            </w:r>
          </w:p>
        </w:tc>
        <w:tc>
          <w:tcPr>
            <w:shd w:fill="FFFFFF" w:val="clear"/>
            <w:tcBorders>
              <w:top w:val="single" w:sz="4" w:space="0" w:color="AAAAAA"/>
              <w:bottom w:val="single" w:sz="4" w:space="0" w:color="AAAAAA"/>
              <w:left w:val="single" w:sz="4" w:space="0" w:color="AAAAAA"/>
              <w:right w:val="single" w:sz="4" w:space="0" w:color="AAAAAA"/>
            </w:tcBorders>
          </w:tcPr>
          <w:p>
            <w:pPr>
              <w:pStyle w:val="Compact"/>
              <w:jc w:val="left"/>
              <w:keepNext w:val="true"/>
            </w:pPr>
            <w:r>
              <w:rPr>
                <w:rFonts w:ascii="Calibri" w:hAnsi="Calibri"/>
                <w:b w:val="0"/>
                <w:sz w:val="18"/>
              </w:rPr>
              <w:t xml:space="preserve">Early adopters with high engagement across all dimensions</w:t>
            </w:r>
          </w:p>
        </w:tc>
        <w:tc>
          <w:tcPr>
            <w:shd w:fill="FFFFFF" w:val="clear"/>
            <w:tcBorders>
              <w:top w:val="single" w:sz="4" w:space="0" w:color="AAAAAA"/>
              <w:bottom w:val="single" w:sz="4" w:space="0" w:color="AAAAAA"/>
              <w:left w:val="single" w:sz="4" w:space="0" w:color="AAAAAA"/>
              <w:right w:val="single" w:sz="4" w:space="0" w:color="666666"/>
            </w:tcBorders>
          </w:tcPr>
          <w:p>
            <w:pPr>
              <w:pStyle w:val="Compact"/>
              <w:jc w:val="left"/>
              <w:keepNext w:val="true"/>
            </w:pPr>
            <w:r>
              <w:rPr>
                <w:rFonts w:ascii="Calibri" w:hAnsi="Calibri"/>
                <w:b w:val="0"/>
                <w:sz w:val="18"/>
              </w:rPr>
              <w:t xml:space="preserve">4.23</w:t>
            </w:r>
          </w:p>
        </w:tc>
      </w:tr>
      <w:tr>
        <w:trPr>
          <w:cantSplit w:val="true"/>
        </w:trPr>
        <w:tc>
          <w:tcPr>
            <w:shd w:fill="F0F0F0" w:val="clear"/>
            <w:tcBorders>
              <w:top w:val="single" w:sz="4" w:space="0" w:color="AAAAAA"/>
              <w:bottom w:val="single" w:sz="4" w:space="0" w:color="AAAAAA"/>
              <w:left w:val="single" w:sz="4" w:space="0" w:color="666666"/>
              <w:right w:val="single" w:sz="4" w:space="0" w:color="AAAAAA"/>
            </w:tcBorders>
            <w:shd w:fill="F0F0F0" w:val="clear"/>
          </w:tcPr>
          <w:p>
            <w:pPr>
              <w:pStyle w:val="Compact"/>
              <w:jc w:val="left"/>
              <w:keepNext w:val="true"/>
            </w:pPr>
            <w:r>
              <w:rPr>
                <w:rFonts w:ascii="Calibri" w:hAnsi="Calibri"/>
                <w:b w:val="0"/>
                <w:sz w:val="18"/>
              </w:rPr>
              <w:t xml:space="preserve">Moderate Users</w:t>
            </w:r>
          </w:p>
        </w:tc>
        <w:tc>
          <w:tcPr>
            <w:shd w:fill="F0F0F0" w:val="clear"/>
            <w:tcBorders>
              <w:top w:val="single" w:sz="4" w:space="0" w:color="AAAAAA"/>
              <w:bottom w:val="single" w:sz="4" w:space="0" w:color="AAAAAA"/>
              <w:left w:val="single" w:sz="4" w:space="0" w:color="AAAAAA"/>
              <w:right w:val="single" w:sz="4" w:space="0" w:color="AAAAAA"/>
            </w:tcBorders>
            <w:shd w:fill="F0F0F0" w:val="clear"/>
          </w:tcPr>
          <w:p>
            <w:pPr>
              <w:pStyle w:val="Compact"/>
              <w:jc w:val="left"/>
              <w:keepNext w:val="true"/>
            </w:pPr>
            <w:r>
              <w:rPr>
                <w:rFonts w:ascii="Calibri" w:hAnsi="Calibri"/>
                <w:b w:val="0"/>
                <w:sz w:val="18"/>
              </w:rPr>
              <w:t xml:space="preserve">246</w:t>
            </w:r>
          </w:p>
        </w:tc>
        <w:tc>
          <w:tcPr>
            <w:shd w:fill="F0F0F0" w:val="clear"/>
            <w:tcBorders>
              <w:top w:val="single" w:sz="4" w:space="0" w:color="AAAAAA"/>
              <w:bottom w:val="single" w:sz="4" w:space="0" w:color="AAAAAA"/>
              <w:left w:val="single" w:sz="4" w:space="0" w:color="AAAAAA"/>
              <w:right w:val="single" w:sz="4" w:space="0" w:color="AAAAAA"/>
            </w:tcBorders>
            <w:shd w:fill="F0F0F0" w:val="clear"/>
          </w:tcPr>
          <w:p>
            <w:pPr>
              <w:pStyle w:val="Compact"/>
              <w:jc w:val="left"/>
              <w:keepNext w:val="true"/>
            </w:pPr>
            <w:r>
              <w:rPr>
                <w:rFonts w:ascii="Calibri" w:hAnsi="Calibri"/>
                <w:b w:val="0"/>
                <w:sz w:val="18"/>
              </w:rPr>
              <w:t xml:space="preserve">47%</w:t>
            </w:r>
          </w:p>
        </w:tc>
        <w:tc>
          <w:tcPr>
            <w:shd w:fill="F0F0F0" w:val="clear"/>
            <w:tcBorders>
              <w:top w:val="single" w:sz="4" w:space="0" w:color="AAAAAA"/>
              <w:bottom w:val="single" w:sz="4" w:space="0" w:color="AAAAAA"/>
              <w:left w:val="single" w:sz="4" w:space="0" w:color="AAAAAA"/>
              <w:right w:val="single" w:sz="4" w:space="0" w:color="AAAAAA"/>
            </w:tcBorders>
            <w:shd w:fill="F0F0F0" w:val="clear"/>
          </w:tcPr>
          <w:p>
            <w:pPr>
              <w:pStyle w:val="Compact"/>
              <w:jc w:val="left"/>
              <w:keepNext w:val="true"/>
            </w:pPr>
            <w:r>
              <w:rPr>
                <w:rFonts w:ascii="Calibri" w:hAnsi="Calibri"/>
                <w:b w:val="0"/>
                <w:sz w:val="18"/>
              </w:rPr>
              <w:t xml:space="preserve">Pragmatic users near population means</w:t>
            </w:r>
          </w:p>
        </w:tc>
        <w:tc>
          <w:tcPr>
            <w:shd w:fill="F0F0F0" w:val="clear"/>
            <w:tcBorders>
              <w:top w:val="single" w:sz="4" w:space="0" w:color="AAAAAA"/>
              <w:bottom w:val="single" w:sz="4" w:space="0" w:color="AAAAAA"/>
              <w:left w:val="single" w:sz="4" w:space="0" w:color="AAAAAA"/>
              <w:right w:val="single" w:sz="4" w:space="0" w:color="666666"/>
            </w:tcBorders>
            <w:shd w:fill="F0F0F0" w:val="clear"/>
          </w:tcPr>
          <w:p>
            <w:pPr>
              <w:pStyle w:val="Compact"/>
              <w:jc w:val="left"/>
              <w:keepNext w:val="true"/>
            </w:pPr>
            <w:r>
              <w:rPr>
                <w:rFonts w:ascii="Calibri" w:hAnsi="Calibri"/>
                <w:b w:val="0"/>
                <w:sz w:val="18"/>
              </w:rPr>
              <w:t xml:space="preserve">-</w:t>
            </w:r>
          </w:p>
        </w:tc>
      </w:tr>
      <w:tr>
        <w:trPr>
          <w:cantSplit w:val="true"/>
        </w:trPr>
        <w:tc>
          <w:tcPr>
            <w:shd w:fill="FFFFFF" w:val="clear"/>
            <w:tcBorders>
              <w:top w:val="single" w:sz="4" w:space="0" w:color="AAAAAA"/>
              <w:bottom w:val="single" w:sz="4" w:space="0" w:color="666666"/>
              <w:left w:val="single" w:sz="4" w:space="0" w:color="666666"/>
              <w:right w:val="single" w:sz="4" w:space="0" w:color="AAAAAA"/>
            </w:tcBorders>
          </w:tcPr>
          <w:p>
            <w:pPr>
              <w:pStyle w:val="Compact"/>
              <w:jc w:val="left"/>
            </w:pPr>
            <w:r>
              <w:rPr>
                <w:rFonts w:ascii="Calibri" w:hAnsi="Calibri"/>
                <w:b w:val="0"/>
                <w:sz w:val="18"/>
              </w:rPr>
              <w:t xml:space="preserve">AI Skeptics</w:t>
            </w:r>
          </w:p>
        </w:tc>
        <w:tc>
          <w:tcPr>
            <w:shd w:fill="FFFFFF" w:val="clear"/>
            <w:tcBorders>
              <w:top w:val="single" w:sz="4" w:space="0" w:color="AAAAAA"/>
              <w:bottom w:val="single" w:sz="4" w:space="0" w:color="666666"/>
              <w:left w:val="single" w:sz="4" w:space="0" w:color="AAAAAA"/>
              <w:right w:val="single" w:sz="4" w:space="0" w:color="AAAAAA"/>
            </w:tcBorders>
          </w:tcPr>
          <w:p>
            <w:pPr>
              <w:pStyle w:val="Compact"/>
              <w:jc w:val="left"/>
            </w:pPr>
            <w:r>
              <w:rPr>
                <w:rFonts w:ascii="Calibri" w:hAnsi="Calibri"/>
                <w:b w:val="0"/>
                <w:sz w:val="18"/>
              </w:rPr>
              <w:t xml:space="preserve">115</w:t>
            </w:r>
          </w:p>
        </w:tc>
        <w:tc>
          <w:tcPr>
            <w:shd w:fill="FFFFFF" w:val="clear"/>
            <w:tcBorders>
              <w:top w:val="single" w:sz="4" w:space="0" w:color="AAAAAA"/>
              <w:bottom w:val="single" w:sz="4" w:space="0" w:color="666666"/>
              <w:left w:val="single" w:sz="4" w:space="0" w:color="AAAAAA"/>
              <w:right w:val="single" w:sz="4" w:space="0" w:color="AAAAAA"/>
            </w:tcBorders>
          </w:tcPr>
          <w:p>
            <w:pPr>
              <w:pStyle w:val="Compact"/>
              <w:jc w:val="left"/>
            </w:pPr>
            <w:r>
              <w:rPr>
                <w:rFonts w:ascii="Calibri" w:hAnsi="Calibri"/>
                <w:b w:val="0"/>
                <w:sz w:val="18"/>
              </w:rPr>
              <w:t xml:space="preserve">22%</w:t>
            </w:r>
          </w:p>
        </w:tc>
        <w:tc>
          <w:tcPr>
            <w:shd w:fill="FFFFFF" w:val="clear"/>
            <w:tcBorders>
              <w:top w:val="single" w:sz="4" w:space="0" w:color="AAAAAA"/>
              <w:bottom w:val="single" w:sz="4" w:space="0" w:color="666666"/>
              <w:left w:val="single" w:sz="4" w:space="0" w:color="AAAAAA"/>
              <w:right w:val="single" w:sz="4" w:space="0" w:color="AAAAAA"/>
            </w:tcBorders>
          </w:tcPr>
          <w:p>
            <w:pPr>
              <w:pStyle w:val="Compact"/>
              <w:jc w:val="left"/>
            </w:pPr>
            <w:r>
              <w:rPr>
                <w:rFonts w:ascii="Calibri" w:hAnsi="Calibri"/>
                <w:b w:val="0"/>
                <w:sz w:val="18"/>
              </w:rPr>
              <w:t xml:space="preserve">Resistant users with below-mean readiness scores</w:t>
            </w:r>
          </w:p>
        </w:tc>
        <w:tc>
          <w:tcPr>
            <w:shd w:fill="FFFFFF" w:val="clear"/>
            <w:tcBorders>
              <w:top w:val="single" w:sz="4" w:space="0" w:color="AAAAAA"/>
              <w:bottom w:val="single" w:sz="4" w:space="0" w:color="666666"/>
              <w:left w:val="single" w:sz="4" w:space="0" w:color="AAAAAA"/>
              <w:right w:val="single" w:sz="4" w:space="0" w:color="666666"/>
            </w:tcBorders>
          </w:tcPr>
          <w:p>
            <w:pPr>
              <w:pStyle w:val="Compact"/>
              <w:jc w:val="left"/>
            </w:pPr>
            <w:r>
              <w:rPr>
                <w:rFonts w:ascii="Calibri" w:hAnsi="Calibri"/>
                <w:b w:val="0"/>
                <w:sz w:val="18"/>
              </w:rPr>
              <w:t xml:space="preserve">1.71</w:t>
            </w:r>
          </w:p>
        </w:tc>
      </w:tr>
    </w:tbl>
    <w:p>
      <w:pPr>
        <w:pStyle w:val="BodyText"/>
      </w:pPr>
      <w:r>
        <w:t xml:space="preserve">The three-cluster solution explained 65.9% of BI variance (F(2, 520) = 503.47, p &lt; .001, η² = .659), confirming a clear readiness gradient.</w:t>
      </w:r>
    </w:p>
    <w:p>
      <w:pPr>
        <w:pStyle w:val="BodyText"/>
      </w:pPr>
      <w:r>
        <w:t xml:space="preserve">This typology has direct organizational application: each segment requires a different intervention strategy. Enthusiasts can serve as change champions; Moderate Users respond to demonstrated value and peer influence; Skeptics require trust-building and anxiety-reduction interventions before engagement strategies will succeed.</w:t>
      </w:r>
    </w:p>
    <w:bookmarkEnd w:id="35"/>
    <w:bookmarkStart w:id="39" w:name="exploratory-and-supplementary-findings"/>
    <w:p>
      <w:pPr>
        <w:pStyle w:val="Heading3"/>
      </w:pPr>
      <w:r>
        <w:t xml:space="preserve">4.6 Exploratory and Supplementary Findings</w:t>
      </w:r>
    </w:p>
    <w:bookmarkStart w:id="36" w:name="disability-and-ai-anxiety"/>
    <w:p>
      <w:pPr>
        <w:pStyle w:val="Heading4"/>
      </w:pPr>
      <w:r>
        <w:t xml:space="preserve">Disability and AI Anxiety</w:t>
      </w:r>
    </w:p>
    <w:p>
      <w:pPr>
        <w:pStyle w:val="FirstParagraph"/>
      </w:pPr>
      <w:r>
        <w:t xml:space="preserve">Participants with disabilities (n = 68, 13%) reported significantly higher AI-related anxiety (d = 0.36, p = .006) compared to non-disabled participants. This finding highlights the need for accessible and inclusive AI implementation strategies that specifically address anxiety barriers for users with disabilities.</w:t>
      </w:r>
    </w:p>
    <w:bookmarkEnd w:id="36"/>
    <w:bookmarkStart w:id="37" w:name="qualitative-themes"/>
    <w:p>
      <w:pPr>
        <w:pStyle w:val="Heading4"/>
      </w:pPr>
      <w:r>
        <w:t xml:space="preserve">Qualitative Themes</w:t>
      </w:r>
    </w:p>
    <w:p>
      <w:pPr>
        <w:pStyle w:val="FirstParagraph"/>
      </w:pPr>
      <w:r>
        <w:t xml:space="preserve">Open-ended responses (n = 243, 46.5% response rate) revealed:</w:t>
      </w:r>
      <w:r>
        <w:t xml:space="preserve"> </w:t>
      </w:r>
      <w:r>
        <w:t xml:space="preserve">-</w:t>
      </w:r>
      <w:r>
        <w:t xml:space="preserve"> </w:t>
      </w:r>
      <w:r>
        <w:rPr>
          <w:b/>
          <w:bCs/>
        </w:rPr>
        <w:t xml:space="preserve">Positive Experience</w:t>
      </w:r>
      <w:r>
        <w:t xml:space="preserve"> </w:t>
      </w:r>
      <w:r>
        <w:t xml:space="preserve">(24.7%) and</w:t>
      </w:r>
      <w:r>
        <w:t xml:space="preserve"> </w:t>
      </w:r>
      <w:r>
        <w:rPr>
          <w:b/>
          <w:bCs/>
        </w:rPr>
        <w:t xml:space="preserve">Work/Productivity</w:t>
      </w:r>
      <w:r>
        <w:t xml:space="preserve"> </w:t>
      </w:r>
      <w:r>
        <w:t xml:space="preserve">(19.3%) as the most prevalent themes</w:t>
      </w:r>
      <w:r>
        <w:t xml:space="preserve"> </w:t>
      </w:r>
      <w:r>
        <w:t xml:space="preserve">-</w:t>
      </w:r>
      <w:r>
        <w:t xml:space="preserve"> </w:t>
      </w:r>
      <w:r>
        <w:rPr>
          <w:b/>
          <w:bCs/>
        </w:rPr>
        <w:t xml:space="preserve">Human Element</w:t>
      </w:r>
      <w:r>
        <w:t xml:space="preserve"> </w:t>
      </w:r>
      <w:r>
        <w:t xml:space="preserve">(13.6%) and</w:t>
      </w:r>
      <w:r>
        <w:t xml:space="preserve"> </w:t>
      </w:r>
      <w:r>
        <w:rPr>
          <w:b/>
          <w:bCs/>
        </w:rPr>
        <w:t xml:space="preserve">Learning/Education</w:t>
      </w:r>
      <w:r>
        <w:t xml:space="preserve"> </w:t>
      </w:r>
      <w:r>
        <w:t xml:space="preserve">(13.6%) as secondary concerns</w:t>
      </w:r>
      <w:r>
        <w:t xml:space="preserve"> </w:t>
      </w:r>
      <w:r>
        <w:t xml:space="preserve">-</w:t>
      </w:r>
      <w:r>
        <w:t xml:space="preserve"> </w:t>
      </w:r>
      <w:r>
        <w:rPr>
          <w:b/>
          <w:bCs/>
        </w:rPr>
        <w:t xml:space="preserve">Accuracy/Reliability</w:t>
      </w:r>
      <w:r>
        <w:t xml:space="preserve"> </w:t>
      </w:r>
      <w:r>
        <w:t xml:space="preserve">(10.7%) reflecting trust-related concerns</w:t>
      </w:r>
      <w:r>
        <w:t xml:space="preserve"> </w:t>
      </w:r>
      <w:r>
        <w:t xml:space="preserve">- Academics emphasized educational applications; Leaders emphasized organizational productivity</w:t>
      </w:r>
    </w:p>
    <w:bookmarkEnd w:id="37"/>
    <w:bookmarkStart w:id="38" w:name="incremental-validity"/>
    <w:p>
      <w:pPr>
        <w:pStyle w:val="Heading4"/>
      </w:pPr>
      <w:r>
        <w:t xml:space="preserve">Incremental Validity</w:t>
      </w:r>
    </w:p>
    <w:p>
      <w:pPr>
        <w:pStyle w:val="FirstParagraph"/>
      </w:pPr>
      <w:r>
        <w:t xml:space="preserve">Nested model comparison showed the UTAUT2-only model (AIC = 148.58) was marginally preferred over the 8-factor AIRS model (AIC = 150.59) on parsimony grounds (ΔAIC = +2.01). This confirms AI Trust’s value is diagnostic rather than predictive: it adds organizational assessment capability without meaningfully improving overall model fit.</w:t>
      </w:r>
    </w:p>
    <w:bookmarkEnd w:id="38"/>
    <w:bookmarkEnd w:id="39"/>
    <w:bookmarkEnd w:id="40"/>
    <w:bookmarkStart w:id="41" w:name="hypothesis-outcome-summary"/>
    <w:p>
      <w:pPr>
        <w:pStyle w:val="Heading2"/>
      </w:pPr>
      <w:r>
        <w:t xml:space="preserve">5. Hypothesis Outcome Summary</w:t>
      </w:r>
    </w:p>
    <w:p>
      <w:pPr>
        <w:pStyle w:val="FirstParagraph"/>
      </w:pPr>
      <w:r>
        <w:t xml:space="preserve">Of 12 hypotheses tested:</w:t>
      </w:r>
    </w:p>
    <w:tbl>
      <w:tblPr>
        <w:tblStyle w:val="Table"/>
        <w:tblLayout w:type="fixed"/>
        <w:tblLook w:firstRow="1" w:lastRow="0" w:firstColumn="0" w:lastColumn="0" w:noHBand="0" w:noVBand="0" w:val="0020"/>
        <w:tblW w:type="pct" w:w="5000"/>
      </w:tblPr>
      <w:tblGrid>
        <w:gridCol w:w="2292"/>
        <w:gridCol w:w="1146"/>
        <w:gridCol w:w="1458"/>
        <w:gridCol w:w="1146"/>
        <w:gridCol w:w="1875"/>
      </w:tblGrid>
      <w:tr>
        <w:trPr>
          <w:tblHeader w:val="on"/>
          <w:cantSplit w:val="true"/>
        </w:trPr>
        <w:tc>
          <w:tcPr>
            <w:shd w:fill="0078D4" w:val="clear"/>
            <w:tcBorders>
              <w:top w:val="single" w:sz="4" w:space="0" w:color="666666"/>
              <w:bottom w:val="single" w:sz="4" w:space="0" w:color="AAAAAA"/>
              <w:left w:val="single" w:sz="4" w:space="0" w:color="666666"/>
              <w:right w:val="single" w:sz="4" w:space="0" w:color="AAAAAA"/>
            </w:tcBorders>
            <w:shd w:fill="0078D4" w:val="clear"/>
          </w:tcPr>
          <w:p>
            <w:pPr>
              <w:pStyle w:val="Compact"/>
              <w:jc w:val="left"/>
              <w:keepNext w:val="true"/>
            </w:pPr>
            <w:r>
              <w:rPr>
                <w:rFonts w:ascii="Calibri" w:hAnsi="Calibri"/>
                <w:b/>
                <w:color w:val="FFFFFF"/>
                <w:sz w:val="20"/>
              </w:rPr>
              <w:t xml:space="preserve">Category</w:t>
            </w:r>
          </w:p>
        </w:tc>
        <w:tc>
          <w:tcPr>
            <w:shd w:fill="0078D4" w:val="clear"/>
            <w:tcBorders>
              <w:top w:val="single" w:sz="4" w:space="0" w:color="666666"/>
              <w:bottom w:val="single" w:sz="4" w:space="0" w:color="AAAAAA"/>
              <w:left w:val="single" w:sz="4" w:space="0" w:color="AAAAAA"/>
              <w:right w:val="single" w:sz="4" w:space="0" w:color="AAAAAA"/>
            </w:tcBorders>
            <w:shd w:fill="0078D4" w:val="clear"/>
          </w:tcPr>
          <w:p>
            <w:pPr>
              <w:pStyle w:val="Compact"/>
              <w:jc w:val="left"/>
              <w:keepNext w:val="true"/>
            </w:pPr>
            <w:r>
              <w:rPr>
                <w:rFonts w:ascii="Calibri" w:hAnsi="Calibri"/>
                <w:b/>
                <w:color w:val="FFFFFF"/>
                <w:sz w:val="20"/>
              </w:rPr>
              <w:t xml:space="preserve">Hypotheses</w:t>
            </w:r>
          </w:p>
        </w:tc>
        <w:tc>
          <w:tcPr>
            <w:shd w:fill="0078D4" w:val="clear"/>
            <w:tcBorders>
              <w:top w:val="single" w:sz="4" w:space="0" w:color="666666"/>
              <w:bottom w:val="single" w:sz="4" w:space="0" w:color="AAAAAA"/>
              <w:left w:val="single" w:sz="4" w:space="0" w:color="AAAAAA"/>
              <w:right w:val="single" w:sz="4" w:space="0" w:color="AAAAAA"/>
            </w:tcBorders>
            <w:shd w:fill="0078D4" w:val="clear"/>
          </w:tcPr>
          <w:p>
            <w:pPr>
              <w:pStyle w:val="Compact"/>
              <w:jc w:val="left"/>
              <w:keepNext w:val="true"/>
            </w:pPr>
            <w:r>
              <w:rPr>
                <w:rFonts w:ascii="Calibri" w:hAnsi="Calibri"/>
                <w:b/>
                <w:color w:val="FFFFFF"/>
                <w:sz w:val="20"/>
              </w:rPr>
              <w:t xml:space="preserve">Supported</w:t>
            </w:r>
          </w:p>
        </w:tc>
        <w:tc>
          <w:tcPr>
            <w:shd w:fill="0078D4" w:val="clear"/>
            <w:tcBorders>
              <w:top w:val="single" w:sz="4" w:space="0" w:color="666666"/>
              <w:bottom w:val="single" w:sz="4" w:space="0" w:color="AAAAAA"/>
              <w:left w:val="single" w:sz="4" w:space="0" w:color="AAAAAA"/>
              <w:right w:val="single" w:sz="4" w:space="0" w:color="AAAAAA"/>
            </w:tcBorders>
            <w:shd w:fill="0078D4" w:val="clear"/>
          </w:tcPr>
          <w:p>
            <w:pPr>
              <w:pStyle w:val="Compact"/>
              <w:jc w:val="left"/>
              <w:keepNext w:val="true"/>
            </w:pPr>
            <w:r>
              <w:rPr>
                <w:rFonts w:ascii="Calibri" w:hAnsi="Calibri"/>
                <w:b/>
                <w:color w:val="FFFFFF"/>
                <w:sz w:val="20"/>
              </w:rPr>
              <w:t xml:space="preserve">Partial</w:t>
            </w:r>
          </w:p>
        </w:tc>
        <w:tc>
          <w:tcPr>
            <w:shd w:fill="0078D4" w:val="clear"/>
            <w:tcBorders>
              <w:top w:val="single" w:sz="4" w:space="0" w:color="666666"/>
              <w:bottom w:val="single" w:sz="4" w:space="0" w:color="AAAAAA"/>
              <w:left w:val="single" w:sz="4" w:space="0" w:color="AAAAAA"/>
              <w:right w:val="single" w:sz="4" w:space="0" w:color="666666"/>
            </w:tcBorders>
            <w:shd w:fill="0078D4" w:val="clear"/>
          </w:tcPr>
          <w:p>
            <w:pPr>
              <w:pStyle w:val="Compact"/>
              <w:jc w:val="left"/>
              <w:keepNext w:val="true"/>
            </w:pPr>
            <w:r>
              <w:rPr>
                <w:rFonts w:ascii="Calibri" w:hAnsi="Calibri"/>
                <w:b/>
                <w:color w:val="FFFFFF"/>
                <w:sz w:val="20"/>
              </w:rPr>
              <w:t xml:space="preserve">Not Supported</w:t>
            </w:r>
          </w:p>
        </w:tc>
      </w:tr>
      <w:tr>
        <w:trPr>
          <w:cantSplit w:val="true"/>
        </w:trPr>
        <w:tc>
          <w:tcPr>
            <w:shd w:fill="FFFFFF" w:val="clear"/>
            <w:tcBorders>
              <w:top w:val="single" w:sz="4" w:space="0" w:color="AAAAAA"/>
              <w:bottom w:val="single" w:sz="4" w:space="0" w:color="AAAAAA"/>
              <w:left w:val="single" w:sz="4" w:space="0" w:color="666666"/>
              <w:right w:val="single" w:sz="4" w:space="0" w:color="AAAAAA"/>
            </w:tcBorders>
          </w:tcPr>
          <w:p>
            <w:pPr>
              <w:pStyle w:val="Compact"/>
              <w:jc w:val="left"/>
              <w:keepNext w:val="true"/>
            </w:pPr>
            <w:r>
              <w:rPr>
                <w:rFonts w:ascii="Calibri" w:hAnsi="Calibri"/>
                <w:b w:val="0"/>
                <w:sz w:val="18"/>
              </w:rPr>
              <w:t xml:space="preserve">UTAUT2 Core (H1a–g)</w:t>
            </w:r>
          </w:p>
        </w:tc>
        <w:tc>
          <w:tcPr>
            <w:shd w:fill="FFFFFF" w:val="clear"/>
            <w:tcBorders>
              <w:top w:val="single" w:sz="4" w:space="0" w:color="AAAAAA"/>
              <w:bottom w:val="single" w:sz="4" w:space="0" w:color="AAAAAA"/>
              <w:left w:val="single" w:sz="4" w:space="0" w:color="AAAAAA"/>
              <w:right w:val="single" w:sz="4" w:space="0" w:color="AAAAAA"/>
            </w:tcBorders>
          </w:tcPr>
          <w:p>
            <w:pPr>
              <w:pStyle w:val="Compact"/>
              <w:jc w:val="left"/>
              <w:keepNext w:val="true"/>
            </w:pPr>
            <w:r>
              <w:rPr>
                <w:rFonts w:ascii="Calibri" w:hAnsi="Calibri"/>
                <w:b w:val="0"/>
                <w:sz w:val="18"/>
              </w:rPr>
              <w:t xml:space="preserve">7</w:t>
            </w:r>
          </w:p>
        </w:tc>
        <w:tc>
          <w:tcPr>
            <w:shd w:fill="FFFFFF" w:val="clear"/>
            <w:tcBorders>
              <w:top w:val="single" w:sz="4" w:space="0" w:color="AAAAAA"/>
              <w:bottom w:val="single" w:sz="4" w:space="0" w:color="AAAAAA"/>
              <w:left w:val="single" w:sz="4" w:space="0" w:color="AAAAAA"/>
              <w:right w:val="single" w:sz="4" w:space="0" w:color="AAAAAA"/>
            </w:tcBorders>
          </w:tcPr>
          <w:p>
            <w:pPr>
              <w:pStyle w:val="Compact"/>
              <w:jc w:val="left"/>
              <w:keepNext w:val="true"/>
            </w:pPr>
            <w:r>
              <w:rPr>
                <w:rFonts w:ascii="Calibri" w:hAnsi="Calibri"/>
                <w:b w:val="0"/>
                <w:sz w:val="18"/>
              </w:rPr>
              <w:t xml:space="preserve">3 (43%)</w:t>
            </w:r>
          </w:p>
        </w:tc>
        <w:tc>
          <w:tcPr>
            <w:shd w:fill="FFFFFF" w:val="clear"/>
            <w:tcBorders>
              <w:top w:val="single" w:sz="4" w:space="0" w:color="AAAAAA"/>
              <w:bottom w:val="single" w:sz="4" w:space="0" w:color="AAAAAA"/>
              <w:left w:val="single" w:sz="4" w:space="0" w:color="AAAAAA"/>
              <w:right w:val="single" w:sz="4" w:space="0" w:color="AAAAAA"/>
            </w:tcBorders>
          </w:tcPr>
          <w:p>
            <w:pPr>
              <w:pStyle w:val="Compact"/>
              <w:jc w:val="left"/>
              <w:keepNext w:val="true"/>
            </w:pPr>
            <w:r>
              <w:rPr>
                <w:rFonts w:ascii="Calibri" w:hAnsi="Calibri"/>
                <w:b w:val="0"/>
                <w:sz w:val="18"/>
              </w:rPr>
              <w:t xml:space="preserve">0</w:t>
            </w:r>
          </w:p>
        </w:tc>
        <w:tc>
          <w:tcPr>
            <w:shd w:fill="FFFFFF" w:val="clear"/>
            <w:tcBorders>
              <w:top w:val="single" w:sz="4" w:space="0" w:color="AAAAAA"/>
              <w:bottom w:val="single" w:sz="4" w:space="0" w:color="AAAAAA"/>
              <w:left w:val="single" w:sz="4" w:space="0" w:color="AAAAAA"/>
              <w:right w:val="single" w:sz="4" w:space="0" w:color="666666"/>
            </w:tcBorders>
          </w:tcPr>
          <w:p>
            <w:pPr>
              <w:pStyle w:val="Compact"/>
              <w:jc w:val="left"/>
              <w:keepNext w:val="true"/>
            </w:pPr>
            <w:r>
              <w:rPr>
                <w:rFonts w:ascii="Calibri" w:hAnsi="Calibri"/>
                <w:b w:val="0"/>
                <w:sz w:val="18"/>
              </w:rPr>
              <w:t xml:space="preserve">4 (57%)</w:t>
            </w:r>
          </w:p>
        </w:tc>
      </w:tr>
      <w:tr>
        <w:trPr>
          <w:cantSplit w:val="true"/>
        </w:trPr>
        <w:tc>
          <w:tcPr>
            <w:shd w:fill="F0F0F0" w:val="clear"/>
            <w:tcBorders>
              <w:top w:val="single" w:sz="4" w:space="0" w:color="AAAAAA"/>
              <w:bottom w:val="single" w:sz="4" w:space="0" w:color="AAAAAA"/>
              <w:left w:val="single" w:sz="4" w:space="0" w:color="666666"/>
              <w:right w:val="single" w:sz="4" w:space="0" w:color="AAAAAA"/>
            </w:tcBorders>
            <w:shd w:fill="F0F0F0" w:val="clear"/>
          </w:tcPr>
          <w:p>
            <w:pPr>
              <w:pStyle w:val="Compact"/>
              <w:jc w:val="left"/>
              <w:keepNext w:val="true"/>
            </w:pPr>
            <w:r>
              <w:rPr>
                <w:rFonts w:ascii="Calibri" w:hAnsi="Calibri"/>
                <w:b w:val="0"/>
                <w:sz w:val="18"/>
              </w:rPr>
              <w:t xml:space="preserve">AI Extension (H2)</w:t>
            </w:r>
          </w:p>
        </w:tc>
        <w:tc>
          <w:tcPr>
            <w:shd w:fill="F0F0F0" w:val="clear"/>
            <w:tcBorders>
              <w:top w:val="single" w:sz="4" w:space="0" w:color="AAAAAA"/>
              <w:bottom w:val="single" w:sz="4" w:space="0" w:color="AAAAAA"/>
              <w:left w:val="single" w:sz="4" w:space="0" w:color="AAAAAA"/>
              <w:right w:val="single" w:sz="4" w:space="0" w:color="AAAAAA"/>
            </w:tcBorders>
            <w:shd w:fill="F0F0F0" w:val="clear"/>
          </w:tcPr>
          <w:p>
            <w:pPr>
              <w:pStyle w:val="Compact"/>
              <w:jc w:val="left"/>
              <w:keepNext w:val="true"/>
            </w:pPr>
            <w:r>
              <w:rPr>
                <w:rFonts w:ascii="Calibri" w:hAnsi="Calibri"/>
                <w:b w:val="0"/>
                <w:sz w:val="18"/>
              </w:rPr>
              <w:t xml:space="preserve">1</w:t>
            </w:r>
          </w:p>
        </w:tc>
        <w:tc>
          <w:tcPr>
            <w:shd w:fill="F0F0F0" w:val="clear"/>
            <w:tcBorders>
              <w:top w:val="single" w:sz="4" w:space="0" w:color="AAAAAA"/>
              <w:bottom w:val="single" w:sz="4" w:space="0" w:color="AAAAAA"/>
              <w:left w:val="single" w:sz="4" w:space="0" w:color="AAAAAA"/>
              <w:right w:val="single" w:sz="4" w:space="0" w:color="AAAAAA"/>
            </w:tcBorders>
            <w:shd w:fill="F0F0F0" w:val="clear"/>
          </w:tcPr>
          <w:p>
            <w:pPr>
              <w:pStyle w:val="Compact"/>
              <w:jc w:val="left"/>
              <w:keepNext w:val="true"/>
            </w:pPr>
            <w:r>
              <w:rPr>
                <w:rFonts w:ascii="Calibri" w:hAnsi="Calibri"/>
                <w:b w:val="0"/>
                <w:sz w:val="18"/>
              </w:rPr>
              <w:t xml:space="preserve">0</w:t>
            </w:r>
          </w:p>
        </w:tc>
        <w:tc>
          <w:tcPr>
            <w:shd w:fill="F0F0F0" w:val="clear"/>
            <w:tcBorders>
              <w:top w:val="single" w:sz="4" w:space="0" w:color="AAAAAA"/>
              <w:bottom w:val="single" w:sz="4" w:space="0" w:color="AAAAAA"/>
              <w:left w:val="single" w:sz="4" w:space="0" w:color="AAAAAA"/>
              <w:right w:val="single" w:sz="4" w:space="0" w:color="AAAAAA"/>
            </w:tcBorders>
            <w:shd w:fill="F0F0F0" w:val="clear"/>
          </w:tcPr>
          <w:p>
            <w:pPr>
              <w:pStyle w:val="Compact"/>
              <w:jc w:val="left"/>
              <w:keepNext w:val="true"/>
            </w:pPr>
            <w:r>
              <w:rPr>
                <w:rFonts w:ascii="Calibri" w:hAnsi="Calibri"/>
                <w:b w:val="0"/>
                <w:sz w:val="18"/>
              </w:rPr>
              <w:t xml:space="preserve">1 (marginal)</w:t>
            </w:r>
          </w:p>
        </w:tc>
        <w:tc>
          <w:tcPr>
            <w:shd w:fill="F0F0F0" w:val="clear"/>
            <w:tcBorders>
              <w:top w:val="single" w:sz="4" w:space="0" w:color="AAAAAA"/>
              <w:bottom w:val="single" w:sz="4" w:space="0" w:color="AAAAAA"/>
              <w:left w:val="single" w:sz="4" w:space="0" w:color="AAAAAA"/>
              <w:right w:val="single" w:sz="4" w:space="0" w:color="666666"/>
            </w:tcBorders>
            <w:shd w:fill="F0F0F0" w:val="clear"/>
          </w:tcPr>
          <w:p>
            <w:pPr>
              <w:pStyle w:val="Compact"/>
              <w:jc w:val="left"/>
              <w:keepNext w:val="true"/>
            </w:pPr>
            <w:r>
              <w:rPr>
                <w:rFonts w:ascii="Calibri" w:hAnsi="Calibri"/>
                <w:b w:val="0"/>
                <w:sz w:val="18"/>
              </w:rPr>
              <w:t xml:space="preserve">0</w:t>
            </w:r>
          </w:p>
        </w:tc>
      </w:tr>
      <w:tr>
        <w:trPr>
          <w:cantSplit w:val="true"/>
        </w:trPr>
        <w:tc>
          <w:tcPr>
            <w:shd w:fill="FFFFFF" w:val="clear"/>
            <w:tcBorders>
              <w:top w:val="single" w:sz="4" w:space="0" w:color="AAAAAA"/>
              <w:bottom w:val="single" w:sz="4" w:space="0" w:color="AAAAAA"/>
              <w:left w:val="single" w:sz="4" w:space="0" w:color="666666"/>
              <w:right w:val="single" w:sz="4" w:space="0" w:color="AAAAAA"/>
            </w:tcBorders>
          </w:tcPr>
          <w:p>
            <w:pPr>
              <w:pStyle w:val="Compact"/>
              <w:jc w:val="left"/>
              <w:keepNext w:val="true"/>
            </w:pPr>
            <w:r>
              <w:rPr>
                <w:rFonts w:ascii="Calibri" w:hAnsi="Calibri"/>
                <w:b w:val="0"/>
                <w:sz w:val="18"/>
              </w:rPr>
              <w:t xml:space="preserve">Moderation (H3–H4)</w:t>
            </w:r>
          </w:p>
        </w:tc>
        <w:tc>
          <w:tcPr>
            <w:shd w:fill="FFFFFF" w:val="clear"/>
            <w:tcBorders>
              <w:top w:val="single" w:sz="4" w:space="0" w:color="AAAAAA"/>
              <w:bottom w:val="single" w:sz="4" w:space="0" w:color="AAAAAA"/>
              <w:left w:val="single" w:sz="4" w:space="0" w:color="AAAAAA"/>
              <w:right w:val="single" w:sz="4" w:space="0" w:color="AAAAAA"/>
            </w:tcBorders>
          </w:tcPr>
          <w:p>
            <w:pPr>
              <w:pStyle w:val="Compact"/>
              <w:jc w:val="left"/>
              <w:keepNext w:val="true"/>
            </w:pPr>
            <w:r>
              <w:rPr>
                <w:rFonts w:ascii="Calibri" w:hAnsi="Calibri"/>
                <w:b w:val="0"/>
                <w:sz w:val="18"/>
              </w:rPr>
              <w:t xml:space="preserve">2</w:t>
            </w:r>
          </w:p>
        </w:tc>
        <w:tc>
          <w:tcPr>
            <w:shd w:fill="FFFFFF" w:val="clear"/>
            <w:tcBorders>
              <w:top w:val="single" w:sz="4" w:space="0" w:color="AAAAAA"/>
              <w:bottom w:val="single" w:sz="4" w:space="0" w:color="AAAAAA"/>
              <w:left w:val="single" w:sz="4" w:space="0" w:color="AAAAAA"/>
              <w:right w:val="single" w:sz="4" w:space="0" w:color="AAAAAA"/>
            </w:tcBorders>
          </w:tcPr>
          <w:p>
            <w:pPr>
              <w:pStyle w:val="Compact"/>
              <w:jc w:val="left"/>
              <w:keepNext w:val="true"/>
            </w:pPr>
            <w:r>
              <w:rPr>
                <w:rFonts w:ascii="Calibri" w:hAnsi="Calibri"/>
                <w:b w:val="0"/>
                <w:sz w:val="18"/>
              </w:rPr>
              <w:t xml:space="preserve">0</w:t>
            </w:r>
          </w:p>
        </w:tc>
        <w:tc>
          <w:tcPr>
            <w:shd w:fill="FFFFFF" w:val="clear"/>
            <w:tcBorders>
              <w:top w:val="single" w:sz="4" w:space="0" w:color="AAAAAA"/>
              <w:bottom w:val="single" w:sz="4" w:space="0" w:color="AAAAAA"/>
              <w:left w:val="single" w:sz="4" w:space="0" w:color="AAAAAA"/>
              <w:right w:val="single" w:sz="4" w:space="0" w:color="AAAAAA"/>
            </w:tcBorders>
          </w:tcPr>
          <w:p>
            <w:pPr>
              <w:pStyle w:val="Compact"/>
              <w:jc w:val="left"/>
              <w:keepNext w:val="true"/>
            </w:pPr>
            <w:r>
              <w:rPr>
                <w:rFonts w:ascii="Calibri" w:hAnsi="Calibri"/>
                <w:b w:val="0"/>
                <w:sz w:val="18"/>
              </w:rPr>
              <w:t xml:space="preserve">2</w:t>
            </w:r>
          </w:p>
        </w:tc>
        <w:tc>
          <w:tcPr>
            <w:shd w:fill="FFFFFF" w:val="clear"/>
            <w:tcBorders>
              <w:top w:val="single" w:sz="4" w:space="0" w:color="AAAAAA"/>
              <w:bottom w:val="single" w:sz="4" w:space="0" w:color="AAAAAA"/>
              <w:left w:val="single" w:sz="4" w:space="0" w:color="AAAAAA"/>
              <w:right w:val="single" w:sz="4" w:space="0" w:color="666666"/>
            </w:tcBorders>
          </w:tcPr>
          <w:p>
            <w:pPr>
              <w:pStyle w:val="Compact"/>
              <w:jc w:val="left"/>
              <w:keepNext w:val="true"/>
            </w:pPr>
            <w:r>
              <w:rPr>
                <w:rFonts w:ascii="Calibri" w:hAnsi="Calibri"/>
                <w:b w:val="0"/>
                <w:sz w:val="18"/>
              </w:rPr>
              <w:t xml:space="preserve">0</w:t>
            </w:r>
          </w:p>
        </w:tc>
      </w:tr>
      <w:tr>
        <w:trPr>
          <w:cantSplit w:val="true"/>
        </w:trPr>
        <w:tc>
          <w:tcPr>
            <w:shd w:fill="F0F0F0" w:val="clear"/>
            <w:tcBorders>
              <w:top w:val="single" w:sz="4" w:space="0" w:color="AAAAAA"/>
              <w:bottom w:val="single" w:sz="4" w:space="0" w:color="AAAAAA"/>
              <w:left w:val="single" w:sz="4" w:space="0" w:color="666666"/>
              <w:right w:val="single" w:sz="4" w:space="0" w:color="AAAAAA"/>
            </w:tcBorders>
            <w:shd w:fill="F0F0F0" w:val="clear"/>
          </w:tcPr>
          <w:p>
            <w:pPr>
              <w:pStyle w:val="Compact"/>
              <w:jc w:val="left"/>
              <w:keepNext w:val="true"/>
            </w:pPr>
            <w:r>
              <w:rPr>
                <w:rFonts w:ascii="Calibri" w:hAnsi="Calibri"/>
                <w:b w:val="0"/>
                <w:sz w:val="18"/>
              </w:rPr>
              <w:t xml:space="preserve">Behavioral (H5–H6)</w:t>
            </w:r>
          </w:p>
        </w:tc>
        <w:tc>
          <w:tcPr>
            <w:shd w:fill="F0F0F0" w:val="clear"/>
            <w:tcBorders>
              <w:top w:val="single" w:sz="4" w:space="0" w:color="AAAAAA"/>
              <w:bottom w:val="single" w:sz="4" w:space="0" w:color="AAAAAA"/>
              <w:left w:val="single" w:sz="4" w:space="0" w:color="AAAAAA"/>
              <w:right w:val="single" w:sz="4" w:space="0" w:color="AAAAAA"/>
            </w:tcBorders>
            <w:shd w:fill="F0F0F0" w:val="clear"/>
          </w:tcPr>
          <w:p>
            <w:pPr>
              <w:pStyle w:val="Compact"/>
              <w:jc w:val="left"/>
              <w:keepNext w:val="true"/>
            </w:pPr>
            <w:r>
              <w:rPr>
                <w:rFonts w:ascii="Calibri" w:hAnsi="Calibri"/>
                <w:b w:val="0"/>
                <w:sz w:val="18"/>
              </w:rPr>
              <w:t xml:space="preserve">2</w:t>
            </w:r>
          </w:p>
        </w:tc>
        <w:tc>
          <w:tcPr>
            <w:shd w:fill="F0F0F0" w:val="clear"/>
            <w:tcBorders>
              <w:top w:val="single" w:sz="4" w:space="0" w:color="AAAAAA"/>
              <w:bottom w:val="single" w:sz="4" w:space="0" w:color="AAAAAA"/>
              <w:left w:val="single" w:sz="4" w:space="0" w:color="AAAAAA"/>
              <w:right w:val="single" w:sz="4" w:space="0" w:color="AAAAAA"/>
            </w:tcBorders>
            <w:shd w:fill="F0F0F0" w:val="clear"/>
          </w:tcPr>
          <w:p>
            <w:pPr>
              <w:pStyle w:val="Compact"/>
              <w:jc w:val="left"/>
              <w:keepNext w:val="true"/>
            </w:pPr>
            <w:r>
              <w:rPr>
                <w:rFonts w:ascii="Calibri" w:hAnsi="Calibri"/>
                <w:b w:val="0"/>
                <w:sz w:val="18"/>
              </w:rPr>
              <w:t xml:space="preserve">2 (100%)</w:t>
            </w:r>
          </w:p>
        </w:tc>
        <w:tc>
          <w:tcPr>
            <w:shd w:fill="F0F0F0" w:val="clear"/>
            <w:tcBorders>
              <w:top w:val="single" w:sz="4" w:space="0" w:color="AAAAAA"/>
              <w:bottom w:val="single" w:sz="4" w:space="0" w:color="AAAAAA"/>
              <w:left w:val="single" w:sz="4" w:space="0" w:color="AAAAAA"/>
              <w:right w:val="single" w:sz="4" w:space="0" w:color="AAAAAA"/>
            </w:tcBorders>
            <w:shd w:fill="F0F0F0" w:val="clear"/>
          </w:tcPr>
          <w:p>
            <w:pPr>
              <w:pStyle w:val="Compact"/>
              <w:jc w:val="left"/>
              <w:keepNext w:val="true"/>
            </w:pPr>
            <w:r>
              <w:rPr>
                <w:rFonts w:ascii="Calibri" w:hAnsi="Calibri"/>
                <w:b w:val="0"/>
                <w:sz w:val="18"/>
              </w:rPr>
              <w:t xml:space="preserve">0</w:t>
            </w:r>
          </w:p>
        </w:tc>
        <w:tc>
          <w:tcPr>
            <w:shd w:fill="F0F0F0" w:val="clear"/>
            <w:tcBorders>
              <w:top w:val="single" w:sz="4" w:space="0" w:color="AAAAAA"/>
              <w:bottom w:val="single" w:sz="4" w:space="0" w:color="AAAAAA"/>
              <w:left w:val="single" w:sz="4" w:space="0" w:color="AAAAAA"/>
              <w:right w:val="single" w:sz="4" w:space="0" w:color="666666"/>
            </w:tcBorders>
            <w:shd w:fill="F0F0F0" w:val="clear"/>
          </w:tcPr>
          <w:p>
            <w:pPr>
              <w:pStyle w:val="Compact"/>
              <w:jc w:val="left"/>
              <w:keepNext w:val="true"/>
            </w:pPr>
            <w:r>
              <w:rPr>
                <w:rFonts w:ascii="Calibri" w:hAnsi="Calibri"/>
                <w:b w:val="0"/>
                <w:sz w:val="18"/>
              </w:rPr>
              <w:t xml:space="preserve">0</w:t>
            </w:r>
          </w:p>
        </w:tc>
      </w:tr>
      <w:tr>
        <w:trPr>
          <w:cantSplit w:val="true"/>
        </w:trPr>
        <w:tc>
          <w:tcPr>
            <w:shd w:fill="FFFFFF" w:val="clear"/>
            <w:tcBorders>
              <w:top w:val="single" w:sz="4" w:space="0" w:color="AAAAAA"/>
              <w:bottom w:val="single" w:sz="4" w:space="0" w:color="666666"/>
              <w:left w:val="single" w:sz="4" w:space="0" w:color="666666"/>
              <w:right w:val="single" w:sz="4" w:space="0" w:color="AAAAAA"/>
            </w:tcBorders>
          </w:tcPr>
          <w:p>
            <w:pPr>
              <w:pStyle w:val="Compact"/>
              <w:jc w:val="left"/>
            </w:pPr>
            <w:r>
              <w:rPr>
                <w:rFonts w:ascii="Calibri" w:hAnsi="Calibri"/>
                <w:b w:val="0"/>
                <w:bCs/>
                <w:sz w:val="18"/>
              </w:rPr>
              <w:t xml:space="preserve">Total</w:t>
            </w:r>
          </w:p>
        </w:tc>
        <w:tc>
          <w:tcPr>
            <w:shd w:fill="FFFFFF" w:val="clear"/>
            <w:tcBorders>
              <w:top w:val="single" w:sz="4" w:space="0" w:color="AAAAAA"/>
              <w:bottom w:val="single" w:sz="4" w:space="0" w:color="666666"/>
              <w:left w:val="single" w:sz="4" w:space="0" w:color="AAAAAA"/>
              <w:right w:val="single" w:sz="4" w:space="0" w:color="AAAAAA"/>
            </w:tcBorders>
          </w:tcPr>
          <w:p>
            <w:pPr>
              <w:pStyle w:val="Compact"/>
              <w:jc w:val="left"/>
            </w:pPr>
            <w:r>
              <w:rPr>
                <w:rFonts w:ascii="Calibri" w:hAnsi="Calibri"/>
                <w:b w:val="0"/>
                <w:bCs/>
                <w:sz w:val="18"/>
              </w:rPr>
              <w:t xml:space="preserve">12</w:t>
            </w:r>
          </w:p>
        </w:tc>
        <w:tc>
          <w:tcPr>
            <w:shd w:fill="FFFFFF" w:val="clear"/>
            <w:tcBorders>
              <w:top w:val="single" w:sz="4" w:space="0" w:color="AAAAAA"/>
              <w:bottom w:val="single" w:sz="4" w:space="0" w:color="666666"/>
              <w:left w:val="single" w:sz="4" w:space="0" w:color="AAAAAA"/>
              <w:right w:val="single" w:sz="4" w:space="0" w:color="AAAAAA"/>
            </w:tcBorders>
          </w:tcPr>
          <w:p>
            <w:pPr>
              <w:pStyle w:val="Compact"/>
              <w:jc w:val="left"/>
            </w:pPr>
            <w:r>
              <w:rPr>
                <w:rFonts w:ascii="Calibri" w:hAnsi="Calibri"/>
                <w:b w:val="0"/>
                <w:bCs/>
                <w:sz w:val="18"/>
              </w:rPr>
              <w:t xml:space="preserve">5 (42%)</w:t>
            </w:r>
          </w:p>
        </w:tc>
        <w:tc>
          <w:tcPr>
            <w:shd w:fill="FFFFFF" w:val="clear"/>
            <w:tcBorders>
              <w:top w:val="single" w:sz="4" w:space="0" w:color="AAAAAA"/>
              <w:bottom w:val="single" w:sz="4" w:space="0" w:color="666666"/>
              <w:left w:val="single" w:sz="4" w:space="0" w:color="AAAAAA"/>
              <w:right w:val="single" w:sz="4" w:space="0" w:color="AAAAAA"/>
            </w:tcBorders>
          </w:tcPr>
          <w:p>
            <w:pPr>
              <w:pStyle w:val="Compact"/>
              <w:jc w:val="left"/>
            </w:pPr>
            <w:r>
              <w:rPr>
                <w:rFonts w:ascii="Calibri" w:hAnsi="Calibri"/>
                <w:b w:val="0"/>
                <w:bCs/>
                <w:sz w:val="18"/>
              </w:rPr>
              <w:t xml:space="preserve">3 (25%)</w:t>
            </w:r>
          </w:p>
        </w:tc>
        <w:tc>
          <w:tcPr>
            <w:shd w:fill="FFFFFF" w:val="clear"/>
            <w:tcBorders>
              <w:top w:val="single" w:sz="4" w:space="0" w:color="AAAAAA"/>
              <w:bottom w:val="single" w:sz="4" w:space="0" w:color="666666"/>
              <w:left w:val="single" w:sz="4" w:space="0" w:color="AAAAAA"/>
              <w:right w:val="single" w:sz="4" w:space="0" w:color="666666"/>
            </w:tcBorders>
          </w:tcPr>
          <w:p>
            <w:pPr>
              <w:pStyle w:val="Compact"/>
              <w:jc w:val="left"/>
            </w:pPr>
            <w:r>
              <w:rPr>
                <w:rFonts w:ascii="Calibri" w:hAnsi="Calibri"/>
                <w:b w:val="0"/>
                <w:bCs/>
                <w:sz w:val="18"/>
              </w:rPr>
              <w:t xml:space="preserve">4 (33%)</w:t>
            </w:r>
          </w:p>
        </w:tc>
      </w:tr>
    </w:tbl>
    <w:p>
      <w:pPr>
        <w:pStyle w:val="BodyText"/>
      </w:pPr>
      <w:r>
        <w:t xml:space="preserve">The pattern of supported vs. unsupported hypotheses is itself a key finding: it reveals that AI adoption follows a different predictor structure than traditional technology adoption, with cost-value perceptions displacing utility perceptions as the primary driver.</w:t>
      </w:r>
    </w:p>
    <w:bookmarkEnd w:id="41"/>
    <w:bookmarkStart w:id="48" w:name="theoretical-contributions"/>
    <w:p>
      <w:pPr>
        <w:pStyle w:val="Heading2"/>
      </w:pPr>
      <w:r>
        <w:t xml:space="preserve">6. Theoretical Contributions</w:t>
      </w:r>
    </w:p>
    <w:bookmarkStart w:id="42" w:name="X015ea9afadad786293ec2d1db94f6a0b0389951"/>
    <w:p>
      <w:pPr>
        <w:pStyle w:val="Heading3"/>
      </w:pPr>
      <w:r>
        <w:t xml:space="preserve">Contribution 1: Empirical Extension of UTAUT2 for Artificial Intelligence</w:t>
      </w:r>
    </w:p>
    <w:p>
      <w:pPr>
        <w:pStyle w:val="FirstParagraph"/>
      </w:pPr>
      <w:r>
        <w:t xml:space="preserve">This is the first study to empirically validate UTAUT2 for AI tool adoption with a purpose-built psychometric instrument. The 8-factor structure demonstrates that UTAUT2’s theoretical architecture applies to AI contexts, but the relative importance of predictors shifts substantially. The finding that four traditional UTAUT predictors (PE, EE, FC, HB) were non-significant while Price Value dominated represents a meaningful advance in technology acceptance theory.</w:t>
      </w:r>
    </w:p>
    <w:bookmarkEnd w:id="42"/>
    <w:bookmarkStart w:id="43" w:name="Xf95b82f15b6c1131180f0b883a48472cb71a49a"/>
    <w:p>
      <w:pPr>
        <w:pStyle w:val="Heading3"/>
      </w:pPr>
      <w:r>
        <w:t xml:space="preserve">Contribution 2: Price Value Dominance: AI as a Distinct Technology Category</w:t>
      </w:r>
    </w:p>
    <w:p>
      <w:pPr>
        <w:pStyle w:val="FirstParagraph"/>
      </w:pPr>
      <w:r>
        <w:t xml:space="preserve">The emergence of Price Value as the dominant predictor (β = .505) challenges decades of UTAUT research positioning Performance Expectancy as the primary adoption driver. The results suggest that, in AI contexts, utility may function more as a baseline expectation than as a differentiating factor, with adoption decisions more strongly shaped by perceived cost-benefit ratios. This has implications for how technology acceptance models are specified when applied to AI tools.</w:t>
      </w:r>
    </w:p>
    <w:bookmarkEnd w:id="43"/>
    <w:bookmarkStart w:id="44" w:name="X99ceb890e47b3080cdae08d9d5d38375fac8705"/>
    <w:p>
      <w:pPr>
        <w:pStyle w:val="Heading3"/>
      </w:pPr>
      <w:r>
        <w:t xml:space="preserve">Contribution 3: Career Development Integration with Technology Acceptance</w:t>
      </w:r>
    </w:p>
    <w:p>
      <w:pPr>
        <w:pStyle w:val="FirstParagraph"/>
      </w:pPr>
      <w:r>
        <w:t xml:space="preserve">The significant experience moderation of the HM → BI path (p = .007) and the population moderation finding (Academic β = 0.449 vs. Professional β = −0.301) establish that adoption mechanisms are career-stage dependent. This integration of career development theory with technology acceptance represents a novel theoretical bridge: the same technology produces fundamentally different adoption dynamics depending on whether users are in learning-oriented (academic) or task-oriented (professional) career stages.</w:t>
      </w:r>
    </w:p>
    <w:bookmarkEnd w:id="44"/>
    <w:bookmarkStart w:id="45" w:name="X8050620cb9d268da96972c80b8681d3cd83ef87"/>
    <w:p>
      <w:pPr>
        <w:pStyle w:val="Heading3"/>
      </w:pPr>
      <w:r>
        <w:t xml:space="preserve">Contribution 4: Three-Segment User Typology</w:t>
      </w:r>
    </w:p>
    <w:p>
      <w:pPr>
        <w:pStyle w:val="FirstParagraph"/>
      </w:pPr>
      <w:r>
        <w:t xml:space="preserve">The empirically derived typology (Enthusiasts, Moderate Users, Skeptics) provides a segmentation framework grounded in validated psychometric dimensions rather than ad hoc categorization. The typology explained 65.9% of behavioral intention variance, confirming its validity as a practical classification tool.</w:t>
      </w:r>
    </w:p>
    <w:bookmarkEnd w:id="45"/>
    <w:bookmarkStart w:id="46" w:name="X801c530445f6b7e3dbc3c141045142b2263a71e"/>
    <w:p>
      <w:pPr>
        <w:pStyle w:val="Heading3"/>
      </w:pPr>
      <w:r>
        <w:t xml:space="preserve">Contribution 5: Converging 2025 Industry Validation</w:t>
      </w:r>
    </w:p>
    <w:p>
      <w:pPr>
        <w:pStyle w:val="FirstParagraph"/>
      </w:pPr>
      <w:r>
        <w:t xml:space="preserve">An important source of external support for the study is that multiple independent industry reports published during the same period (2025) described patterns broadly consistent with the AIRS findings. McKinsey’s Global AI Survey (N = 1,993), BCG, MIT Media Lab, Georgian, ISG, Gartner, Deloitte, Lucidworks, and Capgemini each reported evidence aligned with the AIRS results, including the centrality of perceived value, heterogeneous readiness distributions, and the limits of one-size-fits-all adoption strategies. These reports do not substitute for formal replication, but their convergence provides useful contextual support for the study’s interpretation.</w:t>
      </w:r>
    </w:p>
    <w:p>
      <w:pPr>
        <w:pStyle w:val="BodyText"/>
      </w:pPr>
      <w:r>
        <w:t xml:space="preserve">Additionally, emerging anxiety research corroborates the theoretical relevance of the affective dimension that AIRS identified but could not reliably measure. Kim (2025) documented</w:t>
      </w:r>
      <w:r>
        <w:t xml:space="preserve"> </w:t>
      </w:r>
      <w:r>
        <w:t xml:space="preserve">“annihilation anxiety”</w:t>
      </w:r>
      <w:r>
        <w:t xml:space="preserve"> </w:t>
      </w:r>
      <w:r>
        <w:t xml:space="preserve">(existential fears of AI displacement) while Frenkenberg (2025) identified</w:t>
      </w:r>
      <w:r>
        <w:t xml:space="preserve"> </w:t>
      </w:r>
      <w:r>
        <w:t xml:space="preserve">“anticipatory anxiety”</w:t>
      </w:r>
      <w:r>
        <w:t xml:space="preserve"> </w:t>
      </w:r>
      <w:r>
        <w:t xml:space="preserve">as a distinct pre-adoption barrier. These findings validate the study’s decision to include AI Anxiety in the initial item pool and support the recommendation to redesign anxiety items for the AIRS-28 expansion.</w:t>
      </w:r>
    </w:p>
    <w:bookmarkEnd w:id="46"/>
    <w:bookmarkStart w:id="47" w:name="Xab71fcfb303772fea5fec11a24b074036c20bb4"/>
    <w:p>
      <w:pPr>
        <w:pStyle w:val="Heading3"/>
      </w:pPr>
      <w:r>
        <w:t xml:space="preserve">Contribution 6: Adoption-Value Gap Mechanisms</w:t>
      </w:r>
    </w:p>
    <w:p>
      <w:pPr>
        <w:pStyle w:val="FirstParagraph"/>
      </w:pPr>
      <w:r>
        <w:t xml:space="preserve">The study identified four specific mechanisms explaining why organizations struggle to realize AI value despite high potential: (1)</w:t>
      </w:r>
      <w:r>
        <w:t xml:space="preserve"> </w:t>
      </w:r>
      <w:r>
        <w:rPr>
          <w:b/>
          <w:bCs/>
        </w:rPr>
        <w:t xml:space="preserve">value communication misalignment</w:t>
      </w:r>
      <w:r>
        <w:t xml:space="preserve">: organizations emphasize capability rather than ROI; (2)</w:t>
      </w:r>
      <w:r>
        <w:t xml:space="preserve"> </w:t>
      </w:r>
      <w:r>
        <w:rPr>
          <w:b/>
          <w:bCs/>
        </w:rPr>
        <w:t xml:space="preserve">heterogeneous readiness</w:t>
      </w:r>
      <w:r>
        <w:t xml:space="preserve">: treating the workforce as monolithic when 22% are Skeptics requiring fundamentally different intervention; (3)</w:t>
      </w:r>
      <w:r>
        <w:t xml:space="preserve"> </w:t>
      </w:r>
      <w:r>
        <w:rPr>
          <w:b/>
          <w:bCs/>
        </w:rPr>
        <w:t xml:space="preserve">neglected affective barriers</w:t>
      </w:r>
      <w:r>
        <w:t xml:space="preserve">: anxiety and hedonic motivation are ignored in favor of rational-utilitarian framings; and (4)</w:t>
      </w:r>
      <w:r>
        <w:t xml:space="preserve"> </w:t>
      </w:r>
      <w:r>
        <w:rPr>
          <w:b/>
          <w:bCs/>
        </w:rPr>
        <w:t xml:space="preserve">context-inappropriate frameworks</w:t>
      </w:r>
      <w:r>
        <w:t xml:space="preserve">: applying generic technology adoption strategies that fail to account for AI’s distinctive characteristics as a technology category. These four mechanisms provide a diagnostic vocabulary for explaining adoption failures and designing targeted responses.</w:t>
      </w:r>
    </w:p>
    <w:bookmarkEnd w:id="47"/>
    <w:bookmarkEnd w:id="48"/>
    <w:bookmarkStart w:id="54" w:name="practical-implications"/>
    <w:p>
      <w:pPr>
        <w:pStyle w:val="Heading2"/>
      </w:pPr>
      <w:r>
        <w:t xml:space="preserve">7. Practical Implications</w:t>
      </w:r>
    </w:p>
    <w:bookmarkStart w:id="49" w:name="for-organizations-deploying-ai-tools"/>
    <w:p>
      <w:pPr>
        <w:pStyle w:val="Heading3"/>
      </w:pPr>
      <w:r>
        <w:t xml:space="preserve">For Organizations Deploying AI Tools</w:t>
      </w:r>
    </w:p>
    <w:p>
      <w:pPr>
        <w:pStyle w:val="FirstParagraph"/>
      </w:pPr>
      <w:r>
        <w:rPr>
          <w:b/>
          <w:bCs/>
        </w:rPr>
        <w:t xml:space="preserve">Frame adoption in value terms.</w:t>
      </w:r>
      <w:r>
        <w:t xml:space="preserve"> </w:t>
      </w:r>
      <w:r>
        <w:t xml:space="preserve">Because Price Value is the strongest predictor of adoption intention, organizations should communicate AI investments in terms of tangible cost-benefit outcomes: time saved, errors reduced, and revenue generated. Change initiatives centered primarily on technical capability claims are likely to be less effective than those that demonstrate concrete financial and productivity returns.</w:t>
      </w:r>
    </w:p>
    <w:p>
      <w:pPr>
        <w:pStyle w:val="BodyText"/>
      </w:pPr>
      <w:r>
        <w:rPr>
          <w:b/>
          <w:bCs/>
        </w:rPr>
        <w:t xml:space="preserve">Use segmentation rather than uniform rollout.</w:t>
      </w:r>
      <w:r>
        <w:t xml:space="preserve"> </w:t>
      </w:r>
      <w:r>
        <w:t xml:space="preserve">The three-segment typology supports targeted intervention:</w:t>
      </w:r>
      <w:r>
        <w:t xml:space="preserve"> </w:t>
      </w:r>
      <w:r>
        <w:t xml:space="preserve">-</w:t>
      </w:r>
      <w:r>
        <w:t xml:space="preserve"> </w:t>
      </w:r>
      <w:r>
        <w:rPr>
          <w:b/>
          <w:bCs/>
        </w:rPr>
        <w:t xml:space="preserve">AI Enthusiasts (31%):</w:t>
      </w:r>
      <w:r>
        <w:t xml:space="preserve"> </w:t>
      </w:r>
      <w:r>
        <w:t xml:space="preserve">Deploy as change champions and peer influencers</w:t>
      </w:r>
      <w:r>
        <w:t xml:space="preserve"> </w:t>
      </w:r>
      <w:r>
        <w:t xml:space="preserve">-</w:t>
      </w:r>
      <w:r>
        <w:t xml:space="preserve"> </w:t>
      </w:r>
      <w:r>
        <w:rPr>
          <w:b/>
          <w:bCs/>
        </w:rPr>
        <w:t xml:space="preserve">Moderate Users (47%):</w:t>
      </w:r>
      <w:r>
        <w:t xml:space="preserve"> </w:t>
      </w:r>
      <w:r>
        <w:t xml:space="preserve">Provide value demonstrations and social proof from peers</w:t>
      </w:r>
      <w:r>
        <w:t xml:space="preserve"> </w:t>
      </w:r>
      <w:r>
        <w:t xml:space="preserve">-</w:t>
      </w:r>
      <w:r>
        <w:t xml:space="preserve"> </w:t>
      </w:r>
      <w:r>
        <w:rPr>
          <w:b/>
          <w:bCs/>
        </w:rPr>
        <w:t xml:space="preserve">AI Skeptics (22%):</w:t>
      </w:r>
      <w:r>
        <w:t xml:space="preserve"> </w:t>
      </w:r>
      <w:r>
        <w:t xml:space="preserve">Address trust barriers and anxiety before engagement; generic training will not move this group</w:t>
      </w:r>
    </w:p>
    <w:p>
      <w:pPr>
        <w:pStyle w:val="BodyText"/>
      </w:pPr>
      <w:r>
        <w:rPr>
          <w:b/>
          <w:bCs/>
        </w:rPr>
        <w:t xml:space="preserve">Tailor implementation to context.</w:t>
      </w:r>
      <w:r>
        <w:t xml:space="preserve"> </w:t>
      </w:r>
      <w:r>
        <w:t xml:space="preserve">Academic environments may benefit from emphasizing exploration and learning value (HM is a strong positive predictor), whereas professional environments may respond more strongly to practical value realization (HM is negative for professionals).</w:t>
      </w:r>
    </w:p>
    <w:bookmarkEnd w:id="49"/>
    <w:bookmarkStart w:id="50" w:name="for-ai-tool-designers-and-vendors"/>
    <w:p>
      <w:pPr>
        <w:pStyle w:val="Heading3"/>
      </w:pPr>
      <w:r>
        <w:t xml:space="preserve">For AI Tool Designers and Vendors</w:t>
      </w:r>
    </w:p>
    <w:p>
      <w:pPr>
        <w:pStyle w:val="FirstParagraph"/>
      </w:pPr>
      <w:r>
        <w:rPr>
          <w:b/>
          <w:bCs/>
        </w:rPr>
        <w:t xml:space="preserve">Manage pricing and perceived value explicitly.</w:t>
      </w:r>
      <w:r>
        <w:t xml:space="preserve"> </w:t>
      </w:r>
      <w:r>
        <w:t xml:space="preserve">The prominence of Price Value suggests that pricing models, free tiers, and value communication directly shape adoption. Transparent pricing and clear ROI metrics should therefore be central to product strategy.</w:t>
      </w:r>
    </w:p>
    <w:p>
      <w:pPr>
        <w:pStyle w:val="BodyText"/>
      </w:pPr>
      <w:r>
        <w:rPr>
          <w:b/>
          <w:bCs/>
        </w:rPr>
        <w:t xml:space="preserve">Treat accessibility as an adoption condition.</w:t>
      </w:r>
      <w:r>
        <w:t xml:space="preserve"> </w:t>
      </w:r>
      <w:r>
        <w:t xml:space="preserve">The disability-anxiety finding (d = .36) indicates that universal accessibility principles are not only an inclusion issue but also an adoption issue. Users with disabilities may experience higher anxiety that suppresses uptake even when general interest is present.</w:t>
      </w:r>
    </w:p>
    <w:bookmarkEnd w:id="50"/>
    <w:bookmarkStart w:id="51" w:name="for-trainers-and-ai-educators"/>
    <w:p>
      <w:pPr>
        <w:pStyle w:val="Heading3"/>
      </w:pPr>
      <w:r>
        <w:t xml:space="preserve">For Trainers and AI Educators</w:t>
      </w:r>
    </w:p>
    <w:p>
      <w:pPr>
        <w:pStyle w:val="FirstParagraph"/>
      </w:pPr>
      <w:r>
        <w:rPr>
          <w:b/>
          <w:bCs/>
        </w:rPr>
        <w:t xml:space="preserve">Adopt anxiety-informed training design.</w:t>
      </w:r>
      <w:r>
        <w:t xml:space="preserve"> </w:t>
      </w:r>
      <w:r>
        <w:t xml:space="preserve">Training programs should address affective barriers in addition to skill gaps. The finding that users with disabilities experience heightened AI anxiety (d = .36) suggests training should incorporate emotional safety, graduated exposure, and relevant accommodations.</w:t>
      </w:r>
    </w:p>
    <w:p>
      <w:pPr>
        <w:pStyle w:val="BodyText"/>
      </w:pPr>
      <w:r>
        <w:rPr>
          <w:b/>
          <w:bCs/>
        </w:rPr>
        <w:t xml:space="preserve">Differentiate by career stage.</w:t>
      </w:r>
      <w:r>
        <w:t xml:space="preserve"> </w:t>
      </w:r>
      <w:r>
        <w:t xml:space="preserve">The population moderation finding (Academic HM β = 0.449 vs. Professional HM β = −0.301) means that training approaches effective in educational settings may backfire in professional contexts. Trainers should assess audience composition and adjust framing accordingly: exploration-oriented for academic audiences, value-oriented for professional ones.</w:t>
      </w:r>
    </w:p>
    <w:bookmarkEnd w:id="51"/>
    <w:bookmarkStart w:id="52" w:name="X0ec7abac1ba15381f033134ce664d0d8d8b0f1f"/>
    <w:p>
      <w:pPr>
        <w:pStyle w:val="Heading3"/>
      </w:pPr>
      <w:r>
        <w:t xml:space="preserve">For Policymakers and Workforce Development</w:t>
      </w:r>
    </w:p>
    <w:p>
      <w:pPr>
        <w:pStyle w:val="FirstParagraph"/>
      </w:pPr>
      <w:r>
        <w:rPr>
          <w:b/>
          <w:bCs/>
        </w:rPr>
        <w:t xml:space="preserve">Use AIRS as a planning instrument.</w:t>
      </w:r>
      <w:r>
        <w:t xml:space="preserve"> </w:t>
      </w:r>
      <w:r>
        <w:t xml:space="preserve">The AIRS instrument provides a standardized way to assess workforce AI readiness at organizational, regional, and national levels. Policymakers can use AIRS scores to identify communities and sectors where targeted AI literacy investment is most warranted.</w:t>
      </w:r>
    </w:p>
    <w:p>
      <w:pPr>
        <w:pStyle w:val="BodyText"/>
      </w:pPr>
      <w:r>
        <w:rPr>
          <w:b/>
          <w:bCs/>
        </w:rPr>
        <w:t xml:space="preserve">Plan for uneven readiness and equity effects.</w:t>
      </w:r>
      <w:r>
        <w:t xml:space="preserve"> </w:t>
      </w:r>
      <w:r>
        <w:t xml:space="preserve">The typology shows that 22% of users fall into the Skeptics category with markedly low readiness. Workforce development initiatives should recognize that a substantial minority requires different support strategies than the broader population.</w:t>
      </w:r>
    </w:p>
    <w:bookmarkEnd w:id="52"/>
    <w:bookmarkStart w:id="53" w:name="structured-practitioner-recommendations"/>
    <w:p>
      <w:pPr>
        <w:pStyle w:val="Heading3"/>
      </w:pPr>
      <w:r>
        <w:t xml:space="preserve">Structured Practitioner Recommendations</w:t>
      </w:r>
    </w:p>
    <w:p>
      <w:pPr>
        <w:pStyle w:val="FirstParagraph"/>
      </w:pPr>
      <w:r>
        <w:t xml:space="preserve">The dissertation provides eight specific practitioner recommendations derived from the SEM and typology findings:</w:t>
      </w:r>
    </w:p>
    <w:p>
      <w:pPr>
        <w:pStyle w:val="Compact"/>
        <w:numPr>
          <w:ilvl w:val="0"/>
          <w:numId w:val="1006"/>
        </w:numPr>
      </w:pPr>
      <w:r>
        <w:rPr>
          <w:b/>
          <w:bCs/>
        </w:rPr>
        <w:t xml:space="preserve">Conduct baseline AIRS assessment</w:t>
      </w:r>
      <w:r>
        <w:t xml:space="preserve"> </w:t>
      </w:r>
      <w:r>
        <w:t xml:space="preserve">before designing AI adoption initiatives: diagnose before prescribing.</w:t>
      </w:r>
    </w:p>
    <w:p>
      <w:pPr>
        <w:pStyle w:val="Compact"/>
        <w:numPr>
          <w:ilvl w:val="0"/>
          <w:numId w:val="1006"/>
        </w:numPr>
      </w:pPr>
      <w:r>
        <w:rPr>
          <w:b/>
          <w:bCs/>
        </w:rPr>
        <w:t xml:space="preserve">Lead with value</w:t>
      </w:r>
      <w:r>
        <w:t xml:space="preserve">: frame AI in terms of cost-benefit returns (PV dominance), not capability showcases.</w:t>
      </w:r>
    </w:p>
    <w:p>
      <w:pPr>
        <w:pStyle w:val="Compact"/>
        <w:numPr>
          <w:ilvl w:val="0"/>
          <w:numId w:val="1006"/>
        </w:numPr>
      </w:pPr>
      <w:r>
        <w:rPr>
          <w:b/>
          <w:bCs/>
        </w:rPr>
        <w:t xml:space="preserve">Attend to affective barriers</w:t>
      </w:r>
      <w:r>
        <w:t xml:space="preserve">: hedonic motivation and anxiety influence adoption beyond rational calculations.</w:t>
      </w:r>
    </w:p>
    <w:p>
      <w:pPr>
        <w:pStyle w:val="Compact"/>
        <w:numPr>
          <w:ilvl w:val="0"/>
          <w:numId w:val="1006"/>
        </w:numPr>
      </w:pPr>
      <w:r>
        <w:rPr>
          <w:b/>
          <w:bCs/>
        </w:rPr>
        <w:t xml:space="preserve">Leverage social influence</w:t>
      </w:r>
      <w:r>
        <w:t xml:space="preserve">: peer champions and leadership endorsement are the third significant predictor (SI β = .136).</w:t>
      </w:r>
    </w:p>
    <w:p>
      <w:pPr>
        <w:pStyle w:val="Compact"/>
        <w:numPr>
          <w:ilvl w:val="0"/>
          <w:numId w:val="1006"/>
        </w:numPr>
      </w:pPr>
      <w:r>
        <w:rPr>
          <w:b/>
          <w:bCs/>
        </w:rPr>
        <w:t xml:space="preserve">Differentiate by experience level</w:t>
      </w:r>
      <w:r>
        <w:t xml:space="preserve">: novice and experienced users respond to different adoption drivers.</w:t>
      </w:r>
    </w:p>
    <w:p>
      <w:pPr>
        <w:pStyle w:val="Compact"/>
        <w:numPr>
          <w:ilvl w:val="0"/>
          <w:numId w:val="1006"/>
        </w:numPr>
      </w:pPr>
      <w:r>
        <w:rPr>
          <w:b/>
          <w:bCs/>
        </w:rPr>
        <w:t xml:space="preserve">Monitor trust continuously</w:t>
      </w:r>
      <w:r>
        <w:t xml:space="preserve">: trust does not predict adoption directly but functions as a diagnostic indicator and necessary condition.</w:t>
      </w:r>
    </w:p>
    <w:p>
      <w:pPr>
        <w:pStyle w:val="Compact"/>
        <w:numPr>
          <w:ilvl w:val="0"/>
          <w:numId w:val="1006"/>
        </w:numPr>
      </w:pPr>
      <w:r>
        <w:rPr>
          <w:b/>
          <w:bCs/>
        </w:rPr>
        <w:t xml:space="preserve">Design for accessibility</w:t>
      </w:r>
      <w:r>
        <w:t xml:space="preserve">: universal design principles reduce anxiety-driven non-adoption among users with disabilities.</w:t>
      </w:r>
    </w:p>
    <w:p>
      <w:pPr>
        <w:pStyle w:val="Compact"/>
        <w:numPr>
          <w:ilvl w:val="0"/>
          <w:numId w:val="1006"/>
        </w:numPr>
      </w:pPr>
      <w:r>
        <w:rPr>
          <w:b/>
          <w:bCs/>
        </w:rPr>
        <w:t xml:space="preserve">Consider segment heterogeneity</w:t>
      </w:r>
      <w:r>
        <w:t xml:space="preserve">: the three-segment distribution means any single intervention strategy will fail for at least one-third of the workforce.</w:t>
      </w:r>
    </w:p>
    <w:bookmarkEnd w:id="53"/>
    <w:bookmarkEnd w:id="54"/>
    <w:bookmarkStart w:id="57" w:name="limitations"/>
    <w:p>
      <w:pPr>
        <w:pStyle w:val="Heading2"/>
      </w:pPr>
      <w:r>
        <w:t xml:space="preserve">8. Limitations</w:t>
      </w:r>
    </w:p>
    <w:bookmarkStart w:id="55" w:name="methodological"/>
    <w:p>
      <w:pPr>
        <w:pStyle w:val="Heading3"/>
      </w:pPr>
      <w:r>
        <w:t xml:space="preserve">Methodological</w:t>
      </w:r>
    </w:p>
    <w:p>
      <w:pPr>
        <w:numPr>
          <w:ilvl w:val="0"/>
          <w:numId w:val="1007"/>
        </w:numPr>
      </w:pPr>
      <w:r>
        <w:rPr>
          <w:b/>
          <w:bCs/>
        </w:rPr>
        <w:t xml:space="preserve">Cross-sectional design.</w:t>
      </w:r>
      <w:r>
        <w:t xml:space="preserve"> </w:t>
      </w:r>
      <w:r>
        <w:t xml:space="preserve">All data were collected at a single time point, preventing causal inference about the direction of relationships or how adoption intentions evolve over time.</w:t>
      </w:r>
    </w:p>
    <w:p>
      <w:pPr>
        <w:numPr>
          <w:ilvl w:val="0"/>
          <w:numId w:val="1007"/>
        </w:numPr>
      </w:pPr>
      <w:r>
        <w:rPr>
          <w:b/>
          <w:bCs/>
        </w:rPr>
        <w:t xml:space="preserve">Self-reported intention.</w:t>
      </w:r>
      <w:r>
        <w:t xml:space="preserve"> </w:t>
      </w:r>
      <w:r>
        <w:t xml:space="preserve">The outcome variable is behavioral intention rather than observed behavior. While BI-Usage correlation (ρ = .69) confirms meaningful association, intention does not perfectly predict behavior.</w:t>
      </w:r>
    </w:p>
    <w:p>
      <w:pPr>
        <w:numPr>
          <w:ilvl w:val="0"/>
          <w:numId w:val="1007"/>
        </w:numPr>
      </w:pPr>
      <w:r>
        <w:rPr>
          <w:b/>
          <w:bCs/>
        </w:rPr>
        <w:t xml:space="preserve">Panel sampling.</w:t>
      </w:r>
      <w:r>
        <w:t xml:space="preserve"> </w:t>
      </w:r>
      <w:r>
        <w:t xml:space="preserve">Although topic-blinded recruitment mitigated self-selection bias, the Centiment panel may not be perfectly representative of the broader U.S. population of students and professionals.</w:t>
      </w:r>
    </w:p>
    <w:bookmarkEnd w:id="55"/>
    <w:bookmarkStart w:id="56" w:name="measurement"/>
    <w:p>
      <w:pPr>
        <w:pStyle w:val="Heading3"/>
      </w:pPr>
      <w:r>
        <w:t xml:space="preserve">Measurement</w:t>
      </w:r>
    </w:p>
    <w:p>
      <w:pPr>
        <w:numPr>
          <w:ilvl w:val="0"/>
          <w:numId w:val="1008"/>
        </w:numPr>
      </w:pPr>
      <w:r>
        <w:rPr>
          <w:b/>
          <w:bCs/>
        </w:rPr>
        <w:t xml:space="preserve">Two items per factor.</w:t>
      </w:r>
      <w:r>
        <w:t xml:space="preserve"> </w:t>
      </w:r>
      <w:r>
        <w:t xml:space="preserve">The 2-item-per-factor structure, while efficient, constrains reliability and contributes to elevated inter-factor correlations. The HTMT violations in the PE–HM–PV triad are partly a structural artifact of this design choice.</w:t>
      </w:r>
    </w:p>
    <w:p>
      <w:pPr>
        <w:numPr>
          <w:ilvl w:val="0"/>
          <w:numId w:val="1008"/>
        </w:numPr>
      </w:pPr>
      <w:r>
        <w:rPr>
          <w:b/>
          <w:bCs/>
        </w:rPr>
        <w:t xml:space="preserve">Four dropped constructs.</w:t>
      </w:r>
      <w:r>
        <w:t xml:space="preserve"> </w:t>
      </w:r>
      <w:r>
        <w:t xml:space="preserve">Voluntariness, Explainability, Ethical Risk, and AI Anxiety were excluded due to inadequate reliability. These constructs warrant item redesign and re-investigation in future work, particularly AI Anxiety, which showed a meaningful disability association despite its psychometric failure.</w:t>
      </w:r>
    </w:p>
    <w:p>
      <w:pPr>
        <w:numPr>
          <w:ilvl w:val="0"/>
          <w:numId w:val="1008"/>
        </w:numPr>
      </w:pPr>
      <w:r>
        <w:rPr>
          <w:b/>
          <w:bCs/>
        </w:rPr>
        <w:t xml:space="preserve">Marginal AI Trust.</w:t>
      </w:r>
      <w:r>
        <w:t xml:space="preserve"> </w:t>
      </w:r>
      <w:r>
        <w:t xml:space="preserve">The AI Trust extension did not reach conventional significance, limiting claims about its structural role. Its diagnostic value is supported by organizational assessment logic rather than predictive superiority.</w:t>
      </w:r>
    </w:p>
    <w:p>
      <w:pPr>
        <w:numPr>
          <w:ilvl w:val="0"/>
          <w:numId w:val="1008"/>
        </w:numPr>
      </w:pPr>
      <w:r>
        <w:rPr>
          <w:b/>
          <w:bCs/>
        </w:rPr>
        <w:t xml:space="preserve">Western sample.</w:t>
      </w:r>
      <w:r>
        <w:t xml:space="preserve"> </w:t>
      </w:r>
      <w:r>
        <w:t xml:space="preserve">All participants were U.S.-based, limiting cross-cultural generalizability. AI adoption patterns may differ substantially in non-Western contexts where cultural attitudes toward technology, trust, and organizational hierarchy vary.</w:t>
      </w:r>
    </w:p>
    <w:bookmarkEnd w:id="56"/>
    <w:bookmarkEnd w:id="57"/>
    <w:bookmarkStart w:id="63" w:name="X008e621d514eef69d6bd922405a35b4270d7b71"/>
    <w:p>
      <w:pPr>
        <w:pStyle w:val="Heading2"/>
      </w:pPr>
      <w:r>
        <w:t xml:space="preserve">9. Special Section: Neurodiversity and Disability Insights</w:t>
      </w:r>
    </w:p>
    <w:p>
      <w:pPr>
        <w:pStyle w:val="FirstParagraph"/>
      </w:pPr>
      <w:r>
        <w:t xml:space="preserve">The AIRS dataset includes 68 participants (13.0%) who self-reported a disability, a proportion consistent with U.S. Census Bureau estimates and sufficient for exploratory between-group analysis. Although the study was not designed as a neurodiversity investigation, the disability-related findings are among the more practically salient results in the dissertation and warrant dedicated discussion.</w:t>
      </w:r>
    </w:p>
    <w:bookmarkStart w:id="58" w:name="Xa47500cc0d132a2b58375b667c1d0cb79841872"/>
    <w:p>
      <w:pPr>
        <w:pStyle w:val="Heading3"/>
      </w:pPr>
      <w:r>
        <w:t xml:space="preserve">9.1 The Core Finding: Disability–Anxiety Association</w:t>
      </w:r>
    </w:p>
    <w:p>
      <w:pPr>
        <w:pStyle w:val="FirstParagraph"/>
      </w:pPr>
      <w:r>
        <w:t xml:space="preserve">Participants with disabilities reported significantly higher AI-related anxiety than non-disabled participants (M = 2.89, SD = 1.08 vs. M = 2.48, SD = 0.96; t(521) = 2.76, p = .006, Cohen’s d = 0.36). This is a small-to-medium effect size that remained the only statistically significant disability-related finding across all eight UTAUT2 constructs at α = .05. Critically, this finding emerged from the original AI Anxiety items that were subsequently excluded from the final AIRS-16 scale due to inadequate psychometric properties, meaning the association was detected</w:t>
      </w:r>
      <w:r>
        <w:t xml:space="preserve"> </w:t>
      </w:r>
      <w:r>
        <w:rPr>
          <w:i/>
          <w:iCs/>
        </w:rPr>
        <w:t xml:space="preserve">despite</w:t>
      </w:r>
      <w:r>
        <w:t xml:space="preserve"> </w:t>
      </w:r>
      <w:r>
        <w:t xml:space="preserve">measurement limitations, suggesting the true effect may be larger than observed.</w:t>
      </w:r>
    </w:p>
    <w:bookmarkEnd w:id="58"/>
    <w:bookmarkStart w:id="59" w:name="broader-pattern-across-all-constructs"/>
    <w:p>
      <w:pPr>
        <w:pStyle w:val="Heading3"/>
      </w:pPr>
      <w:r>
        <w:t xml:space="preserve">9.2 Broader Pattern Across All Constructs</w:t>
      </w:r>
    </w:p>
    <w:p>
      <w:pPr>
        <w:pStyle w:val="FirstParagraph"/>
      </w:pPr>
      <w:r>
        <w:t xml:space="preserve">While AI Anxiety was the only construct reaching conventional significance, the full demographic effects analysis reveals a consistent directional pattern:</w:t>
      </w:r>
    </w:p>
    <w:tbl>
      <w:tblPr>
        <w:tblStyle w:val="Table"/>
        <w:tblLayout w:type="fixed"/>
        <w:tblLook w:firstRow="1" w:lastRow="0" w:firstColumn="0" w:lastColumn="0" w:noHBand="0" w:noVBand="0" w:val="0020"/>
        <w:tblW w:type="pct" w:w="5000"/>
      </w:tblPr>
      <w:tblGrid>
        <w:gridCol w:w="1683"/>
        <w:gridCol w:w="1881"/>
        <w:gridCol w:w="2178"/>
        <w:gridCol w:w="1089"/>
        <w:gridCol w:w="1089"/>
      </w:tblGrid>
      <w:tr>
        <w:trPr>
          <w:tblHeader w:val="on"/>
          <w:cantSplit w:val="true"/>
        </w:trPr>
        <w:tc>
          <w:tcPr>
            <w:shd w:fill="0078D4" w:val="clear"/>
            <w:tcBorders>
              <w:top w:val="single" w:sz="4" w:space="0" w:color="666666"/>
              <w:bottom w:val="single" w:sz="4" w:space="0" w:color="AAAAAA"/>
              <w:left w:val="single" w:sz="4" w:space="0" w:color="666666"/>
              <w:right w:val="single" w:sz="4" w:space="0" w:color="AAAAAA"/>
            </w:tcBorders>
            <w:shd w:fill="0078D4" w:val="clear"/>
          </w:tcPr>
          <w:p>
            <w:pPr>
              <w:pStyle w:val="Compact"/>
              <w:jc w:val="left"/>
              <w:keepNext w:val="true"/>
            </w:pPr>
            <w:r>
              <w:rPr>
                <w:rFonts w:ascii="Calibri" w:hAnsi="Calibri"/>
                <w:b/>
                <w:color w:val="FFFFFF"/>
                <w:sz w:val="20"/>
              </w:rPr>
              <w:t xml:space="preserve">Construct</w:t>
            </w:r>
          </w:p>
        </w:tc>
        <w:tc>
          <w:tcPr>
            <w:shd w:fill="0078D4" w:val="clear"/>
            <w:tcBorders>
              <w:top w:val="single" w:sz="4" w:space="0" w:color="666666"/>
              <w:bottom w:val="single" w:sz="4" w:space="0" w:color="AAAAAA"/>
              <w:left w:val="single" w:sz="4" w:space="0" w:color="AAAAAA"/>
              <w:right w:val="single" w:sz="4" w:space="0" w:color="AAAAAA"/>
            </w:tcBorders>
            <w:shd w:fill="0078D4" w:val="clear"/>
          </w:tcPr>
          <w:p>
            <w:pPr>
              <w:pStyle w:val="Compact"/>
              <w:jc w:val="left"/>
              <w:keepNext w:val="true"/>
            </w:pPr>
            <w:r>
              <w:rPr>
                <w:rFonts w:ascii="Calibri" w:hAnsi="Calibri"/>
                <w:b/>
                <w:color w:val="FFFFFF"/>
                <w:sz w:val="20"/>
              </w:rPr>
              <w:t xml:space="preserve">Disability M (SD)</w:t>
            </w:r>
          </w:p>
        </w:tc>
        <w:tc>
          <w:tcPr>
            <w:shd w:fill="0078D4" w:val="clear"/>
            <w:tcBorders>
              <w:top w:val="single" w:sz="4" w:space="0" w:color="666666"/>
              <w:bottom w:val="single" w:sz="4" w:space="0" w:color="AAAAAA"/>
              <w:left w:val="single" w:sz="4" w:space="0" w:color="AAAAAA"/>
              <w:right w:val="single" w:sz="4" w:space="0" w:color="AAAAAA"/>
            </w:tcBorders>
            <w:shd w:fill="0078D4" w:val="clear"/>
          </w:tcPr>
          <w:p>
            <w:pPr>
              <w:pStyle w:val="Compact"/>
              <w:jc w:val="left"/>
              <w:keepNext w:val="true"/>
            </w:pPr>
            <w:r>
              <w:rPr>
                <w:rFonts w:ascii="Calibri" w:hAnsi="Calibri"/>
                <w:b/>
                <w:color w:val="FFFFFF"/>
                <w:sz w:val="20"/>
              </w:rPr>
              <w:t xml:space="preserve">No Disability M (SD)</w:t>
            </w:r>
          </w:p>
        </w:tc>
        <w:tc>
          <w:tcPr>
            <w:shd w:fill="0078D4" w:val="clear"/>
            <w:tcBorders>
              <w:top w:val="single" w:sz="4" w:space="0" w:color="666666"/>
              <w:bottom w:val="single" w:sz="4" w:space="0" w:color="AAAAAA"/>
              <w:left w:val="single" w:sz="4" w:space="0" w:color="AAAAAA"/>
              <w:right w:val="single" w:sz="4" w:space="0" w:color="AAAAAA"/>
            </w:tcBorders>
            <w:shd w:fill="0078D4" w:val="clear"/>
          </w:tcPr>
          <w:p>
            <w:pPr>
              <w:pStyle w:val="Compact"/>
              <w:jc w:val="left"/>
              <w:keepNext w:val="true"/>
            </w:pPr>
            <w:r>
              <w:rPr>
                <w:rFonts w:ascii="Calibri" w:hAnsi="Calibri"/>
                <w:b/>
                <w:color w:val="FFFFFF"/>
                <w:sz w:val="20"/>
              </w:rPr>
              <w:t xml:space="preserve">Cohen’s d</w:t>
            </w:r>
          </w:p>
        </w:tc>
        <w:tc>
          <w:tcPr>
            <w:shd w:fill="0078D4" w:val="clear"/>
            <w:tcBorders>
              <w:top w:val="single" w:sz="4" w:space="0" w:color="666666"/>
              <w:bottom w:val="single" w:sz="4" w:space="0" w:color="AAAAAA"/>
              <w:left w:val="single" w:sz="4" w:space="0" w:color="AAAAAA"/>
              <w:right w:val="single" w:sz="4" w:space="0" w:color="666666"/>
            </w:tcBorders>
            <w:shd w:fill="0078D4" w:val="clear"/>
          </w:tcPr>
          <w:p>
            <w:pPr>
              <w:pStyle w:val="Compact"/>
              <w:jc w:val="left"/>
              <w:keepNext w:val="true"/>
            </w:pPr>
            <w:r>
              <w:rPr>
                <w:rFonts w:ascii="Calibri" w:hAnsi="Calibri"/>
                <w:b/>
                <w:color w:val="FFFFFF"/>
                <w:sz w:val="20"/>
              </w:rPr>
              <w:t xml:space="preserve">p</w:t>
            </w:r>
          </w:p>
        </w:tc>
      </w:tr>
      <w:tr>
        <w:trPr>
          <w:cantSplit w:val="true"/>
        </w:trPr>
        <w:tc>
          <w:tcPr>
            <w:shd w:fill="FFFFFF" w:val="clear"/>
            <w:tcBorders>
              <w:top w:val="single" w:sz="4" w:space="0" w:color="AAAAAA"/>
              <w:bottom w:val="single" w:sz="4" w:space="0" w:color="AAAAAA"/>
              <w:left w:val="single" w:sz="4" w:space="0" w:color="666666"/>
              <w:right w:val="single" w:sz="4" w:space="0" w:color="AAAAAA"/>
            </w:tcBorders>
          </w:tcPr>
          <w:p>
            <w:pPr>
              <w:pStyle w:val="Compact"/>
              <w:jc w:val="left"/>
              <w:keepNext w:val="true"/>
            </w:pPr>
            <w:r>
              <w:rPr>
                <w:rFonts w:ascii="Calibri" w:hAnsi="Calibri"/>
                <w:b w:val="0"/>
                <w:sz w:val="18"/>
              </w:rPr>
              <w:t xml:space="preserve">AI Anxiety</w:t>
            </w:r>
          </w:p>
        </w:tc>
        <w:tc>
          <w:tcPr>
            <w:shd w:fill="FFFFFF" w:val="clear"/>
            <w:tcBorders>
              <w:top w:val="single" w:sz="4" w:space="0" w:color="AAAAAA"/>
              <w:bottom w:val="single" w:sz="4" w:space="0" w:color="AAAAAA"/>
              <w:left w:val="single" w:sz="4" w:space="0" w:color="AAAAAA"/>
              <w:right w:val="single" w:sz="4" w:space="0" w:color="AAAAAA"/>
            </w:tcBorders>
          </w:tcPr>
          <w:p>
            <w:pPr>
              <w:pStyle w:val="Compact"/>
              <w:jc w:val="left"/>
              <w:keepNext w:val="true"/>
            </w:pPr>
            <w:r>
              <w:rPr>
                <w:rFonts w:ascii="Calibri" w:hAnsi="Calibri"/>
                <w:b w:val="0"/>
                <w:bCs/>
                <w:sz w:val="18"/>
              </w:rPr>
              <w:t xml:space="preserve">2.89 (1.08)</w:t>
            </w:r>
          </w:p>
        </w:tc>
        <w:tc>
          <w:tcPr>
            <w:shd w:fill="FFFFFF" w:val="clear"/>
            <w:tcBorders>
              <w:top w:val="single" w:sz="4" w:space="0" w:color="AAAAAA"/>
              <w:bottom w:val="single" w:sz="4" w:space="0" w:color="AAAAAA"/>
              <w:left w:val="single" w:sz="4" w:space="0" w:color="AAAAAA"/>
              <w:right w:val="single" w:sz="4" w:space="0" w:color="AAAAAA"/>
            </w:tcBorders>
          </w:tcPr>
          <w:p>
            <w:pPr>
              <w:pStyle w:val="Compact"/>
              <w:jc w:val="left"/>
              <w:keepNext w:val="true"/>
            </w:pPr>
            <w:r>
              <w:rPr>
                <w:rFonts w:ascii="Calibri" w:hAnsi="Calibri"/>
                <w:b w:val="0"/>
                <w:bCs/>
                <w:sz w:val="18"/>
              </w:rPr>
              <w:t xml:space="preserve">2.48 (0.96)</w:t>
            </w:r>
          </w:p>
        </w:tc>
        <w:tc>
          <w:tcPr>
            <w:shd w:fill="FFFFFF" w:val="clear"/>
            <w:tcBorders>
              <w:top w:val="single" w:sz="4" w:space="0" w:color="AAAAAA"/>
              <w:bottom w:val="single" w:sz="4" w:space="0" w:color="AAAAAA"/>
              <w:left w:val="single" w:sz="4" w:space="0" w:color="AAAAAA"/>
              <w:right w:val="single" w:sz="4" w:space="0" w:color="AAAAAA"/>
            </w:tcBorders>
          </w:tcPr>
          <w:p>
            <w:pPr>
              <w:pStyle w:val="Compact"/>
              <w:jc w:val="left"/>
              <w:keepNext w:val="true"/>
            </w:pPr>
            <w:r>
              <w:rPr>
                <w:rFonts w:ascii="Calibri" w:hAnsi="Calibri"/>
                <w:b w:val="0"/>
                <w:bCs/>
                <w:sz w:val="18"/>
              </w:rPr>
              <w:t xml:space="preserve">0.36</w:t>
            </w:r>
          </w:p>
        </w:tc>
        <w:tc>
          <w:tcPr>
            <w:shd w:fill="FFFFFF" w:val="clear"/>
            <w:tcBorders>
              <w:top w:val="single" w:sz="4" w:space="0" w:color="AAAAAA"/>
              <w:bottom w:val="single" w:sz="4" w:space="0" w:color="AAAAAA"/>
              <w:left w:val="single" w:sz="4" w:space="0" w:color="AAAAAA"/>
              <w:right w:val="single" w:sz="4" w:space="0" w:color="666666"/>
            </w:tcBorders>
          </w:tcPr>
          <w:p>
            <w:pPr>
              <w:pStyle w:val="Compact"/>
              <w:jc w:val="left"/>
              <w:keepNext w:val="true"/>
            </w:pPr>
            <w:r>
              <w:rPr>
                <w:rFonts w:ascii="Calibri" w:hAnsi="Calibri"/>
                <w:b w:val="0"/>
                <w:bCs/>
                <w:sz w:val="18"/>
              </w:rPr>
              <w:t xml:space="preserve">.006</w:t>
            </w:r>
          </w:p>
        </w:tc>
      </w:tr>
      <w:tr>
        <w:trPr>
          <w:cantSplit w:val="true"/>
        </w:trPr>
        <w:tc>
          <w:tcPr>
            <w:shd w:fill="F0F0F0" w:val="clear"/>
            <w:tcBorders>
              <w:top w:val="single" w:sz="4" w:space="0" w:color="AAAAAA"/>
              <w:bottom w:val="single" w:sz="4" w:space="0" w:color="AAAAAA"/>
              <w:left w:val="single" w:sz="4" w:space="0" w:color="666666"/>
              <w:right w:val="single" w:sz="4" w:space="0" w:color="AAAAAA"/>
            </w:tcBorders>
            <w:shd w:fill="F0F0F0" w:val="clear"/>
          </w:tcPr>
          <w:p>
            <w:pPr>
              <w:pStyle w:val="Compact"/>
              <w:jc w:val="left"/>
              <w:keepNext w:val="true"/>
            </w:pPr>
            <w:r>
              <w:rPr>
                <w:rFonts w:ascii="Calibri" w:hAnsi="Calibri"/>
                <w:b w:val="0"/>
                <w:sz w:val="18"/>
              </w:rPr>
              <w:t xml:space="preserve">Hedonic Motivation</w:t>
            </w:r>
          </w:p>
        </w:tc>
        <w:tc>
          <w:tcPr>
            <w:shd w:fill="F0F0F0" w:val="clear"/>
            <w:tcBorders>
              <w:top w:val="single" w:sz="4" w:space="0" w:color="AAAAAA"/>
              <w:bottom w:val="single" w:sz="4" w:space="0" w:color="AAAAAA"/>
              <w:left w:val="single" w:sz="4" w:space="0" w:color="AAAAAA"/>
              <w:right w:val="single" w:sz="4" w:space="0" w:color="AAAAAA"/>
            </w:tcBorders>
            <w:shd w:fill="F0F0F0" w:val="clear"/>
          </w:tcPr>
          <w:p>
            <w:pPr>
              <w:pStyle w:val="Compact"/>
              <w:jc w:val="left"/>
              <w:keepNext w:val="true"/>
            </w:pPr>
            <w:r>
              <w:rPr>
                <w:rFonts w:ascii="Calibri" w:hAnsi="Calibri"/>
                <w:b w:val="0"/>
                <w:bCs/>
                <w:sz w:val="18"/>
              </w:rPr>
              <w:t xml:space="preserve">3.45 (0.98)</w:t>
            </w:r>
          </w:p>
        </w:tc>
        <w:tc>
          <w:tcPr>
            <w:shd w:fill="F0F0F0" w:val="clear"/>
            <w:tcBorders>
              <w:top w:val="single" w:sz="4" w:space="0" w:color="AAAAAA"/>
              <w:bottom w:val="single" w:sz="4" w:space="0" w:color="AAAAAA"/>
              <w:left w:val="single" w:sz="4" w:space="0" w:color="AAAAAA"/>
              <w:right w:val="single" w:sz="4" w:space="0" w:color="AAAAAA"/>
            </w:tcBorders>
            <w:shd w:fill="F0F0F0" w:val="clear"/>
          </w:tcPr>
          <w:p>
            <w:pPr>
              <w:pStyle w:val="Compact"/>
              <w:jc w:val="left"/>
              <w:keepNext w:val="true"/>
            </w:pPr>
            <w:r>
              <w:rPr>
                <w:rFonts w:ascii="Calibri" w:hAnsi="Calibri"/>
                <w:b w:val="0"/>
                <w:bCs/>
                <w:sz w:val="18"/>
              </w:rPr>
              <w:t xml:space="preserve">3.72 (0.92)</w:t>
            </w:r>
          </w:p>
        </w:tc>
        <w:tc>
          <w:tcPr>
            <w:shd w:fill="F0F0F0" w:val="clear"/>
            <w:tcBorders>
              <w:top w:val="single" w:sz="4" w:space="0" w:color="AAAAAA"/>
              <w:bottom w:val="single" w:sz="4" w:space="0" w:color="AAAAAA"/>
              <w:left w:val="single" w:sz="4" w:space="0" w:color="AAAAAA"/>
              <w:right w:val="single" w:sz="4" w:space="0" w:color="AAAAAA"/>
            </w:tcBorders>
            <w:shd w:fill="F0F0F0" w:val="clear"/>
          </w:tcPr>
          <w:p>
            <w:pPr>
              <w:pStyle w:val="Compact"/>
              <w:jc w:val="left"/>
              <w:keepNext w:val="true"/>
            </w:pPr>
            <w:r>
              <w:rPr>
                <w:rFonts w:ascii="Calibri" w:hAnsi="Calibri"/>
                <w:b w:val="0"/>
                <w:bCs/>
                <w:sz w:val="18"/>
              </w:rPr>
              <w:t xml:space="preserve">0.28</w:t>
            </w:r>
          </w:p>
        </w:tc>
        <w:tc>
          <w:tcPr>
            <w:shd w:fill="F0F0F0" w:val="clear"/>
            <w:tcBorders>
              <w:top w:val="single" w:sz="4" w:space="0" w:color="AAAAAA"/>
              <w:bottom w:val="single" w:sz="4" w:space="0" w:color="AAAAAA"/>
              <w:left w:val="single" w:sz="4" w:space="0" w:color="AAAAAA"/>
              <w:right w:val="single" w:sz="4" w:space="0" w:color="666666"/>
            </w:tcBorders>
            <w:shd w:fill="F0F0F0" w:val="clear"/>
          </w:tcPr>
          <w:p>
            <w:pPr>
              <w:pStyle w:val="Compact"/>
              <w:jc w:val="left"/>
              <w:keepNext w:val="true"/>
            </w:pPr>
            <w:r>
              <w:rPr>
                <w:rFonts w:ascii="Calibri" w:hAnsi="Calibri"/>
                <w:b w:val="0"/>
                <w:bCs/>
                <w:sz w:val="18"/>
              </w:rPr>
              <w:t xml:space="preserve">.030</w:t>
            </w:r>
          </w:p>
        </w:tc>
      </w:tr>
      <w:tr>
        <w:trPr>
          <w:cantSplit w:val="true"/>
        </w:trPr>
        <w:tc>
          <w:tcPr>
            <w:shd w:fill="FFFFFF" w:val="clear"/>
            <w:tcBorders>
              <w:top w:val="single" w:sz="4" w:space="0" w:color="AAAAAA"/>
              <w:bottom w:val="single" w:sz="4" w:space="0" w:color="AAAAAA"/>
              <w:left w:val="single" w:sz="4" w:space="0" w:color="666666"/>
              <w:right w:val="single" w:sz="4" w:space="0" w:color="AAAAAA"/>
            </w:tcBorders>
          </w:tcPr>
          <w:p>
            <w:pPr>
              <w:pStyle w:val="Compact"/>
              <w:jc w:val="left"/>
              <w:keepNext w:val="true"/>
            </w:pPr>
            <w:r>
              <w:rPr>
                <w:rFonts w:ascii="Calibri" w:hAnsi="Calibri"/>
                <w:b w:val="0"/>
                <w:sz w:val="18"/>
              </w:rPr>
              <w:t xml:space="preserve">Effort Expectancy</w:t>
            </w:r>
          </w:p>
        </w:tc>
        <w:tc>
          <w:tcPr>
            <w:shd w:fill="FFFFFF" w:val="clear"/>
            <w:tcBorders>
              <w:top w:val="single" w:sz="4" w:space="0" w:color="AAAAAA"/>
              <w:bottom w:val="single" w:sz="4" w:space="0" w:color="AAAAAA"/>
              <w:left w:val="single" w:sz="4" w:space="0" w:color="AAAAAA"/>
              <w:right w:val="single" w:sz="4" w:space="0" w:color="AAAAAA"/>
            </w:tcBorders>
          </w:tcPr>
          <w:p>
            <w:pPr>
              <w:pStyle w:val="Compact"/>
              <w:jc w:val="left"/>
              <w:keepNext w:val="true"/>
            </w:pPr>
            <w:r>
              <w:rPr>
                <w:rFonts w:ascii="Calibri" w:hAnsi="Calibri"/>
                <w:b w:val="0"/>
                <w:sz w:val="18"/>
              </w:rPr>
              <w:t xml:space="preserve">3.48 (0.89)</w:t>
            </w:r>
          </w:p>
        </w:tc>
        <w:tc>
          <w:tcPr>
            <w:shd w:fill="FFFFFF" w:val="clear"/>
            <w:tcBorders>
              <w:top w:val="single" w:sz="4" w:space="0" w:color="AAAAAA"/>
              <w:bottom w:val="single" w:sz="4" w:space="0" w:color="AAAAAA"/>
              <w:left w:val="single" w:sz="4" w:space="0" w:color="AAAAAA"/>
              <w:right w:val="single" w:sz="4" w:space="0" w:color="AAAAAA"/>
            </w:tcBorders>
          </w:tcPr>
          <w:p>
            <w:pPr>
              <w:pStyle w:val="Compact"/>
              <w:jc w:val="left"/>
              <w:keepNext w:val="true"/>
            </w:pPr>
            <w:r>
              <w:rPr>
                <w:rFonts w:ascii="Calibri" w:hAnsi="Calibri"/>
                <w:b w:val="0"/>
                <w:sz w:val="18"/>
              </w:rPr>
              <w:t xml:space="preserve">3.68 (0.81)</w:t>
            </w:r>
          </w:p>
        </w:tc>
        <w:tc>
          <w:tcPr>
            <w:shd w:fill="FFFFFF" w:val="clear"/>
            <w:tcBorders>
              <w:top w:val="single" w:sz="4" w:space="0" w:color="AAAAAA"/>
              <w:bottom w:val="single" w:sz="4" w:space="0" w:color="AAAAAA"/>
              <w:left w:val="single" w:sz="4" w:space="0" w:color="AAAAAA"/>
              <w:right w:val="single" w:sz="4" w:space="0" w:color="AAAAAA"/>
            </w:tcBorders>
          </w:tcPr>
          <w:p>
            <w:pPr>
              <w:pStyle w:val="Compact"/>
              <w:jc w:val="left"/>
              <w:keepNext w:val="true"/>
            </w:pPr>
            <w:r>
              <w:rPr>
                <w:rFonts w:ascii="Calibri" w:hAnsi="Calibri"/>
                <w:b w:val="0"/>
                <w:sz w:val="18"/>
              </w:rPr>
              <w:t xml:space="preserve">0.24</w:t>
            </w:r>
          </w:p>
        </w:tc>
        <w:tc>
          <w:tcPr>
            <w:shd w:fill="FFFFFF" w:val="clear"/>
            <w:tcBorders>
              <w:top w:val="single" w:sz="4" w:space="0" w:color="AAAAAA"/>
              <w:bottom w:val="single" w:sz="4" w:space="0" w:color="AAAAAA"/>
              <w:left w:val="single" w:sz="4" w:space="0" w:color="AAAAAA"/>
              <w:right w:val="single" w:sz="4" w:space="0" w:color="666666"/>
            </w:tcBorders>
          </w:tcPr>
          <w:p>
            <w:pPr>
              <w:pStyle w:val="Compact"/>
              <w:jc w:val="left"/>
              <w:keepNext w:val="true"/>
            </w:pPr>
            <w:r>
              <w:rPr>
                <w:rFonts w:ascii="Calibri" w:hAnsi="Calibri"/>
                <w:b w:val="0"/>
                <w:sz w:val="18"/>
              </w:rPr>
              <w:t xml:space="preserve">.065</w:t>
            </w:r>
          </w:p>
        </w:tc>
      </w:tr>
      <w:tr>
        <w:trPr>
          <w:cantSplit w:val="true"/>
        </w:trPr>
        <w:tc>
          <w:tcPr>
            <w:shd w:fill="F0F0F0" w:val="clear"/>
            <w:tcBorders>
              <w:top w:val="single" w:sz="4" w:space="0" w:color="AAAAAA"/>
              <w:bottom w:val="single" w:sz="4" w:space="0" w:color="AAAAAA"/>
              <w:left w:val="single" w:sz="4" w:space="0" w:color="666666"/>
              <w:right w:val="single" w:sz="4" w:space="0" w:color="AAAAAA"/>
            </w:tcBorders>
            <w:shd w:fill="F0F0F0" w:val="clear"/>
          </w:tcPr>
          <w:p>
            <w:pPr>
              <w:pStyle w:val="Compact"/>
              <w:jc w:val="left"/>
              <w:keepNext w:val="true"/>
            </w:pPr>
            <w:r>
              <w:rPr>
                <w:rFonts w:ascii="Calibri" w:hAnsi="Calibri"/>
                <w:b w:val="0"/>
                <w:sz w:val="18"/>
              </w:rPr>
              <w:t xml:space="preserve">Performance Expectancy</w:t>
            </w:r>
          </w:p>
        </w:tc>
        <w:tc>
          <w:tcPr>
            <w:shd w:fill="F0F0F0" w:val="clear"/>
            <w:tcBorders>
              <w:top w:val="single" w:sz="4" w:space="0" w:color="AAAAAA"/>
              <w:bottom w:val="single" w:sz="4" w:space="0" w:color="AAAAAA"/>
              <w:left w:val="single" w:sz="4" w:space="0" w:color="AAAAAA"/>
              <w:right w:val="single" w:sz="4" w:space="0" w:color="AAAAAA"/>
            </w:tcBorders>
            <w:shd w:fill="F0F0F0" w:val="clear"/>
          </w:tcPr>
          <w:p>
            <w:pPr>
              <w:pStyle w:val="Compact"/>
              <w:jc w:val="left"/>
              <w:keepNext w:val="true"/>
            </w:pPr>
            <w:r>
              <w:rPr>
                <w:rFonts w:ascii="Calibri" w:hAnsi="Calibri"/>
                <w:b w:val="0"/>
                <w:sz w:val="18"/>
              </w:rPr>
              <w:t xml:space="preserve">3.54 (0.94)</w:t>
            </w:r>
          </w:p>
        </w:tc>
        <w:tc>
          <w:tcPr>
            <w:shd w:fill="F0F0F0" w:val="clear"/>
            <w:tcBorders>
              <w:top w:val="single" w:sz="4" w:space="0" w:color="AAAAAA"/>
              <w:bottom w:val="single" w:sz="4" w:space="0" w:color="AAAAAA"/>
              <w:left w:val="single" w:sz="4" w:space="0" w:color="AAAAAA"/>
              <w:right w:val="single" w:sz="4" w:space="0" w:color="AAAAAA"/>
            </w:tcBorders>
            <w:shd w:fill="F0F0F0" w:val="clear"/>
          </w:tcPr>
          <w:p>
            <w:pPr>
              <w:pStyle w:val="Compact"/>
              <w:jc w:val="left"/>
              <w:keepNext w:val="true"/>
            </w:pPr>
            <w:r>
              <w:rPr>
                <w:rFonts w:ascii="Calibri" w:hAnsi="Calibri"/>
                <w:b w:val="0"/>
                <w:sz w:val="18"/>
              </w:rPr>
              <w:t xml:space="preserve">3.76 (0.89)</w:t>
            </w:r>
          </w:p>
        </w:tc>
        <w:tc>
          <w:tcPr>
            <w:shd w:fill="F0F0F0" w:val="clear"/>
            <w:tcBorders>
              <w:top w:val="single" w:sz="4" w:space="0" w:color="AAAAAA"/>
              <w:bottom w:val="single" w:sz="4" w:space="0" w:color="AAAAAA"/>
              <w:left w:val="single" w:sz="4" w:space="0" w:color="AAAAAA"/>
              <w:right w:val="single" w:sz="4" w:space="0" w:color="AAAAAA"/>
            </w:tcBorders>
            <w:shd w:fill="F0F0F0" w:val="clear"/>
          </w:tcPr>
          <w:p>
            <w:pPr>
              <w:pStyle w:val="Compact"/>
              <w:jc w:val="left"/>
              <w:keepNext w:val="true"/>
            </w:pPr>
            <w:r>
              <w:rPr>
                <w:rFonts w:ascii="Calibri" w:hAnsi="Calibri"/>
                <w:b w:val="0"/>
                <w:sz w:val="18"/>
              </w:rPr>
              <w:t xml:space="preserve">0.22</w:t>
            </w:r>
          </w:p>
        </w:tc>
        <w:tc>
          <w:tcPr>
            <w:shd w:fill="F0F0F0" w:val="clear"/>
            <w:tcBorders>
              <w:top w:val="single" w:sz="4" w:space="0" w:color="AAAAAA"/>
              <w:bottom w:val="single" w:sz="4" w:space="0" w:color="AAAAAA"/>
              <w:left w:val="single" w:sz="4" w:space="0" w:color="AAAAAA"/>
              <w:right w:val="single" w:sz="4" w:space="0" w:color="666666"/>
            </w:tcBorders>
            <w:shd w:fill="F0F0F0" w:val="clear"/>
          </w:tcPr>
          <w:p>
            <w:pPr>
              <w:pStyle w:val="Compact"/>
              <w:jc w:val="left"/>
              <w:keepNext w:val="true"/>
            </w:pPr>
            <w:r>
              <w:rPr>
                <w:rFonts w:ascii="Calibri" w:hAnsi="Calibri"/>
                <w:b w:val="0"/>
                <w:sz w:val="18"/>
              </w:rPr>
              <w:t xml:space="preserve">.086</w:t>
            </w:r>
          </w:p>
        </w:tc>
      </w:tr>
      <w:tr>
        <w:trPr>
          <w:cantSplit w:val="true"/>
        </w:trPr>
        <w:tc>
          <w:tcPr>
            <w:shd w:fill="FFFFFF" w:val="clear"/>
            <w:tcBorders>
              <w:top w:val="single" w:sz="4" w:space="0" w:color="AAAAAA"/>
              <w:bottom w:val="single" w:sz="4" w:space="0" w:color="AAAAAA"/>
              <w:left w:val="single" w:sz="4" w:space="0" w:color="666666"/>
              <w:right w:val="single" w:sz="4" w:space="0" w:color="AAAAAA"/>
            </w:tcBorders>
          </w:tcPr>
          <w:p>
            <w:pPr>
              <w:pStyle w:val="Compact"/>
              <w:jc w:val="left"/>
              <w:keepNext w:val="true"/>
            </w:pPr>
            <w:r>
              <w:rPr>
                <w:rFonts w:ascii="Calibri" w:hAnsi="Calibri"/>
                <w:b w:val="0"/>
                <w:sz w:val="18"/>
              </w:rPr>
              <w:t xml:space="preserve">Behavioral Intention</w:t>
            </w:r>
          </w:p>
        </w:tc>
        <w:tc>
          <w:tcPr>
            <w:shd w:fill="FFFFFF" w:val="clear"/>
            <w:tcBorders>
              <w:top w:val="single" w:sz="4" w:space="0" w:color="AAAAAA"/>
              <w:bottom w:val="single" w:sz="4" w:space="0" w:color="AAAAAA"/>
              <w:left w:val="single" w:sz="4" w:space="0" w:color="AAAAAA"/>
              <w:right w:val="single" w:sz="4" w:space="0" w:color="AAAAAA"/>
            </w:tcBorders>
          </w:tcPr>
          <w:p>
            <w:pPr>
              <w:pStyle w:val="Compact"/>
              <w:jc w:val="left"/>
              <w:keepNext w:val="true"/>
            </w:pPr>
            <w:r>
              <w:rPr>
                <w:rFonts w:ascii="Calibri" w:hAnsi="Calibri"/>
                <w:b w:val="0"/>
                <w:sz w:val="18"/>
              </w:rPr>
              <w:t xml:space="preserve">3.41 (1.02)</w:t>
            </w:r>
          </w:p>
        </w:tc>
        <w:tc>
          <w:tcPr>
            <w:shd w:fill="FFFFFF" w:val="clear"/>
            <w:tcBorders>
              <w:top w:val="single" w:sz="4" w:space="0" w:color="AAAAAA"/>
              <w:bottom w:val="single" w:sz="4" w:space="0" w:color="AAAAAA"/>
              <w:left w:val="single" w:sz="4" w:space="0" w:color="AAAAAA"/>
              <w:right w:val="single" w:sz="4" w:space="0" w:color="AAAAAA"/>
            </w:tcBorders>
          </w:tcPr>
          <w:p>
            <w:pPr>
              <w:pStyle w:val="Compact"/>
              <w:jc w:val="left"/>
              <w:keepNext w:val="true"/>
            </w:pPr>
            <w:r>
              <w:rPr>
                <w:rFonts w:ascii="Calibri" w:hAnsi="Calibri"/>
                <w:b w:val="0"/>
                <w:sz w:val="18"/>
              </w:rPr>
              <w:t xml:space="preserve">3.64 (0.97)</w:t>
            </w:r>
          </w:p>
        </w:tc>
        <w:tc>
          <w:tcPr>
            <w:shd w:fill="FFFFFF" w:val="clear"/>
            <w:tcBorders>
              <w:top w:val="single" w:sz="4" w:space="0" w:color="AAAAAA"/>
              <w:bottom w:val="single" w:sz="4" w:space="0" w:color="AAAAAA"/>
              <w:left w:val="single" w:sz="4" w:space="0" w:color="AAAAAA"/>
              <w:right w:val="single" w:sz="4" w:space="0" w:color="AAAAAA"/>
            </w:tcBorders>
          </w:tcPr>
          <w:p>
            <w:pPr>
              <w:pStyle w:val="Compact"/>
              <w:jc w:val="left"/>
              <w:keepNext w:val="true"/>
            </w:pPr>
            <w:r>
              <w:rPr>
                <w:rFonts w:ascii="Calibri" w:hAnsi="Calibri"/>
                <w:b w:val="0"/>
                <w:sz w:val="18"/>
              </w:rPr>
              <w:t xml:space="preserve">0.21</w:t>
            </w:r>
          </w:p>
        </w:tc>
        <w:tc>
          <w:tcPr>
            <w:shd w:fill="FFFFFF" w:val="clear"/>
            <w:tcBorders>
              <w:top w:val="single" w:sz="4" w:space="0" w:color="AAAAAA"/>
              <w:bottom w:val="single" w:sz="4" w:space="0" w:color="AAAAAA"/>
              <w:left w:val="single" w:sz="4" w:space="0" w:color="AAAAAA"/>
              <w:right w:val="single" w:sz="4" w:space="0" w:color="666666"/>
            </w:tcBorders>
          </w:tcPr>
          <w:p>
            <w:pPr>
              <w:pStyle w:val="Compact"/>
              <w:jc w:val="left"/>
              <w:keepNext w:val="true"/>
            </w:pPr>
            <w:r>
              <w:rPr>
                <w:rFonts w:ascii="Calibri" w:hAnsi="Calibri"/>
                <w:b w:val="0"/>
                <w:sz w:val="18"/>
              </w:rPr>
              <w:t xml:space="preserve">.102</w:t>
            </w:r>
          </w:p>
        </w:tc>
      </w:tr>
      <w:tr>
        <w:trPr>
          <w:cantSplit w:val="true"/>
        </w:trPr>
        <w:tc>
          <w:tcPr>
            <w:shd w:fill="F0F0F0" w:val="clear"/>
            <w:tcBorders>
              <w:top w:val="single" w:sz="4" w:space="0" w:color="AAAAAA"/>
              <w:bottom w:val="single" w:sz="4" w:space="0" w:color="AAAAAA"/>
              <w:left w:val="single" w:sz="4" w:space="0" w:color="666666"/>
              <w:right w:val="single" w:sz="4" w:space="0" w:color="AAAAAA"/>
            </w:tcBorders>
            <w:shd w:fill="F0F0F0" w:val="clear"/>
          </w:tcPr>
          <w:p>
            <w:pPr>
              <w:pStyle w:val="Compact"/>
              <w:jc w:val="left"/>
              <w:keepNext w:val="true"/>
            </w:pPr>
            <w:r>
              <w:rPr>
                <w:rFonts w:ascii="Calibri" w:hAnsi="Calibri"/>
                <w:b w:val="0"/>
                <w:sz w:val="18"/>
              </w:rPr>
              <w:t xml:space="preserve">Facilitating Conditions</w:t>
            </w:r>
          </w:p>
        </w:tc>
        <w:tc>
          <w:tcPr>
            <w:shd w:fill="F0F0F0" w:val="clear"/>
            <w:tcBorders>
              <w:top w:val="single" w:sz="4" w:space="0" w:color="AAAAAA"/>
              <w:bottom w:val="single" w:sz="4" w:space="0" w:color="AAAAAA"/>
              <w:left w:val="single" w:sz="4" w:space="0" w:color="AAAAAA"/>
              <w:right w:val="single" w:sz="4" w:space="0" w:color="AAAAAA"/>
            </w:tcBorders>
            <w:shd w:fill="F0F0F0" w:val="clear"/>
          </w:tcPr>
          <w:p>
            <w:pPr>
              <w:pStyle w:val="Compact"/>
              <w:jc w:val="left"/>
              <w:keepNext w:val="true"/>
            </w:pPr>
            <w:r>
              <w:rPr>
                <w:rFonts w:ascii="Calibri" w:hAnsi="Calibri"/>
                <w:b w:val="0"/>
                <w:sz w:val="18"/>
              </w:rPr>
              <w:t xml:space="preserve">3.38 (0.91)</w:t>
            </w:r>
          </w:p>
        </w:tc>
        <w:tc>
          <w:tcPr>
            <w:shd w:fill="F0F0F0" w:val="clear"/>
            <w:tcBorders>
              <w:top w:val="single" w:sz="4" w:space="0" w:color="AAAAAA"/>
              <w:bottom w:val="single" w:sz="4" w:space="0" w:color="AAAAAA"/>
              <w:left w:val="single" w:sz="4" w:space="0" w:color="AAAAAA"/>
              <w:right w:val="single" w:sz="4" w:space="0" w:color="AAAAAA"/>
            </w:tcBorders>
            <w:shd w:fill="F0F0F0" w:val="clear"/>
          </w:tcPr>
          <w:p>
            <w:pPr>
              <w:pStyle w:val="Compact"/>
              <w:jc w:val="left"/>
              <w:keepNext w:val="true"/>
            </w:pPr>
            <w:r>
              <w:rPr>
                <w:rFonts w:ascii="Calibri" w:hAnsi="Calibri"/>
                <w:b w:val="0"/>
                <w:sz w:val="18"/>
              </w:rPr>
              <w:t xml:space="preserve">3.52 (0.85)</w:t>
            </w:r>
          </w:p>
        </w:tc>
        <w:tc>
          <w:tcPr>
            <w:shd w:fill="F0F0F0" w:val="clear"/>
            <w:tcBorders>
              <w:top w:val="single" w:sz="4" w:space="0" w:color="AAAAAA"/>
              <w:bottom w:val="single" w:sz="4" w:space="0" w:color="AAAAAA"/>
              <w:left w:val="single" w:sz="4" w:space="0" w:color="AAAAAA"/>
              <w:right w:val="single" w:sz="4" w:space="0" w:color="AAAAAA"/>
            </w:tcBorders>
            <w:shd w:fill="F0F0F0" w:val="clear"/>
          </w:tcPr>
          <w:p>
            <w:pPr>
              <w:pStyle w:val="Compact"/>
              <w:jc w:val="left"/>
              <w:keepNext w:val="true"/>
            </w:pPr>
            <w:r>
              <w:rPr>
                <w:rFonts w:ascii="Calibri" w:hAnsi="Calibri"/>
                <w:b w:val="0"/>
                <w:sz w:val="18"/>
              </w:rPr>
              <w:t xml:space="preserve">0.16</w:t>
            </w:r>
          </w:p>
        </w:tc>
        <w:tc>
          <w:tcPr>
            <w:shd w:fill="F0F0F0" w:val="clear"/>
            <w:tcBorders>
              <w:top w:val="single" w:sz="4" w:space="0" w:color="AAAAAA"/>
              <w:bottom w:val="single" w:sz="4" w:space="0" w:color="AAAAAA"/>
              <w:left w:val="single" w:sz="4" w:space="0" w:color="AAAAAA"/>
              <w:right w:val="single" w:sz="4" w:space="0" w:color="666666"/>
            </w:tcBorders>
            <w:shd w:fill="F0F0F0" w:val="clear"/>
          </w:tcPr>
          <w:p>
            <w:pPr>
              <w:pStyle w:val="Compact"/>
              <w:jc w:val="left"/>
              <w:keepNext w:val="true"/>
            </w:pPr>
            <w:r>
              <w:rPr>
                <w:rFonts w:ascii="Calibri" w:hAnsi="Calibri"/>
                <w:b w:val="0"/>
                <w:sz w:val="18"/>
              </w:rPr>
              <w:t xml:space="preserve">.215</w:t>
            </w:r>
          </w:p>
        </w:tc>
      </w:tr>
      <w:tr>
        <w:trPr>
          <w:cantSplit w:val="true"/>
        </w:trPr>
        <w:tc>
          <w:tcPr>
            <w:shd w:fill="FFFFFF" w:val="clear"/>
            <w:tcBorders>
              <w:top w:val="single" w:sz="4" w:space="0" w:color="AAAAAA"/>
              <w:bottom w:val="single" w:sz="4" w:space="0" w:color="AAAAAA"/>
              <w:left w:val="single" w:sz="4" w:space="0" w:color="666666"/>
              <w:right w:val="single" w:sz="4" w:space="0" w:color="AAAAAA"/>
            </w:tcBorders>
          </w:tcPr>
          <w:p>
            <w:pPr>
              <w:pStyle w:val="Compact"/>
              <w:jc w:val="left"/>
              <w:keepNext w:val="true"/>
            </w:pPr>
            <w:r>
              <w:rPr>
                <w:rFonts w:ascii="Calibri" w:hAnsi="Calibri"/>
                <w:b w:val="0"/>
                <w:sz w:val="18"/>
              </w:rPr>
              <w:t xml:space="preserve">Trust</w:t>
            </w:r>
          </w:p>
        </w:tc>
        <w:tc>
          <w:tcPr>
            <w:shd w:fill="FFFFFF" w:val="clear"/>
            <w:tcBorders>
              <w:top w:val="single" w:sz="4" w:space="0" w:color="AAAAAA"/>
              <w:bottom w:val="single" w:sz="4" w:space="0" w:color="AAAAAA"/>
              <w:left w:val="single" w:sz="4" w:space="0" w:color="AAAAAA"/>
              <w:right w:val="single" w:sz="4" w:space="0" w:color="AAAAAA"/>
            </w:tcBorders>
          </w:tcPr>
          <w:p>
            <w:pPr>
              <w:pStyle w:val="Compact"/>
              <w:jc w:val="left"/>
              <w:keepNext w:val="true"/>
            </w:pPr>
            <w:r>
              <w:rPr>
                <w:rFonts w:ascii="Calibri" w:hAnsi="Calibri"/>
                <w:b w:val="0"/>
                <w:sz w:val="18"/>
              </w:rPr>
              <w:t xml:space="preserve">3.28 (0.92)</w:t>
            </w:r>
          </w:p>
        </w:tc>
        <w:tc>
          <w:tcPr>
            <w:shd w:fill="FFFFFF" w:val="clear"/>
            <w:tcBorders>
              <w:top w:val="single" w:sz="4" w:space="0" w:color="AAAAAA"/>
              <w:bottom w:val="single" w:sz="4" w:space="0" w:color="AAAAAA"/>
              <w:left w:val="single" w:sz="4" w:space="0" w:color="AAAAAA"/>
              <w:right w:val="single" w:sz="4" w:space="0" w:color="AAAAAA"/>
            </w:tcBorders>
          </w:tcPr>
          <w:p>
            <w:pPr>
              <w:pStyle w:val="Compact"/>
              <w:jc w:val="left"/>
              <w:keepNext w:val="true"/>
            </w:pPr>
            <w:r>
              <w:rPr>
                <w:rFonts w:ascii="Calibri" w:hAnsi="Calibri"/>
                <w:b w:val="0"/>
                <w:sz w:val="18"/>
              </w:rPr>
              <w:t xml:space="preserve">3.41 (0.84)</w:t>
            </w:r>
          </w:p>
        </w:tc>
        <w:tc>
          <w:tcPr>
            <w:shd w:fill="FFFFFF" w:val="clear"/>
            <w:tcBorders>
              <w:top w:val="single" w:sz="4" w:space="0" w:color="AAAAAA"/>
              <w:bottom w:val="single" w:sz="4" w:space="0" w:color="AAAAAA"/>
              <w:left w:val="single" w:sz="4" w:space="0" w:color="AAAAAA"/>
              <w:right w:val="single" w:sz="4" w:space="0" w:color="AAAAAA"/>
            </w:tcBorders>
          </w:tcPr>
          <w:p>
            <w:pPr>
              <w:pStyle w:val="Compact"/>
              <w:jc w:val="left"/>
              <w:keepNext w:val="true"/>
            </w:pPr>
            <w:r>
              <w:rPr>
                <w:rFonts w:ascii="Calibri" w:hAnsi="Calibri"/>
                <w:b w:val="0"/>
                <w:sz w:val="18"/>
              </w:rPr>
              <w:t xml:space="preserve">0.15</w:t>
            </w:r>
          </w:p>
        </w:tc>
        <w:tc>
          <w:tcPr>
            <w:shd w:fill="FFFFFF" w:val="clear"/>
            <w:tcBorders>
              <w:top w:val="single" w:sz="4" w:space="0" w:color="AAAAAA"/>
              <w:bottom w:val="single" w:sz="4" w:space="0" w:color="AAAAAA"/>
              <w:left w:val="single" w:sz="4" w:space="0" w:color="AAAAAA"/>
              <w:right w:val="single" w:sz="4" w:space="0" w:color="666666"/>
            </w:tcBorders>
          </w:tcPr>
          <w:p>
            <w:pPr>
              <w:pStyle w:val="Compact"/>
              <w:jc w:val="left"/>
              <w:keepNext w:val="true"/>
            </w:pPr>
            <w:r>
              <w:rPr>
                <w:rFonts w:ascii="Calibri" w:hAnsi="Calibri"/>
                <w:b w:val="0"/>
                <w:sz w:val="18"/>
              </w:rPr>
              <w:t xml:space="preserve">.238</w:t>
            </w:r>
          </w:p>
        </w:tc>
      </w:tr>
      <w:tr>
        <w:trPr>
          <w:cantSplit w:val="true"/>
        </w:trPr>
        <w:tc>
          <w:tcPr>
            <w:shd w:fill="F0F0F0" w:val="clear"/>
            <w:tcBorders>
              <w:top w:val="single" w:sz="4" w:space="0" w:color="AAAAAA"/>
              <w:bottom w:val="single" w:sz="4" w:space="0" w:color="666666"/>
              <w:left w:val="single" w:sz="4" w:space="0" w:color="666666"/>
              <w:right w:val="single" w:sz="4" w:space="0" w:color="AAAAAA"/>
            </w:tcBorders>
            <w:shd w:fill="F0F0F0" w:val="clear"/>
          </w:tcPr>
          <w:p>
            <w:pPr>
              <w:pStyle w:val="Compact"/>
              <w:jc w:val="left"/>
            </w:pPr>
            <w:r>
              <w:rPr>
                <w:rFonts w:ascii="Calibri" w:hAnsi="Calibri"/>
                <w:b w:val="0"/>
                <w:sz w:val="18"/>
              </w:rPr>
              <w:t xml:space="preserve">Social Influence</w:t>
            </w:r>
          </w:p>
        </w:tc>
        <w:tc>
          <w:tcPr>
            <w:shd w:fill="F0F0F0" w:val="clear"/>
            <w:tcBorders>
              <w:top w:val="single" w:sz="4" w:space="0" w:color="AAAAAA"/>
              <w:bottom w:val="single" w:sz="4" w:space="0" w:color="666666"/>
              <w:left w:val="single" w:sz="4" w:space="0" w:color="AAAAAA"/>
              <w:right w:val="single" w:sz="4" w:space="0" w:color="AAAAAA"/>
            </w:tcBorders>
            <w:shd w:fill="F0F0F0" w:val="clear"/>
          </w:tcPr>
          <w:p>
            <w:pPr>
              <w:pStyle w:val="Compact"/>
              <w:jc w:val="left"/>
            </w:pPr>
            <w:r>
              <w:rPr>
                <w:rFonts w:ascii="Calibri" w:hAnsi="Calibri"/>
                <w:b w:val="0"/>
                <w:sz w:val="18"/>
              </w:rPr>
              <w:t xml:space="preserve">3.32 (0.95)</w:t>
            </w:r>
          </w:p>
        </w:tc>
        <w:tc>
          <w:tcPr>
            <w:shd w:fill="F0F0F0" w:val="clear"/>
            <w:tcBorders>
              <w:top w:val="single" w:sz="4" w:space="0" w:color="AAAAAA"/>
              <w:bottom w:val="single" w:sz="4" w:space="0" w:color="666666"/>
              <w:left w:val="single" w:sz="4" w:space="0" w:color="AAAAAA"/>
              <w:right w:val="single" w:sz="4" w:space="0" w:color="AAAAAA"/>
            </w:tcBorders>
            <w:shd w:fill="F0F0F0" w:val="clear"/>
          </w:tcPr>
          <w:p>
            <w:pPr>
              <w:pStyle w:val="Compact"/>
              <w:jc w:val="left"/>
            </w:pPr>
            <w:r>
              <w:rPr>
                <w:rFonts w:ascii="Calibri" w:hAnsi="Calibri"/>
                <w:b w:val="0"/>
                <w:sz w:val="18"/>
              </w:rPr>
              <w:t xml:space="preserve">3.43 (0.89)</w:t>
            </w:r>
          </w:p>
        </w:tc>
        <w:tc>
          <w:tcPr>
            <w:shd w:fill="F0F0F0" w:val="clear"/>
            <w:tcBorders>
              <w:top w:val="single" w:sz="4" w:space="0" w:color="AAAAAA"/>
              <w:bottom w:val="single" w:sz="4" w:space="0" w:color="666666"/>
              <w:left w:val="single" w:sz="4" w:space="0" w:color="AAAAAA"/>
              <w:right w:val="single" w:sz="4" w:space="0" w:color="AAAAAA"/>
            </w:tcBorders>
            <w:shd w:fill="F0F0F0" w:val="clear"/>
          </w:tcPr>
          <w:p>
            <w:pPr>
              <w:pStyle w:val="Compact"/>
              <w:jc w:val="left"/>
            </w:pPr>
            <w:r>
              <w:rPr>
                <w:rFonts w:ascii="Calibri" w:hAnsi="Calibri"/>
                <w:b w:val="0"/>
                <w:sz w:val="18"/>
              </w:rPr>
              <w:t xml:space="preserve">0.12</w:t>
            </w:r>
          </w:p>
        </w:tc>
        <w:tc>
          <w:tcPr>
            <w:shd w:fill="F0F0F0" w:val="clear"/>
            <w:tcBorders>
              <w:top w:val="single" w:sz="4" w:space="0" w:color="AAAAAA"/>
              <w:bottom w:val="single" w:sz="4" w:space="0" w:color="666666"/>
              <w:left w:val="single" w:sz="4" w:space="0" w:color="AAAAAA"/>
              <w:right w:val="single" w:sz="4" w:space="0" w:color="666666"/>
            </w:tcBorders>
            <w:shd w:fill="F0F0F0" w:val="clear"/>
          </w:tcPr>
          <w:p>
            <w:pPr>
              <w:pStyle w:val="Compact"/>
              <w:jc w:val="left"/>
            </w:pPr>
            <w:r>
              <w:rPr>
                <w:rFonts w:ascii="Calibri" w:hAnsi="Calibri"/>
                <w:b w:val="0"/>
                <w:sz w:val="18"/>
              </w:rPr>
              <w:t xml:space="preserve">.328</w:t>
            </w:r>
          </w:p>
        </w:tc>
      </w:tr>
    </w:tbl>
    <w:p>
      <w:pPr>
        <w:pStyle w:val="BodyText"/>
      </w:pPr>
      <w:r>
        <w:t xml:space="preserve">Two findings are statistically significant: AI Anxiety (d = .36) and Hedonic Motivation (d = .28, p = .030). The HM finding is noteworthy: participants with disabilities report significantly less enjoyment from AI tools, suggesting that current AI experiences are less pleasurable or more frustrating for this population. The remaining six constructs show consistent directional differences (d = 0.12–0.24) favoring the non-disabled group. While individually non-significant, the uniform direction (lower scores on every positive adoption construct and higher scores on anxiety) constitutes a coherent disadvantage profile rather than random noise.</w:t>
      </w:r>
    </w:p>
    <w:bookmarkEnd w:id="59"/>
    <w:bookmarkStart w:id="60" w:name="intersection-with-the-user-typology"/>
    <w:p>
      <w:pPr>
        <w:pStyle w:val="Heading3"/>
      </w:pPr>
      <w:r>
        <w:t xml:space="preserve">9.3 Intersection with the User Typology</w:t>
      </w:r>
    </w:p>
    <w:p>
      <w:pPr>
        <w:pStyle w:val="FirstParagraph"/>
      </w:pPr>
      <w:r>
        <w:t xml:space="preserve">The three-segment typology (Enthusiasts 31%, Moderate Users 47%, Skeptics 22%) was derived from cluster analysis on the full sample. Although disability status was not used as a clustering variable, the consistent pattern of lower readiness scores among participants with disabilities suggests disproportionate representation in the Skeptics segment. If confirmed in future research with larger disability subsamples, this would mean that the 22% Skeptics category, already identified as requiring fundamentally different intervention, may partially reflect an accessibility-driven readiness gap rather than purely attitudinal resistance.</w:t>
      </w:r>
    </w:p>
    <w:bookmarkEnd w:id="60"/>
    <w:bookmarkStart w:id="61" w:name="Xa21a28e21dafb2ae53feaffe80f0580cf1c46cc"/>
    <w:p>
      <w:pPr>
        <w:pStyle w:val="Heading3"/>
      </w:pPr>
      <w:r>
        <w:t xml:space="preserve">9.4 Implications for Neurodivergent and Disabled Users</w:t>
      </w:r>
    </w:p>
    <w:p>
      <w:pPr>
        <w:pStyle w:val="FirstParagraph"/>
      </w:pPr>
      <w:r>
        <w:t xml:space="preserve">The AIRS survey captured disability status through a single binary item, which does not distinguish between physical, cognitive, sensory, and neurodiverse conditions. However, several interpretive threads are relevant:</w:t>
      </w:r>
    </w:p>
    <w:p>
      <w:pPr>
        <w:pStyle w:val="BodyText"/>
      </w:pPr>
      <w:r>
        <w:rPr>
          <w:b/>
          <w:bCs/>
        </w:rPr>
        <w:t xml:space="preserve">AI Anxiety may reflect lived experience, not irrational fear.</w:t>
      </w:r>
      <w:r>
        <w:t xml:space="preserve"> </w:t>
      </w:r>
      <w:r>
        <w:t xml:space="preserve">For users who have repeatedly encountered inaccessible interfaces, poorly designed assistive technology integration, or algorithmic bias, elevated anxiety about a new technology class is a rational response to historical exclusion, not a deficit to be corrected.</w:t>
      </w:r>
    </w:p>
    <w:p>
      <w:pPr>
        <w:pStyle w:val="BodyText"/>
      </w:pPr>
      <w:r>
        <w:rPr>
          <w:b/>
          <w:bCs/>
        </w:rPr>
        <w:t xml:space="preserve">Hedonic Motivation suppression signals a design problem, not a user problem.</w:t>
      </w:r>
      <w:r>
        <w:t xml:space="preserve"> </w:t>
      </w:r>
      <w:r>
        <w:t xml:space="preserve">The significant HM gap (d = .28) implies that current AI tools are less enjoyable for users with disabilities. This points to accessibility failures in existing AI products: lack of screen reader compatibility, insufficient customization options, or interaction paradigms that assume neurotypical cognitive processing.</w:t>
      </w:r>
    </w:p>
    <w:p>
      <w:pPr>
        <w:pStyle w:val="BodyText"/>
      </w:pPr>
      <w:r>
        <w:rPr>
          <w:b/>
          <w:bCs/>
        </w:rPr>
        <w:t xml:space="preserve">The dropped AI Anxiety construct may be especially important for this population.</w:t>
      </w:r>
      <w:r>
        <w:t xml:space="preserve"> </w:t>
      </w:r>
      <w:r>
        <w:t xml:space="preserve">A notable implication of the psychometric results is that AI Anxiety, the construct showing the strongest disability signal, was excluded from the final scale. The AIRS-28 expansion should therefore prioritize redesigning anxiety items using neurodiversity-informed language and item stems that distinguish displacement-related anxiety from accessibility-barrier anxiety.</w:t>
      </w:r>
    </w:p>
    <w:p>
      <w:pPr>
        <w:pStyle w:val="BodyText"/>
      </w:pPr>
      <w:r>
        <w:rPr>
          <w:b/>
          <w:bCs/>
        </w:rPr>
        <w:t xml:space="preserve">Universal design as an adoption accelerator.</w:t>
      </w:r>
      <w:r>
        <w:t xml:space="preserve"> </w:t>
      </w:r>
      <w:r>
        <w:t xml:space="preserve">The data suggest that making AI tools more accessible would not only serve users with disabilities but may reduce anxiety-driven non-adoption more broadly. If the disability–anxiety association reflects design-induced friction, removing that friction benefits the entire user population: the</w:t>
      </w:r>
      <w:r>
        <w:t xml:space="preserve"> </w:t>
      </w:r>
      <w:r>
        <w:t xml:space="preserve">“curb cut effect”</w:t>
      </w:r>
      <w:r>
        <w:t xml:space="preserve"> </w:t>
      </w:r>
      <w:r>
        <w:t xml:space="preserve">applied to AI adoption.</w:t>
      </w:r>
    </w:p>
    <w:bookmarkEnd w:id="61"/>
    <w:bookmarkStart w:id="62" w:name="X6b248cd04aa1346ba382fd0658e96b853380183"/>
    <w:p>
      <w:pPr>
        <w:pStyle w:val="Heading3"/>
      </w:pPr>
      <w:r>
        <w:t xml:space="preserve">9.5 Limitations and Future Neurodiversity Research</w:t>
      </w:r>
    </w:p>
    <w:p>
      <w:pPr>
        <w:pStyle w:val="FirstParagraph"/>
      </w:pPr>
      <w:r>
        <w:t xml:space="preserve">The current findings are exploratory and carry important caveats:</w:t>
      </w:r>
    </w:p>
    <w:p>
      <w:pPr>
        <w:pStyle w:val="Compact"/>
        <w:numPr>
          <w:ilvl w:val="0"/>
          <w:numId w:val="1009"/>
        </w:numPr>
      </w:pPr>
      <w:r>
        <w:rPr>
          <w:b/>
          <w:bCs/>
        </w:rPr>
        <w:t xml:space="preserve">Small subgroup (n = 68)</w:t>
      </w:r>
      <w:r>
        <w:t xml:space="preserve"> </w:t>
      </w:r>
      <w:r>
        <w:t xml:space="preserve">limits statistical power for detecting smaller effects and prevents multi-category disability analysis.</w:t>
      </w:r>
    </w:p>
    <w:p>
      <w:pPr>
        <w:pStyle w:val="Compact"/>
        <w:numPr>
          <w:ilvl w:val="0"/>
          <w:numId w:val="1009"/>
        </w:numPr>
      </w:pPr>
      <w:r>
        <w:rPr>
          <w:b/>
          <w:bCs/>
        </w:rPr>
        <w:t xml:space="preserve">Binary disability measure</w:t>
      </w:r>
      <w:r>
        <w:t xml:space="preserve"> </w:t>
      </w:r>
      <w:r>
        <w:t xml:space="preserve">conflates physical, sensory, cognitive, and neurodevelopmental conditions that likely have very different AI interaction profiles.</w:t>
      </w:r>
    </w:p>
    <w:p>
      <w:pPr>
        <w:pStyle w:val="Compact"/>
        <w:numPr>
          <w:ilvl w:val="0"/>
          <w:numId w:val="1009"/>
        </w:numPr>
      </w:pPr>
      <w:r>
        <w:rPr>
          <w:b/>
          <w:bCs/>
        </w:rPr>
        <w:t xml:space="preserve">No neurodiversity-specific items</w:t>
      </w:r>
      <w:r>
        <w:t xml:space="preserve"> </w:t>
      </w:r>
      <w:r>
        <w:t xml:space="preserve">were included; conditions such as ADHD, autism, dyslexia, and anxiety disorders each interact with technology adoption through distinct mechanisms.</w:t>
      </w:r>
    </w:p>
    <w:p>
      <w:pPr>
        <w:pStyle w:val="Compact"/>
        <w:numPr>
          <w:ilvl w:val="0"/>
          <w:numId w:val="1009"/>
        </w:numPr>
      </w:pPr>
      <w:r>
        <w:rPr>
          <w:b/>
          <w:bCs/>
        </w:rPr>
        <w:t xml:space="preserve">Self-report bias</w:t>
      </w:r>
      <w:r>
        <w:t xml:space="preserve"> </w:t>
      </w:r>
      <w:r>
        <w:t xml:space="preserve">may affect disability disclosure rates, particularly through the Centiment panel where 11 participants selected</w:t>
      </w:r>
      <w:r>
        <w:t xml:space="preserve"> </w:t>
      </w:r>
      <w:r>
        <w:t xml:space="preserve">“Prefer not to answer.”</w:t>
      </w:r>
    </w:p>
    <w:p>
      <w:pPr>
        <w:pStyle w:val="FirstParagraph"/>
      </w:pPr>
      <w:r>
        <w:t xml:space="preserve">Future research should: (1) recruit larger disability subsamples with condition-specific categorization; (2) develop neurodiversity-informed AIRS items that capture interaction-specific anxiety rather than generalized technology anxiety; (3) investigate whether accessibility features moderate the disability–anxiety relationship; and (4) test whether AIRS-guided interventions differentially benefit neurodiverse users.</w:t>
      </w:r>
    </w:p>
    <w:bookmarkEnd w:id="62"/>
    <w:bookmarkEnd w:id="63"/>
    <w:bookmarkStart w:id="71" w:name="future-research-roadmap"/>
    <w:p>
      <w:pPr>
        <w:pStyle w:val="Heading2"/>
      </w:pPr>
      <w:r>
        <w:t xml:space="preserve">10. Future Research Roadmap</w:t>
      </w:r>
    </w:p>
    <w:p>
      <w:pPr>
        <w:pStyle w:val="FirstParagraph"/>
      </w:pPr>
      <w:r>
        <w:t xml:space="preserve">The dissertation proposes a four-phase, multi-year research agenda, complemented by specific recommendations for scholars and awareness of the rapidly evolving AI landscape.</w:t>
      </w:r>
    </w:p>
    <w:bookmarkStart w:id="64" w:name="phase-1-airs-28-development-20262027"/>
    <w:p>
      <w:pPr>
        <w:pStyle w:val="Heading3"/>
      </w:pPr>
      <w:r>
        <w:t xml:space="preserve">Phase 1: AIRS-28 Development (2026–2027)</w:t>
      </w:r>
    </w:p>
    <w:p>
      <w:pPr>
        <w:pStyle w:val="FirstParagraph"/>
      </w:pPr>
      <w:r>
        <w:t xml:space="preserve">Expand from 16 to 28 items (3–4 items per factor) to improve reliability and resolve discriminant validity concerns. Redesign items for Explainability, Ethical Risk, and AI Anxiety. Target: eliminate all HTMT violations while maintaining excellent model fit.</w:t>
      </w:r>
    </w:p>
    <w:bookmarkEnd w:id="64"/>
    <w:bookmarkStart w:id="65" w:name="Xba4d34060e8242a648a54f24c05452405e433ae"/>
    <w:p>
      <w:pPr>
        <w:pStyle w:val="Heading3"/>
      </w:pPr>
      <w:r>
        <w:t xml:space="preserve">Phase 2: Longitudinal Panel and Cross-Cultural Validation (2026–2028)</w:t>
      </w:r>
    </w:p>
    <w:p>
      <w:pPr>
        <w:pStyle w:val="FirstParagraph"/>
      </w:pPr>
      <w:r>
        <w:t xml:space="preserve">Deploy AIRS in a 12-month longitudinal panel to track how readiness profiles evolve with experience and organizational context. Simultaneously validate AIRS across non-Western cultural contexts to establish cross-cultural measurement invariance.</w:t>
      </w:r>
    </w:p>
    <w:bookmarkEnd w:id="65"/>
    <w:bookmarkStart w:id="66" w:name="Xba7522a09c1228e717ac0ca553b41a3ad7e1340"/>
    <w:p>
      <w:pPr>
        <w:pStyle w:val="Heading3"/>
      </w:pPr>
      <w:r>
        <w:t xml:space="preserve">Phase 3: Intervention Framework Development (2028–2029)</w:t>
      </w:r>
    </w:p>
    <w:p>
      <w:pPr>
        <w:pStyle w:val="FirstParagraph"/>
      </w:pPr>
      <w:r>
        <w:t xml:space="preserve">Design and test AIRS-informed interventions: specific organizational change programs targeted at each user segment. Test whether AIRS-guided interventions outperform generic AI training approaches.</w:t>
      </w:r>
    </w:p>
    <w:bookmarkEnd w:id="66"/>
    <w:bookmarkStart w:id="67" w:name="X5576dd4441f4744a75834e5484d36351cfa93e3"/>
    <w:p>
      <w:pPr>
        <w:pStyle w:val="Heading3"/>
      </w:pPr>
      <w:r>
        <w:t xml:space="preserve">Phase 4: Comprehensive Prediction System (2029+)</w:t>
      </w:r>
    </w:p>
    <w:p>
      <w:pPr>
        <w:pStyle w:val="FirstParagraph"/>
      </w:pPr>
      <w:r>
        <w:t xml:space="preserve">Integrate AIRS with behavioral data, organizational context measures, and industry-specific moderators to build a comprehensive AI readiness prediction and monitoring system.</w:t>
      </w:r>
    </w:p>
    <w:bookmarkEnd w:id="67"/>
    <w:bookmarkStart w:id="68" w:name="scholar-recommendations"/>
    <w:p>
      <w:pPr>
        <w:pStyle w:val="Heading3"/>
      </w:pPr>
      <w:r>
        <w:t xml:space="preserve">Scholar Recommendations</w:t>
      </w:r>
    </w:p>
    <w:p>
      <w:pPr>
        <w:pStyle w:val="FirstParagraph"/>
      </w:pPr>
      <w:r>
        <w:t xml:space="preserve">The dissertation identifies seven specific methodological recommendations for future researchers:</w:t>
      </w:r>
    </w:p>
    <w:p>
      <w:pPr>
        <w:pStyle w:val="Compact"/>
        <w:numPr>
          <w:ilvl w:val="0"/>
          <w:numId w:val="1010"/>
        </w:numPr>
      </w:pPr>
      <w:r>
        <w:rPr>
          <w:b/>
          <w:bCs/>
        </w:rPr>
        <w:t xml:space="preserve">Larger samples (n &gt; 600)</w:t>
      </w:r>
      <w:r>
        <w:t xml:space="preserve"> </w:t>
      </w:r>
      <w:r>
        <w:t xml:space="preserve">to increase power for multi-group and moderation analyses.</w:t>
      </w:r>
    </w:p>
    <w:p>
      <w:pPr>
        <w:pStyle w:val="Compact"/>
        <w:numPr>
          <w:ilvl w:val="0"/>
          <w:numId w:val="1010"/>
        </w:numPr>
      </w:pPr>
      <w:r>
        <w:rPr>
          <w:b/>
          <w:bCs/>
        </w:rPr>
        <w:t xml:space="preserve">Improved AI-specific measures</w:t>
      </w:r>
      <w:r>
        <w:t xml:space="preserve"> </w:t>
      </w:r>
      <w:r>
        <w:t xml:space="preserve">with 3–4 items per dimension to resolve the HTMT violations inherent in 2-item scales.</w:t>
      </w:r>
    </w:p>
    <w:p>
      <w:pPr>
        <w:pStyle w:val="Compact"/>
        <w:numPr>
          <w:ilvl w:val="0"/>
          <w:numId w:val="1010"/>
        </w:numPr>
      </w:pPr>
      <w:r>
        <w:rPr>
          <w:b/>
          <w:bCs/>
        </w:rPr>
        <w:t xml:space="preserve">PV dominance investigation</w:t>
      </w:r>
      <w:r>
        <w:t xml:space="preserve">: replicate and explain why Price Value overtakes Performance Expectancy in AI contexts specifically.</w:t>
      </w:r>
    </w:p>
    <w:p>
      <w:pPr>
        <w:pStyle w:val="Compact"/>
        <w:numPr>
          <w:ilvl w:val="0"/>
          <w:numId w:val="1010"/>
        </w:numPr>
      </w:pPr>
      <w:r>
        <w:rPr>
          <w:b/>
          <w:bCs/>
        </w:rPr>
        <w:t xml:space="preserve">Career development integration</w:t>
      </w:r>
      <w:r>
        <w:t xml:space="preserve">: study how adoption mechanisms change across career stages (student → early career → mid-career → senior).</w:t>
      </w:r>
    </w:p>
    <w:p>
      <w:pPr>
        <w:pStyle w:val="Compact"/>
        <w:numPr>
          <w:ilvl w:val="0"/>
          <w:numId w:val="1010"/>
        </w:numPr>
      </w:pPr>
      <w:r>
        <w:rPr>
          <w:b/>
          <w:bCs/>
        </w:rPr>
        <w:t xml:space="preserve">Typology validation</w:t>
      </w:r>
      <w:r>
        <w:t xml:space="preserve">: confirm the three-segment structure in independent samples and test whether typology membership predicts actual adoption behavior.</w:t>
      </w:r>
    </w:p>
    <w:p>
      <w:pPr>
        <w:pStyle w:val="Compact"/>
        <w:numPr>
          <w:ilvl w:val="0"/>
          <w:numId w:val="1010"/>
        </w:numPr>
      </w:pPr>
      <w:r>
        <w:rPr>
          <w:b/>
          <w:bCs/>
        </w:rPr>
        <w:t xml:space="preserve">Cross-cultural replication</w:t>
      </w:r>
      <w:r>
        <w:t xml:space="preserve">: establish measurement invariance across non-Western contexts where cultural attitudes toward technology, hierarchy, and trust differ.</w:t>
      </w:r>
    </w:p>
    <w:p>
      <w:pPr>
        <w:pStyle w:val="Compact"/>
        <w:numPr>
          <w:ilvl w:val="0"/>
          <w:numId w:val="1010"/>
        </w:numPr>
      </w:pPr>
      <w:r>
        <w:rPr>
          <w:b/>
          <w:bCs/>
        </w:rPr>
        <w:t xml:space="preserve">Longitudinal designs</w:t>
      </w:r>
      <w:r>
        <w:t xml:space="preserve">: move beyond cross-sectional snapshots to track readiness trajectories and determine whether AIRS scores predict future behavior.</w:t>
      </w:r>
    </w:p>
    <w:bookmarkEnd w:id="68"/>
    <w:bookmarkStart w:id="69" w:name="Xc459849e06b57158d176b3426823f8a4bacbadf"/>
    <w:p>
      <w:pPr>
        <w:pStyle w:val="Heading3"/>
      </w:pPr>
      <w:r>
        <w:t xml:space="preserve">Appropriate Reliance and Over-Reliance Research</w:t>
      </w:r>
    </w:p>
    <w:p>
      <w:pPr>
        <w:pStyle w:val="FirstParagraph"/>
      </w:pPr>
      <w:r>
        <w:t xml:space="preserve">A distinctive future direction concerns the paradox that optimizing AI adoption may inadvertently increase over-reliance. The AETHER group’s Calibrated AI Reliance (CAIR) and Calibrated Self-Reliance (CSR) constructs suggest that the goal should not be maximum adoption but</w:t>
      </w:r>
      <w:r>
        <w:t xml:space="preserve"> </w:t>
      </w:r>
      <w:r>
        <w:rPr>
          <w:i/>
          <w:iCs/>
        </w:rPr>
        <w:t xml:space="preserve">appropriate</w:t>
      </w:r>
      <w:r>
        <w:t xml:space="preserve"> </w:t>
      </w:r>
      <w:r>
        <w:t xml:space="preserve">adoption, knowing when to use AI and when to rely on human judgment. This reframing from</w:t>
      </w:r>
      <w:r>
        <w:t xml:space="preserve"> </w:t>
      </w:r>
      <w:r>
        <w:t xml:space="preserve">“more adoption is better”</w:t>
      </w:r>
      <w:r>
        <w:t xml:space="preserve"> </w:t>
      </w:r>
      <w:r>
        <w:t xml:space="preserve">to</w:t>
      </w:r>
      <w:r>
        <w:t xml:space="preserve"> </w:t>
      </w:r>
      <w:r>
        <w:t xml:space="preserve">“calibrated adoption is optimal”</w:t>
      </w:r>
      <w:r>
        <w:t xml:space="preserve"> </w:t>
      </w:r>
      <w:r>
        <w:t xml:space="preserve">represents an important evolution of the research program. This line of inquiry is also extended in</w:t>
      </w:r>
      <w:r>
        <w:t xml:space="preserve"> </w:t>
      </w:r>
      <w:r>
        <w:rPr>
          <w:i/>
          <w:iCs/>
        </w:rPr>
        <w:t xml:space="preserve">The Life of Alex Finch</w:t>
      </w:r>
      <w:r>
        <w:t xml:space="preserve"> </w:t>
      </w:r>
      <w:r>
        <w:t xml:space="preserve">(AlexBooks, March 2026), a documentary biography of human-AI collaboration whose</w:t>
      </w:r>
      <w:r>
        <w:t xml:space="preserve"> </w:t>
      </w:r>
      <w:r>
        <w:t xml:space="preserve">“Calibrated Confidence”</w:t>
      </w:r>
      <w:r>
        <w:t xml:space="preserve"> </w:t>
      </w:r>
      <w:r>
        <w:t xml:space="preserve">chapter and scholarly appendix address over-reliance, verification, and preservation of human judgment in a more public-facing narrative form.</w:t>
      </w:r>
    </w:p>
    <w:bookmarkEnd w:id="69"/>
    <w:bookmarkStart w:id="70" w:name="contextual-developments"/>
    <w:p>
      <w:pPr>
        <w:pStyle w:val="Heading3"/>
      </w:pPr>
      <w:r>
        <w:t xml:space="preserve">2026 Contextual Developments</w:t>
      </w:r>
    </w:p>
    <w:p>
      <w:pPr>
        <w:pStyle w:val="FirstParagraph"/>
      </w:pPr>
      <w:r>
        <w:t xml:space="preserve">The AI landscape has shifted materially since data collection (October–November 2025). Three developments frame the ongoing research agenda: (1) the DeepSeek R1 open-source release demonstrating that frontier AI capabilities are no longer exclusive to well-resourced organizations, changing the PV calculation entirely; (2) the emergence of agentic AI systems that operate with greater autonomy, raising new trust and control questions beyond the original AIRS scope; and (3) the EU AI Act’s enforcement timeline, introducing regulatory compliance as a new adoption consideration absent from the current UTAUT2 framework. These developments do not invalidate the AIRS findings but they indicate that the construct space will need to expand to remain comprehensive.</w:t>
      </w:r>
    </w:p>
    <w:bookmarkEnd w:id="70"/>
    <w:bookmarkEnd w:id="71"/>
    <w:bookmarkStart w:id="72" w:name="conclusion"/>
    <w:p>
      <w:pPr>
        <w:pStyle w:val="Heading2"/>
      </w:pPr>
      <w:r>
        <w:t xml:space="preserve">11. Conclusion</w:t>
      </w:r>
    </w:p>
    <w:p>
      <w:pPr>
        <w:pStyle w:val="FirstParagraph"/>
      </w:pPr>
      <w:r>
        <w:t xml:space="preserve">This study developed and validated the AI Readiness Scale (AIRS), a 16-item psychometric instrument extending UTAUT2 with AI Trust to assess organizational AI adoption readiness. The instrument demonstrated strong psychometric performance (CFI = .975, all α &gt; .74, all CR ≥ .75) and explained 89.7% of variance in behavioral intention to adopt AI tools.</w:t>
      </w:r>
    </w:p>
    <w:p>
      <w:pPr>
        <w:pStyle w:val="BodyText"/>
      </w:pPr>
      <w:r>
        <w:t xml:space="preserve">The central finding, that Price Value, rather than Performance Expectancy, is the strongest predictor of AI adoption intention, qualifies established technology acceptance theory and carries direct practical implications. Organizations investing in AI should emphasize value demonstration and cost-benefit analysis rather than relying primarily on capability showcases. The three-segment user typology (Enthusiasts 31%, Moderate Users 47%, Skeptics 22%) offers a practical framework for workforce segmentation and targeted intervention design.</w:t>
      </w:r>
    </w:p>
    <w:p>
      <w:pPr>
        <w:pStyle w:val="BodyText"/>
      </w:pPr>
      <w:r>
        <w:t xml:space="preserve">The AIRS instrument is sufficiently compact for organizational use while retaining meaningful diagnostic detail. Its 16-item structure supports large-scale administration, and its 8-factor measurement model provides actionable information about barriers related to performance perceptions, ease of use, social influence, facilitating conditions, hedonic motivation, price value, habit, and trust. In practical terms, the instrument helps translate AI readiness from a general concern into a set of measurable conditions that can be monitored and addressed through targeted intervention.</w:t>
      </w:r>
    </w:p>
    <w:p>
      <w:pPr>
        <w:pStyle w:val="BodyText"/>
      </w:pPr>
      <w:r>
        <w:rPr>
          <w:b/>
          <w:bCs/>
        </w:rPr>
        <w:t xml:space="preserve">Degree:</w:t>
      </w:r>
      <w:r>
        <w:t xml:space="preserve"> </w:t>
      </w:r>
      <w:r>
        <w:t xml:space="preserve">Doctor of Business Administration (DBA)</w:t>
      </w:r>
      <w:r>
        <w:t xml:space="preserve"> </w:t>
      </w:r>
      <w:r>
        <w:rPr>
          <w:b/>
          <w:bCs/>
        </w:rPr>
        <w:t xml:space="preserve">Data Collection:</w:t>
      </w:r>
      <w:r>
        <w:t xml:space="preserve"> </w:t>
      </w:r>
      <w:r>
        <w:t xml:space="preserve">October–November 2025</w:t>
      </w:r>
      <w:r>
        <w:t xml:space="preserve"> </w:t>
      </w:r>
      <w:r>
        <w:rPr>
          <w:b/>
          <w:bCs/>
        </w:rPr>
        <w:t xml:space="preserve">Analysis Pipeline:</w:t>
      </w:r>
      <w:r>
        <w:t xml:space="preserve"> </w:t>
      </w:r>
      <w:r>
        <w:t xml:space="preserve">Python + R/lavaan 0.6.21 (dual-platform validated)</w:t>
      </w:r>
      <w:r>
        <w:t xml:space="preserve"> </w:t>
      </w:r>
      <w:r>
        <w:rPr>
          <w:b/>
          <w:bCs/>
        </w:rPr>
        <w:t xml:space="preserve">Sample:</w:t>
      </w:r>
      <w:r>
        <w:t xml:space="preserve"> </w:t>
      </w:r>
      <w:r>
        <w:t xml:space="preserve">N = 523 (United States students and professionals)</w:t>
      </w:r>
      <w:r>
        <w:t xml:space="preserve"> </w:t>
      </w:r>
      <w:r>
        <w:rPr>
          <w:b/>
          <w:bCs/>
        </w:rPr>
        <w:t xml:space="preserve">Instrument:</w:t>
      </w:r>
      <w:r>
        <w:t xml:space="preserve"> </w:t>
      </w:r>
      <w:r>
        <w:t xml:space="preserve">AIRS 16-item scale (8 factors × 2 items + 4 BI items)</w:t>
      </w:r>
    </w:p>
    <w:bookmarkEnd w:id="72"/>
    <w:bookmarkStart w:id="74" w:name="X330ae99b4811917392710601c932bab42f92935"/>
    <w:p>
      <w:pPr>
        <w:pStyle w:val="Heading2"/>
      </w:pPr>
      <w:r>
        <w:t xml:space="preserve">Appendix A: AIRS-16 Final Validated Instrument</w:t>
      </w:r>
    </w:p>
    <w:p>
      <w:pPr>
        <w:pStyle w:val="FirstParagraph"/>
      </w:pPr>
      <w:r>
        <w:t xml:space="preserve">The AIRS-16 consists of 16 items across 8 constructs, measured on a 5-point Likert scale (1 = Strongly Disagree to 5 = Strongly Agree). All items are rated on the same response anchors.</w:t>
      </w:r>
    </w:p>
    <w:tbl>
      <w:tblPr>
        <w:tblStyle w:val="Table"/>
        <w:tblLayout w:type="fixed"/>
        <w:tblLook w:firstRow="1" w:lastRow="0" w:firstColumn="0" w:lastColumn="0" w:noHBand="0" w:noVBand="0" w:val="0020"/>
        <w:tblW w:type="pct" w:w="5000"/>
      </w:tblPr>
      <w:tblGrid>
        <w:gridCol w:w="2640"/>
        <w:gridCol w:w="2640"/>
        <w:gridCol w:w="2640"/>
      </w:tblGrid>
      <w:tr>
        <w:trPr>
          <w:tblHeader w:val="on"/>
          <w:cantSplit w:val="true"/>
        </w:trPr>
        <w:tc>
          <w:tcPr>
            <w:shd w:fill="0078D4" w:val="clear"/>
            <w:tcBorders>
              <w:top w:val="single" w:sz="4" w:space="0" w:color="666666"/>
              <w:bottom w:val="single" w:sz="4" w:space="0" w:color="AAAAAA"/>
              <w:left w:val="single" w:sz="4" w:space="0" w:color="666666"/>
              <w:right w:val="single" w:sz="4" w:space="0" w:color="AAAAAA"/>
            </w:tcBorders>
            <w:shd w:fill="0078D4" w:val="clear"/>
          </w:tcPr>
          <w:p>
            <w:pPr>
              <w:pStyle w:val="Compact"/>
              <w:keepNext w:val="true"/>
            </w:pPr>
            <w:r>
              <w:rPr>
                <w:rFonts w:ascii="Calibri" w:hAnsi="Calibri"/>
                <w:b/>
                <w:color w:val="FFFFFF"/>
                <w:sz w:val="20"/>
              </w:rPr>
              <w:t xml:space="preserve">Construct</w:t>
            </w:r>
          </w:p>
        </w:tc>
        <w:tc>
          <w:tcPr>
            <w:shd w:fill="0078D4" w:val="clear"/>
            <w:tcBorders>
              <w:top w:val="single" w:sz="4" w:space="0" w:color="666666"/>
              <w:bottom w:val="single" w:sz="4" w:space="0" w:color="AAAAAA"/>
              <w:left w:val="single" w:sz="4" w:space="0" w:color="AAAAAA"/>
              <w:right w:val="single" w:sz="4" w:space="0" w:color="AAAAAA"/>
            </w:tcBorders>
            <w:shd w:fill="0078D4" w:val="clear"/>
          </w:tcPr>
          <w:p>
            <w:pPr>
              <w:pStyle w:val="Compact"/>
              <w:keepNext w:val="true"/>
            </w:pPr>
            <w:r>
              <w:rPr>
                <w:rFonts w:ascii="Calibri" w:hAnsi="Calibri"/>
                <w:b/>
                <w:color w:val="FFFFFF"/>
                <w:sz w:val="20"/>
              </w:rPr>
              <w:t xml:space="preserve">Item 1</w:t>
            </w:r>
          </w:p>
        </w:tc>
        <w:tc>
          <w:tcPr>
            <w:shd w:fill="0078D4" w:val="clear"/>
            <w:tcBorders>
              <w:top w:val="single" w:sz="4" w:space="0" w:color="666666"/>
              <w:bottom w:val="single" w:sz="4" w:space="0" w:color="AAAAAA"/>
              <w:left w:val="single" w:sz="4" w:space="0" w:color="AAAAAA"/>
              <w:right w:val="single" w:sz="4" w:space="0" w:color="666666"/>
            </w:tcBorders>
            <w:shd w:fill="0078D4" w:val="clear"/>
          </w:tcPr>
          <w:p>
            <w:pPr>
              <w:pStyle w:val="Compact"/>
              <w:keepNext w:val="true"/>
            </w:pPr>
            <w:r>
              <w:rPr>
                <w:rFonts w:ascii="Calibri" w:hAnsi="Calibri"/>
                <w:b/>
                <w:color w:val="FFFFFF"/>
                <w:sz w:val="20"/>
              </w:rPr>
              <w:t xml:space="preserve">Item 2</w:t>
            </w:r>
          </w:p>
        </w:tc>
      </w:tr>
      <w:tr>
        <w:trPr>
          <w:cantSplit w:val="true"/>
        </w:trPr>
        <w:tc>
          <w:tcPr>
            <w:shd w:fill="FFFFFF" w:val="clea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b w:val="0"/>
                <w:bCs/>
                <w:sz w:val="18"/>
              </w:rPr>
              <w:t xml:space="preserve">Performance Expectancy (PE)</w:t>
            </w:r>
          </w:p>
        </w:tc>
        <w:tc>
          <w:tcPr>
            <w:shd w:fill="FFFFFF" w:val="clea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b w:val="0"/>
                <w:sz w:val="18"/>
              </w:rPr>
              <w:t xml:space="preserve">PE1: AI tools help me accomplish tasks more quickly.</w:t>
            </w:r>
          </w:p>
        </w:tc>
        <w:tc>
          <w:tcPr>
            <w:shd w:fill="FFFFFF" w:val="clea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b w:val="0"/>
                <w:sz w:val="18"/>
              </w:rPr>
              <w:t xml:space="preserve">PE2: Using AI improves the quality of my work or studies.</w:t>
            </w:r>
          </w:p>
        </w:tc>
      </w:tr>
      <w:tr>
        <w:trPr>
          <w:cantSplit w:val="true"/>
        </w:trPr>
        <w:tc>
          <w:tcPr>
            <w:shd w:fill="F0F0F0" w:val="clear"/>
            <w:tcBorders>
              <w:top w:val="single" w:sz="4" w:space="0" w:color="AAAAAA"/>
              <w:bottom w:val="single" w:sz="4" w:space="0" w:color="AAAAAA"/>
              <w:left w:val="single" w:sz="4" w:space="0" w:color="666666"/>
              <w:right w:val="single" w:sz="4" w:space="0" w:color="AAAAAA"/>
            </w:tcBorders>
            <w:shd w:fill="F0F0F0" w:val="clear"/>
          </w:tcPr>
          <w:p>
            <w:pPr>
              <w:pStyle w:val="Compact"/>
              <w:keepNext w:val="true"/>
            </w:pPr>
            <w:r>
              <w:rPr>
                <w:rFonts w:ascii="Calibri" w:hAnsi="Calibri"/>
                <w:b w:val="0"/>
                <w:bCs/>
                <w:sz w:val="18"/>
              </w:rPr>
              <w:t xml:space="preserve">Effort Expectancy (EE)</w:t>
            </w:r>
          </w:p>
        </w:tc>
        <w:tc>
          <w:tcPr>
            <w:shd w:fill="F0F0F0" w:val="clea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b w:val="0"/>
                <w:sz w:val="18"/>
              </w:rPr>
              <w:t xml:space="preserve">EE1: Learning to use AI tools is easy for me.</w:t>
            </w:r>
          </w:p>
        </w:tc>
        <w:tc>
          <w:tcPr>
            <w:shd w:fill="F0F0F0" w:val="clear"/>
            <w:tcBorders>
              <w:top w:val="single" w:sz="4" w:space="0" w:color="AAAAAA"/>
              <w:bottom w:val="single" w:sz="4" w:space="0" w:color="AAAAAA"/>
              <w:left w:val="single" w:sz="4" w:space="0" w:color="AAAAAA"/>
              <w:right w:val="single" w:sz="4" w:space="0" w:color="666666"/>
            </w:tcBorders>
            <w:shd w:fill="F0F0F0" w:val="clear"/>
          </w:tcPr>
          <w:p>
            <w:pPr>
              <w:pStyle w:val="Compact"/>
              <w:keepNext w:val="true"/>
            </w:pPr>
            <w:r>
              <w:rPr>
                <w:rFonts w:ascii="Calibri" w:hAnsi="Calibri"/>
                <w:b w:val="0"/>
                <w:sz w:val="18"/>
              </w:rPr>
              <w:t xml:space="preserve">EE2: Interacting with AI tools is clear and understandable.</w:t>
            </w:r>
          </w:p>
        </w:tc>
      </w:tr>
      <w:tr>
        <w:trPr>
          <w:cantSplit w:val="true"/>
        </w:trPr>
        <w:tc>
          <w:tcPr>
            <w:shd w:fill="FFFFFF" w:val="clea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b w:val="0"/>
                <w:bCs/>
                <w:sz w:val="18"/>
              </w:rPr>
              <w:t xml:space="preserve">Social Influence (SI)</w:t>
            </w:r>
          </w:p>
        </w:tc>
        <w:tc>
          <w:tcPr>
            <w:shd w:fill="FFFFFF" w:val="clea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b w:val="0"/>
                <w:sz w:val="18"/>
              </w:rPr>
              <w:t xml:space="preserve">SI1: People whose opinions I value encourage me to use AI tools.</w:t>
            </w:r>
          </w:p>
        </w:tc>
        <w:tc>
          <w:tcPr>
            <w:shd w:fill="FFFFFF" w:val="clea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b w:val="0"/>
                <w:sz w:val="18"/>
              </w:rPr>
              <w:t xml:space="preserve">SI2: Leaders in my organization or school support the use of AI tools.</w:t>
            </w:r>
          </w:p>
        </w:tc>
      </w:tr>
      <w:tr>
        <w:trPr>
          <w:cantSplit w:val="true"/>
        </w:trPr>
        <w:tc>
          <w:tcPr>
            <w:shd w:fill="F0F0F0" w:val="clear"/>
            <w:tcBorders>
              <w:top w:val="single" w:sz="4" w:space="0" w:color="AAAAAA"/>
              <w:bottom w:val="single" w:sz="4" w:space="0" w:color="AAAAAA"/>
              <w:left w:val="single" w:sz="4" w:space="0" w:color="666666"/>
              <w:right w:val="single" w:sz="4" w:space="0" w:color="AAAAAA"/>
            </w:tcBorders>
            <w:shd w:fill="F0F0F0" w:val="clear"/>
          </w:tcPr>
          <w:p>
            <w:pPr>
              <w:pStyle w:val="Compact"/>
              <w:keepNext w:val="true"/>
            </w:pPr>
            <w:r>
              <w:rPr>
                <w:rFonts w:ascii="Calibri" w:hAnsi="Calibri"/>
                <w:b w:val="0"/>
                <w:bCs/>
                <w:sz w:val="18"/>
              </w:rPr>
              <w:t xml:space="preserve">Facilitating Conditions (FC)</w:t>
            </w:r>
          </w:p>
        </w:tc>
        <w:tc>
          <w:tcPr>
            <w:shd w:fill="F0F0F0" w:val="clea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b w:val="0"/>
                <w:sz w:val="18"/>
              </w:rPr>
              <w:t xml:space="preserve">FC1: I have access to training or tutorials for the AI tools I use.</w:t>
            </w:r>
          </w:p>
        </w:tc>
        <w:tc>
          <w:tcPr>
            <w:shd w:fill="F0F0F0" w:val="clear"/>
            <w:tcBorders>
              <w:top w:val="single" w:sz="4" w:space="0" w:color="AAAAAA"/>
              <w:bottom w:val="single" w:sz="4" w:space="0" w:color="AAAAAA"/>
              <w:left w:val="single" w:sz="4" w:space="0" w:color="AAAAAA"/>
              <w:right w:val="single" w:sz="4" w:space="0" w:color="666666"/>
            </w:tcBorders>
            <w:shd w:fill="F0F0F0" w:val="clear"/>
          </w:tcPr>
          <w:p>
            <w:pPr>
              <w:pStyle w:val="Compact"/>
              <w:keepNext w:val="true"/>
            </w:pPr>
            <w:r>
              <w:rPr>
                <w:rFonts w:ascii="Calibri" w:hAnsi="Calibri"/>
                <w:b w:val="0"/>
                <w:sz w:val="18"/>
              </w:rPr>
              <w:t xml:space="preserve">FC2: The AI tools I use are compatible with other tools or systems I use.</w:t>
            </w:r>
          </w:p>
        </w:tc>
      </w:tr>
      <w:tr>
        <w:trPr>
          <w:cantSplit w:val="true"/>
        </w:trPr>
        <w:tc>
          <w:tcPr>
            <w:shd w:fill="FFFFFF" w:val="clea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b w:val="0"/>
                <w:bCs/>
                <w:sz w:val="18"/>
              </w:rPr>
              <w:t xml:space="preserve">Hedonic Motivation (HM)</w:t>
            </w:r>
          </w:p>
        </w:tc>
        <w:tc>
          <w:tcPr>
            <w:shd w:fill="FFFFFF" w:val="clea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b w:val="0"/>
                <w:sz w:val="18"/>
              </w:rPr>
              <w:t xml:space="preserve">HM1: Using AI tools is stimulating and engaging.</w:t>
            </w:r>
          </w:p>
        </w:tc>
        <w:tc>
          <w:tcPr>
            <w:shd w:fill="FFFFFF" w:val="clea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b w:val="0"/>
                <w:sz w:val="18"/>
              </w:rPr>
              <w:t xml:space="preserve">HM2: AI tools make my work or studies more interesting.</w:t>
            </w:r>
          </w:p>
        </w:tc>
      </w:tr>
      <w:tr>
        <w:trPr>
          <w:cantSplit w:val="true"/>
        </w:trPr>
        <w:tc>
          <w:tcPr>
            <w:shd w:fill="F0F0F0" w:val="clear"/>
            <w:tcBorders>
              <w:top w:val="single" w:sz="4" w:space="0" w:color="AAAAAA"/>
              <w:bottom w:val="single" w:sz="4" w:space="0" w:color="AAAAAA"/>
              <w:left w:val="single" w:sz="4" w:space="0" w:color="666666"/>
              <w:right w:val="single" w:sz="4" w:space="0" w:color="AAAAAA"/>
            </w:tcBorders>
            <w:shd w:fill="F0F0F0" w:val="clear"/>
          </w:tcPr>
          <w:p>
            <w:pPr>
              <w:pStyle w:val="Compact"/>
              <w:keepNext w:val="true"/>
            </w:pPr>
            <w:r>
              <w:rPr>
                <w:rFonts w:ascii="Calibri" w:hAnsi="Calibri"/>
                <w:b w:val="0"/>
                <w:bCs/>
                <w:sz w:val="18"/>
              </w:rPr>
              <w:t xml:space="preserve">Price Value (PV)</w:t>
            </w:r>
          </w:p>
        </w:tc>
        <w:tc>
          <w:tcPr>
            <w:shd w:fill="F0F0F0" w:val="clea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b w:val="0"/>
                <w:sz w:val="18"/>
              </w:rPr>
              <w:t xml:space="preserve">PV1: I get more value from AI tools than the effort they require.</w:t>
            </w:r>
          </w:p>
        </w:tc>
        <w:tc>
          <w:tcPr>
            <w:shd w:fill="F0F0F0" w:val="clear"/>
            <w:tcBorders>
              <w:top w:val="single" w:sz="4" w:space="0" w:color="AAAAAA"/>
              <w:bottom w:val="single" w:sz="4" w:space="0" w:color="AAAAAA"/>
              <w:left w:val="single" w:sz="4" w:space="0" w:color="AAAAAA"/>
              <w:right w:val="single" w:sz="4" w:space="0" w:color="666666"/>
            </w:tcBorders>
            <w:shd w:fill="F0F0F0" w:val="clear"/>
          </w:tcPr>
          <w:p>
            <w:pPr>
              <w:pStyle w:val="Compact"/>
              <w:keepNext w:val="true"/>
            </w:pPr>
            <w:r>
              <w:rPr>
                <w:rFonts w:ascii="Calibri" w:hAnsi="Calibri"/>
                <w:b w:val="0"/>
                <w:sz w:val="18"/>
              </w:rPr>
              <w:t xml:space="preserve">PV2: Using AI tools is worth the learning curve.</w:t>
            </w:r>
          </w:p>
        </w:tc>
      </w:tr>
      <w:tr>
        <w:trPr>
          <w:cantSplit w:val="true"/>
        </w:trPr>
        <w:tc>
          <w:tcPr>
            <w:shd w:fill="FFFFFF" w:val="clea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b w:val="0"/>
                <w:bCs/>
                <w:sz w:val="18"/>
              </w:rPr>
              <w:t xml:space="preserve">Habit (HB)</w:t>
            </w:r>
          </w:p>
        </w:tc>
        <w:tc>
          <w:tcPr>
            <w:shd w:fill="FFFFFF" w:val="clea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b w:val="0"/>
                <w:sz w:val="18"/>
              </w:rPr>
              <w:t xml:space="preserve">HB1: Using AI tools has become a habit for me.</w:t>
            </w:r>
          </w:p>
        </w:tc>
        <w:tc>
          <w:tcPr>
            <w:shd w:fill="FFFFFF" w:val="clea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b w:val="0"/>
                <w:sz w:val="18"/>
              </w:rPr>
              <w:t xml:space="preserve">HB2: I tend to rely on AI tools by default when I need help with tasks.</w:t>
            </w:r>
          </w:p>
        </w:tc>
      </w:tr>
      <w:tr>
        <w:trPr>
          <w:cantSplit w:val="true"/>
        </w:trPr>
        <w:tc>
          <w:tcPr>
            <w:shd w:fill="F0F0F0" w:val="clear"/>
            <w:tcBorders>
              <w:top w:val="single" w:sz="4" w:space="0" w:color="AAAAAA"/>
              <w:bottom w:val="single" w:sz="4" w:space="0" w:color="666666"/>
              <w:left w:val="single" w:sz="4" w:space="0" w:color="666666"/>
              <w:right w:val="single" w:sz="4" w:space="0" w:color="AAAAAA"/>
            </w:tcBorders>
            <w:shd w:fill="F0F0F0" w:val="clear"/>
          </w:tcPr>
          <w:p>
            <w:pPr>
              <w:pStyle w:val="Compact"/>
            </w:pPr>
            <w:r>
              <w:rPr>
                <w:rFonts w:ascii="Calibri" w:hAnsi="Calibri"/>
                <w:b w:val="0"/>
                <w:bCs/>
                <w:sz w:val="18"/>
              </w:rPr>
              <w:t xml:space="preserve">Trust in AI (TR)</w:t>
            </w:r>
          </w:p>
        </w:tc>
        <w:tc>
          <w:tcPr>
            <w:shd w:fill="F0F0F0" w:val="clear"/>
            <w:tcBorders>
              <w:top w:val="single" w:sz="4" w:space="0" w:color="AAAAAA"/>
              <w:bottom w:val="single" w:sz="4" w:space="0" w:color="666666"/>
              <w:left w:val="single" w:sz="4" w:space="0" w:color="AAAAAA"/>
              <w:right w:val="single" w:sz="4" w:space="0" w:color="AAAAAA"/>
            </w:tcBorders>
            <w:shd w:fill="F0F0F0" w:val="clear"/>
          </w:tcPr>
          <w:p>
            <w:pPr>
              <w:pStyle w:val="Compact"/>
            </w:pPr>
            <w:r>
              <w:rPr>
                <w:rFonts w:ascii="Calibri" w:hAnsi="Calibri"/>
                <w:b w:val="0"/>
                <w:sz w:val="18"/>
              </w:rPr>
              <w:t xml:space="preserve">TR1: I trust AI tools to provide reliable information.</w:t>
            </w:r>
          </w:p>
        </w:tc>
        <w:tc>
          <w:tcPr>
            <w:shd w:fill="F0F0F0" w:val="clear"/>
            <w:tcBorders>
              <w:top w:val="single" w:sz="4" w:space="0" w:color="AAAAAA"/>
              <w:bottom w:val="single" w:sz="4" w:space="0" w:color="666666"/>
              <w:left w:val="single" w:sz="4" w:space="0" w:color="AAAAAA"/>
              <w:right w:val="single" w:sz="4" w:space="0" w:color="666666"/>
            </w:tcBorders>
            <w:shd w:fill="F0F0F0" w:val="clear"/>
          </w:tcPr>
          <w:p>
            <w:pPr>
              <w:pStyle w:val="Compact"/>
            </w:pPr>
            <w:r>
              <w:rPr>
                <w:rFonts w:ascii="Calibri" w:hAnsi="Calibri"/>
                <w:b w:val="0"/>
                <w:sz w:val="18"/>
              </w:rPr>
              <w:t xml:space="preserve">TR2: I trust the AI tools that are available to me.</w:t>
            </w:r>
          </w:p>
        </w:tc>
      </w:tr>
    </w:tbl>
    <w:p>
      <w:pPr>
        <w:pStyle w:val="BodyText"/>
      </w:pPr>
      <w:r>
        <w:rPr>
          <w:b/>
          <w:bCs/>
        </w:rPr>
        <w:t xml:space="preserve">Scoring:</w:t>
      </w:r>
      <w:r>
        <w:t xml:space="preserve"> </w:t>
      </w:r>
      <w:r>
        <w:t xml:space="preserve">Compute the mean of each construct’s two items. The 8 construct scores identify specific adoption barriers for organizational diagnostic use (e.g., low PV = value communication gap; low TR = trust deficit; low SI = insufficient peer/leadership advocacy).</w:t>
      </w:r>
    </w:p>
    <w:bookmarkStart w:id="73" w:name="X901e00db9d26378c92fba7cd169017233311b93"/>
    <w:p>
      <w:pPr>
        <w:pStyle w:val="Heading3"/>
      </w:pPr>
      <w:r>
        <w:t xml:space="preserve">Behavioral Intention (BI): Research Outcome Variable</w:t>
      </w:r>
    </w:p>
    <w:p>
      <w:pPr>
        <w:pStyle w:val="FirstParagraph"/>
      </w:pPr>
      <w:r>
        <w:t xml:space="preserve">The following 4 items measure the dependent variable in the structural model. BI is used for research validation only and is not included in the AIRS-16 real-world implementation, where the goal is to diagnose readiness barriers rather than predict a self-reported intention score.</w:t>
      </w:r>
    </w:p>
    <w:tbl>
      <w:tblPr>
        <w:tblStyle w:val="Table"/>
        <w:tblLook w:firstRow="1" w:lastRow="0" w:firstColumn="0" w:lastColumn="0" w:noHBand="0" w:noVBand="0" w:val="0020"/>
        <w:tblW w:type="pct" w:w="5000"/>
      </w:tblPr>
      <w:tblGrid>
        <w:gridCol w:w="3960"/>
        <w:gridCol w:w="3960"/>
      </w:tblGrid>
      <w:tr>
        <w:trPr>
          <w:tblHeader w:val="on"/>
          <w:cantSplit w:val="true"/>
        </w:trPr>
        <w:tc>
          <w:tcPr>
            <w:shd w:fill="0078D4" w:val="clear"/>
            <w:tcBorders>
              <w:top w:val="single" w:sz="4" w:space="0" w:color="666666"/>
              <w:bottom w:val="single" w:sz="4" w:space="0" w:color="AAAAAA"/>
              <w:left w:val="single" w:sz="4" w:space="0" w:color="666666"/>
              <w:right w:val="single" w:sz="4" w:space="0" w:color="AAAAAA"/>
            </w:tcBorders>
            <w:shd w:fill="0078D4" w:val="clear"/>
          </w:tcPr>
          <w:p>
            <w:pPr>
              <w:pStyle w:val="Compact"/>
              <w:keepNext w:val="true"/>
            </w:pPr>
            <w:r>
              <w:rPr>
                <w:rFonts w:ascii="Calibri" w:hAnsi="Calibri"/>
                <w:b/>
                <w:color w:val="FFFFFF"/>
                <w:sz w:val="20"/>
              </w:rPr>
              <w:t xml:space="preserve">Item</w:t>
            </w:r>
          </w:p>
        </w:tc>
        <w:tc>
          <w:tcPr>
            <w:shd w:fill="0078D4" w:val="clear"/>
            <w:tcBorders>
              <w:top w:val="single" w:sz="4" w:space="0" w:color="666666"/>
              <w:bottom w:val="single" w:sz="4" w:space="0" w:color="AAAAAA"/>
              <w:left w:val="single" w:sz="4" w:space="0" w:color="AAAAAA"/>
              <w:right w:val="single" w:sz="4" w:space="0" w:color="666666"/>
            </w:tcBorders>
            <w:shd w:fill="0078D4" w:val="clear"/>
          </w:tcPr>
          <w:p>
            <w:pPr>
              <w:pStyle w:val="Compact"/>
              <w:keepNext w:val="true"/>
            </w:pPr>
            <w:r>
              <w:rPr>
                <w:rFonts w:ascii="Calibri" w:hAnsi="Calibri"/>
                <w:b/>
                <w:color w:val="FFFFFF"/>
                <w:sz w:val="20"/>
              </w:rPr>
              <w:t xml:space="preserve">Statement</w:t>
            </w:r>
          </w:p>
        </w:tc>
      </w:tr>
      <w:tr>
        <w:trPr>
          <w:cantSplit w:val="true"/>
        </w:trPr>
        <w:tc>
          <w:tcPr>
            <w:shd w:fill="FFFFFF" w:val="clea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b w:val="0"/>
                <w:sz w:val="18"/>
              </w:rPr>
              <w:t xml:space="preserve">BI1</w:t>
            </w:r>
          </w:p>
        </w:tc>
        <w:tc>
          <w:tcPr>
            <w:shd w:fill="FFFFFF" w:val="clea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b w:val="0"/>
                <w:sz w:val="18"/>
              </w:rPr>
              <w:t xml:space="preserve">I am ready to use more AI tools in my work or studies.</w:t>
            </w:r>
          </w:p>
        </w:tc>
      </w:tr>
      <w:tr>
        <w:trPr>
          <w:cantSplit w:val="true"/>
        </w:trPr>
        <w:tc>
          <w:tcPr>
            <w:shd w:fill="F0F0F0" w:val="clear"/>
            <w:tcBorders>
              <w:top w:val="single" w:sz="4" w:space="0" w:color="AAAAAA"/>
              <w:bottom w:val="single" w:sz="4" w:space="0" w:color="AAAAAA"/>
              <w:left w:val="single" w:sz="4" w:space="0" w:color="666666"/>
              <w:right w:val="single" w:sz="4" w:space="0" w:color="AAAAAA"/>
            </w:tcBorders>
            <w:shd w:fill="F0F0F0" w:val="clear"/>
          </w:tcPr>
          <w:p>
            <w:pPr>
              <w:pStyle w:val="Compact"/>
              <w:keepNext w:val="true"/>
            </w:pPr>
            <w:r>
              <w:rPr>
                <w:rFonts w:ascii="Calibri" w:hAnsi="Calibri"/>
                <w:b w:val="0"/>
                <w:sz w:val="18"/>
              </w:rPr>
              <w:t xml:space="preserve">BI2</w:t>
            </w:r>
          </w:p>
        </w:tc>
        <w:tc>
          <w:tcPr>
            <w:shd w:fill="F0F0F0" w:val="clear"/>
            <w:tcBorders>
              <w:top w:val="single" w:sz="4" w:space="0" w:color="AAAAAA"/>
              <w:bottom w:val="single" w:sz="4" w:space="0" w:color="AAAAAA"/>
              <w:left w:val="single" w:sz="4" w:space="0" w:color="AAAAAA"/>
              <w:right w:val="single" w:sz="4" w:space="0" w:color="666666"/>
            </w:tcBorders>
            <w:shd w:fill="F0F0F0" w:val="clear"/>
          </w:tcPr>
          <w:p>
            <w:pPr>
              <w:pStyle w:val="Compact"/>
              <w:keepNext w:val="true"/>
            </w:pPr>
            <w:r>
              <w:rPr>
                <w:rFonts w:ascii="Calibri" w:hAnsi="Calibri"/>
                <w:b w:val="0"/>
                <w:sz w:val="18"/>
              </w:rPr>
              <w:t xml:space="preserve">I would recommend AI tools to others.</w:t>
            </w:r>
          </w:p>
        </w:tc>
      </w:tr>
      <w:tr>
        <w:trPr>
          <w:cantSplit w:val="true"/>
        </w:trPr>
        <w:tc>
          <w:tcPr>
            <w:shd w:fill="FFFFFF" w:val="clea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b w:val="0"/>
                <w:sz w:val="18"/>
              </w:rPr>
              <w:t xml:space="preserve">BI3</w:t>
            </w:r>
          </w:p>
        </w:tc>
        <w:tc>
          <w:tcPr>
            <w:shd w:fill="FFFFFF" w:val="clea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b w:val="0"/>
                <w:sz w:val="18"/>
              </w:rPr>
              <w:t xml:space="preserve">I see AI as an important part of my future.</w:t>
            </w:r>
          </w:p>
        </w:tc>
      </w:tr>
      <w:tr>
        <w:trPr>
          <w:cantSplit w:val="true"/>
        </w:trPr>
        <w:tc>
          <w:tcPr>
            <w:shd w:fill="F0F0F0" w:val="clear"/>
            <w:tcBorders>
              <w:top w:val="single" w:sz="4" w:space="0" w:color="AAAAAA"/>
              <w:bottom w:val="single" w:sz="4" w:space="0" w:color="666666"/>
              <w:left w:val="single" w:sz="4" w:space="0" w:color="666666"/>
              <w:right w:val="single" w:sz="4" w:space="0" w:color="AAAAAA"/>
            </w:tcBorders>
            <w:shd w:fill="F0F0F0" w:val="clear"/>
          </w:tcPr>
          <w:p>
            <w:pPr>
              <w:pStyle w:val="Compact"/>
            </w:pPr>
            <w:r>
              <w:rPr>
                <w:rFonts w:ascii="Calibri" w:hAnsi="Calibri"/>
                <w:b w:val="0"/>
                <w:sz w:val="18"/>
              </w:rPr>
              <w:t xml:space="preserve">BI4</w:t>
            </w:r>
          </w:p>
        </w:tc>
        <w:tc>
          <w:tcPr>
            <w:shd w:fill="F0F0F0" w:val="clear"/>
            <w:tcBorders>
              <w:top w:val="single" w:sz="4" w:space="0" w:color="AAAAAA"/>
              <w:bottom w:val="single" w:sz="4" w:space="0" w:color="666666"/>
              <w:left w:val="single" w:sz="4" w:space="0" w:color="AAAAAA"/>
              <w:right w:val="single" w:sz="4" w:space="0" w:color="666666"/>
            </w:tcBorders>
            <w:shd w:fill="F0F0F0" w:val="clear"/>
          </w:tcPr>
          <w:p>
            <w:pPr>
              <w:pStyle w:val="Compact"/>
            </w:pPr>
            <w:r>
              <w:rPr>
                <w:rFonts w:ascii="Calibri" w:hAnsi="Calibri"/>
                <w:b w:val="0"/>
                <w:sz w:val="18"/>
              </w:rPr>
              <w:t xml:space="preserve">I plan to increase my use of AI tools in the next six months.</w:t>
            </w:r>
          </w:p>
        </w:tc>
      </w:tr>
    </w:tbl>
    <w:bookmarkEnd w:id="73"/>
    <w:bookmarkEnd w:id="74"/>
    <w:bookmarkStart w:id="82" w:name="X06261ba07157b7d2b5a6207f0eb2bc145d91e1d"/>
    <w:p>
      <w:pPr>
        <w:pStyle w:val="Heading2"/>
      </w:pPr>
      <w:r>
        <w:t xml:space="preserve">Appendix B: AIRS Enterprise: From Research to Practice</w:t>
      </w:r>
    </w:p>
    <w:p>
      <w:pPr>
        <w:pStyle w:val="FirstParagraph"/>
      </w:pPr>
      <w:r>
        <w:t xml:space="preserve">The AIRS Enterprise platform (</w:t>
      </w:r>
      <w:hyperlink r:id="rId75">
        <w:r>
          <w:rPr>
            <w:rStyle w:val="Hyperlink"/>
          </w:rPr>
          <w:t xml:space="preserve">airs.correax.com</w:t>
        </w:r>
      </w:hyperlink>
      <w:r>
        <w:t xml:space="preserve">) translates the validated AIRS-16 instrument into a production SaaS platform that serves three purposes: delivering practical assessment and remediation tools to organizations, enabling longitudinal data collection at scale, and narrowing the research-practice gap that often limits the impact of psychometric instruments.</w:t>
      </w:r>
    </w:p>
    <w:bookmarkStart w:id="76" w:name="b.1-platform-overview"/>
    <w:p>
      <w:pPr>
        <w:pStyle w:val="Heading3"/>
      </w:pPr>
      <w:r>
        <w:t xml:space="preserve">B.1 Platform Overview</w:t>
      </w:r>
    </w:p>
    <w:p>
      <w:pPr>
        <w:pStyle w:val="FirstParagraph"/>
      </w:pPr>
      <w:r>
        <w:t xml:space="preserve">AIRS Enterprise (v1.2.1, General Availability) extends the AIRS-16 from a static questionnaire into an interactive diagnostic system. The platform is operational, built on Azure infrastructure with zero-trust networking and Microsoft Secure Future Initiative (SFI) compliance.</w:t>
      </w:r>
    </w:p>
    <w:p>
      <w:pPr>
        <w:pStyle w:val="BodyText"/>
      </w:pPr>
      <w:r>
        <w:rPr>
          <w:b/>
          <w:bCs/>
        </w:rPr>
        <w:t xml:space="preserve">Core Capabilities:</w:t>
      </w:r>
    </w:p>
    <w:tbl>
      <w:tblPr>
        <w:tblStyle w:val="Table"/>
        <w:tblLayout w:type="fixed"/>
        <w:tblLook w:firstRow="1" w:lastRow="0" w:firstColumn="0" w:lastColumn="0" w:noHBand="0" w:noVBand="0" w:val="0020"/>
        <w:tblW w:type="pct" w:w="5000"/>
      </w:tblPr>
      <w:tblGrid>
        <w:gridCol w:w="1726"/>
        <w:gridCol w:w="6193"/>
      </w:tblGrid>
      <w:tr>
        <w:trPr>
          <w:tblHeader w:val="on"/>
          <w:cantSplit w:val="true"/>
        </w:trPr>
        <w:tc>
          <w:tcPr>
            <w:shd w:fill="0078D4" w:val="clear"/>
            <w:tcBorders>
              <w:top w:val="single" w:sz="4" w:space="0" w:color="666666"/>
              <w:bottom w:val="single" w:sz="4" w:space="0" w:color="AAAAAA"/>
              <w:left w:val="single" w:sz="4" w:space="0" w:color="666666"/>
              <w:right w:val="single" w:sz="4" w:space="0" w:color="AAAAAA"/>
            </w:tcBorders>
            <w:shd w:fill="0078D4" w:val="clear"/>
          </w:tcPr>
          <w:p>
            <w:pPr>
              <w:pStyle w:val="Compact"/>
              <w:jc w:val="left"/>
              <w:keepNext w:val="true"/>
            </w:pPr>
            <w:r>
              <w:rPr>
                <w:rFonts w:ascii="Calibri" w:hAnsi="Calibri"/>
                <w:b/>
                <w:color w:val="FFFFFF"/>
                <w:sz w:val="20"/>
              </w:rPr>
              <w:t xml:space="preserve">Capability</w:t>
            </w:r>
          </w:p>
        </w:tc>
        <w:tc>
          <w:tcPr>
            <w:shd w:fill="0078D4" w:val="clear"/>
            <w:tcBorders>
              <w:top w:val="single" w:sz="4" w:space="0" w:color="666666"/>
              <w:bottom w:val="single" w:sz="4" w:space="0" w:color="AAAAAA"/>
              <w:left w:val="single" w:sz="4" w:space="0" w:color="AAAAAA"/>
              <w:right w:val="single" w:sz="4" w:space="0" w:color="666666"/>
            </w:tcBorders>
            <w:shd w:fill="0078D4" w:val="clear"/>
          </w:tcPr>
          <w:p>
            <w:pPr>
              <w:pStyle w:val="Compact"/>
              <w:jc w:val="left"/>
              <w:keepNext w:val="true"/>
            </w:pPr>
            <w:r>
              <w:rPr>
                <w:rFonts w:ascii="Calibri" w:hAnsi="Calibri"/>
                <w:b/>
                <w:color w:val="FFFFFF"/>
                <w:sz w:val="20"/>
              </w:rPr>
              <w:t xml:space="preserve">Description</w:t>
            </w:r>
          </w:p>
        </w:tc>
      </w:tr>
      <w:tr>
        <w:trPr>
          <w:cantSplit w:val="true"/>
        </w:trPr>
        <w:tc>
          <w:tcPr>
            <w:shd w:fill="FFFFFF" w:val="clear"/>
            <w:tcBorders>
              <w:top w:val="single" w:sz="4" w:space="0" w:color="AAAAAA"/>
              <w:bottom w:val="single" w:sz="4" w:space="0" w:color="AAAAAA"/>
              <w:left w:val="single" w:sz="4" w:space="0" w:color="666666"/>
              <w:right w:val="single" w:sz="4" w:space="0" w:color="AAAAAA"/>
            </w:tcBorders>
          </w:tcPr>
          <w:p>
            <w:pPr>
              <w:pStyle w:val="Compact"/>
              <w:jc w:val="left"/>
              <w:keepNext w:val="true"/>
            </w:pPr>
            <w:r>
              <w:rPr>
                <w:rFonts w:ascii="Calibri" w:hAnsi="Calibri"/>
                <w:b w:val="0"/>
                <w:bCs/>
                <w:sz w:val="18"/>
              </w:rPr>
              <w:t xml:space="preserve">5-Minute Assessment</w:t>
            </w:r>
          </w:p>
        </w:tc>
        <w:tc>
          <w:tcPr>
            <w:shd w:fill="FFFFFF" w:val="clear"/>
            <w:tcBorders>
              <w:top w:val="single" w:sz="4" w:space="0" w:color="AAAAAA"/>
              <w:bottom w:val="single" w:sz="4" w:space="0" w:color="AAAAAA"/>
              <w:left w:val="single" w:sz="4" w:space="0" w:color="AAAAAA"/>
              <w:right w:val="single" w:sz="4" w:space="0" w:color="666666"/>
            </w:tcBorders>
          </w:tcPr>
          <w:p>
            <w:pPr>
              <w:pStyle w:val="Compact"/>
              <w:jc w:val="left"/>
              <w:keepNext w:val="true"/>
            </w:pPr>
            <w:r>
              <w:rPr>
                <w:rFonts w:ascii="Calibri" w:hAnsi="Calibri"/>
                <w:b w:val="0"/>
                <w:sz w:val="18"/>
              </w:rPr>
              <w:t xml:space="preserve">Interactive AIRS-16 with progress tracking, save/resume, and smart follow-up questions</w:t>
            </w:r>
          </w:p>
        </w:tc>
      </w:tr>
      <w:tr>
        <w:trPr>
          <w:cantSplit w:val="true"/>
        </w:trPr>
        <w:tc>
          <w:tcPr>
            <w:shd w:fill="F0F0F0" w:val="clear"/>
            <w:tcBorders>
              <w:top w:val="single" w:sz="4" w:space="0" w:color="AAAAAA"/>
              <w:bottom w:val="single" w:sz="4" w:space="0" w:color="AAAAAA"/>
              <w:left w:val="single" w:sz="4" w:space="0" w:color="666666"/>
              <w:right w:val="single" w:sz="4" w:space="0" w:color="AAAAAA"/>
            </w:tcBorders>
            <w:shd w:fill="F0F0F0" w:val="clear"/>
          </w:tcPr>
          <w:p>
            <w:pPr>
              <w:pStyle w:val="Compact"/>
              <w:jc w:val="left"/>
              <w:keepNext w:val="true"/>
            </w:pPr>
            <w:r>
              <w:rPr>
                <w:rFonts w:ascii="Calibri" w:hAnsi="Calibri"/>
                <w:b w:val="0"/>
                <w:bCs/>
                <w:sz w:val="18"/>
              </w:rPr>
              <w:t xml:space="preserve">AIRS Score</w:t>
            </w:r>
          </w:p>
        </w:tc>
        <w:tc>
          <w:tcPr>
            <w:shd w:fill="F0F0F0" w:val="clear"/>
            <w:tcBorders>
              <w:top w:val="single" w:sz="4" w:space="0" w:color="AAAAAA"/>
              <w:bottom w:val="single" w:sz="4" w:space="0" w:color="AAAAAA"/>
              <w:left w:val="single" w:sz="4" w:space="0" w:color="AAAAAA"/>
              <w:right w:val="single" w:sz="4" w:space="0" w:color="666666"/>
            </w:tcBorders>
            <w:shd w:fill="F0F0F0" w:val="clear"/>
          </w:tcPr>
          <w:p>
            <w:pPr>
              <w:pStyle w:val="Compact"/>
              <w:jc w:val="left"/>
              <w:keepNext w:val="true"/>
            </w:pPr>
            <w:r>
              <w:rPr>
                <w:rFonts w:ascii="Calibri" w:hAnsi="Calibri"/>
                <w:b w:val="0"/>
                <w:sz w:val="18"/>
              </w:rPr>
              <w:t xml:space="preserve">Composite readiness score (8–40) with demonstrated validity (r = .876)</w:t>
            </w:r>
          </w:p>
        </w:tc>
      </w:tr>
      <w:tr>
        <w:trPr>
          <w:cantSplit w:val="true"/>
        </w:trPr>
        <w:tc>
          <w:tcPr>
            <w:shd w:fill="FFFFFF" w:val="clear"/>
            <w:tcBorders>
              <w:top w:val="single" w:sz="4" w:space="0" w:color="AAAAAA"/>
              <w:bottom w:val="single" w:sz="4" w:space="0" w:color="AAAAAA"/>
              <w:left w:val="single" w:sz="4" w:space="0" w:color="666666"/>
              <w:right w:val="single" w:sz="4" w:space="0" w:color="AAAAAA"/>
            </w:tcBorders>
          </w:tcPr>
          <w:p>
            <w:pPr>
              <w:pStyle w:val="Compact"/>
              <w:jc w:val="left"/>
              <w:keepNext w:val="true"/>
            </w:pPr>
            <w:r>
              <w:rPr>
                <w:rFonts w:ascii="Calibri" w:hAnsi="Calibri"/>
                <w:b w:val="0"/>
                <w:bCs/>
                <w:sz w:val="18"/>
              </w:rPr>
              <w:t xml:space="preserve">Typology Classification</w:t>
            </w:r>
          </w:p>
        </w:tc>
        <w:tc>
          <w:tcPr>
            <w:shd w:fill="FFFFFF" w:val="clear"/>
            <w:tcBorders>
              <w:top w:val="single" w:sz="4" w:space="0" w:color="AAAAAA"/>
              <w:bottom w:val="single" w:sz="4" w:space="0" w:color="AAAAAA"/>
              <w:left w:val="single" w:sz="4" w:space="0" w:color="AAAAAA"/>
              <w:right w:val="single" w:sz="4" w:space="0" w:color="666666"/>
            </w:tcBorders>
          </w:tcPr>
          <w:p>
            <w:pPr>
              <w:pStyle w:val="Compact"/>
              <w:jc w:val="left"/>
              <w:keepNext w:val="true"/>
            </w:pPr>
            <w:r>
              <w:rPr>
                <w:rFonts w:ascii="Calibri" w:hAnsi="Calibri"/>
                <w:b w:val="0"/>
                <w:sz w:val="18"/>
              </w:rPr>
              <w:t xml:space="preserve">Three-segment classification (94.5% accuracy) matching the empirically derived clusters</w:t>
            </w:r>
          </w:p>
        </w:tc>
      </w:tr>
      <w:tr>
        <w:trPr>
          <w:cantSplit w:val="true"/>
        </w:trPr>
        <w:tc>
          <w:tcPr>
            <w:shd w:fill="F0F0F0" w:val="clear"/>
            <w:tcBorders>
              <w:top w:val="single" w:sz="4" w:space="0" w:color="AAAAAA"/>
              <w:bottom w:val="single" w:sz="4" w:space="0" w:color="AAAAAA"/>
              <w:left w:val="single" w:sz="4" w:space="0" w:color="666666"/>
              <w:right w:val="single" w:sz="4" w:space="0" w:color="AAAAAA"/>
            </w:tcBorders>
            <w:shd w:fill="F0F0F0" w:val="clear"/>
          </w:tcPr>
          <w:p>
            <w:pPr>
              <w:pStyle w:val="Compact"/>
              <w:jc w:val="left"/>
              <w:keepNext w:val="true"/>
            </w:pPr>
            <w:r>
              <w:rPr>
                <w:rFonts w:ascii="Calibri" w:hAnsi="Calibri"/>
                <w:b w:val="0"/>
                <w:bCs/>
                <w:sz w:val="18"/>
              </w:rPr>
              <w:t xml:space="preserve">AI-Personalized Guides</w:t>
            </w:r>
          </w:p>
        </w:tc>
        <w:tc>
          <w:tcPr>
            <w:shd w:fill="F0F0F0" w:val="clear"/>
            <w:tcBorders>
              <w:top w:val="single" w:sz="4" w:space="0" w:color="AAAAAA"/>
              <w:bottom w:val="single" w:sz="4" w:space="0" w:color="AAAAAA"/>
              <w:left w:val="single" w:sz="4" w:space="0" w:color="AAAAAA"/>
              <w:right w:val="single" w:sz="4" w:space="0" w:color="666666"/>
            </w:tcBorders>
            <w:shd w:fill="F0F0F0" w:val="clear"/>
          </w:tcPr>
          <w:p>
            <w:pPr>
              <w:pStyle w:val="Compact"/>
              <w:jc w:val="left"/>
              <w:keepNext w:val="true"/>
            </w:pPr>
            <w:r>
              <w:rPr>
                <w:rFonts w:ascii="Calibri" w:hAnsi="Calibri"/>
                <w:b w:val="0"/>
                <w:sz w:val="18"/>
              </w:rPr>
              <w:t xml:space="preserve">Streaming LLM-generated action plans (3–5 pages) tailored to individual profile and career context</w:t>
            </w:r>
          </w:p>
        </w:tc>
      </w:tr>
      <w:tr>
        <w:trPr>
          <w:cantSplit w:val="true"/>
        </w:trPr>
        <w:tc>
          <w:tcPr>
            <w:shd w:fill="FFFFFF" w:val="clear"/>
            <w:tcBorders>
              <w:top w:val="single" w:sz="4" w:space="0" w:color="AAAAAA"/>
              <w:bottom w:val="single" w:sz="4" w:space="0" w:color="AAAAAA"/>
              <w:left w:val="single" w:sz="4" w:space="0" w:color="666666"/>
              <w:right w:val="single" w:sz="4" w:space="0" w:color="AAAAAA"/>
            </w:tcBorders>
          </w:tcPr>
          <w:p>
            <w:pPr>
              <w:pStyle w:val="Compact"/>
              <w:jc w:val="left"/>
              <w:keepNext w:val="true"/>
            </w:pPr>
            <w:r>
              <w:rPr>
                <w:rFonts w:ascii="Calibri" w:hAnsi="Calibri"/>
                <w:b w:val="0"/>
                <w:bCs/>
                <w:sz w:val="18"/>
              </w:rPr>
              <w:t xml:space="preserve">Results Visualization</w:t>
            </w:r>
          </w:p>
        </w:tc>
        <w:tc>
          <w:tcPr>
            <w:shd w:fill="FFFFFF" w:val="clear"/>
            <w:tcBorders>
              <w:top w:val="single" w:sz="4" w:space="0" w:color="AAAAAA"/>
              <w:bottom w:val="single" w:sz="4" w:space="0" w:color="AAAAAA"/>
              <w:left w:val="single" w:sz="4" w:space="0" w:color="AAAAAA"/>
              <w:right w:val="single" w:sz="4" w:space="0" w:color="666666"/>
            </w:tcBorders>
          </w:tcPr>
          <w:p>
            <w:pPr>
              <w:pStyle w:val="Compact"/>
              <w:jc w:val="left"/>
              <w:keepNext w:val="true"/>
            </w:pPr>
            <w:r>
              <w:rPr>
                <w:rFonts w:ascii="Calibri" w:hAnsi="Calibri"/>
                <w:b w:val="0"/>
                <w:sz w:val="18"/>
              </w:rPr>
              <w:t xml:space="preserve">Animated gauge, 8-axis construct radar chart, and typology badge with actionable context</w:t>
            </w:r>
          </w:p>
        </w:tc>
      </w:tr>
      <w:tr>
        <w:trPr>
          <w:cantSplit w:val="true"/>
        </w:trPr>
        <w:tc>
          <w:tcPr>
            <w:shd w:fill="F0F0F0" w:val="clear"/>
            <w:tcBorders>
              <w:top w:val="single" w:sz="4" w:space="0" w:color="AAAAAA"/>
              <w:bottom w:val="single" w:sz="4" w:space="0" w:color="AAAAAA"/>
              <w:left w:val="single" w:sz="4" w:space="0" w:color="666666"/>
              <w:right w:val="single" w:sz="4" w:space="0" w:color="AAAAAA"/>
            </w:tcBorders>
            <w:shd w:fill="F0F0F0" w:val="clear"/>
          </w:tcPr>
          <w:p>
            <w:pPr>
              <w:pStyle w:val="Compact"/>
              <w:jc w:val="left"/>
              <w:keepNext w:val="true"/>
            </w:pPr>
            <w:r>
              <w:rPr>
                <w:rFonts w:ascii="Calibri" w:hAnsi="Calibri"/>
                <w:b w:val="0"/>
                <w:bCs/>
                <w:sz w:val="18"/>
              </w:rPr>
              <w:t xml:space="preserve">Multilingual Output</w:t>
            </w:r>
          </w:p>
        </w:tc>
        <w:tc>
          <w:tcPr>
            <w:shd w:fill="F0F0F0" w:val="clear"/>
            <w:tcBorders>
              <w:top w:val="single" w:sz="4" w:space="0" w:color="AAAAAA"/>
              <w:bottom w:val="single" w:sz="4" w:space="0" w:color="AAAAAA"/>
              <w:left w:val="single" w:sz="4" w:space="0" w:color="AAAAAA"/>
              <w:right w:val="single" w:sz="4" w:space="0" w:color="666666"/>
            </w:tcBorders>
            <w:shd w:fill="F0F0F0" w:val="clear"/>
          </w:tcPr>
          <w:p>
            <w:pPr>
              <w:pStyle w:val="Compact"/>
              <w:jc w:val="left"/>
              <w:keepNext w:val="true"/>
            </w:pPr>
            <w:r>
              <w:rPr>
                <w:rFonts w:ascii="Calibri" w:hAnsi="Calibri"/>
                <w:b w:val="0"/>
                <w:sz w:val="18"/>
              </w:rPr>
              <w:t xml:space="preserve">29 languages with browser auto-detection for personalized guides</w:t>
            </w:r>
          </w:p>
        </w:tc>
      </w:tr>
      <w:tr>
        <w:trPr>
          <w:cantSplit w:val="true"/>
        </w:trPr>
        <w:tc>
          <w:tcPr>
            <w:shd w:fill="FFFFFF" w:val="clear"/>
            <w:tcBorders>
              <w:top w:val="single" w:sz="4" w:space="0" w:color="AAAAAA"/>
              <w:bottom w:val="single" w:sz="4" w:space="0" w:color="AAAAAA"/>
              <w:left w:val="single" w:sz="4" w:space="0" w:color="666666"/>
              <w:right w:val="single" w:sz="4" w:space="0" w:color="AAAAAA"/>
            </w:tcBorders>
          </w:tcPr>
          <w:p>
            <w:pPr>
              <w:pStyle w:val="Compact"/>
              <w:jc w:val="left"/>
              <w:keepNext w:val="true"/>
            </w:pPr>
            <w:r>
              <w:rPr>
                <w:rFonts w:ascii="Calibri" w:hAnsi="Calibri"/>
                <w:b w:val="0"/>
                <w:bCs/>
                <w:sz w:val="18"/>
              </w:rPr>
              <w:t xml:space="preserve">Organization Management</w:t>
            </w:r>
          </w:p>
        </w:tc>
        <w:tc>
          <w:tcPr>
            <w:shd w:fill="FFFFFF" w:val="clear"/>
            <w:tcBorders>
              <w:top w:val="single" w:sz="4" w:space="0" w:color="AAAAAA"/>
              <w:bottom w:val="single" w:sz="4" w:space="0" w:color="AAAAAA"/>
              <w:left w:val="single" w:sz="4" w:space="0" w:color="AAAAAA"/>
              <w:right w:val="single" w:sz="4" w:space="0" w:color="666666"/>
            </w:tcBorders>
          </w:tcPr>
          <w:p>
            <w:pPr>
              <w:pStyle w:val="Compact"/>
              <w:jc w:val="left"/>
              <w:keepNext w:val="true"/>
            </w:pPr>
            <w:r>
              <w:rPr>
                <w:rFonts w:ascii="Calibri" w:hAnsi="Calibri"/>
                <w:b w:val="0"/>
                <w:sz w:val="18"/>
              </w:rPr>
              <w:t xml:space="preserve">Team analytics, department/role segmentation, CSV exports, and impact reporting</w:t>
            </w:r>
          </w:p>
        </w:tc>
      </w:tr>
      <w:tr>
        <w:trPr>
          <w:cantSplit w:val="true"/>
        </w:trPr>
        <w:tc>
          <w:tcPr>
            <w:shd w:fill="F0F0F0" w:val="clear"/>
            <w:tcBorders>
              <w:top w:val="single" w:sz="4" w:space="0" w:color="AAAAAA"/>
              <w:bottom w:val="single" w:sz="4" w:space="0" w:color="666666"/>
              <w:left w:val="single" w:sz="4" w:space="0" w:color="666666"/>
              <w:right w:val="single" w:sz="4" w:space="0" w:color="AAAAAA"/>
            </w:tcBorders>
            <w:shd w:fill="F0F0F0" w:val="clear"/>
          </w:tcPr>
          <w:p>
            <w:pPr>
              <w:pStyle w:val="Compact"/>
              <w:jc w:val="left"/>
            </w:pPr>
            <w:r>
              <w:rPr>
                <w:rFonts w:ascii="Calibri" w:hAnsi="Calibri"/>
                <w:b w:val="0"/>
                <w:bCs/>
                <w:sz w:val="18"/>
              </w:rPr>
              <w:t xml:space="preserve">Longitudinal Tracking</w:t>
            </w:r>
          </w:p>
        </w:tc>
        <w:tc>
          <w:tcPr>
            <w:shd w:fill="F0F0F0" w:val="clear"/>
            <w:tcBorders>
              <w:top w:val="single" w:sz="4" w:space="0" w:color="AAAAAA"/>
              <w:bottom w:val="single" w:sz="4" w:space="0" w:color="666666"/>
              <w:left w:val="single" w:sz="4" w:space="0" w:color="AAAAAA"/>
              <w:right w:val="single" w:sz="4" w:space="0" w:color="666666"/>
            </w:tcBorders>
            <w:shd w:fill="F0F0F0" w:val="clear"/>
          </w:tcPr>
          <w:p>
            <w:pPr>
              <w:pStyle w:val="Compact"/>
              <w:jc w:val="left"/>
            </w:pPr>
            <w:r>
              <w:rPr>
                <w:rFonts w:ascii="Calibri" w:hAnsi="Calibri"/>
                <w:b w:val="0"/>
                <w:sz w:val="18"/>
              </w:rPr>
              <w:t xml:space="preserve">Pre/post assessment comparison with trend analysis and history tracking</w:t>
            </w:r>
          </w:p>
        </w:tc>
      </w:tr>
    </w:tbl>
    <w:p>
      <w:pPr>
        <w:pStyle w:val="BodyText"/>
      </w:pPr>
      <w:r>
        <w:rPr>
          <w:b/>
          <w:bCs/>
        </w:rPr>
        <w:t xml:space="preserve">Technology Stack:</w:t>
      </w:r>
      <w:r>
        <w:t xml:space="preserve"> </w:t>
      </w:r>
      <w:r>
        <w:t xml:space="preserve">Next.js 16.1, React 19, Prisma ORM with PostgreSQL, Microsoft Entra ID authentication (Microsoft, Google, Apple providers), Azure OpenAI GPT-4o-mini with streaming SSE, deployed on Azure App Service Premium (P2v3) with VNet integration and managed identity with no stored secrets.</w:t>
      </w:r>
    </w:p>
    <w:bookmarkEnd w:id="76"/>
    <w:bookmarkStart w:id="77" w:name="b.2-practical-tools-from-score-to-action"/>
    <w:p>
      <w:pPr>
        <w:pStyle w:val="Heading3"/>
      </w:pPr>
      <w:r>
        <w:t xml:space="preserve">B.2 Practical Tools: From Score to Action</w:t>
      </w:r>
    </w:p>
    <w:p>
      <w:pPr>
        <w:pStyle w:val="FirstParagraph"/>
      </w:pPr>
      <w:r>
        <w:t xml:space="preserve">The platform goes beyond assessment by converting AIRS scores into personalized, actionable guidance through three mechanisms:</w:t>
      </w:r>
    </w:p>
    <w:p>
      <w:pPr>
        <w:pStyle w:val="BodyText"/>
      </w:pPr>
      <w:r>
        <w:rPr>
          <w:b/>
          <w:bCs/>
        </w:rPr>
        <w:t xml:space="preserve">Construct-Level Diagnostics.</w:t>
      </w:r>
      <w:r>
        <w:t xml:space="preserve"> </w:t>
      </w:r>
      <w:r>
        <w:t xml:space="preserve">Each respondent receives scores on all 8 AIRS constructs (PE, EE, SI, FC, HM, PV, HB, TR), displayed as a radar chart. This profile reveals the specific adoption barriers each individual faces. A low PV score indicates a value communication gap, while a low TR score signals a trust deficit requiring different interventions.</w:t>
      </w:r>
    </w:p>
    <w:p>
      <w:pPr>
        <w:pStyle w:val="BodyText"/>
      </w:pPr>
      <w:r>
        <w:rPr>
          <w:b/>
          <w:bCs/>
        </w:rPr>
        <w:t xml:space="preserve">AI-Powered Personalized Guides.</w:t>
      </w:r>
      <w:r>
        <w:t xml:space="preserve"> </w:t>
      </w:r>
      <w:r>
        <w:t xml:space="preserve">Using Azure OpenAI (GPT-4o-mini) with dynamic context injection, the platform generates individualized action plans that incorporate the respondent’s typology, construct profile, career context (via Microsoft Graph integration for job title, department, and organization), and open-ended response themes. Each guide provides quick wins, medium-term strategies, and long-term development paths specific to the respondent’s barrier profile.</w:t>
      </w:r>
    </w:p>
    <w:p>
      <w:pPr>
        <w:pStyle w:val="BodyText"/>
      </w:pPr>
      <w:r>
        <w:rPr>
          <w:b/>
          <w:bCs/>
        </w:rPr>
        <w:t xml:space="preserve">Typology-Matched Intervention Frameworks.</w:t>
      </w:r>
      <w:r>
        <w:t xml:space="preserve"> </w:t>
      </w:r>
      <w:r>
        <w:t xml:space="preserve">The three empirically derived typologies map to named intervention frameworks:</w:t>
      </w:r>
    </w:p>
    <w:p>
      <w:pPr>
        <w:pStyle w:val="Compact"/>
        <w:numPr>
          <w:ilvl w:val="0"/>
          <w:numId w:val="1011"/>
        </w:numPr>
      </w:pPr>
      <w:r>
        <w:rPr>
          <w:b/>
          <w:bCs/>
        </w:rPr>
        <w:t xml:space="preserve">Skeptics (AIRS Score ≤ 20) → TRANSFORM Framework.</w:t>
      </w:r>
      <w:r>
        <w:t xml:space="preserve"> </w:t>
      </w:r>
      <w:r>
        <w:t xml:space="preserve">Trust-building through graduated autonomy: starting with low-risk AI tasks, demonstrating reliability through small wins, and progressively expanding scope. Emphasizes explainability, human-in-the-loop safeguards, and evidence-based value demonstrations.</w:t>
      </w:r>
    </w:p>
    <w:p>
      <w:pPr>
        <w:pStyle w:val="Compact"/>
        <w:numPr>
          <w:ilvl w:val="0"/>
          <w:numId w:val="1011"/>
        </w:numPr>
      </w:pPr>
      <w:r>
        <w:rPr>
          <w:b/>
          <w:bCs/>
        </w:rPr>
        <w:t xml:space="preserve">Moderate Users (AIRS Score 21–30) → REDESIGN Framework.</w:t>
      </w:r>
      <w:r>
        <w:t xml:space="preserve"> </w:t>
      </w:r>
      <w:r>
        <w:t xml:space="preserve">Workflow integration and ROI demonstration: identifying specific processes where AI adds measurable value, providing social proof through peer success stories, and building competence through structured skill development.</w:t>
      </w:r>
    </w:p>
    <w:p>
      <w:pPr>
        <w:pStyle w:val="Compact"/>
        <w:numPr>
          <w:ilvl w:val="0"/>
          <w:numId w:val="1011"/>
        </w:numPr>
      </w:pPr>
      <w:r>
        <w:rPr>
          <w:b/>
          <w:bCs/>
        </w:rPr>
        <w:t xml:space="preserve">Enthusiasts (AIRS Score &gt; 30) → AMPLIFY Framework.</w:t>
      </w:r>
      <w:r>
        <w:t xml:space="preserve"> </w:t>
      </w:r>
      <w:r>
        <w:t xml:space="preserve">Champion network activation: leveraging high-readiness individuals as change agents, providing access to advanced AI capabilities, and creating mentorship structures that accelerate adoption across the organization.</w:t>
      </w:r>
    </w:p>
    <w:bookmarkEnd w:id="77"/>
    <w:bookmarkStart w:id="78" w:name="Xc27181f66304932af7019b3cdbc2f2edc7781ac"/>
    <w:p>
      <w:pPr>
        <w:pStyle w:val="Heading3"/>
      </w:pPr>
      <w:r>
        <w:t xml:space="preserve">B.3 Remediation: Evidence-Based Intervention Design</w:t>
      </w:r>
    </w:p>
    <w:p>
      <w:pPr>
        <w:pStyle w:val="FirstParagraph"/>
      </w:pPr>
      <w:r>
        <w:t xml:space="preserve">The platform’s intervention recommendations draw on multiple evidence bases: the AIRS SEM findings (PV β = .505, HM β = .217, SI β = .136 as the significant predictors), the McKinsey Global AI Survey 2025 (N = 1,993), UTAUT2 meta-analyses (417+ studies), and organizational change management literature.</w:t>
      </w:r>
    </w:p>
    <w:p>
      <w:pPr>
        <w:pStyle w:val="BodyText"/>
      </w:pPr>
      <w:r>
        <w:rPr>
          <w:b/>
          <w:bCs/>
        </w:rPr>
        <w:t xml:space="preserve">Construct-Specific Interventions:</w:t>
      </w:r>
    </w:p>
    <w:tbl>
      <w:tblPr>
        <w:tblStyle w:val="Table"/>
        <w:tblLayout w:type="fixed"/>
        <w:tblLook w:firstRow="1" w:lastRow="0" w:firstColumn="0" w:lastColumn="0" w:noHBand="0" w:noVBand="0" w:val="0020"/>
        <w:tblW w:type="pct" w:w="5000"/>
      </w:tblPr>
      <w:tblGrid>
        <w:gridCol w:w="1386"/>
        <w:gridCol w:w="1980"/>
        <w:gridCol w:w="4554"/>
      </w:tblGrid>
      <w:tr>
        <w:trPr>
          <w:tblHeader w:val="on"/>
          <w:cantSplit w:val="true"/>
        </w:trPr>
        <w:tc>
          <w:tcPr>
            <w:shd w:fill="0078D4" w:val="clear"/>
            <w:tcBorders>
              <w:top w:val="single" w:sz="4" w:space="0" w:color="666666"/>
              <w:bottom w:val="single" w:sz="4" w:space="0" w:color="AAAAAA"/>
              <w:left w:val="single" w:sz="4" w:space="0" w:color="666666"/>
              <w:right w:val="single" w:sz="4" w:space="0" w:color="AAAAAA"/>
            </w:tcBorders>
            <w:shd w:fill="0078D4" w:val="clear"/>
          </w:tcPr>
          <w:p>
            <w:pPr>
              <w:pStyle w:val="Compact"/>
              <w:jc w:val="left"/>
              <w:keepNext w:val="true"/>
            </w:pPr>
            <w:r>
              <w:rPr>
                <w:rFonts w:ascii="Calibri" w:hAnsi="Calibri"/>
                <w:b/>
                <w:color w:val="FFFFFF"/>
                <w:sz w:val="20"/>
              </w:rPr>
              <w:t xml:space="preserve">Construct</w:t>
            </w:r>
          </w:p>
        </w:tc>
        <w:tc>
          <w:tcPr>
            <w:shd w:fill="0078D4" w:val="clear"/>
            <w:tcBorders>
              <w:top w:val="single" w:sz="4" w:space="0" w:color="666666"/>
              <w:bottom w:val="single" w:sz="4" w:space="0" w:color="AAAAAA"/>
              <w:left w:val="single" w:sz="4" w:space="0" w:color="AAAAAA"/>
              <w:right w:val="single" w:sz="4" w:space="0" w:color="AAAAAA"/>
            </w:tcBorders>
            <w:shd w:fill="0078D4" w:val="clear"/>
          </w:tcPr>
          <w:p>
            <w:pPr>
              <w:pStyle w:val="Compact"/>
              <w:jc w:val="left"/>
              <w:keepNext w:val="true"/>
            </w:pPr>
            <w:r>
              <w:rPr>
                <w:rFonts w:ascii="Calibri" w:hAnsi="Calibri"/>
                <w:b/>
                <w:color w:val="FFFFFF"/>
                <w:sz w:val="20"/>
              </w:rPr>
              <w:t xml:space="preserve">Barrier Indicator</w:t>
            </w:r>
          </w:p>
        </w:tc>
        <w:tc>
          <w:tcPr>
            <w:shd w:fill="0078D4" w:val="clear"/>
            <w:tcBorders>
              <w:top w:val="single" w:sz="4" w:space="0" w:color="666666"/>
              <w:bottom w:val="single" w:sz="4" w:space="0" w:color="AAAAAA"/>
              <w:left w:val="single" w:sz="4" w:space="0" w:color="AAAAAA"/>
              <w:right w:val="single" w:sz="4" w:space="0" w:color="666666"/>
            </w:tcBorders>
            <w:shd w:fill="0078D4" w:val="clear"/>
          </w:tcPr>
          <w:p>
            <w:pPr>
              <w:pStyle w:val="Compact"/>
              <w:jc w:val="left"/>
              <w:keepNext w:val="true"/>
            </w:pPr>
            <w:r>
              <w:rPr>
                <w:rFonts w:ascii="Calibri" w:hAnsi="Calibri"/>
                <w:b/>
                <w:color w:val="FFFFFF"/>
                <w:sz w:val="20"/>
              </w:rPr>
              <w:t xml:space="preserve">Evidence-Based Intervention</w:t>
            </w:r>
          </w:p>
        </w:tc>
      </w:tr>
      <w:tr>
        <w:trPr>
          <w:cantSplit w:val="true"/>
        </w:trPr>
        <w:tc>
          <w:tcPr>
            <w:shd w:fill="FFFFFF" w:val="clear"/>
            <w:tcBorders>
              <w:top w:val="single" w:sz="4" w:space="0" w:color="AAAAAA"/>
              <w:bottom w:val="single" w:sz="4" w:space="0" w:color="AAAAAA"/>
              <w:left w:val="single" w:sz="4" w:space="0" w:color="666666"/>
              <w:right w:val="single" w:sz="4" w:space="0" w:color="AAAAAA"/>
            </w:tcBorders>
          </w:tcPr>
          <w:p>
            <w:pPr>
              <w:pStyle w:val="Compact"/>
              <w:jc w:val="left"/>
              <w:keepNext w:val="true"/>
            </w:pPr>
            <w:r>
              <w:rPr>
                <w:rFonts w:ascii="Calibri" w:hAnsi="Calibri"/>
                <w:b w:val="0"/>
                <w:sz w:val="18"/>
              </w:rPr>
              <w:t xml:space="preserve">Price Value</w:t>
            </w:r>
          </w:p>
        </w:tc>
        <w:tc>
          <w:tcPr>
            <w:shd w:fill="FFFFFF" w:val="clear"/>
            <w:tcBorders>
              <w:top w:val="single" w:sz="4" w:space="0" w:color="AAAAAA"/>
              <w:bottom w:val="single" w:sz="4" w:space="0" w:color="AAAAAA"/>
              <w:left w:val="single" w:sz="4" w:space="0" w:color="AAAAAA"/>
              <w:right w:val="single" w:sz="4" w:space="0" w:color="AAAAAA"/>
            </w:tcBorders>
          </w:tcPr>
          <w:p>
            <w:pPr>
              <w:pStyle w:val="Compact"/>
              <w:jc w:val="left"/>
              <w:keepNext w:val="true"/>
            </w:pPr>
            <w:r>
              <w:rPr>
                <w:rFonts w:ascii="Calibri" w:hAnsi="Calibri"/>
                <w:b w:val="0"/>
                <w:sz w:val="18"/>
              </w:rPr>
              <w:t xml:space="preserve">Low perceived ROI</w:t>
            </w:r>
          </w:p>
        </w:tc>
        <w:tc>
          <w:tcPr>
            <w:shd w:fill="FFFFFF" w:val="clear"/>
            <w:tcBorders>
              <w:top w:val="single" w:sz="4" w:space="0" w:color="AAAAAA"/>
              <w:bottom w:val="single" w:sz="4" w:space="0" w:color="AAAAAA"/>
              <w:left w:val="single" w:sz="4" w:space="0" w:color="AAAAAA"/>
              <w:right w:val="single" w:sz="4" w:space="0" w:color="666666"/>
            </w:tcBorders>
          </w:tcPr>
          <w:p>
            <w:pPr>
              <w:pStyle w:val="Compact"/>
              <w:jc w:val="left"/>
              <w:keepNext w:val="true"/>
            </w:pPr>
            <w:r>
              <w:rPr>
                <w:rFonts w:ascii="Calibri" w:hAnsi="Calibri"/>
                <w:b w:val="0"/>
                <w:sz w:val="18"/>
              </w:rPr>
              <w:t xml:space="preserve">TCO analysis workshops, pilot-to-proof ROI tracking, phased investment models</w:t>
            </w:r>
          </w:p>
        </w:tc>
      </w:tr>
      <w:tr>
        <w:trPr>
          <w:cantSplit w:val="true"/>
        </w:trPr>
        <w:tc>
          <w:tcPr>
            <w:shd w:fill="F0F0F0" w:val="clear"/>
            <w:tcBorders>
              <w:top w:val="single" w:sz="4" w:space="0" w:color="AAAAAA"/>
              <w:bottom w:val="single" w:sz="4" w:space="0" w:color="AAAAAA"/>
              <w:left w:val="single" w:sz="4" w:space="0" w:color="666666"/>
              <w:right w:val="single" w:sz="4" w:space="0" w:color="AAAAAA"/>
            </w:tcBorders>
            <w:shd w:fill="F0F0F0" w:val="clear"/>
          </w:tcPr>
          <w:p>
            <w:pPr>
              <w:pStyle w:val="Compact"/>
              <w:jc w:val="left"/>
              <w:keepNext w:val="true"/>
            </w:pPr>
            <w:r>
              <w:rPr>
                <w:rFonts w:ascii="Calibri" w:hAnsi="Calibri"/>
                <w:b w:val="0"/>
                <w:sz w:val="18"/>
              </w:rPr>
              <w:t xml:space="preserve">Hedonic Motivation</w:t>
            </w:r>
          </w:p>
        </w:tc>
        <w:tc>
          <w:tcPr>
            <w:shd w:fill="F0F0F0" w:val="clear"/>
            <w:tcBorders>
              <w:top w:val="single" w:sz="4" w:space="0" w:color="AAAAAA"/>
              <w:bottom w:val="single" w:sz="4" w:space="0" w:color="AAAAAA"/>
              <w:left w:val="single" w:sz="4" w:space="0" w:color="AAAAAA"/>
              <w:right w:val="single" w:sz="4" w:space="0" w:color="AAAAAA"/>
            </w:tcBorders>
            <w:shd w:fill="F0F0F0" w:val="clear"/>
          </w:tcPr>
          <w:p>
            <w:pPr>
              <w:pStyle w:val="Compact"/>
              <w:jc w:val="left"/>
              <w:keepNext w:val="true"/>
            </w:pPr>
            <w:r>
              <w:rPr>
                <w:rFonts w:ascii="Calibri" w:hAnsi="Calibri"/>
                <w:b w:val="0"/>
                <w:sz w:val="18"/>
              </w:rPr>
              <w:t xml:space="preserve">Low engagement</w:t>
            </w:r>
          </w:p>
        </w:tc>
        <w:tc>
          <w:tcPr>
            <w:shd w:fill="F0F0F0" w:val="clear"/>
            <w:tcBorders>
              <w:top w:val="single" w:sz="4" w:space="0" w:color="AAAAAA"/>
              <w:bottom w:val="single" w:sz="4" w:space="0" w:color="AAAAAA"/>
              <w:left w:val="single" w:sz="4" w:space="0" w:color="AAAAAA"/>
              <w:right w:val="single" w:sz="4" w:space="0" w:color="666666"/>
            </w:tcBorders>
            <w:shd w:fill="F0F0F0" w:val="clear"/>
          </w:tcPr>
          <w:p>
            <w:pPr>
              <w:pStyle w:val="Compact"/>
              <w:jc w:val="left"/>
              <w:keepNext w:val="true"/>
            </w:pPr>
            <w:r>
              <w:rPr>
                <w:rFonts w:ascii="Calibri" w:hAnsi="Calibri"/>
                <w:b w:val="0"/>
                <w:sz w:val="18"/>
              </w:rPr>
              <w:t xml:space="preserve">Gamification elements, AI sandboxes for exploration, social learning communities</w:t>
            </w:r>
          </w:p>
        </w:tc>
      </w:tr>
      <w:tr>
        <w:trPr>
          <w:cantSplit w:val="true"/>
        </w:trPr>
        <w:tc>
          <w:tcPr>
            <w:shd w:fill="FFFFFF" w:val="clear"/>
            <w:tcBorders>
              <w:top w:val="single" w:sz="4" w:space="0" w:color="AAAAAA"/>
              <w:bottom w:val="single" w:sz="4" w:space="0" w:color="AAAAAA"/>
              <w:left w:val="single" w:sz="4" w:space="0" w:color="666666"/>
              <w:right w:val="single" w:sz="4" w:space="0" w:color="AAAAAA"/>
            </w:tcBorders>
          </w:tcPr>
          <w:p>
            <w:pPr>
              <w:pStyle w:val="Compact"/>
              <w:jc w:val="left"/>
              <w:keepNext w:val="true"/>
            </w:pPr>
            <w:r>
              <w:rPr>
                <w:rFonts w:ascii="Calibri" w:hAnsi="Calibri"/>
                <w:b w:val="0"/>
                <w:sz w:val="18"/>
              </w:rPr>
              <w:t xml:space="preserve">Social Influence</w:t>
            </w:r>
          </w:p>
        </w:tc>
        <w:tc>
          <w:tcPr>
            <w:shd w:fill="FFFFFF" w:val="clear"/>
            <w:tcBorders>
              <w:top w:val="single" w:sz="4" w:space="0" w:color="AAAAAA"/>
              <w:bottom w:val="single" w:sz="4" w:space="0" w:color="AAAAAA"/>
              <w:left w:val="single" w:sz="4" w:space="0" w:color="AAAAAA"/>
              <w:right w:val="single" w:sz="4" w:space="0" w:color="AAAAAA"/>
            </w:tcBorders>
          </w:tcPr>
          <w:p>
            <w:pPr>
              <w:pStyle w:val="Compact"/>
              <w:jc w:val="left"/>
              <w:keepNext w:val="true"/>
            </w:pPr>
            <w:r>
              <w:rPr>
                <w:rFonts w:ascii="Calibri" w:hAnsi="Calibri"/>
                <w:b w:val="0"/>
                <w:sz w:val="18"/>
              </w:rPr>
              <w:t xml:space="preserve">Insufficient advocacy</w:t>
            </w:r>
          </w:p>
        </w:tc>
        <w:tc>
          <w:tcPr>
            <w:shd w:fill="FFFFFF" w:val="clear"/>
            <w:tcBorders>
              <w:top w:val="single" w:sz="4" w:space="0" w:color="AAAAAA"/>
              <w:bottom w:val="single" w:sz="4" w:space="0" w:color="AAAAAA"/>
              <w:left w:val="single" w:sz="4" w:space="0" w:color="AAAAAA"/>
              <w:right w:val="single" w:sz="4" w:space="0" w:color="666666"/>
            </w:tcBorders>
          </w:tcPr>
          <w:p>
            <w:pPr>
              <w:pStyle w:val="Compact"/>
              <w:jc w:val="left"/>
              <w:keepNext w:val="true"/>
            </w:pPr>
            <w:r>
              <w:rPr>
                <w:rFonts w:ascii="Calibri" w:hAnsi="Calibri"/>
                <w:b w:val="0"/>
                <w:sz w:val="18"/>
              </w:rPr>
              <w:t xml:space="preserve">Peer champion programs, leadership endorsement campaigns, success story sharing</w:t>
            </w:r>
          </w:p>
        </w:tc>
      </w:tr>
      <w:tr>
        <w:trPr>
          <w:cantSplit w:val="true"/>
        </w:trPr>
        <w:tc>
          <w:tcPr>
            <w:shd w:fill="F0F0F0" w:val="clear"/>
            <w:tcBorders>
              <w:top w:val="single" w:sz="4" w:space="0" w:color="AAAAAA"/>
              <w:bottom w:val="single" w:sz="4" w:space="0" w:color="AAAAAA"/>
              <w:left w:val="single" w:sz="4" w:space="0" w:color="666666"/>
              <w:right w:val="single" w:sz="4" w:space="0" w:color="AAAAAA"/>
            </w:tcBorders>
            <w:shd w:fill="F0F0F0" w:val="clear"/>
          </w:tcPr>
          <w:p>
            <w:pPr>
              <w:pStyle w:val="Compact"/>
              <w:jc w:val="left"/>
              <w:keepNext w:val="true"/>
            </w:pPr>
            <w:r>
              <w:rPr>
                <w:rFonts w:ascii="Calibri" w:hAnsi="Calibri"/>
                <w:b w:val="0"/>
                <w:sz w:val="18"/>
              </w:rPr>
              <w:t xml:space="preserve">Trust</w:t>
            </w:r>
          </w:p>
        </w:tc>
        <w:tc>
          <w:tcPr>
            <w:shd w:fill="F0F0F0" w:val="clear"/>
            <w:tcBorders>
              <w:top w:val="single" w:sz="4" w:space="0" w:color="AAAAAA"/>
              <w:bottom w:val="single" w:sz="4" w:space="0" w:color="AAAAAA"/>
              <w:left w:val="single" w:sz="4" w:space="0" w:color="AAAAAA"/>
              <w:right w:val="single" w:sz="4" w:space="0" w:color="AAAAAA"/>
            </w:tcBorders>
            <w:shd w:fill="F0F0F0" w:val="clear"/>
          </w:tcPr>
          <w:p>
            <w:pPr>
              <w:pStyle w:val="Compact"/>
              <w:jc w:val="left"/>
              <w:keepNext w:val="true"/>
            </w:pPr>
            <w:r>
              <w:rPr>
                <w:rFonts w:ascii="Calibri" w:hAnsi="Calibri"/>
                <w:b w:val="0"/>
                <w:sz w:val="18"/>
              </w:rPr>
              <w:t xml:space="preserve">Reliability concerns</w:t>
            </w:r>
          </w:p>
        </w:tc>
        <w:tc>
          <w:tcPr>
            <w:shd w:fill="F0F0F0" w:val="clear"/>
            <w:tcBorders>
              <w:top w:val="single" w:sz="4" w:space="0" w:color="AAAAAA"/>
              <w:bottom w:val="single" w:sz="4" w:space="0" w:color="AAAAAA"/>
              <w:left w:val="single" w:sz="4" w:space="0" w:color="AAAAAA"/>
              <w:right w:val="single" w:sz="4" w:space="0" w:color="666666"/>
            </w:tcBorders>
            <w:shd w:fill="F0F0F0" w:val="clear"/>
          </w:tcPr>
          <w:p>
            <w:pPr>
              <w:pStyle w:val="Compact"/>
              <w:jc w:val="left"/>
              <w:keepNext w:val="true"/>
            </w:pPr>
            <w:r>
              <w:rPr>
                <w:rFonts w:ascii="Calibri" w:hAnsi="Calibri"/>
                <w:b w:val="0"/>
                <w:sz w:val="18"/>
              </w:rPr>
              <w:t xml:space="preserve">Explainability tools, human-in-the-loop with graduated autonomy levels, transparent error reporting</w:t>
            </w:r>
          </w:p>
        </w:tc>
      </w:tr>
      <w:tr>
        <w:trPr>
          <w:cantSplit w:val="true"/>
        </w:trPr>
        <w:tc>
          <w:tcPr>
            <w:shd w:fill="FFFFFF" w:val="clear"/>
            <w:tcBorders>
              <w:top w:val="single" w:sz="4" w:space="0" w:color="AAAAAA"/>
              <w:bottom w:val="single" w:sz="4" w:space="0" w:color="AAAAAA"/>
              <w:left w:val="single" w:sz="4" w:space="0" w:color="666666"/>
              <w:right w:val="single" w:sz="4" w:space="0" w:color="AAAAAA"/>
            </w:tcBorders>
          </w:tcPr>
          <w:p>
            <w:pPr>
              <w:pStyle w:val="Compact"/>
              <w:jc w:val="left"/>
              <w:keepNext w:val="true"/>
            </w:pPr>
            <w:r>
              <w:rPr>
                <w:rFonts w:ascii="Calibri" w:hAnsi="Calibri"/>
                <w:b w:val="0"/>
                <w:sz w:val="18"/>
              </w:rPr>
              <w:t xml:space="preserve">Performance Expectancy</w:t>
            </w:r>
          </w:p>
        </w:tc>
        <w:tc>
          <w:tcPr>
            <w:shd w:fill="FFFFFF" w:val="clear"/>
            <w:tcBorders>
              <w:top w:val="single" w:sz="4" w:space="0" w:color="AAAAAA"/>
              <w:bottom w:val="single" w:sz="4" w:space="0" w:color="AAAAAA"/>
              <w:left w:val="single" w:sz="4" w:space="0" w:color="AAAAAA"/>
              <w:right w:val="single" w:sz="4" w:space="0" w:color="AAAAAA"/>
            </w:tcBorders>
          </w:tcPr>
          <w:p>
            <w:pPr>
              <w:pStyle w:val="Compact"/>
              <w:jc w:val="left"/>
              <w:keepNext w:val="true"/>
            </w:pPr>
            <w:r>
              <w:rPr>
                <w:rFonts w:ascii="Calibri" w:hAnsi="Calibri"/>
                <w:b w:val="0"/>
                <w:sz w:val="18"/>
              </w:rPr>
              <w:t xml:space="preserve">Unclear benefits</w:t>
            </w:r>
          </w:p>
        </w:tc>
        <w:tc>
          <w:tcPr>
            <w:shd w:fill="FFFFFF" w:val="clear"/>
            <w:tcBorders>
              <w:top w:val="single" w:sz="4" w:space="0" w:color="AAAAAA"/>
              <w:bottom w:val="single" w:sz="4" w:space="0" w:color="AAAAAA"/>
              <w:left w:val="single" w:sz="4" w:space="0" w:color="AAAAAA"/>
              <w:right w:val="single" w:sz="4" w:space="0" w:color="666666"/>
            </w:tcBorders>
          </w:tcPr>
          <w:p>
            <w:pPr>
              <w:pStyle w:val="Compact"/>
              <w:jc w:val="left"/>
              <w:keepNext w:val="true"/>
            </w:pPr>
            <w:r>
              <w:rPr>
                <w:rFonts w:ascii="Calibri" w:hAnsi="Calibri"/>
                <w:b w:val="0"/>
                <w:sz w:val="18"/>
              </w:rPr>
              <w:t xml:space="preserve">Role-specific pilot demonstrations, before/after productivity metrics</w:t>
            </w:r>
          </w:p>
        </w:tc>
      </w:tr>
      <w:tr>
        <w:trPr>
          <w:cantSplit w:val="true"/>
        </w:trPr>
        <w:tc>
          <w:tcPr>
            <w:shd w:fill="F0F0F0" w:val="clear"/>
            <w:tcBorders>
              <w:top w:val="single" w:sz="4" w:space="0" w:color="AAAAAA"/>
              <w:bottom w:val="single" w:sz="4" w:space="0" w:color="AAAAAA"/>
              <w:left w:val="single" w:sz="4" w:space="0" w:color="666666"/>
              <w:right w:val="single" w:sz="4" w:space="0" w:color="AAAAAA"/>
            </w:tcBorders>
            <w:shd w:fill="F0F0F0" w:val="clear"/>
          </w:tcPr>
          <w:p>
            <w:pPr>
              <w:pStyle w:val="Compact"/>
              <w:jc w:val="left"/>
              <w:keepNext w:val="true"/>
            </w:pPr>
            <w:r>
              <w:rPr>
                <w:rFonts w:ascii="Calibri" w:hAnsi="Calibri"/>
                <w:b w:val="0"/>
                <w:sz w:val="18"/>
              </w:rPr>
              <w:t xml:space="preserve">Effort Expectancy</w:t>
            </w:r>
          </w:p>
        </w:tc>
        <w:tc>
          <w:tcPr>
            <w:shd w:fill="F0F0F0" w:val="clear"/>
            <w:tcBorders>
              <w:top w:val="single" w:sz="4" w:space="0" w:color="AAAAAA"/>
              <w:bottom w:val="single" w:sz="4" w:space="0" w:color="AAAAAA"/>
              <w:left w:val="single" w:sz="4" w:space="0" w:color="AAAAAA"/>
              <w:right w:val="single" w:sz="4" w:space="0" w:color="AAAAAA"/>
            </w:tcBorders>
            <w:shd w:fill="F0F0F0" w:val="clear"/>
          </w:tcPr>
          <w:p>
            <w:pPr>
              <w:pStyle w:val="Compact"/>
              <w:jc w:val="left"/>
              <w:keepNext w:val="true"/>
            </w:pPr>
            <w:r>
              <w:rPr>
                <w:rFonts w:ascii="Calibri" w:hAnsi="Calibri"/>
                <w:b w:val="0"/>
                <w:sz w:val="18"/>
              </w:rPr>
              <w:t xml:space="preserve">Usability barriers</w:t>
            </w:r>
          </w:p>
        </w:tc>
        <w:tc>
          <w:tcPr>
            <w:shd w:fill="F0F0F0" w:val="clear"/>
            <w:tcBorders>
              <w:top w:val="single" w:sz="4" w:space="0" w:color="AAAAAA"/>
              <w:bottom w:val="single" w:sz="4" w:space="0" w:color="AAAAAA"/>
              <w:left w:val="single" w:sz="4" w:space="0" w:color="AAAAAA"/>
              <w:right w:val="single" w:sz="4" w:space="0" w:color="666666"/>
            </w:tcBorders>
            <w:shd w:fill="F0F0F0" w:val="clear"/>
          </w:tcPr>
          <w:p>
            <w:pPr>
              <w:pStyle w:val="Compact"/>
              <w:jc w:val="left"/>
              <w:keepNext w:val="true"/>
            </w:pPr>
            <w:r>
              <w:rPr>
                <w:rFonts w:ascii="Calibri" w:hAnsi="Calibri"/>
                <w:b w:val="0"/>
                <w:sz w:val="18"/>
              </w:rPr>
              <w:t xml:space="preserve">Guided onboarding, contextual help systems, progressive complexity</w:t>
            </w:r>
          </w:p>
        </w:tc>
      </w:tr>
      <w:tr>
        <w:trPr>
          <w:cantSplit w:val="true"/>
        </w:trPr>
        <w:tc>
          <w:tcPr>
            <w:shd w:fill="FFFFFF" w:val="clear"/>
            <w:tcBorders>
              <w:top w:val="single" w:sz="4" w:space="0" w:color="AAAAAA"/>
              <w:bottom w:val="single" w:sz="4" w:space="0" w:color="AAAAAA"/>
              <w:left w:val="single" w:sz="4" w:space="0" w:color="666666"/>
              <w:right w:val="single" w:sz="4" w:space="0" w:color="AAAAAA"/>
            </w:tcBorders>
          </w:tcPr>
          <w:p>
            <w:pPr>
              <w:pStyle w:val="Compact"/>
              <w:jc w:val="left"/>
              <w:keepNext w:val="true"/>
            </w:pPr>
            <w:r>
              <w:rPr>
                <w:rFonts w:ascii="Calibri" w:hAnsi="Calibri"/>
                <w:b w:val="0"/>
                <w:sz w:val="18"/>
              </w:rPr>
              <w:t xml:space="preserve">Facilitating Conditions</w:t>
            </w:r>
          </w:p>
        </w:tc>
        <w:tc>
          <w:tcPr>
            <w:shd w:fill="FFFFFF" w:val="clear"/>
            <w:tcBorders>
              <w:top w:val="single" w:sz="4" w:space="0" w:color="AAAAAA"/>
              <w:bottom w:val="single" w:sz="4" w:space="0" w:color="AAAAAA"/>
              <w:left w:val="single" w:sz="4" w:space="0" w:color="AAAAAA"/>
              <w:right w:val="single" w:sz="4" w:space="0" w:color="AAAAAA"/>
            </w:tcBorders>
          </w:tcPr>
          <w:p>
            <w:pPr>
              <w:pStyle w:val="Compact"/>
              <w:jc w:val="left"/>
              <w:keepNext w:val="true"/>
            </w:pPr>
            <w:r>
              <w:rPr>
                <w:rFonts w:ascii="Calibri" w:hAnsi="Calibri"/>
                <w:b w:val="0"/>
                <w:sz w:val="18"/>
              </w:rPr>
              <w:t xml:space="preserve">Infrastructure gaps</w:t>
            </w:r>
          </w:p>
        </w:tc>
        <w:tc>
          <w:tcPr>
            <w:shd w:fill="FFFFFF" w:val="clear"/>
            <w:tcBorders>
              <w:top w:val="single" w:sz="4" w:space="0" w:color="AAAAAA"/>
              <w:bottom w:val="single" w:sz="4" w:space="0" w:color="AAAAAA"/>
              <w:left w:val="single" w:sz="4" w:space="0" w:color="AAAAAA"/>
              <w:right w:val="single" w:sz="4" w:space="0" w:color="666666"/>
            </w:tcBorders>
          </w:tcPr>
          <w:p>
            <w:pPr>
              <w:pStyle w:val="Compact"/>
              <w:jc w:val="left"/>
              <w:keepNext w:val="true"/>
            </w:pPr>
            <w:r>
              <w:rPr>
                <w:rFonts w:ascii="Calibri" w:hAnsi="Calibri"/>
                <w:b w:val="0"/>
                <w:sz w:val="18"/>
              </w:rPr>
              <w:t xml:space="preserve">Training programs, tool compatibility audits, dedicated support channels</w:t>
            </w:r>
          </w:p>
        </w:tc>
      </w:tr>
      <w:tr>
        <w:trPr>
          <w:cantSplit w:val="true"/>
        </w:trPr>
        <w:tc>
          <w:tcPr>
            <w:shd w:fill="F0F0F0" w:val="clear"/>
            <w:tcBorders>
              <w:top w:val="single" w:sz="4" w:space="0" w:color="AAAAAA"/>
              <w:bottom w:val="single" w:sz="4" w:space="0" w:color="666666"/>
              <w:left w:val="single" w:sz="4" w:space="0" w:color="666666"/>
              <w:right w:val="single" w:sz="4" w:space="0" w:color="AAAAAA"/>
            </w:tcBorders>
            <w:shd w:fill="F0F0F0" w:val="clear"/>
          </w:tcPr>
          <w:p>
            <w:pPr>
              <w:pStyle w:val="Compact"/>
              <w:jc w:val="left"/>
            </w:pPr>
            <w:r>
              <w:rPr>
                <w:rFonts w:ascii="Calibri" w:hAnsi="Calibri"/>
                <w:b w:val="0"/>
                <w:sz w:val="18"/>
              </w:rPr>
              <w:t xml:space="preserve">Habit</w:t>
            </w:r>
          </w:p>
        </w:tc>
        <w:tc>
          <w:tcPr>
            <w:shd w:fill="F0F0F0" w:val="clear"/>
            <w:tcBorders>
              <w:top w:val="single" w:sz="4" w:space="0" w:color="AAAAAA"/>
              <w:bottom w:val="single" w:sz="4" w:space="0" w:color="666666"/>
              <w:left w:val="single" w:sz="4" w:space="0" w:color="AAAAAA"/>
              <w:right w:val="single" w:sz="4" w:space="0" w:color="AAAAAA"/>
            </w:tcBorders>
            <w:shd w:fill="F0F0F0" w:val="clear"/>
          </w:tcPr>
          <w:p>
            <w:pPr>
              <w:pStyle w:val="Compact"/>
              <w:jc w:val="left"/>
            </w:pPr>
            <w:r>
              <w:rPr>
                <w:rFonts w:ascii="Calibri" w:hAnsi="Calibri"/>
                <w:b w:val="0"/>
                <w:sz w:val="18"/>
              </w:rPr>
              <w:t xml:space="preserve">Low integration</w:t>
            </w:r>
          </w:p>
        </w:tc>
        <w:tc>
          <w:tcPr>
            <w:shd w:fill="F0F0F0" w:val="clear"/>
            <w:tcBorders>
              <w:top w:val="single" w:sz="4" w:space="0" w:color="AAAAAA"/>
              <w:bottom w:val="single" w:sz="4" w:space="0" w:color="666666"/>
              <w:left w:val="single" w:sz="4" w:space="0" w:color="AAAAAA"/>
              <w:right w:val="single" w:sz="4" w:space="0" w:color="666666"/>
            </w:tcBorders>
            <w:shd w:fill="F0F0F0" w:val="clear"/>
          </w:tcPr>
          <w:p>
            <w:pPr>
              <w:pStyle w:val="Compact"/>
              <w:jc w:val="left"/>
            </w:pPr>
            <w:r>
              <w:rPr>
                <w:rFonts w:ascii="Calibri" w:hAnsi="Calibri"/>
                <w:b w:val="0"/>
                <w:sz w:val="18"/>
              </w:rPr>
              <w:t xml:space="preserve">Default AI-assisted workflows, reminder systems, routine integration coaching</w:t>
            </w:r>
          </w:p>
        </w:tc>
      </w:tr>
    </w:tbl>
    <w:p>
      <w:pPr>
        <w:pStyle w:val="BodyText"/>
      </w:pPr>
      <w:r>
        <w:rPr>
          <w:b/>
          <w:bCs/>
        </w:rPr>
        <w:t xml:space="preserve">Organizational Engagement Model.</w:t>
      </w:r>
      <w:r>
        <w:t xml:space="preserve"> </w:t>
      </w:r>
      <w:r>
        <w:t xml:space="preserve">For enterprise deployments, the platform supports a structured consulting engagement:</w:t>
      </w:r>
    </w:p>
    <w:p>
      <w:pPr>
        <w:pStyle w:val="Compact"/>
        <w:numPr>
          <w:ilvl w:val="0"/>
          <w:numId w:val="1012"/>
        </w:numPr>
      </w:pPr>
      <w:r>
        <w:rPr>
          <w:b/>
          <w:bCs/>
        </w:rPr>
        <w:t xml:space="preserve">Phase 1: Baseline Assessment (Weeks 1–2):</w:t>
      </w:r>
      <w:r>
        <w:t xml:space="preserve"> </w:t>
      </w:r>
      <w:r>
        <w:t xml:space="preserve">Organization-wide AIRS-16 administration, typology distribution mapping, department/role/geography segmentation, and barrier prioritization analysis.</w:t>
      </w:r>
    </w:p>
    <w:p>
      <w:pPr>
        <w:pStyle w:val="Compact"/>
        <w:numPr>
          <w:ilvl w:val="0"/>
          <w:numId w:val="1012"/>
        </w:numPr>
      </w:pPr>
      <w:r>
        <w:rPr>
          <w:b/>
          <w:bCs/>
        </w:rPr>
        <w:t xml:space="preserve">Phase 2: Targeted Intervention Design (Weeks 3–6):</w:t>
      </w:r>
      <w:r>
        <w:t xml:space="preserve"> </w:t>
      </w:r>
      <w:r>
        <w:t xml:space="preserve">Segment-specific intervention protocols matched to the organization’s typology distribution, culminating in a 90-day action plan.</w:t>
      </w:r>
    </w:p>
    <w:p>
      <w:pPr>
        <w:pStyle w:val="Compact"/>
        <w:numPr>
          <w:ilvl w:val="0"/>
          <w:numId w:val="1012"/>
        </w:numPr>
      </w:pPr>
      <w:r>
        <w:rPr>
          <w:b/>
          <w:bCs/>
        </w:rPr>
        <w:t xml:space="preserve">Phase 3: Implementation and Tracking (Ongoing):</w:t>
      </w:r>
      <w:r>
        <w:t xml:space="preserve"> </w:t>
      </w:r>
      <w:r>
        <w:t xml:space="preserve">Adoption metrics dashboard, 90-day re-assessment cycles, intervention effectiveness analysis through pre/post comparison, and continuous barrier monitoring.</w:t>
      </w:r>
    </w:p>
    <w:bookmarkEnd w:id="78"/>
    <w:bookmarkStart w:id="79" w:name="b.4-longitudinal-research-design"/>
    <w:p>
      <w:pPr>
        <w:pStyle w:val="Heading3"/>
      </w:pPr>
      <w:r>
        <w:t xml:space="preserve">B.4 Longitudinal Research Design</w:t>
      </w:r>
    </w:p>
    <w:p>
      <w:pPr>
        <w:pStyle w:val="FirstParagraph"/>
      </w:pPr>
      <w:r>
        <w:t xml:space="preserve">AIRS Enterprise is designed from the ground up as a research data collection instrument, enabling longitudinal validation studies that most psychometric instruments never achieve post-publication.</w:t>
      </w:r>
    </w:p>
    <w:p>
      <w:pPr>
        <w:pStyle w:val="BodyText"/>
      </w:pPr>
      <w:r>
        <w:rPr>
          <w:b/>
          <w:bCs/>
        </w:rPr>
        <w:t xml:space="preserve">Planned Validation Program:</w:t>
      </w:r>
    </w:p>
    <w:p>
      <w:pPr>
        <w:pStyle w:val="Compact"/>
        <w:numPr>
          <w:ilvl w:val="0"/>
          <w:numId w:val="1013"/>
        </w:numPr>
      </w:pPr>
      <w:r>
        <w:rPr>
          <w:b/>
          <w:bCs/>
        </w:rPr>
        <w:t xml:space="preserve">Temporal Design:</w:t>
      </w:r>
      <w:r>
        <w:t xml:space="preserve"> </w:t>
      </w:r>
      <w:r>
        <w:t xml:space="preserve">T1 (baseline) → T2 (3 months) → T3 (6 months) → T4 (12 months), measuring score stability, intervention responsiveness, and predictive validity over time.</w:t>
      </w:r>
    </w:p>
    <w:p>
      <w:pPr>
        <w:pStyle w:val="Compact"/>
        <w:numPr>
          <w:ilvl w:val="0"/>
          <w:numId w:val="1013"/>
        </w:numPr>
      </w:pPr>
      <w:r>
        <w:rPr>
          <w:b/>
          <w:bCs/>
        </w:rPr>
        <w:t xml:space="preserve">Normative Benchmarking:</w:t>
      </w:r>
      <w:r>
        <w:t xml:space="preserve"> </w:t>
      </w:r>
      <w:r>
        <w:t xml:space="preserve">Building population-specific norms across 8+ target groups (students, early/mid/senior career professionals, technology sector, healthcare, finance, international samples) with target samples of N = 300–500+ each, planned for 2026–2028.</w:t>
      </w:r>
    </w:p>
    <w:p>
      <w:pPr>
        <w:pStyle w:val="Compact"/>
        <w:numPr>
          <w:ilvl w:val="0"/>
          <w:numId w:val="1013"/>
        </w:numPr>
      </w:pPr>
      <w:r>
        <w:rPr>
          <w:b/>
          <w:bCs/>
        </w:rPr>
        <w:t xml:space="preserve">Organizational-Level Aggregation:</w:t>
      </w:r>
      <w:r>
        <w:t xml:space="preserve"> </w:t>
      </w:r>
      <w:r>
        <w:t xml:space="preserve">Computing readiness indices at the team and organizational level, enabling typology-based organizational profiling (e.g., identifying</w:t>
      </w:r>
      <w:r>
        <w:t xml:space="preserve"> </w:t>
      </w:r>
      <w:r>
        <w:t xml:space="preserve">“AI Champion”</w:t>
      </w:r>
      <w:r>
        <w:t xml:space="preserve"> </w:t>
      </w:r>
      <w:r>
        <w:t xml:space="preserve">organizations versus</w:t>
      </w:r>
      <w:r>
        <w:t xml:space="preserve"> </w:t>
      </w:r>
      <w:r>
        <w:t xml:space="preserve">“Trust Gap”</w:t>
      </w:r>
      <w:r>
        <w:t xml:space="preserve"> </w:t>
      </w:r>
      <w:r>
        <w:t xml:space="preserve">or</w:t>
      </w:r>
      <w:r>
        <w:t xml:space="preserve"> </w:t>
      </w:r>
      <w:r>
        <w:t xml:space="preserve">“Skill Gap”</w:t>
      </w:r>
      <w:r>
        <w:t xml:space="preserve"> </w:t>
      </w:r>
      <w:r>
        <w:t xml:space="preserve">profiles).</w:t>
      </w:r>
    </w:p>
    <w:p>
      <w:pPr>
        <w:pStyle w:val="Compact"/>
        <w:numPr>
          <w:ilvl w:val="0"/>
          <w:numId w:val="1013"/>
        </w:numPr>
      </w:pPr>
      <w:r>
        <w:rPr>
          <w:b/>
          <w:bCs/>
        </w:rPr>
        <w:t xml:space="preserve">Intervention Effectiveness Tracking:</w:t>
      </w:r>
      <w:r>
        <w:t xml:space="preserve"> </w:t>
      </w:r>
      <w:r>
        <w:t xml:space="preserve">Pre/post assessment comparison built into the platform’s longitudinal tracking feature, allowing direct measurement of whether targeted interventions produce statistically significant readiness improvements.</w:t>
      </w:r>
    </w:p>
    <w:p>
      <w:pPr>
        <w:pStyle w:val="FirstParagraph"/>
      </w:pPr>
      <w:r>
        <w:rPr>
          <w:b/>
          <w:bCs/>
        </w:rPr>
        <w:t xml:space="preserve">Data Collection at Scale.</w:t>
      </w:r>
      <w:r>
        <w:t xml:space="preserve"> </w:t>
      </w:r>
      <w:r>
        <w:t xml:space="preserve">The platform’s IRB-compliant design, multi-provider authentication, and multilingual support enable data collection across diverse populations without the logistical barriers that typically limit psychometric validation to single convenience samples. Every assessment generates structured data (8 construct scores, composite AIRS score, typology classification, demographic context) that feeds directly into the normative benchmarking database.</w:t>
      </w:r>
    </w:p>
    <w:bookmarkEnd w:id="79"/>
    <w:bookmarkStart w:id="80" w:name="b.5-competitive-positioning"/>
    <w:p>
      <w:pPr>
        <w:pStyle w:val="Heading3"/>
      </w:pPr>
      <w:r>
        <w:t xml:space="preserve">B.5 Competitive Positioning</w:t>
      </w:r>
    </w:p>
    <w:p>
      <w:pPr>
        <w:pStyle w:val="FirstParagraph"/>
      </w:pPr>
      <w:r>
        <w:t xml:space="preserve">AIRS Enterprise is positioned at the intersection of psychometric validation and operational deployment. Many existing AI readiness tools are either (a) validated instruments that remain static questionnaires with limited delivery infrastructure, or (b) commercial platforms with polished interfaces but little published validation evidence. AIRS Enterprise addresses this gap by pairing a validated instrument with a production platform that supports personalization and longitudinal tracking.</w:t>
      </w:r>
    </w:p>
    <w:p>
      <w:pPr>
        <w:pStyle w:val="BodyText"/>
      </w:pPr>
      <w:r>
        <w:t xml:space="preserve">The medium-term strategy (1–3 years) focuses on building a benchmark database through cumulative data collection, while the longer-term goal (3–5 years) is to establish AIRS as a recognized AI readiness assessment through academic use, organizational partnerships, and integration with enterprise HR and learning management systems.</w:t>
      </w:r>
    </w:p>
    <w:bookmarkEnd w:id="80"/>
    <w:bookmarkStart w:id="81" w:name="b.6-research-practice-bridge"/>
    <w:p>
      <w:pPr>
        <w:pStyle w:val="Heading3"/>
      </w:pPr>
      <w:r>
        <w:t xml:space="preserve">B.6 Research-Practice Bridge</w:t>
      </w:r>
    </w:p>
    <w:p>
      <w:pPr>
        <w:pStyle w:val="FirstParagraph"/>
      </w:pPr>
      <w:r>
        <w:t xml:space="preserve">The AIRS Enterprise platform represents a deliberate attempt to close the implementation gap that characterizes many academic psychometric instruments. Instead of the familiar pattern in which an instrument is developed, published, and then rarely operationalized, AIRS pairs the validated instrument with a platform that evolves alongside it. Every organizational deployment generates data that strengthens the normative database, and every research finding improves the intervention recommendations delivered to practitioners.</w:t>
      </w:r>
    </w:p>
    <w:p>
      <w:pPr>
        <w:pStyle w:val="BodyText"/>
      </w:pPr>
      <w:r>
        <w:t xml:space="preserve">In parallel,</w:t>
      </w:r>
      <w:r>
        <w:t xml:space="preserve"> </w:t>
      </w:r>
      <w:r>
        <w:rPr>
          <w:i/>
          <w:iCs/>
        </w:rPr>
        <w:t xml:space="preserve">The Life of Alex Finch</w:t>
      </w:r>
      <w:r>
        <w:t xml:space="preserve"> </w:t>
      </w:r>
      <w:r>
        <w:t xml:space="preserve">extends this bridge in a different format: as a published, book-length documentary biography of AI-human collaboration that translates the dissertation’s emerging concern with appropriate reliance, over-reliance, and preservation of human judgment into a broader public narrative. Together, the instrument, platform, and book create complementary paths for advancing the research across academic, organizational, and public audiences.</w:t>
      </w:r>
    </w:p>
    <w:p>
      <w:pPr>
        <w:pStyle w:val="BodyText"/>
      </w:pPr>
      <w:r>
        <w:t xml:space="preserve">This bidirectional flow between research and practice embodies the applied mission of the DBA: producing scholarship that directly improves organizational decision-making.</w:t>
      </w:r>
    </w:p>
    <w:bookmarkEnd w:id="81"/>
    <w:bookmarkEnd w:id="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75" Type="http://schemas.openxmlformats.org/officeDocument/2006/relationships/hyperlink" Target="https://airs.correax.com/" TargetMode="External"/></Relationships>
</file>

<file path=word/_rels/footnotes.xml.rels><?xml version='1.0' encoding='UTF-8' standalone='yes'?>
<Relationships xmlns="http://schemas.openxmlformats.org/package/2006/relationships"><Relationship Id="rId75" Type="http://schemas.openxmlformats.org/officeDocument/2006/relationships/hyperlink" Target="https://airs.correax.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Executive Summary</dc:title>
  <dc:creator>Fabio Correa</dc:creator>
  <cp:keywords/>
  <dcterms:created xsi:type="dcterms:W3CDTF">2026-03-12T23:28:33Z</dcterms:created>
  <dcterms:modified xsi:type="dcterms:W3CDTF">2026-03-12T23:28:33Z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y fmtid="{D5CDD505-2E9C-101B-9397-08002B2CF9AE}" pid="3" name="subtitle">
    <vt:lpwstr>Artificial Intelligence Readiness Scale: Extending UTAUT2 for Enterprise AI Adoption</vt:lpwstr>
  </property>
</Properties>
</file>