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A5718" w14:textId="77777777" w:rsidR="00E34BD7" w:rsidRDefault="0015287A">
      <w:pPr>
        <w:pStyle w:val="Heading3"/>
      </w:pPr>
      <w:r>
        <w:t>Opening: Framing the Problem the Committee Already Knows</w:t>
      </w:r>
    </w:p>
    <w:p w14:paraId="19C0DABA" w14:textId="77777777" w:rsidR="00E34BD7" w:rsidRDefault="0015287A">
      <w:r>
        <w:t>Members of the committee, thank you for the opportunity to present this work.</w:t>
      </w:r>
    </w:p>
    <w:p w14:paraId="13739AC2" w14:textId="77777777" w:rsidR="00E34BD7" w:rsidRDefault="0015287A">
      <w:r>
        <w:t>I would like to begin with an observation that I believe everyone in this room already recognizes, even if we do not always articulate it explicitly.</w:t>
      </w:r>
    </w:p>
    <w:p w14:paraId="61B2F1BC" w14:textId="77777777" w:rsidR="00E34BD7" w:rsidRDefault="0015287A">
      <w:proofErr w:type="gramStart"/>
      <w:r>
        <w:t>Artificial intelligence adoption</w:t>
      </w:r>
      <w:proofErr w:type="gramEnd"/>
      <w:r>
        <w:t xml:space="preserve"> is no longer the constraint.</w:t>
      </w:r>
    </w:p>
    <w:p w14:paraId="22538523" w14:textId="77777777" w:rsidR="00E34BD7" w:rsidRDefault="0015287A">
      <w:r>
        <w:t xml:space="preserve">Across industry, higher education, and professional practice, AI tools are being adopted at historically unprecedented rates. By 2025, usage among knowledge workers in the United States has become nearly ubiquitous. And yet, despite this rapid diffusion, </w:t>
      </w:r>
      <w:r>
        <w:rPr>
          <w:b/>
          <w:bCs/>
        </w:rPr>
        <w:t>organizational value realization remains strikingly low</w:t>
      </w:r>
      <w:r>
        <w:t>. Only a small minority of organizations can point to sustained, measurable returns from their AI investments.</w:t>
      </w:r>
    </w:p>
    <w:p w14:paraId="1B014C6E" w14:textId="77777777" w:rsidR="00E34BD7" w:rsidRDefault="0015287A">
      <w:r>
        <w:t xml:space="preserve">This contradiction—high adoption paired with low realized value—is not a tooling problem. It is a </w:t>
      </w:r>
      <w:r>
        <w:rPr>
          <w:b/>
          <w:bCs/>
        </w:rPr>
        <w:t>theoretical, measurement, and implementation problem</w:t>
      </w:r>
      <w:r>
        <w:t>.</w:t>
      </w:r>
    </w:p>
    <w:p w14:paraId="45498EF8" w14:textId="77777777" w:rsidR="00E34BD7" w:rsidRDefault="0015287A">
      <w:r>
        <w:t>That gap is the central motivation for this dissertation.</w:t>
      </w:r>
    </w:p>
    <w:p w14:paraId="0A37501D" w14:textId="77777777" w:rsidR="00E34BD7" w:rsidRDefault="00E34BD7">
      <w:pPr>
        <w:pBdr>
          <w:top w:val="single" w:sz="12" w:space="0" w:color="auto"/>
        </w:pBdr>
        <w:spacing w:after="0"/>
      </w:pPr>
    </w:p>
    <w:p w14:paraId="6782C07A" w14:textId="77777777" w:rsidR="00E34BD7" w:rsidRDefault="0015287A">
      <w:pPr>
        <w:pStyle w:val="Heading3"/>
      </w:pPr>
      <w:r>
        <w:t>The Research Question: What Actually Drives AI Adoption?</w:t>
      </w:r>
    </w:p>
    <w:p w14:paraId="59E0CAC2" w14:textId="77777777" w:rsidR="00E34BD7" w:rsidRDefault="0015287A">
      <w:r>
        <w:t>The core question this study asks is deliberately simple, but theoretically nontrivial:</w:t>
      </w:r>
    </w:p>
    <w:p w14:paraId="4236793B" w14:textId="77777777" w:rsidR="00E34BD7" w:rsidRDefault="0015287A">
      <w:pPr>
        <w:pBdr>
          <w:left w:val="single" w:sz="18" w:space="4" w:color="A6A6A6"/>
        </w:pBdr>
        <w:ind w:left="180"/>
      </w:pPr>
      <w:r>
        <w:rPr>
          <w:i/>
          <w:iCs/>
        </w:rPr>
        <w:t>Do the models we use to explain technology adoption still work when the technology is artificial intelligence?</w:t>
      </w:r>
    </w:p>
    <w:p w14:paraId="6A7D4977" w14:textId="77777777" w:rsidR="00E34BD7" w:rsidRDefault="0015287A">
      <w:r>
        <w:t>For more than a decade, the Unified Theory of Acceptance and Use of Technology, and particularly UTAUT2, has provided a robust and widely validated explanation of why people adopt technologies. It has been successfully applied across dozens of domains, cultures, and device categories.</w:t>
      </w:r>
    </w:p>
    <w:p w14:paraId="6CC038FF" w14:textId="77777777" w:rsidR="00E34BD7" w:rsidRDefault="0015287A">
      <w:r>
        <w:t xml:space="preserve">However, AI is not </w:t>
      </w:r>
      <w:proofErr w:type="gramStart"/>
      <w:r>
        <w:t>a conventional</w:t>
      </w:r>
      <w:proofErr w:type="gramEnd"/>
      <w:r>
        <w:t xml:space="preserve"> technology.</w:t>
      </w:r>
    </w:p>
    <w:p w14:paraId="4796BAC7" w14:textId="77777777" w:rsidR="00E34BD7" w:rsidRDefault="0015287A">
      <w:r>
        <w:t xml:space="preserve">AI systems generate probabilistic outputs, operate with varying degrees of autonomy, and improve or change behavior over time. These characteristics introduce </w:t>
      </w:r>
      <w:r>
        <w:rPr>
          <w:b/>
          <w:bCs/>
        </w:rPr>
        <w:t>epistemic uncertainty, trust considerations, and affective responses</w:t>
      </w:r>
      <w:r>
        <w:t xml:space="preserve"> that are largely absent from traditional enterprise software.</w:t>
      </w:r>
    </w:p>
    <w:p w14:paraId="58C34F74" w14:textId="77777777" w:rsidR="00E34BD7" w:rsidRDefault="0015287A">
      <w:r>
        <w:t>Yet, prior to this research, UTAUT2 had not been systematically tested for AI adoption using a purpose‑built measurement instrument.</w:t>
      </w:r>
    </w:p>
    <w:p w14:paraId="1E04BA8B" w14:textId="77777777" w:rsidR="00E34BD7" w:rsidRDefault="0015287A">
      <w:r>
        <w:t>This dissertation addresses that gap.</w:t>
      </w:r>
    </w:p>
    <w:p w14:paraId="5DAB6C7B" w14:textId="77777777" w:rsidR="00E34BD7" w:rsidRDefault="00E34BD7">
      <w:pPr>
        <w:pBdr>
          <w:top w:val="single" w:sz="12" w:space="0" w:color="auto"/>
        </w:pBdr>
        <w:spacing w:after="0"/>
      </w:pPr>
    </w:p>
    <w:p w14:paraId="055BB0DB" w14:textId="77777777" w:rsidR="00E34BD7" w:rsidRDefault="0015287A">
      <w:pPr>
        <w:pStyle w:val="Heading3"/>
      </w:pPr>
      <w:r>
        <w:lastRenderedPageBreak/>
        <w:t>Theoretical Contribution: Extending UTAUT2 for AI Contexts</w:t>
      </w:r>
    </w:p>
    <w:p w14:paraId="18966020" w14:textId="77777777" w:rsidR="00E34BD7" w:rsidRDefault="0015287A">
      <w:r>
        <w:t>The study builds directly on UTAUT2, retaining its core theoretical architecture, but testing whether its predictor structure holds under AI conditions.</w:t>
      </w:r>
    </w:p>
    <w:p w14:paraId="5503BD71" w14:textId="77777777" w:rsidR="00E34BD7" w:rsidRDefault="0015287A">
      <w:r>
        <w:t xml:space="preserve">In addition, the model introduces an explicit </w:t>
      </w:r>
      <w:r>
        <w:rPr>
          <w:b/>
          <w:bCs/>
        </w:rPr>
        <w:t>AI Trust construct</w:t>
      </w:r>
      <w:r>
        <w:t>, grounded in emerging literature on human–AI interaction, which suggests that trust in AI systems is qualitatively different from trust in deterministic technologies.</w:t>
      </w:r>
    </w:p>
    <w:p w14:paraId="000CA504" w14:textId="77777777" w:rsidR="00E34BD7" w:rsidRDefault="0015287A">
      <w:r>
        <w:t>The goal was not to replace UTAUT2, but to answer a narrower and more precise question:</w:t>
      </w:r>
    </w:p>
    <w:p w14:paraId="13D3E4E0" w14:textId="77777777" w:rsidR="00E34BD7" w:rsidRDefault="0015287A">
      <w:pPr>
        <w:pBdr>
          <w:left w:val="single" w:sz="18" w:space="4" w:color="A6A6A6"/>
        </w:pBdr>
        <w:ind w:left="180"/>
      </w:pPr>
      <w:r>
        <w:rPr>
          <w:i/>
          <w:iCs/>
        </w:rPr>
        <w:t>Which adoption drivers remain salient for AI, which weaken, and which change in relative importance?</w:t>
      </w:r>
    </w:p>
    <w:p w14:paraId="645F1C0A" w14:textId="77777777" w:rsidR="00E34BD7" w:rsidRDefault="0015287A">
      <w:r>
        <w:t xml:space="preserve">This distinction becomes critical when theory is meant not merely to explain behavior, but to </w:t>
      </w:r>
      <w:r>
        <w:rPr>
          <w:b/>
          <w:bCs/>
        </w:rPr>
        <w:t>inform real organizational decisions</w:t>
      </w:r>
      <w:r>
        <w:t>.</w:t>
      </w:r>
    </w:p>
    <w:p w14:paraId="02EB378F" w14:textId="77777777" w:rsidR="00E34BD7" w:rsidRDefault="00E34BD7">
      <w:pPr>
        <w:pBdr>
          <w:top w:val="single" w:sz="12" w:space="0" w:color="auto"/>
        </w:pBdr>
        <w:spacing w:after="0"/>
      </w:pPr>
    </w:p>
    <w:p w14:paraId="6E412AA1" w14:textId="77777777" w:rsidR="00E34BD7" w:rsidRDefault="0015287A">
      <w:pPr>
        <w:pStyle w:val="Heading3"/>
      </w:pPr>
      <w:r>
        <w:t>Methodology: Rigor First, Then Interpretation</w:t>
      </w:r>
    </w:p>
    <w:p w14:paraId="26185ABC" w14:textId="77777777" w:rsidR="00E34BD7" w:rsidRDefault="0015287A">
      <w:r>
        <w:t xml:space="preserve">Methodologically, the study employed a </w:t>
      </w:r>
      <w:r>
        <w:rPr>
          <w:b/>
          <w:bCs/>
        </w:rPr>
        <w:t>post‑positivist, sequential mixed‑methods design with quantitative primacy</w:t>
      </w:r>
      <w:r>
        <w:t>.</w:t>
      </w:r>
    </w:p>
    <w:p w14:paraId="707A0CA0" w14:textId="77777777" w:rsidR="00E34BD7" w:rsidRDefault="0015287A">
      <w:r>
        <w:t xml:space="preserve">The quantitative phase involved the development and validation of a new psychometric instrument, the </w:t>
      </w:r>
      <w:r>
        <w:rPr>
          <w:b/>
          <w:bCs/>
        </w:rPr>
        <w:t>AI Readiness Scale, or AIRS</w:t>
      </w:r>
      <w:r>
        <w:t>, followed by structural equation modeling to test hypothesized relationships.</w:t>
      </w:r>
    </w:p>
    <w:p w14:paraId="3608986E" w14:textId="77777777" w:rsidR="00E34BD7" w:rsidRDefault="0015287A">
      <w:r>
        <w:t xml:space="preserve">A total of </w:t>
      </w:r>
      <w:r>
        <w:rPr>
          <w:b/>
          <w:bCs/>
        </w:rPr>
        <w:t>523 participants</w:t>
      </w:r>
      <w:r>
        <w:t xml:space="preserve"> in the United States were recruited using topic‑blinded sampling to mitigate self‑selection bias. The sample included students, professionals, and organizational leaders, allowing for cross‑population and experience‑level analysis.</w:t>
      </w:r>
    </w:p>
    <w:p w14:paraId="1F8BD6CA" w14:textId="77777777" w:rsidR="00E34BD7" w:rsidRDefault="0015287A">
      <w:r>
        <w:t xml:space="preserve">The instrument development process was conservative by design. An initial 28‑item pool was reduced through </w:t>
      </w:r>
      <w:proofErr w:type="gramStart"/>
      <w:r>
        <w:t>exploratory</w:t>
      </w:r>
      <w:proofErr w:type="gramEnd"/>
      <w:r>
        <w:t xml:space="preserve"> and confirmatory factor analysis to a </w:t>
      </w:r>
      <w:r>
        <w:rPr>
          <w:b/>
          <w:bCs/>
        </w:rPr>
        <w:t>final 16‑item scale across eight constructs</w:t>
      </w:r>
      <w:r>
        <w:t>, achieving strong model fit, reliability, and convergent validity.</w:t>
      </w:r>
    </w:p>
    <w:p w14:paraId="0FB5362C" w14:textId="77777777" w:rsidR="00E34BD7" w:rsidRDefault="0015287A">
      <w:r>
        <w:t xml:space="preserve">Importantly, the model was validated against </w:t>
      </w:r>
      <w:r>
        <w:rPr>
          <w:b/>
          <w:bCs/>
        </w:rPr>
        <w:t>actual AI usage behavior</w:t>
      </w:r>
      <w:r>
        <w:t>, not merely self‑reported intention, providing behavioral grounding for the findings.</w:t>
      </w:r>
    </w:p>
    <w:p w14:paraId="6A05A809" w14:textId="77777777" w:rsidR="00E34BD7" w:rsidRDefault="00E34BD7">
      <w:pPr>
        <w:pBdr>
          <w:top w:val="single" w:sz="12" w:space="0" w:color="auto"/>
        </w:pBdr>
        <w:spacing w:after="0"/>
      </w:pPr>
    </w:p>
    <w:p w14:paraId="064D2027" w14:textId="77777777" w:rsidR="00E34BD7" w:rsidRDefault="0015287A">
      <w:pPr>
        <w:pStyle w:val="Heading3"/>
      </w:pPr>
      <w:r>
        <w:t>The Central Finding: A Shift in the Adoption Logic</w:t>
      </w:r>
    </w:p>
    <w:p w14:paraId="5E684C47" w14:textId="77777777" w:rsidR="00E34BD7" w:rsidRDefault="0015287A">
      <w:r>
        <w:t>The most important result of this dissertation can be stated plainly:</w:t>
      </w:r>
    </w:p>
    <w:p w14:paraId="245B2F1F" w14:textId="77777777" w:rsidR="00E34BD7" w:rsidRDefault="0015287A">
      <w:r>
        <w:rPr>
          <w:b/>
          <w:bCs/>
        </w:rPr>
        <w:t>AI adoption follows a different logic than traditional technology adoption.</w:t>
      </w:r>
    </w:p>
    <w:p w14:paraId="19128AF0" w14:textId="77777777" w:rsidR="00E34BD7" w:rsidRDefault="0015287A">
      <w:r>
        <w:t xml:space="preserve">In classical UTAUT and UTAUT2 research, </w:t>
      </w:r>
      <w:r>
        <w:rPr>
          <w:b/>
          <w:bCs/>
        </w:rPr>
        <w:t xml:space="preserve">Performance </w:t>
      </w:r>
      <w:proofErr w:type="gramStart"/>
      <w:r>
        <w:rPr>
          <w:b/>
          <w:bCs/>
        </w:rPr>
        <w:t>Expectancy</w:t>
      </w:r>
      <w:r>
        <w:t>—</w:t>
      </w:r>
      <w:proofErr w:type="gramEnd"/>
      <w:r>
        <w:t>the belief that a technology improves job performance—is consistently the strongest predictor of adoption.</w:t>
      </w:r>
    </w:p>
    <w:p w14:paraId="7724433A" w14:textId="77777777" w:rsidR="00E34BD7" w:rsidRDefault="0015287A">
      <w:r>
        <w:lastRenderedPageBreak/>
        <w:t xml:space="preserve">In this study, it was </w:t>
      </w:r>
      <w:r>
        <w:rPr>
          <w:b/>
          <w:bCs/>
        </w:rPr>
        <w:t>not significant</w:t>
      </w:r>
      <w:r>
        <w:t>.</w:t>
      </w:r>
    </w:p>
    <w:p w14:paraId="195D329E" w14:textId="77777777" w:rsidR="00E34BD7" w:rsidRDefault="0015287A">
      <w:r>
        <w:t>Instead, one construct dominated the model.</w:t>
      </w:r>
    </w:p>
    <w:p w14:paraId="71F5098D" w14:textId="77777777" w:rsidR="00E34BD7" w:rsidRDefault="0015287A">
      <w:r>
        <w:rPr>
          <w:b/>
          <w:bCs/>
        </w:rPr>
        <w:t>Price Value</w:t>
      </w:r>
      <w:r>
        <w:t>—the perceived balance between benefits received and the cost, effort, and tradeoffs required—emerged as the single strongest predictor of AI adoption intention.</w:t>
      </w:r>
    </w:p>
    <w:p w14:paraId="163EB29B" w14:textId="77777777" w:rsidR="00E34BD7" w:rsidRDefault="0015287A">
      <w:r>
        <w:t>This is not a marginal shift. It is a structural one.</w:t>
      </w:r>
    </w:p>
    <w:p w14:paraId="74C04C8C" w14:textId="77777777" w:rsidR="00E34BD7" w:rsidRDefault="0015287A">
      <w:r>
        <w:t>The interpretation is theoretically meaningful:</w:t>
      </w:r>
    </w:p>
    <w:p w14:paraId="5DD829D4" w14:textId="77777777" w:rsidR="00E34BD7" w:rsidRDefault="0015287A">
      <w:r>
        <w:t xml:space="preserve">AI’s usefulness is now assumed. What differentiates adoption is not </w:t>
      </w:r>
      <w:r>
        <w:rPr>
          <w:i/>
          <w:iCs/>
        </w:rPr>
        <w:t>whether</w:t>
      </w:r>
      <w:r>
        <w:t xml:space="preserve"> AI is powerful, but whether its </w:t>
      </w:r>
      <w:r>
        <w:rPr>
          <w:b/>
          <w:bCs/>
        </w:rPr>
        <w:t>value proposition is credible, justified, and worth the investment</w:t>
      </w:r>
      <w:r>
        <w:t xml:space="preserve"> from the individual’s perspective.</w:t>
      </w:r>
    </w:p>
    <w:p w14:paraId="6899E525" w14:textId="77777777" w:rsidR="00E34BD7" w:rsidRDefault="0015287A">
      <w:r>
        <w:t>This finding alone helps explain why so many AI initiatives stall after pilot phases. Organizations communicate capability, while users evaluate value.</w:t>
      </w:r>
    </w:p>
    <w:p w14:paraId="5A39BBE3" w14:textId="77777777" w:rsidR="00E34BD7" w:rsidRDefault="00E34BD7">
      <w:pPr>
        <w:pBdr>
          <w:top w:val="single" w:sz="12" w:space="0" w:color="auto"/>
        </w:pBdr>
        <w:spacing w:after="0"/>
      </w:pPr>
    </w:p>
    <w:p w14:paraId="4722D9CB" w14:textId="77777777" w:rsidR="00E34BD7" w:rsidRDefault="0015287A">
      <w:pPr>
        <w:pStyle w:val="Heading3"/>
      </w:pPr>
      <w:r>
        <w:t>Secondary Findings: Moderation, Segmentation, and Behavior</w:t>
      </w:r>
    </w:p>
    <w:p w14:paraId="782C1F55" w14:textId="77777777" w:rsidR="00E34BD7" w:rsidRDefault="0015287A">
      <w:r>
        <w:t>Several secondary findings reinforce and refine this conclusion.</w:t>
      </w:r>
    </w:p>
    <w:p w14:paraId="691A19F3" w14:textId="77777777" w:rsidR="00E34BD7" w:rsidRDefault="0015287A">
      <w:r>
        <w:t xml:space="preserve">First, adoption drivers </w:t>
      </w:r>
      <w:r>
        <w:rPr>
          <w:b/>
          <w:bCs/>
        </w:rPr>
        <w:t>evolve with experience</w:t>
      </w:r>
      <w:r>
        <w:t>. New or low‑usage users attend more to performance expectations, while experienced users shift decisively toward value considerations. This suggests that adoption is not static, but developmental.</w:t>
      </w:r>
    </w:p>
    <w:p w14:paraId="7A5C9D66" w14:textId="77777777" w:rsidR="00E34BD7" w:rsidRDefault="0015287A">
      <w:r>
        <w:t>Second, population differences matter. Hedonic motivation—enjoyment and engagement—plays a strong positive role for academic users but becomes neutral or even negative in professional contexts. This finding cautions against transferring adoption strategies wholesale from educational settings into enterprise environments.</w:t>
      </w:r>
    </w:p>
    <w:p w14:paraId="1A30FD91" w14:textId="77777777" w:rsidR="00E34BD7" w:rsidRDefault="0015287A">
      <w:r>
        <w:t>Third, behavioral intention correlated strongly with actual AI usage across multiple tools, validating the practical relevance of the constructs measured.</w:t>
      </w:r>
    </w:p>
    <w:p w14:paraId="2F335021" w14:textId="77777777" w:rsidR="00E34BD7" w:rsidRDefault="0015287A">
      <w:r>
        <w:t xml:space="preserve">Taken together, these results suggest that AI adoption is both </w:t>
      </w:r>
      <w:r>
        <w:rPr>
          <w:b/>
          <w:bCs/>
        </w:rPr>
        <w:t>context‑dependent and stage‑dependent</w:t>
      </w:r>
      <w:r>
        <w:t>, further undermining one‑size‑fits‑all implementation strategies.</w:t>
      </w:r>
    </w:p>
    <w:p w14:paraId="41C8F396" w14:textId="77777777" w:rsidR="00E34BD7" w:rsidRDefault="00E34BD7">
      <w:pPr>
        <w:pBdr>
          <w:top w:val="single" w:sz="12" w:space="0" w:color="auto"/>
        </w:pBdr>
        <w:spacing w:after="0"/>
      </w:pPr>
    </w:p>
    <w:p w14:paraId="2B7AE924" w14:textId="77777777" w:rsidR="00E34BD7" w:rsidRDefault="0015287A">
      <w:pPr>
        <w:pStyle w:val="Heading3"/>
      </w:pPr>
      <w:r>
        <w:t>The Practitioner Bridge: The User Typology</w:t>
      </w:r>
    </w:p>
    <w:p w14:paraId="7695A5CC" w14:textId="77777777" w:rsidR="00E34BD7" w:rsidRDefault="0015287A">
      <w:r>
        <w:t xml:space="preserve">To translate these findings into actionable insight, the study derived a </w:t>
      </w:r>
      <w:r>
        <w:rPr>
          <w:b/>
          <w:bCs/>
        </w:rPr>
        <w:t>three‑segment user typology</w:t>
      </w:r>
      <w:r>
        <w:t xml:space="preserve"> based on readiness profiles:</w:t>
      </w:r>
    </w:p>
    <w:p w14:paraId="6A732F86" w14:textId="77777777" w:rsidR="00E34BD7" w:rsidRDefault="0015287A">
      <w:pPr>
        <w:pStyle w:val="ListParagraph"/>
        <w:numPr>
          <w:ilvl w:val="0"/>
          <w:numId w:val="1"/>
        </w:numPr>
      </w:pPr>
      <w:r>
        <w:rPr>
          <w:b/>
          <w:bCs/>
        </w:rPr>
        <w:t>AI Enthusiasts</w:t>
      </w:r>
      <w:r>
        <w:t>, who adopt early and broadly,</w:t>
      </w:r>
    </w:p>
    <w:p w14:paraId="0B403A51" w14:textId="77777777" w:rsidR="00E34BD7" w:rsidRDefault="0015287A">
      <w:pPr>
        <w:pStyle w:val="ListParagraph"/>
        <w:numPr>
          <w:ilvl w:val="0"/>
          <w:numId w:val="1"/>
        </w:numPr>
      </w:pPr>
      <w:r>
        <w:rPr>
          <w:b/>
          <w:bCs/>
        </w:rPr>
        <w:t>Moderate Users</w:t>
      </w:r>
      <w:r>
        <w:t>, who adopt pragmatically when value is demonstrated,</w:t>
      </w:r>
    </w:p>
    <w:p w14:paraId="5DD17942" w14:textId="77777777" w:rsidR="00E34BD7" w:rsidRDefault="0015287A">
      <w:pPr>
        <w:pStyle w:val="ListParagraph"/>
        <w:numPr>
          <w:ilvl w:val="0"/>
          <w:numId w:val="1"/>
        </w:numPr>
      </w:pPr>
      <w:r>
        <w:rPr>
          <w:b/>
          <w:bCs/>
        </w:rPr>
        <w:t>AI Skeptics</w:t>
      </w:r>
      <w:r>
        <w:t>, who exhibit consistently low readiness across multiple dimensions.</w:t>
      </w:r>
    </w:p>
    <w:p w14:paraId="5DE4D19D" w14:textId="77777777" w:rsidR="00E34BD7" w:rsidRDefault="0015287A">
      <w:r>
        <w:lastRenderedPageBreak/>
        <w:t>Approximately one‑fifth of the sample fell into the Skeptics category.</w:t>
      </w:r>
    </w:p>
    <w:p w14:paraId="0C56ACEA" w14:textId="77777777" w:rsidR="00E34BD7" w:rsidRDefault="0015287A">
      <w:r>
        <w:t>From a practitioner standpoint, this is critical.</w:t>
      </w:r>
    </w:p>
    <w:p w14:paraId="0972DA4A" w14:textId="77777777" w:rsidR="00E34BD7" w:rsidRDefault="0015287A">
      <w:r>
        <w:t xml:space="preserve">No organizational rollout strategy can succeed if it assumes uniform readiness. For a substantial minority, resistance is not ignorance or </w:t>
      </w:r>
      <w:proofErr w:type="gramStart"/>
      <w:r>
        <w:t>obstinacy—</w:t>
      </w:r>
      <w:proofErr w:type="gramEnd"/>
      <w:r>
        <w:t>it is the rational outcome of trust concerns, anxiety, or perceived misalignment between AI use and personal or professional risk.</w:t>
      </w:r>
    </w:p>
    <w:p w14:paraId="2825EAE5" w14:textId="77777777" w:rsidR="00E34BD7" w:rsidRDefault="0015287A">
      <w:r>
        <w:t xml:space="preserve">The typology provides a </w:t>
      </w:r>
      <w:r>
        <w:rPr>
          <w:b/>
          <w:bCs/>
        </w:rPr>
        <w:t>diagnostic lens</w:t>
      </w:r>
      <w:r>
        <w:t>, not a labeling exercise. It enables differentiated intervention rather than generalized exhortation.</w:t>
      </w:r>
    </w:p>
    <w:p w14:paraId="72A3D3EC" w14:textId="77777777" w:rsidR="00E34BD7" w:rsidRDefault="00E34BD7">
      <w:pPr>
        <w:pBdr>
          <w:top w:val="single" w:sz="12" w:space="0" w:color="auto"/>
        </w:pBdr>
        <w:spacing w:after="0"/>
      </w:pPr>
    </w:p>
    <w:p w14:paraId="6813C7B3" w14:textId="77777777" w:rsidR="00E34BD7" w:rsidRDefault="0015287A">
      <w:pPr>
        <w:pStyle w:val="Heading3"/>
      </w:pPr>
      <w:r>
        <w:t>Neurodiversity and Disability: An Unexpected but Salient Insight</w:t>
      </w:r>
    </w:p>
    <w:p w14:paraId="35420A08" w14:textId="77777777" w:rsidR="00E34BD7" w:rsidRDefault="0015287A">
      <w:r>
        <w:t>One of the most ethically and practically significant findings emerged from an exploratory analysis.</w:t>
      </w:r>
    </w:p>
    <w:p w14:paraId="6BE8CC71" w14:textId="77777777" w:rsidR="00E34BD7" w:rsidRDefault="0015287A">
      <w:r>
        <w:t xml:space="preserve">Participants who reported a disability exhibited </w:t>
      </w:r>
      <w:r>
        <w:rPr>
          <w:b/>
          <w:bCs/>
        </w:rPr>
        <w:t>significantly higher AI‑related anxiety</w:t>
      </w:r>
      <w:r>
        <w:t xml:space="preserve"> and lower enjoyment of AI tools.</w:t>
      </w:r>
    </w:p>
    <w:p w14:paraId="623A3533" w14:textId="77777777" w:rsidR="00E34BD7" w:rsidRDefault="0015287A">
      <w:r>
        <w:t>These patterns were consistent across multiple constructs, even when not all reached statistical significance individually.</w:t>
      </w:r>
    </w:p>
    <w:p w14:paraId="570408E9" w14:textId="77777777" w:rsidR="00E34BD7" w:rsidRDefault="0015287A">
      <w:r>
        <w:t xml:space="preserve">This suggests that accessibility is not merely an inclusion </w:t>
      </w:r>
      <w:proofErr w:type="gramStart"/>
      <w:r>
        <w:t>issue—</w:t>
      </w:r>
      <w:proofErr w:type="gramEnd"/>
      <w:r>
        <w:t xml:space="preserve">it is an </w:t>
      </w:r>
      <w:r>
        <w:rPr>
          <w:b/>
          <w:bCs/>
        </w:rPr>
        <w:t>adoption condition</w:t>
      </w:r>
      <w:r>
        <w:t>.</w:t>
      </w:r>
    </w:p>
    <w:p w14:paraId="4CC775DA" w14:textId="77777777" w:rsidR="00E34BD7" w:rsidRDefault="0015287A">
      <w:r>
        <w:t>From a scholarly perspective, this finding signals the need for more nuanced measurement of AI anxiety and trust. From a practitioner perspective, it reframes inclusive design as a lever for broader adoption rather than a specialized accommodation.</w:t>
      </w:r>
    </w:p>
    <w:p w14:paraId="0D0B940D" w14:textId="77777777" w:rsidR="00E34BD7" w:rsidRDefault="00E34BD7">
      <w:pPr>
        <w:pBdr>
          <w:top w:val="single" w:sz="12" w:space="0" w:color="auto"/>
        </w:pBdr>
        <w:spacing w:after="0"/>
      </w:pPr>
    </w:p>
    <w:p w14:paraId="747A24B6" w14:textId="77777777" w:rsidR="00E34BD7" w:rsidRDefault="0015287A">
      <w:pPr>
        <w:pStyle w:val="Heading3"/>
      </w:pPr>
      <w:r>
        <w:t>Contributions to Theory</w:t>
      </w:r>
    </w:p>
    <w:p w14:paraId="7D4DF227" w14:textId="77777777" w:rsidR="00E34BD7" w:rsidRDefault="0015287A">
      <w:r>
        <w:t xml:space="preserve">This dissertation makes several contributions to </w:t>
      </w:r>
      <w:proofErr w:type="gramStart"/>
      <w:r>
        <w:t>the literature</w:t>
      </w:r>
      <w:proofErr w:type="gramEnd"/>
      <w:r>
        <w:t>:</w:t>
      </w:r>
    </w:p>
    <w:p w14:paraId="335203EA" w14:textId="77777777" w:rsidR="00E34BD7" w:rsidRDefault="0015287A">
      <w:r>
        <w:t xml:space="preserve">First, it provides the </w:t>
      </w:r>
      <w:r>
        <w:rPr>
          <w:b/>
          <w:bCs/>
        </w:rPr>
        <w:t>first validated extension of UTAUT2 specifically for AI adoption</w:t>
      </w:r>
      <w:r>
        <w:t>, grounded in empirical data rather than assumption.</w:t>
      </w:r>
    </w:p>
    <w:p w14:paraId="2A37D34B" w14:textId="77777777" w:rsidR="00E34BD7" w:rsidRDefault="0015287A">
      <w:r>
        <w:t xml:space="preserve">Second, it demonstrates that </w:t>
      </w:r>
      <w:r>
        <w:rPr>
          <w:b/>
          <w:bCs/>
        </w:rPr>
        <w:t>Price Value displaces Performance Expectancy</w:t>
      </w:r>
      <w:r>
        <w:t xml:space="preserve"> as the dominant predictor in AI contexts, suggesting that AI constitutes a distinct technology category within acceptance theory.</w:t>
      </w:r>
    </w:p>
    <w:p w14:paraId="1E02B039" w14:textId="77777777" w:rsidR="00E34BD7" w:rsidRDefault="0015287A">
      <w:r>
        <w:t>Third, it integrates career‑stage and population differences into adoption modeling, showing that identical technologies are evaluated differently depending on role, experience, and setting.</w:t>
      </w:r>
    </w:p>
    <w:p w14:paraId="1D3E98E2" w14:textId="77777777" w:rsidR="00E34BD7" w:rsidRDefault="0015287A">
      <w:r>
        <w:t xml:space="preserve">Finally, it contributes a validated </w:t>
      </w:r>
      <w:r>
        <w:rPr>
          <w:b/>
          <w:bCs/>
        </w:rPr>
        <w:t>user typology</w:t>
      </w:r>
      <w:r>
        <w:t xml:space="preserve"> with both explanatory and applied relevance.</w:t>
      </w:r>
    </w:p>
    <w:p w14:paraId="0E27B00A" w14:textId="77777777" w:rsidR="00E34BD7" w:rsidRDefault="00E34BD7">
      <w:pPr>
        <w:pBdr>
          <w:top w:val="single" w:sz="12" w:space="0" w:color="auto"/>
        </w:pBdr>
        <w:spacing w:after="0"/>
      </w:pPr>
    </w:p>
    <w:p w14:paraId="3E8A80E9" w14:textId="77777777" w:rsidR="00E34BD7" w:rsidRDefault="0015287A">
      <w:pPr>
        <w:pStyle w:val="Heading3"/>
      </w:pPr>
      <w:r>
        <w:t>Implications for Practice</w:t>
      </w:r>
    </w:p>
    <w:p w14:paraId="45118375" w14:textId="77777777" w:rsidR="00E34BD7" w:rsidRDefault="0015287A">
      <w:r>
        <w:t>For practitioners, the implications are direct.</w:t>
      </w:r>
    </w:p>
    <w:p w14:paraId="621B7F61" w14:textId="77777777" w:rsidR="00E34BD7" w:rsidRDefault="0015287A">
      <w:r>
        <w:t>AI adoption efforts that emphasize technological capability over value realization are misaligned with how users make decisions.</w:t>
      </w:r>
    </w:p>
    <w:p w14:paraId="49AB1A21" w14:textId="77777777" w:rsidR="00E34BD7" w:rsidRDefault="0015287A">
      <w:r>
        <w:t>Successful implementation must:</w:t>
      </w:r>
    </w:p>
    <w:p w14:paraId="2C597C94" w14:textId="77777777" w:rsidR="00E34BD7" w:rsidRDefault="0015287A">
      <w:pPr>
        <w:pStyle w:val="ListParagraph"/>
        <w:numPr>
          <w:ilvl w:val="0"/>
          <w:numId w:val="4"/>
        </w:numPr>
      </w:pPr>
      <w:r>
        <w:t>Lead with concrete value narratives,</w:t>
      </w:r>
    </w:p>
    <w:p w14:paraId="4D37FA7F" w14:textId="77777777" w:rsidR="00E34BD7" w:rsidRDefault="0015287A">
      <w:pPr>
        <w:pStyle w:val="ListParagraph"/>
        <w:numPr>
          <w:ilvl w:val="0"/>
          <w:numId w:val="4"/>
        </w:numPr>
      </w:pPr>
      <w:r>
        <w:t>Segment the workforce by readiness,</w:t>
      </w:r>
    </w:p>
    <w:p w14:paraId="6AE85870" w14:textId="77777777" w:rsidR="00E34BD7" w:rsidRDefault="0015287A">
      <w:pPr>
        <w:pStyle w:val="ListParagraph"/>
        <w:numPr>
          <w:ilvl w:val="0"/>
          <w:numId w:val="4"/>
        </w:numPr>
      </w:pPr>
      <w:r>
        <w:t>Address affective barriers such as anxiety and trust,</w:t>
      </w:r>
    </w:p>
    <w:p w14:paraId="119EF0D1" w14:textId="77777777" w:rsidR="00E34BD7" w:rsidRDefault="0015287A">
      <w:pPr>
        <w:pStyle w:val="ListParagraph"/>
        <w:numPr>
          <w:ilvl w:val="0"/>
          <w:numId w:val="4"/>
        </w:numPr>
      </w:pPr>
      <w:r>
        <w:t>And treat accessibility as foundational rather than optional.</w:t>
      </w:r>
    </w:p>
    <w:p w14:paraId="5B7E03A1" w14:textId="77777777" w:rsidR="00E34BD7" w:rsidRDefault="0015287A">
      <w:r>
        <w:t xml:space="preserve">Most importantly, organizations must move from intuition‑driven adoption strategies to </w:t>
      </w:r>
      <w:r>
        <w:rPr>
          <w:b/>
          <w:bCs/>
        </w:rPr>
        <w:t>measurement‑informed intervention design</w:t>
      </w:r>
      <w:r>
        <w:t>.</w:t>
      </w:r>
    </w:p>
    <w:p w14:paraId="60061E4C" w14:textId="77777777" w:rsidR="00E34BD7" w:rsidRDefault="00E34BD7">
      <w:pPr>
        <w:pBdr>
          <w:top w:val="single" w:sz="12" w:space="0" w:color="auto"/>
        </w:pBdr>
        <w:spacing w:after="0"/>
      </w:pPr>
    </w:p>
    <w:p w14:paraId="2858F770" w14:textId="77777777" w:rsidR="00E34BD7" w:rsidRDefault="0015287A">
      <w:pPr>
        <w:pStyle w:val="Heading3"/>
      </w:pPr>
      <w:r>
        <w:t>Closing: Why This Work Matters</w:t>
      </w:r>
    </w:p>
    <w:p w14:paraId="2F081F89" w14:textId="77777777" w:rsidR="00E34BD7" w:rsidRDefault="0015287A">
      <w:r>
        <w:t>To conclude, this dissertation argues that the difficulty organizations face with AI is not primarily technical.</w:t>
      </w:r>
    </w:p>
    <w:p w14:paraId="385B5963" w14:textId="77777777" w:rsidR="00E34BD7" w:rsidRDefault="0015287A">
      <w:r>
        <w:t>It is conceptual.</w:t>
      </w:r>
    </w:p>
    <w:p w14:paraId="09FD4832" w14:textId="77777777" w:rsidR="00E34BD7" w:rsidRDefault="0015287A">
      <w:r>
        <w:t>We are applying models developed for stable, deterministic tools to technologies that are probabilistic, evolving, and cognitively entangled with human judgment.</w:t>
      </w:r>
    </w:p>
    <w:p w14:paraId="31404727" w14:textId="77777777" w:rsidR="00E34BD7" w:rsidRDefault="0015287A">
      <w:r>
        <w:t xml:space="preserve">By validating a theoretically grounded, empirically robust instrument for AI readiness, this work helps close the gap between </w:t>
      </w:r>
      <w:r>
        <w:rPr>
          <w:b/>
          <w:bCs/>
        </w:rPr>
        <w:t>what AI can do</w:t>
      </w:r>
      <w:r>
        <w:t xml:space="preserve"> and </w:t>
      </w:r>
      <w:r>
        <w:rPr>
          <w:b/>
          <w:bCs/>
        </w:rPr>
        <w:t xml:space="preserve">what organizations </w:t>
      </w:r>
      <w:proofErr w:type="gramStart"/>
      <w:r>
        <w:rPr>
          <w:b/>
          <w:bCs/>
        </w:rPr>
        <w:t>actually realize</w:t>
      </w:r>
      <w:proofErr w:type="gramEnd"/>
      <w:r>
        <w:t>.</w:t>
      </w:r>
    </w:p>
    <w:p w14:paraId="557B847D" w14:textId="77777777" w:rsidR="00E34BD7" w:rsidRDefault="0015287A">
      <w:r>
        <w:t>It reframes adoption not as enthusiasm, but as a measurable condition shaped by value, trust, context, and experience.</w:t>
      </w:r>
    </w:p>
    <w:p w14:paraId="0AA42BDC" w14:textId="77777777" w:rsidR="00E34BD7" w:rsidRDefault="0015287A">
      <w:r>
        <w:t>That, ultimately, is the bridge between scholarship and practice that this research seeks to build.</w:t>
      </w:r>
    </w:p>
    <w:p w14:paraId="30721E42" w14:textId="008F8DAE" w:rsidR="00E34BD7" w:rsidRDefault="0015287A" w:rsidP="00260C57">
      <w:r>
        <w:t>Thank you.</w:t>
      </w:r>
    </w:p>
    <w:sectPr w:rsidR="00E34BD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FD07E"/>
    <w:multiLevelType w:val="hybridMultilevel"/>
    <w:tmpl w:val="FFFFFFFF"/>
    <w:lvl w:ilvl="0" w:tplc="E132F648">
      <w:start w:val="1"/>
      <w:numFmt w:val="bullet"/>
      <w:lvlText w:val="●"/>
      <w:lvlJc w:val="left"/>
      <w:pPr>
        <w:ind w:left="720" w:hanging="360"/>
      </w:pPr>
    </w:lvl>
    <w:lvl w:ilvl="1" w:tplc="F06C0A9E">
      <w:start w:val="1"/>
      <w:numFmt w:val="bullet"/>
      <w:lvlText w:val="○"/>
      <w:lvlJc w:val="left"/>
      <w:pPr>
        <w:ind w:left="1440" w:hanging="360"/>
      </w:pPr>
    </w:lvl>
    <w:lvl w:ilvl="2" w:tplc="C50C09C0">
      <w:start w:val="1"/>
      <w:numFmt w:val="bullet"/>
      <w:lvlText w:val="■"/>
      <w:lvlJc w:val="left"/>
      <w:pPr>
        <w:ind w:left="2160" w:hanging="360"/>
      </w:pPr>
    </w:lvl>
    <w:lvl w:ilvl="3" w:tplc="50A679D2">
      <w:start w:val="1"/>
      <w:numFmt w:val="bullet"/>
      <w:lvlText w:val="●"/>
      <w:lvlJc w:val="left"/>
      <w:pPr>
        <w:ind w:left="2880" w:hanging="360"/>
      </w:pPr>
    </w:lvl>
    <w:lvl w:ilvl="4" w:tplc="F1EECEEA">
      <w:start w:val="1"/>
      <w:numFmt w:val="bullet"/>
      <w:lvlText w:val="○"/>
      <w:lvlJc w:val="left"/>
      <w:pPr>
        <w:ind w:left="3600" w:hanging="360"/>
      </w:pPr>
    </w:lvl>
    <w:lvl w:ilvl="5" w:tplc="69346AF4">
      <w:start w:val="1"/>
      <w:numFmt w:val="bullet"/>
      <w:lvlText w:val="■"/>
      <w:lvlJc w:val="left"/>
      <w:pPr>
        <w:ind w:left="4320" w:hanging="360"/>
      </w:pPr>
    </w:lvl>
    <w:lvl w:ilvl="6" w:tplc="B19E7E96">
      <w:start w:val="1"/>
      <w:numFmt w:val="bullet"/>
      <w:lvlText w:val="●"/>
      <w:lvlJc w:val="left"/>
      <w:pPr>
        <w:ind w:left="5040" w:hanging="360"/>
      </w:pPr>
    </w:lvl>
    <w:lvl w:ilvl="7" w:tplc="DDC6B874">
      <w:start w:val="1"/>
      <w:numFmt w:val="bullet"/>
      <w:lvlText w:val="●"/>
      <w:lvlJc w:val="left"/>
      <w:pPr>
        <w:ind w:left="5760" w:hanging="360"/>
      </w:pPr>
    </w:lvl>
    <w:lvl w:ilvl="8" w:tplc="CD2A54F2">
      <w:start w:val="1"/>
      <w:numFmt w:val="bullet"/>
      <w:lvlText w:val="●"/>
      <w:lvlJc w:val="left"/>
      <w:pPr>
        <w:ind w:left="6480" w:hanging="360"/>
      </w:pPr>
    </w:lvl>
  </w:abstractNum>
  <w:abstractNum w:abstractNumId="1" w15:restartNumberingAfterBreak="0">
    <w:nsid w:val="2C243970"/>
    <w:multiLevelType w:val="hybridMultilevel"/>
    <w:tmpl w:val="FFFFFFFF"/>
    <w:lvl w:ilvl="0" w:tplc="728A8266">
      <w:start w:val="1"/>
      <w:numFmt w:val="bullet"/>
      <w:lvlText w:val=""/>
      <w:lvlJc w:val="left"/>
      <w:pPr>
        <w:ind w:left="720" w:hanging="360"/>
      </w:pPr>
      <w:rPr>
        <w:rFonts w:ascii="Symbol" w:eastAsia="Symbol" w:hAnsi="Symbol" w:cs="Symbol"/>
      </w:rPr>
    </w:lvl>
    <w:lvl w:ilvl="1" w:tplc="070E2808">
      <w:start w:val="1"/>
      <w:numFmt w:val="bullet"/>
      <w:lvlText w:val="o"/>
      <w:lvlJc w:val="left"/>
      <w:pPr>
        <w:ind w:left="1440" w:hanging="360"/>
      </w:pPr>
      <w:rPr>
        <w:rFonts w:ascii="Courier New" w:eastAsia="Courier New" w:hAnsi="Courier New" w:cs="Courier New"/>
      </w:rPr>
    </w:lvl>
    <w:lvl w:ilvl="2" w:tplc="27A8D654">
      <w:start w:val="1"/>
      <w:numFmt w:val="bullet"/>
      <w:lvlText w:val=""/>
      <w:lvlJc w:val="left"/>
      <w:pPr>
        <w:ind w:left="2160" w:hanging="360"/>
      </w:pPr>
      <w:rPr>
        <w:rFonts w:ascii="Wingdings" w:eastAsia="Wingdings" w:hAnsi="Wingdings" w:cs="Wingdings"/>
      </w:rPr>
    </w:lvl>
    <w:lvl w:ilvl="3" w:tplc="E2F22042">
      <w:start w:val="1"/>
      <w:numFmt w:val="bullet"/>
      <w:lvlText w:val=""/>
      <w:lvlJc w:val="left"/>
      <w:pPr>
        <w:ind w:left="2880" w:hanging="360"/>
      </w:pPr>
      <w:rPr>
        <w:rFonts w:ascii="Symbol" w:eastAsia="Symbol" w:hAnsi="Symbol" w:cs="Symbol"/>
      </w:rPr>
    </w:lvl>
    <w:lvl w:ilvl="4" w:tplc="E8824442">
      <w:start w:val="1"/>
      <w:numFmt w:val="bullet"/>
      <w:lvlText w:val="o"/>
      <w:lvlJc w:val="left"/>
      <w:pPr>
        <w:ind w:left="3600" w:hanging="360"/>
      </w:pPr>
      <w:rPr>
        <w:rFonts w:ascii="Courier New" w:eastAsia="Courier New" w:hAnsi="Courier New" w:cs="Courier New"/>
      </w:rPr>
    </w:lvl>
    <w:lvl w:ilvl="5" w:tplc="FB1C06CC">
      <w:start w:val="1"/>
      <w:numFmt w:val="bullet"/>
      <w:lvlText w:val=""/>
      <w:lvlJc w:val="left"/>
      <w:pPr>
        <w:ind w:left="4320" w:hanging="360"/>
      </w:pPr>
      <w:rPr>
        <w:rFonts w:ascii="Wingdings" w:eastAsia="Wingdings" w:hAnsi="Wingdings" w:cs="Wingdings"/>
      </w:rPr>
    </w:lvl>
    <w:lvl w:ilvl="6" w:tplc="1A0A68E2">
      <w:start w:val="1"/>
      <w:numFmt w:val="bullet"/>
      <w:lvlText w:val=""/>
      <w:lvlJc w:val="left"/>
      <w:pPr>
        <w:ind w:left="5040" w:hanging="360"/>
      </w:pPr>
      <w:rPr>
        <w:rFonts w:ascii="Symbol" w:eastAsia="Symbol" w:hAnsi="Symbol" w:cs="Symbol"/>
      </w:rPr>
    </w:lvl>
    <w:lvl w:ilvl="7" w:tplc="3AC61D1C">
      <w:start w:val="1"/>
      <w:numFmt w:val="bullet"/>
      <w:lvlText w:val="o"/>
      <w:lvlJc w:val="left"/>
      <w:pPr>
        <w:ind w:left="5760" w:hanging="360"/>
      </w:pPr>
      <w:rPr>
        <w:rFonts w:ascii="Courier New" w:eastAsia="Courier New" w:hAnsi="Courier New" w:cs="Courier New"/>
      </w:rPr>
    </w:lvl>
    <w:lvl w:ilvl="8" w:tplc="2BFE2928">
      <w:start w:val="1"/>
      <w:numFmt w:val="bullet"/>
      <w:lvlText w:val=""/>
      <w:lvlJc w:val="left"/>
      <w:pPr>
        <w:ind w:left="6480" w:hanging="360"/>
      </w:pPr>
      <w:rPr>
        <w:rFonts w:ascii="Wingdings" w:eastAsia="Wingdings" w:hAnsi="Wingdings" w:cs="Wingdings"/>
      </w:rPr>
    </w:lvl>
  </w:abstractNum>
  <w:abstractNum w:abstractNumId="2" w15:restartNumberingAfterBreak="0">
    <w:nsid w:val="33C14411"/>
    <w:multiLevelType w:val="hybridMultilevel"/>
    <w:tmpl w:val="FFFFFFFF"/>
    <w:lvl w:ilvl="0" w:tplc="5DBC7E94">
      <w:start w:val="1"/>
      <w:numFmt w:val="bullet"/>
      <w:lvlText w:val=""/>
      <w:lvlJc w:val="left"/>
      <w:pPr>
        <w:ind w:left="720" w:hanging="360"/>
      </w:pPr>
      <w:rPr>
        <w:rFonts w:ascii="Symbol" w:eastAsia="Symbol" w:hAnsi="Symbol" w:cs="Symbol"/>
      </w:rPr>
    </w:lvl>
    <w:lvl w:ilvl="1" w:tplc="5A12DC54">
      <w:start w:val="1"/>
      <w:numFmt w:val="bullet"/>
      <w:lvlText w:val="o"/>
      <w:lvlJc w:val="left"/>
      <w:pPr>
        <w:ind w:left="1440" w:hanging="360"/>
      </w:pPr>
      <w:rPr>
        <w:rFonts w:ascii="Courier New" w:eastAsia="Courier New" w:hAnsi="Courier New" w:cs="Courier New"/>
      </w:rPr>
    </w:lvl>
    <w:lvl w:ilvl="2" w:tplc="21A4067A">
      <w:start w:val="1"/>
      <w:numFmt w:val="bullet"/>
      <w:lvlText w:val=""/>
      <w:lvlJc w:val="left"/>
      <w:pPr>
        <w:ind w:left="2160" w:hanging="360"/>
      </w:pPr>
      <w:rPr>
        <w:rFonts w:ascii="Wingdings" w:eastAsia="Wingdings" w:hAnsi="Wingdings" w:cs="Wingdings"/>
      </w:rPr>
    </w:lvl>
    <w:lvl w:ilvl="3" w:tplc="F8F224D2">
      <w:start w:val="1"/>
      <w:numFmt w:val="bullet"/>
      <w:lvlText w:val=""/>
      <w:lvlJc w:val="left"/>
      <w:pPr>
        <w:ind w:left="2880" w:hanging="360"/>
      </w:pPr>
      <w:rPr>
        <w:rFonts w:ascii="Symbol" w:eastAsia="Symbol" w:hAnsi="Symbol" w:cs="Symbol"/>
      </w:rPr>
    </w:lvl>
    <w:lvl w:ilvl="4" w:tplc="DA44F7BE">
      <w:start w:val="1"/>
      <w:numFmt w:val="bullet"/>
      <w:lvlText w:val="o"/>
      <w:lvlJc w:val="left"/>
      <w:pPr>
        <w:ind w:left="3600" w:hanging="360"/>
      </w:pPr>
      <w:rPr>
        <w:rFonts w:ascii="Courier New" w:eastAsia="Courier New" w:hAnsi="Courier New" w:cs="Courier New"/>
      </w:rPr>
    </w:lvl>
    <w:lvl w:ilvl="5" w:tplc="D092FE7E">
      <w:start w:val="1"/>
      <w:numFmt w:val="bullet"/>
      <w:lvlText w:val=""/>
      <w:lvlJc w:val="left"/>
      <w:pPr>
        <w:ind w:left="4320" w:hanging="360"/>
      </w:pPr>
      <w:rPr>
        <w:rFonts w:ascii="Wingdings" w:eastAsia="Wingdings" w:hAnsi="Wingdings" w:cs="Wingdings"/>
      </w:rPr>
    </w:lvl>
    <w:lvl w:ilvl="6" w:tplc="DE1A04A6">
      <w:start w:val="1"/>
      <w:numFmt w:val="bullet"/>
      <w:lvlText w:val=""/>
      <w:lvlJc w:val="left"/>
      <w:pPr>
        <w:ind w:left="5040" w:hanging="360"/>
      </w:pPr>
      <w:rPr>
        <w:rFonts w:ascii="Symbol" w:eastAsia="Symbol" w:hAnsi="Symbol" w:cs="Symbol"/>
      </w:rPr>
    </w:lvl>
    <w:lvl w:ilvl="7" w:tplc="AE4AE180">
      <w:start w:val="1"/>
      <w:numFmt w:val="bullet"/>
      <w:lvlText w:val="o"/>
      <w:lvlJc w:val="left"/>
      <w:pPr>
        <w:ind w:left="5760" w:hanging="360"/>
      </w:pPr>
      <w:rPr>
        <w:rFonts w:ascii="Courier New" w:eastAsia="Courier New" w:hAnsi="Courier New" w:cs="Courier New"/>
      </w:rPr>
    </w:lvl>
    <w:lvl w:ilvl="8" w:tplc="93EA0778">
      <w:start w:val="1"/>
      <w:numFmt w:val="bullet"/>
      <w:lvlText w:val=""/>
      <w:lvlJc w:val="left"/>
      <w:pPr>
        <w:ind w:left="6480" w:hanging="360"/>
      </w:pPr>
      <w:rPr>
        <w:rFonts w:ascii="Wingdings" w:eastAsia="Wingdings" w:hAnsi="Wingdings" w:cs="Wingdings"/>
      </w:rPr>
    </w:lvl>
  </w:abstractNum>
  <w:abstractNum w:abstractNumId="3" w15:restartNumberingAfterBreak="0">
    <w:nsid w:val="763BF867"/>
    <w:multiLevelType w:val="hybridMultilevel"/>
    <w:tmpl w:val="FFFFFFFF"/>
    <w:lvl w:ilvl="0" w:tplc="6D26D856">
      <w:start w:val="1"/>
      <w:numFmt w:val="bullet"/>
      <w:lvlText w:val=""/>
      <w:lvlJc w:val="left"/>
      <w:pPr>
        <w:ind w:left="720" w:hanging="360"/>
      </w:pPr>
      <w:rPr>
        <w:rFonts w:ascii="Symbol" w:eastAsia="Symbol" w:hAnsi="Symbol" w:cs="Symbol"/>
      </w:rPr>
    </w:lvl>
    <w:lvl w:ilvl="1" w:tplc="01B26D8C">
      <w:start w:val="1"/>
      <w:numFmt w:val="bullet"/>
      <w:lvlText w:val="o"/>
      <w:lvlJc w:val="left"/>
      <w:pPr>
        <w:ind w:left="1440" w:hanging="360"/>
      </w:pPr>
      <w:rPr>
        <w:rFonts w:ascii="Courier New" w:eastAsia="Courier New" w:hAnsi="Courier New" w:cs="Courier New"/>
      </w:rPr>
    </w:lvl>
    <w:lvl w:ilvl="2" w:tplc="2D46499C">
      <w:start w:val="1"/>
      <w:numFmt w:val="bullet"/>
      <w:lvlText w:val=""/>
      <w:lvlJc w:val="left"/>
      <w:pPr>
        <w:ind w:left="2160" w:hanging="360"/>
      </w:pPr>
      <w:rPr>
        <w:rFonts w:ascii="Wingdings" w:eastAsia="Wingdings" w:hAnsi="Wingdings" w:cs="Wingdings"/>
      </w:rPr>
    </w:lvl>
    <w:lvl w:ilvl="3" w:tplc="599E7334">
      <w:start w:val="1"/>
      <w:numFmt w:val="bullet"/>
      <w:lvlText w:val=""/>
      <w:lvlJc w:val="left"/>
      <w:pPr>
        <w:ind w:left="2880" w:hanging="360"/>
      </w:pPr>
      <w:rPr>
        <w:rFonts w:ascii="Symbol" w:eastAsia="Symbol" w:hAnsi="Symbol" w:cs="Symbol"/>
      </w:rPr>
    </w:lvl>
    <w:lvl w:ilvl="4" w:tplc="0664702E">
      <w:start w:val="1"/>
      <w:numFmt w:val="bullet"/>
      <w:lvlText w:val="o"/>
      <w:lvlJc w:val="left"/>
      <w:pPr>
        <w:ind w:left="3600" w:hanging="360"/>
      </w:pPr>
      <w:rPr>
        <w:rFonts w:ascii="Courier New" w:eastAsia="Courier New" w:hAnsi="Courier New" w:cs="Courier New"/>
      </w:rPr>
    </w:lvl>
    <w:lvl w:ilvl="5" w:tplc="164CA5C4">
      <w:start w:val="1"/>
      <w:numFmt w:val="bullet"/>
      <w:lvlText w:val=""/>
      <w:lvlJc w:val="left"/>
      <w:pPr>
        <w:ind w:left="4320" w:hanging="360"/>
      </w:pPr>
      <w:rPr>
        <w:rFonts w:ascii="Wingdings" w:eastAsia="Wingdings" w:hAnsi="Wingdings" w:cs="Wingdings"/>
      </w:rPr>
    </w:lvl>
    <w:lvl w:ilvl="6" w:tplc="C530629C">
      <w:start w:val="1"/>
      <w:numFmt w:val="bullet"/>
      <w:lvlText w:val=""/>
      <w:lvlJc w:val="left"/>
      <w:pPr>
        <w:ind w:left="5040" w:hanging="360"/>
      </w:pPr>
      <w:rPr>
        <w:rFonts w:ascii="Symbol" w:eastAsia="Symbol" w:hAnsi="Symbol" w:cs="Symbol"/>
      </w:rPr>
    </w:lvl>
    <w:lvl w:ilvl="7" w:tplc="5C26912C">
      <w:start w:val="1"/>
      <w:numFmt w:val="bullet"/>
      <w:lvlText w:val="o"/>
      <w:lvlJc w:val="left"/>
      <w:pPr>
        <w:ind w:left="5760" w:hanging="360"/>
      </w:pPr>
      <w:rPr>
        <w:rFonts w:ascii="Courier New" w:eastAsia="Courier New" w:hAnsi="Courier New" w:cs="Courier New"/>
      </w:rPr>
    </w:lvl>
    <w:lvl w:ilvl="8" w:tplc="D20CA4C8">
      <w:start w:val="1"/>
      <w:numFmt w:val="bullet"/>
      <w:lvlText w:val=""/>
      <w:lvlJc w:val="left"/>
      <w:pPr>
        <w:ind w:left="6480" w:hanging="360"/>
      </w:pPr>
      <w:rPr>
        <w:rFonts w:ascii="Wingdings" w:eastAsia="Wingdings" w:hAnsi="Wingdings" w:cs="Wingdings"/>
      </w:rPr>
    </w:lvl>
  </w:abstractNum>
  <w:num w:numId="1" w16cid:durableId="1501308860">
    <w:abstractNumId w:val="1"/>
  </w:num>
  <w:num w:numId="2" w16cid:durableId="1949191872">
    <w:abstractNumId w:val="0"/>
    <w:lvlOverride w:ilvl="0">
      <w:startOverride w:val="1"/>
    </w:lvlOverride>
  </w:num>
  <w:num w:numId="3" w16cid:durableId="216480476">
    <w:abstractNumId w:val="2"/>
  </w:num>
  <w:num w:numId="4" w16cid:durableId="471491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4BD7"/>
    <w:rsid w:val="00115CBC"/>
    <w:rsid w:val="0015287A"/>
    <w:rsid w:val="00260C57"/>
    <w:rsid w:val="00B835D0"/>
    <w:rsid w:val="00BD68C4"/>
    <w:rsid w:val="00CD5A74"/>
    <w:rsid w:val="00E34BD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96C4F"/>
  <w15:docId w15:val="{39A188F5-71A5-47AD-A85E-06266871F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4472C4"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5</Pages>
  <Words>1320</Words>
  <Characters>8307</Characters>
  <Application>Microsoft Office Word</Application>
  <DocSecurity>0</DocSecurity>
  <Lines>159</Lines>
  <Paragraphs>95</Paragraphs>
  <ScaleCrop>false</ScaleCrop>
  <Company/>
  <LinksUpToDate>false</LinksUpToDate>
  <CharactersWithSpaces>9532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Un-named</dc:creator>
  <cp:keywords/>
  <cp:lastModifiedBy>Fabio Correa</cp:lastModifiedBy>
  <cp:revision>4</cp:revision>
  <dcterms:created xsi:type="dcterms:W3CDTF">2026-04-14T22:43:00Z</dcterms:created>
  <dcterms:modified xsi:type="dcterms:W3CDTF">2026-04-14T22:43:00Z</dcterms:modified>
</cp:coreProperties>
</file>