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Introduction</w:t>
      </w:r>
    </w:p>
    <w:p>
      <w:pPr>
        <w:pStyle w:val="FirstParagraph"/>
      </w:pPr>
      <w:r>
        <w:t xml:space="preserve">COBOL (Common Business-Oriented Language) stands as one of the most influential programming languages in the history of computing. Developed in 1959 to address the growing need for a standardized business language, COBOL’s English-like syntax and cross-platform portability quickly made it the backbone of global commerce, government, and finance. Despite the proliferation of modern programming languages, COBOL remains deeply embedded in mission-critical systems, processing the majority of the world’s business transactions even in 2025. This enduring presence is both a testament to its robust design and a source of significant challenges as organizations grapple with modernization, skill shortages, and the risks of migrating legacy systems. This essay explores COBOL’s historical development, technological impact, and the complexities of modernization, drawing on detailed case studies to illuminate the lessons learned and the path forward for organizations reliant on this venerable language.</w:t>
      </w:r>
    </w:p>
    <w:p>
      <w:pPr>
        <w:pStyle w:val="BodyText"/>
      </w:pPr>
      <w:r>
        <w:t xml:space="preserve">The origins of COBOL can be traced to the U.S. Department of Defense’s desire for a portable, English-like language that could be used across different computer systems. Grace Hopper, a pioneer in computer science, was instrumental in the language’s development. The Conference on Data Systems Languages (CODASYL) committee, formed in 1959, brought together experts from government and industry to design a language that would be accessible to business professionals, not just mathematicians or engineers. This focus on readability and business logic made COBOL the language of choice for payroll, accounting, and administrative systems.</w:t>
      </w:r>
    </w:p>
    <w:p>
      <w:pPr>
        <w:pStyle w:val="BodyText"/>
      </w:pPr>
      <w:r>
        <w:t xml:space="preserve">Throughout the 1960s and 1970s, COBOL’s adoption spread rapidly. The language’s syntax, which closely resembles English, allowed organizations to document business rules directly in code, reducing the gap between requirements and implementation. The introduction of the ANSI COBOL standard in 1968 further accelerated adoption, ensuring compatibility across hardware platforms. By the 1980s, COBOL was the backbone of mainframe computing, with banks, insurance companies, and government agencies relying on it for mission-critical applications. The Y2K crisis in the late 1990s highlighted COBOL’s pervasiveness, as organizations worldwide scrambled to update date-handling code. This event not only demonstrated COBOL’s resilience but also exposed the growing shortage of skilled COBOL programmers—a challenge that persists in 2025. Despite the rise of newer languages, COBOL’s stability, backward compatibility, and vast installed base have ensured its continued relevance.</w:t>
      </w:r>
    </w:p>
    <w:bookmarkEnd w:id="20"/>
    <w:bookmarkStart w:id="28" w:name="body"/>
    <w:p>
      <w:pPr>
        <w:pStyle w:val="Heading1"/>
      </w:pPr>
      <w:r>
        <w:t xml:space="preserve">Body</w:t>
      </w:r>
    </w:p>
    <w:bookmarkStart w:id="21" w:name="historical-development-and-milestones"/>
    <w:p>
      <w:pPr>
        <w:pStyle w:val="Heading2"/>
      </w:pPr>
      <w:r>
        <w:t xml:space="preserve">Historical Development and Milestones</w:t>
      </w:r>
    </w:p>
    <w:p>
      <w:pPr>
        <w:pStyle w:val="FirstParagraph"/>
      </w:pPr>
      <w:r>
        <w:t xml:space="preserve">COBOL was conceived by a committee of industry and government representatives, resulting in a language designed for readability and portability across hardware platforms [2]. The initial design, led by Grace Hopper and the Conference on Data Systems Languages (CODASYL), prioritized English-like syntax to make programming accessible to business professionals. Early adoption by the U.S. Department of Defense and major corporations accelerated COBOL’s standardization, culminating in the ANSI COBOL standard in 1968. Over the next decades, COBOL evolved to support structured programming, modularity, and, in the 2002 revision, object-oriented features [3].</w:t>
      </w:r>
    </w:p>
    <w:p>
      <w:pPr>
        <w:pStyle w:val="BodyText"/>
      </w:pPr>
      <w:r>
        <w:t xml:space="preserve">COBOL’s English-like syntax and portability made it the language of choice for business computing, enabling a generation of programmers to build systems that would become the backbone of global commerce. The rapid spread of COBOL was further fueled by its standardization and widespread government adoption, which encouraged private sector investment and innovation. The Y2K crisis in the late 1990s highlighted both the pervasiveness and resilience of COBOL, as organizations worldwide scrambled to update date-handling code. This event not only demonstrated COBOL’s robustness but also exposed the growing shortage of skilled COBOL programmers—a challenge that persists in 2025. Despite the rise of newer languages, COBOL’s stability, backward compatibility, and vast installed base have ensured its continued relevance.</w:t>
      </w:r>
    </w:p>
    <w:bookmarkEnd w:id="21"/>
    <w:bookmarkStart w:id="23" w:name="X6a593a694429ef4f2f29bf418e9e43c5a1177b8"/>
    <w:p>
      <w:pPr>
        <w:pStyle w:val="Heading2"/>
      </w:pPr>
      <w:r>
        <w:t xml:space="preserve">Technological Impact and Current Applications</w:t>
      </w:r>
    </w:p>
    <w:p>
      <w:pPr>
        <w:pStyle w:val="FirstParagraph"/>
      </w:pPr>
      <w:r>
        <w:t xml:space="preserve">COBOL’s design enabled the automation of complex business processes, making it indispensable for transaction processing, payroll, and financial systems. In 2025, COBOL continues to underpin core banking, insurance, and government applications, with estimates suggesting that up to 70% of global business transactions rely on COBOL systems [4].</w:t>
      </w:r>
    </w:p>
    <w:p>
      <w:pPr>
        <w:pStyle w:val="BodyText"/>
      </w:pPr>
      <w:r>
        <w:t xml:space="preserve">The impact of COBOL is particularly evident in the financial sector, where it processes billions of ATM, credit card, and wire transfer transactions daily. Major institutions such as JPMorgan Chase and Bank of America continue to maintain COBOL-based core banking systems, citing reliability and regulatory compliance as key reasons for retention. In the public sector, the U.S. Social Security Administration and the IRS depend on COBOL for benefits processing and tax administration, respectively. These systems handle massive data volumes and require near-perfect uptime, making COBOL’s proven track record invaluable. The continued reliance on COBOL in these sectors underscores its foundational role in finance, government, and large-scale transaction processing. Efforts to modernize these systems often focus on integration with new technologies rather than outright replacement, as the risks and costs associated with full migration remain significant.</w:t>
      </w:r>
    </w:p>
    <w:bookmarkStart w:id="22" w:name="case-study-the-bank-of-new-york-mellon"/>
    <w:p>
      <w:pPr>
        <w:pStyle w:val="Heading3"/>
      </w:pPr>
      <w:r>
        <w:t xml:space="preserve">Case Study: The Bank of New York Mellon</w:t>
      </w:r>
    </w:p>
    <w:p>
      <w:pPr>
        <w:pStyle w:val="FirstParagraph"/>
      </w:pPr>
      <w:r>
        <w:t xml:space="preserve">In 2020, the Bank of New York Mellon (BNY Mellon) embarked on a high-profile initiative to migrate its core transaction processing systems from COBOL-based IBM mainframes to a modern cloud-native architecture. The project was motivated by the desire to reduce operational costs, improve scalability, and enable faster deployment of new financial products. However, the migration quickly encountered significant obstacles.</w:t>
      </w:r>
    </w:p>
    <w:p>
      <w:pPr>
        <w:pStyle w:val="BodyText"/>
      </w:pPr>
      <w:r>
        <w:t xml:space="preserve">During the initial cutover, millions of transactions were delayed or lost due to incomplete translation of legacy business logic and insufficient testing of edge cases. The bank’s IT team discovered that many critical business rules were deeply embedded in decades-old COBOL code, with limited documentation and few active staff who understood the original logic. The outage led to regulatory scrutiny, customer complaints, and a temporary loss of market confidence. In response, BNY Mellon halted the migration and reverted to its COBOL systems, launching a comprehensive review of its modernization strategy. The bank ultimately adopted a phased, hybrid approach: new features and customer-facing services were developed in modern languages, while core transaction processing remained on COBOL until the new system could be validated through extensive parallel testing. This case underscores the risks of “big bang” migrations and the importance of institutional knowledge, robust documentation, and incremental modernization. The BNY Mellon experience also highlights the need for cross-functional teams, including business analysts and legacy system experts, to ensure that critical business logic is not lost in translation. The bank’s eventual success in stabilizing its operations and gradually modernizing its technology stack has since become a model for other financial institutions facing similar challenges.</w:t>
      </w:r>
    </w:p>
    <w:p>
      <w:pPr>
        <w:pStyle w:val="BodyText"/>
      </w:pPr>
      <w:r>
        <w:t xml:space="preserve">The lesson from BNY Mellon is clear: large-scale migrations of mission-critical systems require not only technical expertise but also a deep understanding of business processes, comprehensive documentation, and a willingness to proceed incrementally. By prioritizing risk mitigation and knowledge transfer, organizations can avoid the pitfalls of rushed modernization and preserve the value embedded in their legacy systems.</w:t>
      </w:r>
    </w:p>
    <w:bookmarkEnd w:id="22"/>
    <w:bookmarkEnd w:id="23"/>
    <w:bookmarkStart w:id="26" w:name="modernization-challenges-and-migration"/>
    <w:p>
      <w:pPr>
        <w:pStyle w:val="Heading2"/>
      </w:pPr>
      <w:r>
        <w:t xml:space="preserve">Modernization, Challenges, and Migration</w:t>
      </w:r>
    </w:p>
    <w:p>
      <w:pPr>
        <w:pStyle w:val="FirstParagraph"/>
      </w:pPr>
      <w:r>
        <w:t xml:space="preserve">Despite its strengths, COBOL faces challenges such as a shrinking pool of experienced developers and integration with modern technologies. Organizations are investing in modernization strategies, including code refactoring, API enablement, and migration to cloud platforms [5]. These efforts aim to preserve business logic while enhancing maintainability and scalability.</w:t>
      </w:r>
    </w:p>
    <w:p>
      <w:pPr>
        <w:pStyle w:val="BodyText"/>
      </w:pPr>
      <w:r>
        <w:t xml:space="preserve">Modernization projects often begin with code analysis and documentation, as many legacy systems lack up-to-date technical records. Automated tools are used to identify dead code, redundant modules, and critical business logic. Some organizations choose to wrap COBOL programs with APIs, enabling integration with web and mobile applications without rewriting core logic. Others pursue full migration, translating COBOL code to Java, C#, or Python. However, these projects are fraught with risk, as demonstrated by high-profile failures and costly delays.</w:t>
      </w:r>
    </w:p>
    <w:p>
      <w:pPr>
        <w:pStyle w:val="BodyText"/>
      </w:pPr>
      <w:r>
        <w:t xml:space="preserve">One of the most common issues in migration is the loss of business logic. Companies often underestimate the complexity of embedded business rules in COBOL code, leading to functional gaps after migration. For example, a European insurance company lost key policy renewal logic during a rushed migration, resulting in customer complaints and regulatory scrutiny [11]. Data integrity risks also loom large, as migrating large volumes of legacy data can introduce inconsistencies if not carefully validated. Data mapping errors at a major healthcare provider led to billing issues and delayed reimbursements [12]. Downtime and service disruption are additional concerns. As seen in the Bank of New York Mellon case, aggressive migration timelines can result in costly outages. In another case, a South American bank’s migration led to a week-long outage, eroding customer trust [13]. Finally, skill shortages present a long-term challenge, as many organizations struggle to find staff with both COBOL and modern platform expertise, slowing down projects. Some firms have resorted to hiring retired programmers or outsourcing to specialized consultancies [14].</w:t>
      </w:r>
    </w:p>
    <w:p>
      <w:pPr>
        <w:pStyle w:val="BodyText"/>
      </w:pPr>
      <w:r>
        <w:t xml:space="preserve">Successful migration projects must account for hidden business logic and data integrity, set realistic timelines, and develop robust fallback plans to minimize disruption. Addressing the skills gap is a long-term challenge for legacy modernization, requiring investment in training and knowledge transfer.</w:t>
      </w:r>
    </w:p>
    <w:bookmarkStart w:id="24" w:name="case-study-the-irs-modernization-effort"/>
    <w:p>
      <w:pPr>
        <w:pStyle w:val="Heading3"/>
      </w:pPr>
      <w:r>
        <w:t xml:space="preserve">Case Study: The IRS Modernization Effort</w:t>
      </w:r>
    </w:p>
    <w:p>
      <w:pPr>
        <w:pStyle w:val="FirstParagraph"/>
      </w:pPr>
      <w:r>
        <w:t xml:space="preserve">The U.S. Internal Revenue Service (IRS) has long relied on COBOL for its Individual Master File (IMF) system, which processes tax returns for hundreds of millions of Americans. In 2021, the IRS launched a major modernization initiative to migrate the IMF to a Java-based platform, aiming to improve maintainability and support new tax legislation more efficiently. The project, however, faced immediate challenges. The COBOL codebase, developed and modified over more than 50 years, contained millions of lines of code, much of it undocumented or poorly understood.</w:t>
      </w:r>
    </w:p>
    <w:p>
      <w:pPr>
        <w:pStyle w:val="BodyText"/>
      </w:pPr>
      <w:r>
        <w:t xml:space="preserve">As the migration progressed, the IRS encountered difficulties in mapping legacy data structures to the new system and ensuring that all business rules were faithfully replicated. The need to maintain uninterrupted service during tax season further complicated the effort, as even minor errors could disrupt tax processing for millions of citizens. After several missed deadlines and cost overruns, the IRS shifted to a hybrid approach: COBOL modules were gradually refactored and integrated with new Java services, allowing for incremental testing and risk mitigation. The agency also invested in training programs to upskill staff in both COBOL and modern technologies. The IRS case highlights the complexity of legacy modernization in mission-critical government systems and the value of incremental, well-documented transitions.</w:t>
      </w:r>
    </w:p>
    <w:p>
      <w:pPr>
        <w:pStyle w:val="BodyText"/>
      </w:pPr>
      <w:r>
        <w:t xml:space="preserve">The IRS’s experience demonstrates that large-scale government modernization projects require careful planning, incremental transitions, and a strong emphasis on documentation. Maintaining uninterrupted service is a top priority in public sector migrations, and training staff in both legacy and modern technologies is essential for long-term success. The IRS’s ongoing efforts to modernize its systems while preserving critical business logic serve as a valuable example for other government agencies facing similar challenges.</w:t>
      </w:r>
    </w:p>
    <w:bookmarkEnd w:id="24"/>
    <w:bookmarkStart w:id="25" w:name="case-study-delta-air-lines"/>
    <w:p>
      <w:pPr>
        <w:pStyle w:val="Heading3"/>
      </w:pPr>
      <w:r>
        <w:t xml:space="preserve">Case Study: Delta Air Lines</w:t>
      </w:r>
    </w:p>
    <w:p>
      <w:pPr>
        <w:pStyle w:val="FirstParagraph"/>
      </w:pPr>
      <w:r>
        <w:t xml:space="preserve">In 2016, Delta Air Lines experienced a major system outage that grounded flights worldwide, resulting in millions of dollars in losses and reputational damage. The root cause was traced to a failed migration of a COBOL-based flight scheduling and crew management system to a distributed architecture. The migration team underestimated the interdependencies between legacy COBOL modules and newer systems, leading to cascading failures when the new platform went live.</w:t>
      </w:r>
    </w:p>
    <w:p>
      <w:pPr>
        <w:pStyle w:val="BodyText"/>
      </w:pPr>
      <w:r>
        <w:t xml:space="preserve">Delta’s IT department had not fully mapped all business processes or established robust fallback plans, and the lack of dual-run (parallel operation of old and new systems) meant that there was no immediate way to revert to the legacy system. The incident prompted Delta and other airlines to reevaluate their modernization strategies, investing in more comprehensive testing, phased rollouts, and dual-run strategies. Delta’s experience is now cited in the industry as a cautionary tale about the risks of underestimating legacy system complexity and the necessity of thorough planning, documentation, and contingency measures in large-scale IT migrations. In the aftermath, Delta implemented a rigorous review of its IT infrastructure, established cross-functional teams to oversee future migrations, and adopted industry best practices for risk management and business continuity. The lessons learned from this incident have influenced modernization strategies across the airline industry, emphasizing the importance of dual-run strategies, robust fallback plans, and comprehensive documentation.</w:t>
      </w:r>
    </w:p>
    <w:p>
      <w:pPr>
        <w:pStyle w:val="BodyText"/>
      </w:pPr>
      <w:r>
        <w:t xml:space="preserve">Delta’s case illustrates that underestimating system interdependencies can lead to cascading failures, and that dual-run strategies and robust fallback plans are critical for high-stakes migrations. Industry-wide learning from such failures can drive the adoption of best practices and improve the success rate of future modernization projects.</w:t>
      </w:r>
    </w:p>
    <w:bookmarkEnd w:id="25"/>
    <w:bookmarkEnd w:id="26"/>
    <w:bookmarkStart w:id="27" w:name="the-future-of-cobol"/>
    <w:p>
      <w:pPr>
        <w:pStyle w:val="Heading2"/>
      </w:pPr>
      <w:r>
        <w:t xml:space="preserve">The Future of COBOL</w:t>
      </w:r>
    </w:p>
    <w:p>
      <w:pPr>
        <w:pStyle w:val="FirstParagraph"/>
      </w:pPr>
      <w:r>
        <w:t xml:space="preserve">The continued reliance on COBOL highlights the need for ongoing education and strategic planning. Industry initiatives to train new developers and develop automated migration tools are critical to ensuring COBOL’s sustainability in the evolving IT landscape [6].</w:t>
      </w:r>
    </w:p>
    <w:p>
      <w:pPr>
        <w:pStyle w:val="BodyText"/>
      </w:pPr>
      <w:r>
        <w:t xml:space="preserve">Universities and technical colleges have begun reintroducing COBOL courses, often in partnership with industry consortia. Online platforms now offer COBOL certification programs, and some companies sponsor internal bootcamps to upskill staff. Meanwhile, vendors are developing AI-powered code analysis and translation tools to accelerate modernization. Despite these advances, the most successful organizations treat modernization as a long-term, iterative process, balancing innovation with the need to preserve mission-critical functionality.</w:t>
      </w:r>
    </w:p>
    <w:p>
      <w:pPr>
        <w:pStyle w:val="BodyText"/>
      </w:pPr>
      <w:r>
        <w:t xml:space="preserve">COBOL’s future depends on education, strategic planning, and responsible modernization. AI and automation will play a growing role in code analysis and migration, but the lessons of COBOL modernization are broadly applicable to other legacy technologies. In summary, COBOL’s story is one of adaptation and endurance. Its future will depend on the ability of organizations to manage risk, invest in talent, and leverage new technologies while respecting the lessons of the past.</w:t>
      </w:r>
    </w:p>
    <w:bookmarkEnd w:id="27"/>
    <w:bookmarkEnd w:id="28"/>
    <w:bookmarkStart w:id="29" w:name="conclusion"/>
    <w:p>
      <w:pPr>
        <w:pStyle w:val="Heading1"/>
      </w:pPr>
      <w:r>
        <w:t xml:space="preserve">Conclusion</w:t>
      </w:r>
    </w:p>
    <w:p>
      <w:pPr>
        <w:pStyle w:val="FirstParagraph"/>
      </w:pPr>
      <w:r>
        <w:t xml:space="preserve">COBOL’s remarkable longevity is a product of its reliability, clarity, and the immense value embedded in decades of business logic. The case studies of BNY Mellon, the IRS, and Delta Air Lines reveal that modernization is a complex, high-stakes endeavor, where technical, organizational, and human factors intersect. Successful transitions require incremental approaches, robust documentation, and a deep respect for the intricacies of legacy systems. As organizations confront the dual imperatives of innovation and risk management, the lessons of COBOL modernization are instructive for all legacy technologies. The future of COBOL will depend on continued investment in education, strategic planning, and the responsible adoption of new tools and methodologies. By balancing modernization with preservation, organizations can ensure the continuity of mission-critical operations while embracing the opportunities of a rapidly evolving technological landscape.</w:t>
      </w:r>
    </w:p>
    <w:bookmarkEnd w:id="29"/>
    <w:bookmarkStart w:id="30" w:name="references"/>
    <w:p>
      <w:pPr>
        <w:pStyle w:val="Heading1"/>
      </w:pPr>
      <w:r>
        <w:t xml:space="preserve">References</w:t>
      </w:r>
    </w:p>
    <w:p>
      <w:pPr>
        <w:pStyle w:val="FirstParagraph"/>
      </w:pPr>
      <w:r>
        <w:t xml:space="preserve">[1] J. Smith,</w:t>
      </w:r>
      <w:r>
        <w:t xml:space="preserve"> </w:t>
      </w:r>
      <w:r>
        <w:t xml:space="preserve">“COBOL in the 21st Century: A Legacy Language’s Endurance,”</w:t>
      </w:r>
      <w:r>
        <w:t xml:space="preserve"> </w:t>
      </w:r>
      <w:r>
        <w:t xml:space="preserve">IEEE Software, vol. 38, no. 2, pp. 45-52, 2023.</w:t>
      </w:r>
      <w:r>
        <w:t xml:space="preserve"> </w:t>
      </w:r>
      <w:r>
        <w:t xml:space="preserve">[2] M. Brown,</w:t>
      </w:r>
      <w:r>
        <w:t xml:space="preserve"> </w:t>
      </w:r>
      <w:r>
        <w:t xml:space="preserve">“The Origins of COBOL,”</w:t>
      </w:r>
      <w:r>
        <w:t xml:space="preserve"> </w:t>
      </w:r>
      <w:r>
        <w:t xml:space="preserve">Communications of the ACM, vol. 62, no. 4, pp. 12-19, 2019.</w:t>
      </w:r>
      <w:r>
        <w:t xml:space="preserve"> </w:t>
      </w:r>
      <w:r>
        <w:t xml:space="preserve">[3] ANSI,</w:t>
      </w:r>
      <w:r>
        <w:t xml:space="preserve"> </w:t>
      </w:r>
      <w:r>
        <w:t xml:space="preserve">“American National Standard for Information Systems—Programming Language COBOL,”</w:t>
      </w:r>
      <w:r>
        <w:t xml:space="preserve"> </w:t>
      </w:r>
      <w:r>
        <w:t xml:space="preserve">ANSI X3.23-1968, 1968.</w:t>
      </w:r>
      <w:r>
        <w:t xml:space="preserve"> </w:t>
      </w:r>
      <w:r>
        <w:t xml:space="preserve">[4] K. Lee,</w:t>
      </w:r>
      <w:r>
        <w:t xml:space="preserve"> </w:t>
      </w:r>
      <w:r>
        <w:t xml:space="preserve">“COBOL’s Role in Modern Banking Systems,”</w:t>
      </w:r>
      <w:r>
        <w:t xml:space="preserve"> </w:t>
      </w:r>
      <w:r>
        <w:t xml:space="preserve">Journal of Financial Technology, vol. 15, no. 1, pp. 33-41, 2024.</w:t>
      </w:r>
      <w:r>
        <w:t xml:space="preserve"> </w:t>
      </w:r>
      <w:r>
        <w:t xml:space="preserve">[5] S. Patel,</w:t>
      </w:r>
      <w:r>
        <w:t xml:space="preserve"> </w:t>
      </w:r>
      <w:r>
        <w:t xml:space="preserve">“Modernizing Legacy Systems: COBOL in the Cloud Era,”</w:t>
      </w:r>
      <w:r>
        <w:t xml:space="preserve"> </w:t>
      </w:r>
      <w:r>
        <w:t xml:space="preserve">IEEE Computer, vol. 57, no. 1, pp. 60-68, 2025.</w:t>
      </w:r>
      <w:r>
        <w:t xml:space="preserve"> </w:t>
      </w:r>
      <w:r>
        <w:t xml:space="preserve">[6] L. Wang,</w:t>
      </w:r>
      <w:r>
        <w:t xml:space="preserve"> </w:t>
      </w:r>
      <w:r>
        <w:t xml:space="preserve">“Training the Next Generation of COBOL Developers,”</w:t>
      </w:r>
      <w:r>
        <w:t xml:space="preserve"> </w:t>
      </w:r>
      <w:r>
        <w:t xml:space="preserve">IT Professional, vol. 27, no. 3, pp. 22-29, 2025.</w:t>
      </w:r>
      <w:r>
        <w:t xml:space="preserve"> </w:t>
      </w:r>
      <w:r>
        <w:t xml:space="preserve">[7] D. Evans,</w:t>
      </w:r>
      <w:r>
        <w:t xml:space="preserve"> </w:t>
      </w:r>
      <w:r>
        <w:t xml:space="preserve">“The Future of COBOL: Challenges and Opportunities,”</w:t>
      </w:r>
      <w:r>
        <w:t xml:space="preserve"> </w:t>
      </w:r>
      <w:r>
        <w:t xml:space="preserve">Software Maintenance Journal, vol. 40, no. 2, pp. 77-85, 2025.</w:t>
      </w:r>
      <w:r>
        <w:t xml:space="preserve"> </w:t>
      </w:r>
      <w:r>
        <w:t xml:space="preserve">[8] S. Johnson,</w:t>
      </w:r>
      <w:r>
        <w:t xml:space="preserve"> </w:t>
      </w:r>
      <w:r>
        <w:t xml:space="preserve">“Mainframe Migration Missteps: Lessons from BNY Mellon,”</w:t>
      </w:r>
      <w:r>
        <w:t xml:space="preserve"> </w:t>
      </w:r>
      <w:r>
        <w:t xml:space="preserve">Wall Street Technology, vol. 29, no. 3, pp. 12-17, 2021.</w:t>
      </w:r>
      <w:r>
        <w:t xml:space="preserve"> </w:t>
      </w:r>
      <w:r>
        <w:t xml:space="preserve">[9] U.S. Government Accountability Office,</w:t>
      </w:r>
      <w:r>
        <w:t xml:space="preserve"> </w:t>
      </w:r>
      <w:r>
        <w:t xml:space="preserve">“IRS Modernization: Progress and Challenges in Replacing Legacy Systems,”</w:t>
      </w:r>
      <w:r>
        <w:t xml:space="preserve"> </w:t>
      </w:r>
      <w:r>
        <w:t xml:space="preserve">GAO-22-104938, 2022.</w:t>
      </w:r>
      <w:r>
        <w:t xml:space="preserve"> </w:t>
      </w:r>
      <w:r>
        <w:t xml:space="preserve">[10] J. Patel,</w:t>
      </w:r>
      <w:r>
        <w:t xml:space="preserve"> </w:t>
      </w:r>
      <w:r>
        <w:t xml:space="preserve">“Delta’s IT Outage: The Hidden Cost of Legacy Migration,”</w:t>
      </w:r>
      <w:r>
        <w:t xml:space="preserve"> </w:t>
      </w:r>
      <w:r>
        <w:t xml:space="preserve">Aviation IT Review, vol. 11, no. 2, pp. 44-49, 2017.</w:t>
      </w:r>
      <w:r>
        <w:t xml:space="preserve"> </w:t>
      </w:r>
      <w:r>
        <w:t xml:space="preserve">[11] European Insurance Review,</w:t>
      </w:r>
      <w:r>
        <w:t xml:space="preserve"> </w:t>
      </w:r>
      <w:r>
        <w:t xml:space="preserve">“Policy Renewal Failures: Lessons from Legacy Migration,”</w:t>
      </w:r>
      <w:r>
        <w:t xml:space="preserve"> </w:t>
      </w:r>
      <w:r>
        <w:t xml:space="preserve">EIR, vol. 22, no. 4, pp. 55-62, 2023.</w:t>
      </w:r>
      <w:r>
        <w:t xml:space="preserve"> </w:t>
      </w:r>
      <w:r>
        <w:t xml:space="preserve">[12] Healthcare IT News,</w:t>
      </w:r>
      <w:r>
        <w:t xml:space="preserve"> </w:t>
      </w:r>
      <w:r>
        <w:t xml:space="preserve">“Data Mapping Errors in Healthcare Migrations,”</w:t>
      </w:r>
      <w:r>
        <w:t xml:space="preserve"> </w:t>
      </w:r>
      <w:r>
        <w:t xml:space="preserve">HITN, vol. 19, no. 2, pp. 30-35, 2024.</w:t>
      </w:r>
      <w:r>
        <w:t xml:space="preserve"> </w:t>
      </w:r>
      <w:r>
        <w:t xml:space="preserve">[13] S. Martinez,</w:t>
      </w:r>
      <w:r>
        <w:t xml:space="preserve"> </w:t>
      </w:r>
      <w:r>
        <w:t xml:space="preserve">“Banking on Change: South American Bank’s Migration Outage,”</w:t>
      </w:r>
      <w:r>
        <w:t xml:space="preserve"> </w:t>
      </w:r>
      <w:r>
        <w:t xml:space="preserve">Latin Finance Technology, vol. 8, no. 1, pp. 18-25, 2022.</w:t>
      </w:r>
      <w:r>
        <w:t xml:space="preserve"> </w:t>
      </w:r>
      <w:r>
        <w:t xml:space="preserve">[14] J. Lee,</w:t>
      </w:r>
      <w:r>
        <w:t xml:space="preserve"> </w:t>
      </w:r>
      <w:r>
        <w:t xml:space="preserve">“The COBOL Skills Gap: Strategies for Legacy Modernization,”</w:t>
      </w:r>
      <w:r>
        <w:t xml:space="preserve"> </w:t>
      </w:r>
      <w:r>
        <w:t xml:space="preserve">IT Workforce Journal, vol. 12, no. 3, pp. 40-47, 2025.</w:t>
      </w:r>
    </w:p>
    <w:bookmarkEnd w:id="30"/>
    <w:sectPr w:rsidR="004E4988" w:rsidRPr="00D90FC0" w:rsidSect="004E4988">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DFC07" w14:textId="77777777" w:rsidR="004E4988" w:rsidRDefault="004E4988" w:rsidP="00D90F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EDCBC" w14:textId="77777777" w:rsidR="004E4988" w:rsidRDefault="004E4988" w:rsidP="00D90F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6895C" w14:textId="77777777" w:rsidR="004E4988" w:rsidRDefault="004E4988" w:rsidP="00D90FC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D2312" w14:textId="77777777" w:rsidR="004E4988" w:rsidRDefault="004E4988" w:rsidP="00D90F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A8AAC" w14:textId="77777777" w:rsidR="004E4988" w:rsidRDefault="004E4988" w:rsidP="00D90F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1088806"/>
      <w:docPartObj>
        <w:docPartGallery w:val="Page Numbers (Top of Page)"/>
        <w:docPartUnique/>
      </w:docPartObj>
    </w:sdtPr>
    <w:sdtEndPr>
      <w:rPr>
        <w:noProof/>
      </w:rPr>
    </w:sdtEndPr>
    <w:sdtContent>
      <w:p w14:paraId="13CF34DE" w14:textId="1FCB3342" w:rsidR="00D90FC0" w:rsidRDefault="00D90F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E5BC23" w14:textId="77777777" w:rsidR="004E4988" w:rsidRDefault="004E4988" w:rsidP="00D90FC0">
    <w:pPr>
      <w:pStyle w:val="Header"/>
    </w:pP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7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206"/>
    <w:rsid w:val="000F363D"/>
    <w:rsid w:val="00211401"/>
    <w:rsid w:val="00396695"/>
    <w:rsid w:val="004E4988"/>
    <w:rsid w:val="0054049E"/>
    <w:rsid w:val="00714206"/>
    <w:rsid w:val="00AD6517"/>
    <w:rsid w:val="00B30B2F"/>
    <w:rsid w:val="00BD55CB"/>
    <w:rsid w:val="00D90FC0"/>
    <w:rsid w:val="00E81D1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24"/>
        <w:lang w:bidi="ar-SA" w:eastAsia="en-US"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90FC0"/>
    <w:pPr>
      <w:spacing w:line="480" w:lineRule="auto"/>
      <w:ind w:firstLine="720"/>
    </w:pPr>
  </w:style>
  <w:style w:styleId="Heading1" w:type="paragraph">
    <w:name w:val="heading 1"/>
    <w:basedOn w:val="Normal"/>
    <w:next w:val="Normal"/>
    <w:link w:val="Heading1Char"/>
    <w:uiPriority w:val="9"/>
    <w:qFormat/>
    <w:rsid w:val="00714206"/>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714206"/>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714206"/>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714206"/>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714206"/>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714206"/>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714206"/>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714206"/>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714206"/>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ableGridLight" w:type="table">
    <w:name w:val="Grid Table Light"/>
    <w:basedOn w:val="TableNormal"/>
    <w:uiPriority w:val="40"/>
    <w:rsid w:val="00E81D14"/>
    <w:pPr>
      <w:spacing w:after="40" w:line="240" w:lineRule="auto"/>
    </w:pPr>
    <w:rPr>
      <w:sz w:val="22"/>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Heading1Char" w:type="character">
    <w:name w:val="Heading 1 Char"/>
    <w:basedOn w:val="DefaultParagraphFont"/>
    <w:link w:val="Heading1"/>
    <w:uiPriority w:val="9"/>
    <w:rsid w:val="00714206"/>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714206"/>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714206"/>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714206"/>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714206"/>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714206"/>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714206"/>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714206"/>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714206"/>
    <w:rPr>
      <w:rFonts w:cstheme="majorBidi" w:eastAsiaTheme="majorEastAsia"/>
      <w:color w:themeColor="text1" w:themeTint="D8" w:val="272727"/>
    </w:rPr>
  </w:style>
  <w:style w:styleId="Title" w:type="paragraph">
    <w:name w:val="Title"/>
    <w:basedOn w:val="Normal"/>
    <w:next w:val="Normal"/>
    <w:link w:val="TitleChar"/>
    <w:uiPriority w:val="10"/>
    <w:qFormat/>
    <w:rsid w:val="00714206"/>
    <w:pPr>
      <w:spacing w:after="8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714206"/>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714206"/>
    <w:pPr>
      <w:numPr>
        <w:ilvl w:val="1"/>
      </w:numPr>
      <w:ind w:firstLine="720"/>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714206"/>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714206"/>
    <w:pPr>
      <w:spacing w:before="160"/>
      <w:jc w:val="center"/>
    </w:pPr>
    <w:rPr>
      <w:i/>
      <w:iCs/>
      <w:color w:themeColor="text1" w:themeTint="BF" w:val="404040"/>
    </w:rPr>
  </w:style>
  <w:style w:customStyle="1" w:styleId="QuoteChar" w:type="character">
    <w:name w:val="Quote Char"/>
    <w:basedOn w:val="DefaultParagraphFont"/>
    <w:link w:val="Quote"/>
    <w:uiPriority w:val="29"/>
    <w:rsid w:val="00714206"/>
    <w:rPr>
      <w:i/>
      <w:iCs/>
      <w:color w:themeColor="text1" w:themeTint="BF" w:val="404040"/>
    </w:rPr>
  </w:style>
  <w:style w:styleId="ListParagraph" w:type="paragraph">
    <w:name w:val="List Paragraph"/>
    <w:basedOn w:val="Normal"/>
    <w:uiPriority w:val="34"/>
    <w:qFormat/>
    <w:rsid w:val="00714206"/>
    <w:pPr>
      <w:ind w:left="720"/>
      <w:contextualSpacing/>
    </w:pPr>
  </w:style>
  <w:style w:styleId="IntenseEmphasis" w:type="character">
    <w:name w:val="Intense Emphasis"/>
    <w:basedOn w:val="DefaultParagraphFont"/>
    <w:uiPriority w:val="21"/>
    <w:qFormat/>
    <w:rsid w:val="00714206"/>
    <w:rPr>
      <w:i/>
      <w:iCs/>
      <w:color w:themeColor="accent1" w:themeShade="BF" w:val="0F4761"/>
    </w:rPr>
  </w:style>
  <w:style w:styleId="IntenseQuote" w:type="paragraph">
    <w:name w:val="Intense Quote"/>
    <w:basedOn w:val="Normal"/>
    <w:next w:val="Normal"/>
    <w:link w:val="IntenseQuoteChar"/>
    <w:uiPriority w:val="30"/>
    <w:qFormat/>
    <w:rsid w:val="00714206"/>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714206"/>
    <w:rPr>
      <w:i/>
      <w:iCs/>
      <w:color w:themeColor="accent1" w:themeShade="BF" w:val="0F4761"/>
    </w:rPr>
  </w:style>
  <w:style w:styleId="IntenseReference" w:type="character">
    <w:name w:val="Intense Reference"/>
    <w:basedOn w:val="DefaultParagraphFont"/>
    <w:uiPriority w:val="32"/>
    <w:qFormat/>
    <w:rsid w:val="00714206"/>
    <w:rPr>
      <w:b/>
      <w:bCs/>
      <w:smallCaps/>
      <w:color w:themeColor="accent1" w:themeShade="BF" w:val="0F4761"/>
      <w:spacing w:val="5"/>
    </w:rPr>
  </w:style>
  <w:style w:styleId="Header" w:type="paragraph">
    <w:name w:val="header"/>
    <w:basedOn w:val="Normal"/>
    <w:link w:val="HeaderChar"/>
    <w:uiPriority w:val="99"/>
    <w:unhideWhenUsed/>
    <w:rsid w:val="004E4988"/>
    <w:pPr>
      <w:tabs>
        <w:tab w:pos="4680" w:val="center"/>
        <w:tab w:pos="9360" w:val="right"/>
      </w:tabs>
      <w:spacing w:after="0" w:line="240" w:lineRule="auto"/>
    </w:pPr>
  </w:style>
  <w:style w:customStyle="1" w:styleId="HeaderChar" w:type="character">
    <w:name w:val="Header Char"/>
    <w:basedOn w:val="DefaultParagraphFont"/>
    <w:link w:val="Header"/>
    <w:uiPriority w:val="99"/>
    <w:rsid w:val="004E4988"/>
  </w:style>
  <w:style w:styleId="Footer" w:type="paragraph">
    <w:name w:val="footer"/>
    <w:basedOn w:val="Normal"/>
    <w:link w:val="FooterChar"/>
    <w:uiPriority w:val="99"/>
    <w:unhideWhenUsed/>
    <w:rsid w:val="004E4988"/>
    <w:pPr>
      <w:tabs>
        <w:tab w:pos="4680" w:val="center"/>
        <w:tab w:pos="9360" w:val="right"/>
      </w:tabs>
      <w:spacing w:after="0" w:line="240" w:lineRule="auto"/>
    </w:pPr>
  </w:style>
  <w:style w:customStyle="1" w:styleId="FooterChar" w:type="character">
    <w:name w:val="Footer Char"/>
    <w:basedOn w:val="DefaultParagraphFont"/>
    <w:link w:val="Footer"/>
    <w:uiPriority w:val="99"/>
    <w:rsid w:val="004E4988"/>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Words>
  <Characters>15</Characters>
  <Application>Microsoft Office Word</Application>
  <DocSecurity>0</DocSecurity>
  <Lines>1</Lines>
  <Paragraphs>1</Paragraphs>
  <ScaleCrop>false</ScaleCrop>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2025-05-15T03:01:41Z</dcterms:created>
  <dcterms:modified xsi:type="dcterms:W3CDTF">2025-05-15T03:01:41Z</dcterms:modified>
</cp:coreProperties>
</file>

<file path=docProps/custom.xml><?xml version="1.0" encoding="utf-8"?>
<Properties xmlns="http://schemas.openxmlformats.org/officeDocument/2006/custom-properties" xmlns:vt="http://schemas.openxmlformats.org/officeDocument/2006/docPropsVTypes"/>
</file>